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73B4DB" w14:textId="77777777" w:rsidR="00402767" w:rsidRDefault="00402767" w:rsidP="00CE4CCC">
      <w:pPr>
        <w:ind w:left="708" w:hanging="708"/>
      </w:pPr>
    </w:p>
    <w:p w14:paraId="62EDFC37" w14:textId="77777777" w:rsidR="00E752F0" w:rsidRDefault="00E752F0" w:rsidP="00E752F0"/>
    <w:p w14:paraId="5EF1AED5" w14:textId="77777777" w:rsidR="00E752F0" w:rsidRDefault="00E752F0" w:rsidP="00E752F0"/>
    <w:p w14:paraId="78CD0DF2" w14:textId="77777777" w:rsidR="00E752F0" w:rsidRDefault="00E752F0" w:rsidP="00E752F0"/>
    <w:p w14:paraId="6D9D04AF" w14:textId="77777777" w:rsidR="00E752F0" w:rsidRDefault="00E752F0" w:rsidP="00E752F0"/>
    <w:p w14:paraId="3BC98C82" w14:textId="77777777" w:rsidR="00E752F0" w:rsidRDefault="00E752F0" w:rsidP="00E752F0"/>
    <w:p w14:paraId="3E203676" w14:textId="77777777" w:rsidR="00E752F0" w:rsidRDefault="00E752F0" w:rsidP="00E752F0"/>
    <w:p w14:paraId="74D62189" w14:textId="77777777" w:rsidR="00E752F0" w:rsidRDefault="00E752F0" w:rsidP="00E752F0"/>
    <w:p w14:paraId="55D16859" w14:textId="77777777" w:rsidR="00E752F0" w:rsidRDefault="00E752F0" w:rsidP="00E752F0"/>
    <w:p w14:paraId="5D9D079B" w14:textId="38F0EFE7" w:rsidR="00E752F0" w:rsidRPr="003F35C9" w:rsidRDefault="00E752F0" w:rsidP="00E752F0">
      <w:pPr>
        <w:spacing w:line="240" w:lineRule="auto"/>
        <w:jc w:val="center"/>
        <w:rPr>
          <w:rFonts w:ascii="Arial" w:hAnsi="Arial" w:cs="Arial"/>
          <w:b/>
          <w:sz w:val="40"/>
          <w:szCs w:val="40"/>
        </w:rPr>
      </w:pPr>
      <w:r w:rsidRPr="003F35C9">
        <w:rPr>
          <w:rFonts w:ascii="Arial" w:hAnsi="Arial" w:cs="Arial"/>
          <w:b/>
          <w:sz w:val="40"/>
          <w:szCs w:val="40"/>
        </w:rPr>
        <w:t>PRESUPUESTO DE</w:t>
      </w:r>
      <w:bookmarkStart w:id="0" w:name="_GoBack"/>
      <w:bookmarkEnd w:id="0"/>
      <w:r>
        <w:rPr>
          <w:rFonts w:ascii="Arial" w:hAnsi="Arial" w:cs="Arial"/>
          <w:b/>
          <w:sz w:val="40"/>
          <w:szCs w:val="40"/>
        </w:rPr>
        <w:t xml:space="preserve">                          </w:t>
      </w:r>
      <w:r w:rsidRPr="003F35C9">
        <w:rPr>
          <w:rFonts w:ascii="Arial" w:hAnsi="Arial" w:cs="Arial"/>
          <w:b/>
          <w:sz w:val="40"/>
          <w:szCs w:val="40"/>
        </w:rPr>
        <w:t xml:space="preserve">EGRESOS DEL </w:t>
      </w:r>
      <w:r>
        <w:rPr>
          <w:rFonts w:ascii="Arial" w:hAnsi="Arial" w:cs="Arial"/>
          <w:b/>
          <w:sz w:val="40"/>
          <w:szCs w:val="40"/>
        </w:rPr>
        <w:t>ESTADO DE COLIMA</w:t>
      </w:r>
      <w:r w:rsidR="00EF4FF0">
        <w:rPr>
          <w:rFonts w:ascii="Arial" w:hAnsi="Arial" w:cs="Arial"/>
          <w:b/>
          <w:sz w:val="40"/>
          <w:szCs w:val="40"/>
        </w:rPr>
        <w:t xml:space="preserve"> PARA EL EJERCICIO FISCAL 2021</w:t>
      </w:r>
    </w:p>
    <w:p w14:paraId="6C39A703" w14:textId="77777777" w:rsidR="00E752F0" w:rsidRDefault="00E752F0" w:rsidP="00E752F0"/>
    <w:p w14:paraId="7AC918E5" w14:textId="77777777" w:rsidR="00E752F0" w:rsidRDefault="00E752F0" w:rsidP="00E752F0"/>
    <w:p w14:paraId="0FCCFE4F" w14:textId="77777777" w:rsidR="00E752F0" w:rsidRDefault="00E752F0" w:rsidP="00E752F0"/>
    <w:p w14:paraId="4644CC94" w14:textId="77777777" w:rsidR="00E752F0" w:rsidRDefault="00E752F0" w:rsidP="00E752F0"/>
    <w:p w14:paraId="5869263A" w14:textId="77777777" w:rsidR="00E752F0" w:rsidRDefault="00E752F0" w:rsidP="00E752F0"/>
    <w:p w14:paraId="54EC5E74" w14:textId="77777777" w:rsidR="00E752F0" w:rsidRDefault="00E752F0" w:rsidP="00E752F0"/>
    <w:p w14:paraId="0AF06AC0" w14:textId="77777777" w:rsidR="00E752F0" w:rsidRDefault="00E752F0" w:rsidP="00E752F0"/>
    <w:p w14:paraId="443BFCB9" w14:textId="77777777" w:rsidR="00E752F0" w:rsidRDefault="00E752F0" w:rsidP="00E752F0"/>
    <w:p w14:paraId="4C5B2F28" w14:textId="77777777" w:rsidR="00E752F0" w:rsidRDefault="00E752F0" w:rsidP="00E752F0"/>
    <w:p w14:paraId="612CE539" w14:textId="77777777" w:rsidR="00E752F0" w:rsidRDefault="00E752F0" w:rsidP="00E752F0"/>
    <w:p w14:paraId="1262B7CB" w14:textId="77777777" w:rsidR="00E752F0" w:rsidRDefault="00E752F0" w:rsidP="00E752F0"/>
    <w:p w14:paraId="7031926D" w14:textId="77777777" w:rsidR="00E752F0" w:rsidRDefault="00E752F0" w:rsidP="00E752F0"/>
    <w:p w14:paraId="38CB5BD4" w14:textId="77777777" w:rsidR="00E752F0" w:rsidRDefault="00E752F0" w:rsidP="00E752F0">
      <w:pPr>
        <w:autoSpaceDE w:val="0"/>
        <w:autoSpaceDN w:val="0"/>
        <w:adjustRightInd w:val="0"/>
        <w:spacing w:after="0" w:line="240" w:lineRule="auto"/>
        <w:jc w:val="center"/>
        <w:rPr>
          <w:rFonts w:ascii="Arial" w:eastAsia="Times New Roman" w:hAnsi="Arial" w:cs="Arial"/>
          <w:b/>
          <w:sz w:val="40"/>
          <w:szCs w:val="40"/>
        </w:rPr>
      </w:pPr>
    </w:p>
    <w:p w14:paraId="6C8EB425" w14:textId="77777777" w:rsidR="002A1177" w:rsidRDefault="002A1177" w:rsidP="00E752F0">
      <w:pPr>
        <w:autoSpaceDE w:val="0"/>
        <w:autoSpaceDN w:val="0"/>
        <w:adjustRightInd w:val="0"/>
        <w:spacing w:after="0" w:line="240" w:lineRule="auto"/>
        <w:jc w:val="center"/>
        <w:rPr>
          <w:rFonts w:ascii="Arial" w:eastAsia="Times New Roman" w:hAnsi="Arial" w:cs="Arial"/>
          <w:b/>
          <w:sz w:val="40"/>
          <w:szCs w:val="40"/>
        </w:rPr>
      </w:pPr>
    </w:p>
    <w:p w14:paraId="39A1F15E" w14:textId="77777777" w:rsidR="00E752F0" w:rsidRDefault="00E752F0" w:rsidP="00E752F0">
      <w:pPr>
        <w:autoSpaceDE w:val="0"/>
        <w:autoSpaceDN w:val="0"/>
        <w:adjustRightInd w:val="0"/>
        <w:spacing w:after="0" w:line="240" w:lineRule="auto"/>
        <w:jc w:val="center"/>
        <w:rPr>
          <w:rFonts w:ascii="Arial" w:eastAsia="Times New Roman" w:hAnsi="Arial" w:cs="Arial"/>
          <w:b/>
          <w:sz w:val="40"/>
          <w:szCs w:val="40"/>
        </w:rPr>
      </w:pPr>
    </w:p>
    <w:p w14:paraId="14B57BCB" w14:textId="77777777" w:rsidR="00E752F0" w:rsidRDefault="00E752F0" w:rsidP="00E752F0">
      <w:pPr>
        <w:autoSpaceDE w:val="0"/>
        <w:autoSpaceDN w:val="0"/>
        <w:adjustRightInd w:val="0"/>
        <w:spacing w:after="0" w:line="240" w:lineRule="auto"/>
        <w:jc w:val="center"/>
        <w:rPr>
          <w:rFonts w:ascii="Arial" w:eastAsia="Times New Roman" w:hAnsi="Arial" w:cs="Arial"/>
          <w:b/>
          <w:sz w:val="40"/>
          <w:szCs w:val="40"/>
        </w:rPr>
      </w:pPr>
    </w:p>
    <w:p w14:paraId="115AC9A8" w14:textId="77777777" w:rsidR="00E752F0" w:rsidRDefault="00E752F0" w:rsidP="00E752F0">
      <w:pPr>
        <w:autoSpaceDE w:val="0"/>
        <w:autoSpaceDN w:val="0"/>
        <w:adjustRightInd w:val="0"/>
        <w:spacing w:after="0" w:line="240" w:lineRule="auto"/>
        <w:jc w:val="center"/>
        <w:rPr>
          <w:rFonts w:ascii="Arial" w:eastAsia="Times New Roman" w:hAnsi="Arial" w:cs="Arial"/>
          <w:b/>
          <w:sz w:val="40"/>
          <w:szCs w:val="40"/>
        </w:rPr>
      </w:pPr>
    </w:p>
    <w:p w14:paraId="62F6DA44" w14:textId="77777777" w:rsidR="00E752F0" w:rsidRDefault="00E752F0" w:rsidP="00E752F0">
      <w:pPr>
        <w:autoSpaceDE w:val="0"/>
        <w:autoSpaceDN w:val="0"/>
        <w:adjustRightInd w:val="0"/>
        <w:spacing w:after="0" w:line="240" w:lineRule="auto"/>
        <w:jc w:val="center"/>
        <w:rPr>
          <w:rFonts w:ascii="Arial" w:eastAsia="Times New Roman" w:hAnsi="Arial" w:cs="Arial"/>
          <w:b/>
          <w:sz w:val="40"/>
          <w:szCs w:val="40"/>
        </w:rPr>
      </w:pPr>
    </w:p>
    <w:p w14:paraId="3320514C" w14:textId="77777777" w:rsidR="00E752F0" w:rsidRDefault="00E752F0" w:rsidP="00E752F0">
      <w:pPr>
        <w:autoSpaceDE w:val="0"/>
        <w:autoSpaceDN w:val="0"/>
        <w:adjustRightInd w:val="0"/>
        <w:spacing w:after="0" w:line="240" w:lineRule="auto"/>
        <w:jc w:val="center"/>
        <w:rPr>
          <w:rFonts w:ascii="Arial" w:eastAsia="Times New Roman" w:hAnsi="Arial" w:cs="Arial"/>
          <w:b/>
          <w:sz w:val="40"/>
          <w:szCs w:val="40"/>
        </w:rPr>
      </w:pPr>
    </w:p>
    <w:p w14:paraId="79DBAE57" w14:textId="77777777" w:rsidR="00E752F0" w:rsidRDefault="00E752F0" w:rsidP="00E752F0">
      <w:pPr>
        <w:autoSpaceDE w:val="0"/>
        <w:autoSpaceDN w:val="0"/>
        <w:adjustRightInd w:val="0"/>
        <w:spacing w:after="0" w:line="240" w:lineRule="auto"/>
        <w:jc w:val="center"/>
        <w:rPr>
          <w:rFonts w:ascii="Arial" w:eastAsia="Times New Roman" w:hAnsi="Arial" w:cs="Arial"/>
          <w:b/>
          <w:sz w:val="40"/>
          <w:szCs w:val="40"/>
        </w:rPr>
      </w:pPr>
    </w:p>
    <w:p w14:paraId="7BBC48B9" w14:textId="77777777" w:rsidR="00E752F0" w:rsidRDefault="00E752F0" w:rsidP="00E752F0">
      <w:pPr>
        <w:autoSpaceDE w:val="0"/>
        <w:autoSpaceDN w:val="0"/>
        <w:adjustRightInd w:val="0"/>
        <w:spacing w:after="0" w:line="240" w:lineRule="auto"/>
        <w:jc w:val="center"/>
        <w:rPr>
          <w:rFonts w:ascii="Arial" w:eastAsia="Times New Roman" w:hAnsi="Arial" w:cs="Arial"/>
          <w:b/>
          <w:sz w:val="40"/>
          <w:szCs w:val="40"/>
        </w:rPr>
      </w:pPr>
    </w:p>
    <w:p w14:paraId="013ECAA3" w14:textId="77777777" w:rsidR="00E752F0" w:rsidRDefault="00E752F0" w:rsidP="00E752F0">
      <w:pPr>
        <w:autoSpaceDE w:val="0"/>
        <w:autoSpaceDN w:val="0"/>
        <w:adjustRightInd w:val="0"/>
        <w:spacing w:after="0" w:line="240" w:lineRule="auto"/>
        <w:jc w:val="center"/>
        <w:rPr>
          <w:rFonts w:ascii="Arial" w:eastAsia="Times New Roman" w:hAnsi="Arial" w:cs="Arial"/>
          <w:b/>
          <w:sz w:val="40"/>
          <w:szCs w:val="40"/>
        </w:rPr>
      </w:pPr>
      <w:r w:rsidRPr="00E752F0">
        <w:rPr>
          <w:rFonts w:ascii="Arial" w:eastAsia="Times New Roman" w:hAnsi="Arial" w:cs="Arial"/>
          <w:b/>
          <w:sz w:val="40"/>
          <w:szCs w:val="40"/>
        </w:rPr>
        <w:t>TOMO I. EXPOSICIÓN DE MOTIVOS</w:t>
      </w:r>
    </w:p>
    <w:p w14:paraId="60F07234" w14:textId="77777777" w:rsidR="001D415F" w:rsidRDefault="001D415F" w:rsidP="00E752F0">
      <w:pPr>
        <w:autoSpaceDE w:val="0"/>
        <w:autoSpaceDN w:val="0"/>
        <w:adjustRightInd w:val="0"/>
        <w:spacing w:after="0" w:line="240" w:lineRule="auto"/>
        <w:jc w:val="center"/>
        <w:rPr>
          <w:rFonts w:ascii="Arial" w:eastAsia="Times New Roman" w:hAnsi="Arial" w:cs="Arial"/>
          <w:b/>
          <w:sz w:val="40"/>
          <w:szCs w:val="40"/>
        </w:rPr>
      </w:pPr>
    </w:p>
    <w:p w14:paraId="035A2E6E" w14:textId="77777777" w:rsidR="001D415F" w:rsidRDefault="001D415F" w:rsidP="00E752F0">
      <w:pPr>
        <w:autoSpaceDE w:val="0"/>
        <w:autoSpaceDN w:val="0"/>
        <w:adjustRightInd w:val="0"/>
        <w:spacing w:after="0" w:line="240" w:lineRule="auto"/>
        <w:jc w:val="center"/>
        <w:rPr>
          <w:rFonts w:ascii="Arial" w:eastAsia="Times New Roman" w:hAnsi="Arial" w:cs="Arial"/>
          <w:b/>
          <w:sz w:val="40"/>
          <w:szCs w:val="40"/>
        </w:rPr>
      </w:pPr>
    </w:p>
    <w:p w14:paraId="35B3E25E" w14:textId="77777777" w:rsidR="001D415F" w:rsidRDefault="001D415F" w:rsidP="00E752F0">
      <w:pPr>
        <w:autoSpaceDE w:val="0"/>
        <w:autoSpaceDN w:val="0"/>
        <w:adjustRightInd w:val="0"/>
        <w:spacing w:after="0" w:line="240" w:lineRule="auto"/>
        <w:jc w:val="center"/>
        <w:rPr>
          <w:rFonts w:ascii="Arial" w:eastAsia="Times New Roman" w:hAnsi="Arial" w:cs="Arial"/>
          <w:b/>
          <w:sz w:val="40"/>
          <w:szCs w:val="40"/>
        </w:rPr>
      </w:pPr>
    </w:p>
    <w:p w14:paraId="50FFF0A9" w14:textId="77777777" w:rsidR="001D415F" w:rsidRDefault="001D415F" w:rsidP="00E752F0">
      <w:pPr>
        <w:autoSpaceDE w:val="0"/>
        <w:autoSpaceDN w:val="0"/>
        <w:adjustRightInd w:val="0"/>
        <w:spacing w:after="0" w:line="240" w:lineRule="auto"/>
        <w:jc w:val="center"/>
        <w:rPr>
          <w:rFonts w:ascii="Arial" w:eastAsia="Times New Roman" w:hAnsi="Arial" w:cs="Arial"/>
          <w:b/>
          <w:sz w:val="40"/>
          <w:szCs w:val="40"/>
        </w:rPr>
      </w:pPr>
    </w:p>
    <w:p w14:paraId="05C06C4C" w14:textId="77777777" w:rsidR="001D415F" w:rsidRDefault="001D415F" w:rsidP="00E752F0">
      <w:pPr>
        <w:autoSpaceDE w:val="0"/>
        <w:autoSpaceDN w:val="0"/>
        <w:adjustRightInd w:val="0"/>
        <w:spacing w:after="0" w:line="240" w:lineRule="auto"/>
        <w:jc w:val="center"/>
        <w:rPr>
          <w:rFonts w:ascii="Arial" w:eastAsia="Times New Roman" w:hAnsi="Arial" w:cs="Arial"/>
          <w:b/>
          <w:sz w:val="40"/>
          <w:szCs w:val="40"/>
        </w:rPr>
      </w:pPr>
    </w:p>
    <w:p w14:paraId="42075E79" w14:textId="77777777" w:rsidR="001D415F" w:rsidRDefault="001D415F" w:rsidP="00E752F0">
      <w:pPr>
        <w:autoSpaceDE w:val="0"/>
        <w:autoSpaceDN w:val="0"/>
        <w:adjustRightInd w:val="0"/>
        <w:spacing w:after="0" w:line="240" w:lineRule="auto"/>
        <w:jc w:val="center"/>
        <w:rPr>
          <w:rFonts w:ascii="Arial" w:eastAsia="Times New Roman" w:hAnsi="Arial" w:cs="Arial"/>
          <w:b/>
          <w:sz w:val="40"/>
          <w:szCs w:val="40"/>
        </w:rPr>
      </w:pPr>
    </w:p>
    <w:p w14:paraId="2FC03102" w14:textId="77777777" w:rsidR="001D415F" w:rsidRDefault="001D415F" w:rsidP="00E752F0">
      <w:pPr>
        <w:autoSpaceDE w:val="0"/>
        <w:autoSpaceDN w:val="0"/>
        <w:adjustRightInd w:val="0"/>
        <w:spacing w:after="0" w:line="240" w:lineRule="auto"/>
        <w:jc w:val="center"/>
        <w:rPr>
          <w:rFonts w:ascii="Arial" w:eastAsia="Times New Roman" w:hAnsi="Arial" w:cs="Arial"/>
          <w:b/>
          <w:sz w:val="40"/>
          <w:szCs w:val="40"/>
        </w:rPr>
      </w:pPr>
    </w:p>
    <w:p w14:paraId="7B24E686" w14:textId="77777777" w:rsidR="001D415F" w:rsidRDefault="001D415F" w:rsidP="00E752F0">
      <w:pPr>
        <w:autoSpaceDE w:val="0"/>
        <w:autoSpaceDN w:val="0"/>
        <w:adjustRightInd w:val="0"/>
        <w:spacing w:after="0" w:line="240" w:lineRule="auto"/>
        <w:jc w:val="center"/>
        <w:rPr>
          <w:rFonts w:ascii="Arial" w:eastAsia="Times New Roman" w:hAnsi="Arial" w:cs="Arial"/>
          <w:b/>
          <w:sz w:val="40"/>
          <w:szCs w:val="40"/>
        </w:rPr>
      </w:pPr>
    </w:p>
    <w:p w14:paraId="51ACA9D9" w14:textId="77777777" w:rsidR="001D415F" w:rsidRDefault="001D415F" w:rsidP="00E752F0">
      <w:pPr>
        <w:autoSpaceDE w:val="0"/>
        <w:autoSpaceDN w:val="0"/>
        <w:adjustRightInd w:val="0"/>
        <w:spacing w:after="0" w:line="240" w:lineRule="auto"/>
        <w:jc w:val="center"/>
        <w:rPr>
          <w:rFonts w:ascii="Arial" w:eastAsia="Times New Roman" w:hAnsi="Arial" w:cs="Arial"/>
          <w:b/>
          <w:sz w:val="40"/>
          <w:szCs w:val="40"/>
        </w:rPr>
      </w:pPr>
    </w:p>
    <w:p w14:paraId="67FCDDBE" w14:textId="77777777" w:rsidR="001D415F" w:rsidRDefault="001D415F" w:rsidP="00E752F0">
      <w:pPr>
        <w:autoSpaceDE w:val="0"/>
        <w:autoSpaceDN w:val="0"/>
        <w:adjustRightInd w:val="0"/>
        <w:spacing w:after="0" w:line="240" w:lineRule="auto"/>
        <w:jc w:val="center"/>
        <w:rPr>
          <w:rFonts w:ascii="Arial" w:eastAsia="Times New Roman" w:hAnsi="Arial" w:cs="Arial"/>
          <w:b/>
          <w:sz w:val="40"/>
          <w:szCs w:val="40"/>
        </w:rPr>
      </w:pPr>
    </w:p>
    <w:p w14:paraId="6AD3C226" w14:textId="77777777" w:rsidR="001D415F" w:rsidRDefault="001D415F" w:rsidP="00E752F0">
      <w:pPr>
        <w:autoSpaceDE w:val="0"/>
        <w:autoSpaceDN w:val="0"/>
        <w:adjustRightInd w:val="0"/>
        <w:spacing w:after="0" w:line="240" w:lineRule="auto"/>
        <w:jc w:val="center"/>
        <w:rPr>
          <w:rFonts w:ascii="Arial" w:eastAsia="Times New Roman" w:hAnsi="Arial" w:cs="Arial"/>
          <w:b/>
          <w:sz w:val="40"/>
          <w:szCs w:val="40"/>
        </w:rPr>
      </w:pPr>
    </w:p>
    <w:p w14:paraId="58CC1CDF" w14:textId="77777777" w:rsidR="001D415F" w:rsidRDefault="001D415F" w:rsidP="00E752F0">
      <w:pPr>
        <w:autoSpaceDE w:val="0"/>
        <w:autoSpaceDN w:val="0"/>
        <w:adjustRightInd w:val="0"/>
        <w:spacing w:after="0" w:line="240" w:lineRule="auto"/>
        <w:jc w:val="center"/>
        <w:rPr>
          <w:rFonts w:ascii="Arial" w:eastAsia="Times New Roman" w:hAnsi="Arial" w:cs="Arial"/>
          <w:b/>
          <w:sz w:val="40"/>
          <w:szCs w:val="40"/>
        </w:rPr>
      </w:pPr>
    </w:p>
    <w:p w14:paraId="297C7499" w14:textId="77777777" w:rsidR="001D415F" w:rsidRDefault="00724E3A" w:rsidP="000759FE">
      <w:pPr>
        <w:autoSpaceDE w:val="0"/>
        <w:autoSpaceDN w:val="0"/>
        <w:adjustRightInd w:val="0"/>
        <w:spacing w:after="0" w:line="240" w:lineRule="auto"/>
        <w:jc w:val="both"/>
        <w:rPr>
          <w:rFonts w:ascii="Arial" w:eastAsia="Times New Roman" w:hAnsi="Arial" w:cs="Arial"/>
          <w:b/>
          <w:sz w:val="24"/>
          <w:szCs w:val="40"/>
        </w:rPr>
      </w:pPr>
      <w:r w:rsidRPr="00724E3A">
        <w:rPr>
          <w:rFonts w:ascii="Arial" w:eastAsia="Times New Roman" w:hAnsi="Arial" w:cs="Arial"/>
          <w:b/>
          <w:sz w:val="24"/>
          <w:szCs w:val="40"/>
        </w:rPr>
        <w:lastRenderedPageBreak/>
        <w:t>CC.</w:t>
      </w:r>
      <w:r w:rsidR="00C07C06">
        <w:rPr>
          <w:rFonts w:ascii="Arial" w:eastAsia="Times New Roman" w:hAnsi="Arial" w:cs="Arial"/>
          <w:b/>
          <w:sz w:val="24"/>
          <w:szCs w:val="40"/>
        </w:rPr>
        <w:t xml:space="preserve"> DIPUTADA</w:t>
      </w:r>
      <w:r w:rsidRPr="00D96528">
        <w:rPr>
          <w:rFonts w:ascii="Arial" w:eastAsia="Times New Roman" w:hAnsi="Arial" w:cs="Arial"/>
          <w:b/>
          <w:sz w:val="24"/>
          <w:szCs w:val="40"/>
        </w:rPr>
        <w:t xml:space="preserve"> PRESIDENTE, </w:t>
      </w:r>
      <w:r w:rsidR="00B63453">
        <w:rPr>
          <w:rFonts w:ascii="Arial" w:eastAsia="Times New Roman" w:hAnsi="Arial" w:cs="Arial"/>
          <w:b/>
          <w:sz w:val="24"/>
          <w:szCs w:val="40"/>
        </w:rPr>
        <w:t>DIPUTADAS SECRETARIA</w:t>
      </w:r>
      <w:r>
        <w:rPr>
          <w:rFonts w:ascii="Arial" w:eastAsia="Times New Roman" w:hAnsi="Arial" w:cs="Arial"/>
          <w:b/>
          <w:sz w:val="24"/>
          <w:szCs w:val="40"/>
        </w:rPr>
        <w:t>S DE LA MESA DIRECTIVA DEL H. CONGRESO DEL ESTADO DE COLIMA.</w:t>
      </w:r>
    </w:p>
    <w:p w14:paraId="2691E667" w14:textId="77777777" w:rsidR="00724E3A" w:rsidRDefault="00724E3A" w:rsidP="000759FE">
      <w:pPr>
        <w:autoSpaceDE w:val="0"/>
        <w:autoSpaceDN w:val="0"/>
        <w:adjustRightInd w:val="0"/>
        <w:spacing w:after="0" w:line="240" w:lineRule="auto"/>
        <w:jc w:val="both"/>
        <w:rPr>
          <w:rFonts w:ascii="Arial" w:eastAsia="Times New Roman" w:hAnsi="Arial" w:cs="Arial"/>
          <w:b/>
          <w:sz w:val="24"/>
          <w:szCs w:val="40"/>
        </w:rPr>
      </w:pPr>
      <w:r>
        <w:rPr>
          <w:rFonts w:ascii="Arial" w:eastAsia="Times New Roman" w:hAnsi="Arial" w:cs="Arial"/>
          <w:b/>
          <w:sz w:val="24"/>
          <w:szCs w:val="40"/>
        </w:rPr>
        <w:t>PRESENTES.-</w:t>
      </w:r>
    </w:p>
    <w:p w14:paraId="4640C892" w14:textId="77777777" w:rsidR="00724E3A" w:rsidRDefault="00724E3A" w:rsidP="000759FE">
      <w:pPr>
        <w:autoSpaceDE w:val="0"/>
        <w:autoSpaceDN w:val="0"/>
        <w:adjustRightInd w:val="0"/>
        <w:spacing w:after="0" w:line="240" w:lineRule="auto"/>
        <w:jc w:val="both"/>
        <w:rPr>
          <w:rFonts w:ascii="Arial" w:eastAsia="Times New Roman" w:hAnsi="Arial" w:cs="Arial"/>
          <w:b/>
          <w:sz w:val="24"/>
          <w:szCs w:val="40"/>
        </w:rPr>
      </w:pPr>
    </w:p>
    <w:p w14:paraId="3E5B69FF" w14:textId="77777777" w:rsidR="00724E3A" w:rsidRDefault="00F032DA" w:rsidP="000759FE">
      <w:pPr>
        <w:autoSpaceDE w:val="0"/>
        <w:autoSpaceDN w:val="0"/>
        <w:adjustRightInd w:val="0"/>
        <w:spacing w:after="0" w:line="240" w:lineRule="auto"/>
        <w:jc w:val="both"/>
        <w:rPr>
          <w:rFonts w:ascii="Arial" w:eastAsia="Times New Roman" w:hAnsi="Arial" w:cs="Arial"/>
          <w:sz w:val="24"/>
          <w:szCs w:val="40"/>
        </w:rPr>
      </w:pPr>
      <w:r>
        <w:rPr>
          <w:rFonts w:ascii="Arial" w:eastAsia="Times New Roman" w:hAnsi="Arial" w:cs="Arial"/>
          <w:b/>
          <w:sz w:val="24"/>
          <w:szCs w:val="40"/>
        </w:rPr>
        <w:t xml:space="preserve">JOSÉ IGNACIO PERALTA SANCHÉZ, </w:t>
      </w:r>
      <w:r w:rsidR="001910C1" w:rsidRPr="001910C1">
        <w:rPr>
          <w:rFonts w:ascii="Arial" w:eastAsia="Times New Roman" w:hAnsi="Arial" w:cs="Arial"/>
          <w:b/>
          <w:sz w:val="24"/>
          <w:szCs w:val="40"/>
        </w:rPr>
        <w:t>Gobernador Constitucional del Estado Libre y Soberano de Colima</w:t>
      </w:r>
      <w:r w:rsidR="001910C1">
        <w:rPr>
          <w:rFonts w:ascii="Arial" w:eastAsia="Times New Roman" w:hAnsi="Arial" w:cs="Arial"/>
          <w:sz w:val="24"/>
          <w:szCs w:val="40"/>
        </w:rPr>
        <w:t xml:space="preserve">, en ejercicio de la facultad que me confiere </w:t>
      </w:r>
      <w:r w:rsidR="009A1CFE">
        <w:rPr>
          <w:rFonts w:ascii="Arial" w:eastAsia="Times New Roman" w:hAnsi="Arial" w:cs="Arial"/>
          <w:sz w:val="24"/>
          <w:szCs w:val="40"/>
        </w:rPr>
        <w:t xml:space="preserve">el artículo </w:t>
      </w:r>
      <w:r w:rsidR="001910C1">
        <w:rPr>
          <w:rFonts w:ascii="Arial" w:eastAsia="Times New Roman" w:hAnsi="Arial" w:cs="Arial"/>
          <w:sz w:val="24"/>
          <w:szCs w:val="40"/>
        </w:rPr>
        <w:t>58, fracción XIX</w:t>
      </w:r>
      <w:r w:rsidR="0019513A">
        <w:rPr>
          <w:rFonts w:ascii="Arial" w:eastAsia="Times New Roman" w:hAnsi="Arial" w:cs="Arial"/>
          <w:sz w:val="24"/>
          <w:szCs w:val="40"/>
        </w:rPr>
        <w:t>, en relación a</w:t>
      </w:r>
      <w:r w:rsidR="009A1CFE">
        <w:rPr>
          <w:rFonts w:ascii="Arial" w:eastAsia="Times New Roman" w:hAnsi="Arial" w:cs="Arial"/>
          <w:sz w:val="24"/>
          <w:szCs w:val="40"/>
        </w:rPr>
        <w:t xml:space="preserve"> lo estipulado en el artículo 35, fracción II</w:t>
      </w:r>
      <w:r w:rsidR="001910C1">
        <w:rPr>
          <w:rFonts w:ascii="Arial" w:eastAsia="Times New Roman" w:hAnsi="Arial" w:cs="Arial"/>
          <w:sz w:val="24"/>
          <w:szCs w:val="40"/>
        </w:rPr>
        <w:t xml:space="preserve"> de la Constitución Política del Estado Libre y Soberano de Colima</w:t>
      </w:r>
      <w:r w:rsidR="009A1CFE">
        <w:rPr>
          <w:rFonts w:ascii="Arial" w:eastAsia="Times New Roman" w:hAnsi="Arial" w:cs="Arial"/>
          <w:sz w:val="24"/>
          <w:szCs w:val="40"/>
        </w:rPr>
        <w:t>,</w:t>
      </w:r>
      <w:r w:rsidR="001910C1">
        <w:rPr>
          <w:rFonts w:ascii="Arial" w:eastAsia="Times New Roman" w:hAnsi="Arial" w:cs="Arial"/>
          <w:sz w:val="24"/>
          <w:szCs w:val="40"/>
        </w:rPr>
        <w:t xml:space="preserve"> y </w:t>
      </w:r>
      <w:r w:rsidR="00D3303A">
        <w:rPr>
          <w:rFonts w:ascii="Arial" w:eastAsia="Times New Roman" w:hAnsi="Arial" w:cs="Arial"/>
          <w:sz w:val="24"/>
          <w:szCs w:val="40"/>
        </w:rPr>
        <w:t xml:space="preserve">en cumplimiento del </w:t>
      </w:r>
      <w:r w:rsidR="009A1CFE">
        <w:rPr>
          <w:rFonts w:ascii="Arial" w:eastAsia="Times New Roman" w:hAnsi="Arial" w:cs="Arial"/>
          <w:sz w:val="24"/>
          <w:szCs w:val="40"/>
        </w:rPr>
        <w:t xml:space="preserve">artículo </w:t>
      </w:r>
      <w:r w:rsidR="001910C1">
        <w:rPr>
          <w:rFonts w:ascii="Arial" w:eastAsia="Times New Roman" w:hAnsi="Arial" w:cs="Arial"/>
          <w:sz w:val="24"/>
          <w:szCs w:val="40"/>
        </w:rPr>
        <w:t>16 de la Ley de Presupuesto y Responsabilidad Hacendaria del Estado de Coli</w:t>
      </w:r>
      <w:r w:rsidR="00C24EE9">
        <w:rPr>
          <w:rFonts w:ascii="Arial" w:eastAsia="Times New Roman" w:hAnsi="Arial" w:cs="Arial"/>
          <w:sz w:val="24"/>
          <w:szCs w:val="40"/>
        </w:rPr>
        <w:t>ma, tengo a bien presentar y pon</w:t>
      </w:r>
      <w:r w:rsidR="001910C1">
        <w:rPr>
          <w:rFonts w:ascii="Arial" w:eastAsia="Times New Roman" w:hAnsi="Arial" w:cs="Arial"/>
          <w:sz w:val="24"/>
          <w:szCs w:val="40"/>
        </w:rPr>
        <w:t>er a consideración de esta Quincuagésima</w:t>
      </w:r>
      <w:r w:rsidR="001C2304">
        <w:rPr>
          <w:rFonts w:ascii="Arial" w:eastAsia="Times New Roman" w:hAnsi="Arial" w:cs="Arial"/>
          <w:sz w:val="24"/>
          <w:szCs w:val="40"/>
        </w:rPr>
        <w:t xml:space="preserve"> Novena Legislat</w:t>
      </w:r>
      <w:r w:rsidR="00EA5F96">
        <w:rPr>
          <w:rFonts w:ascii="Arial" w:eastAsia="Times New Roman" w:hAnsi="Arial" w:cs="Arial"/>
          <w:sz w:val="24"/>
          <w:szCs w:val="40"/>
        </w:rPr>
        <w:t>ura de la Paridad de Género</w:t>
      </w:r>
      <w:r w:rsidR="001C2304">
        <w:rPr>
          <w:rFonts w:ascii="Arial" w:eastAsia="Times New Roman" w:hAnsi="Arial" w:cs="Arial"/>
          <w:sz w:val="24"/>
          <w:szCs w:val="40"/>
        </w:rPr>
        <w:t xml:space="preserve"> Estatal, la presente </w:t>
      </w:r>
      <w:r w:rsidR="001C2304" w:rsidRPr="001C2304">
        <w:rPr>
          <w:rFonts w:ascii="Arial" w:eastAsia="Times New Roman" w:hAnsi="Arial" w:cs="Arial"/>
          <w:b/>
          <w:sz w:val="24"/>
          <w:szCs w:val="40"/>
        </w:rPr>
        <w:t>Iniciativa con Proyecto de Decreto por la que se expide el PRESUPUESTO DE EGRESOS DEL ESTADO DE COLIMA PARA EL EJERCICIO FISCAL 202</w:t>
      </w:r>
      <w:r w:rsidR="00EA5F96">
        <w:rPr>
          <w:rFonts w:ascii="Arial" w:eastAsia="Times New Roman" w:hAnsi="Arial" w:cs="Arial"/>
          <w:b/>
          <w:sz w:val="24"/>
          <w:szCs w:val="40"/>
        </w:rPr>
        <w:t>1</w:t>
      </w:r>
      <w:r w:rsidR="001C2304">
        <w:rPr>
          <w:rFonts w:ascii="Arial" w:eastAsia="Times New Roman" w:hAnsi="Arial" w:cs="Arial"/>
          <w:sz w:val="24"/>
          <w:szCs w:val="40"/>
        </w:rPr>
        <w:t>, de conformidad con lo siguiente:</w:t>
      </w:r>
    </w:p>
    <w:p w14:paraId="53FE3720" w14:textId="77777777" w:rsidR="001C2304" w:rsidRPr="00E752F0" w:rsidRDefault="001C2304" w:rsidP="000759FE">
      <w:pPr>
        <w:autoSpaceDE w:val="0"/>
        <w:autoSpaceDN w:val="0"/>
        <w:adjustRightInd w:val="0"/>
        <w:spacing w:after="0" w:line="240" w:lineRule="auto"/>
        <w:jc w:val="both"/>
        <w:rPr>
          <w:rFonts w:ascii="Arial" w:eastAsia="Times New Roman" w:hAnsi="Arial" w:cs="Arial"/>
          <w:szCs w:val="40"/>
        </w:rPr>
      </w:pPr>
    </w:p>
    <w:p w14:paraId="5A959825" w14:textId="77777777" w:rsidR="001C2304" w:rsidRPr="009A1CFE" w:rsidRDefault="001C2304" w:rsidP="000759FE">
      <w:pPr>
        <w:pStyle w:val="Prrafodelista"/>
        <w:numPr>
          <w:ilvl w:val="0"/>
          <w:numId w:val="1"/>
        </w:numPr>
        <w:spacing w:after="0" w:line="240" w:lineRule="auto"/>
        <w:ind w:left="426"/>
        <w:jc w:val="both"/>
        <w:rPr>
          <w:b/>
          <w:sz w:val="24"/>
        </w:rPr>
      </w:pPr>
      <w:r w:rsidRPr="009A1CFE">
        <w:rPr>
          <w:rFonts w:ascii="Arial" w:hAnsi="Arial" w:cs="Arial"/>
          <w:b/>
          <w:sz w:val="28"/>
        </w:rPr>
        <w:t>EXPOSICIÓN DE MOTIVOS</w:t>
      </w:r>
    </w:p>
    <w:p w14:paraId="37FAB542" w14:textId="77777777" w:rsidR="000759FE" w:rsidRPr="00555C3A" w:rsidRDefault="001C2304" w:rsidP="000759FE">
      <w:pPr>
        <w:pStyle w:val="Prrafodelista"/>
        <w:numPr>
          <w:ilvl w:val="1"/>
          <w:numId w:val="1"/>
        </w:numPr>
        <w:spacing w:after="0" w:line="240" w:lineRule="auto"/>
        <w:ind w:left="426"/>
        <w:jc w:val="both"/>
        <w:rPr>
          <w:rFonts w:ascii="Arial" w:hAnsi="Arial" w:cs="Arial"/>
          <w:b/>
          <w:sz w:val="24"/>
        </w:rPr>
      </w:pPr>
      <w:r w:rsidRPr="00555C3A">
        <w:rPr>
          <w:rFonts w:ascii="Arial" w:hAnsi="Arial" w:cs="Arial"/>
          <w:b/>
          <w:sz w:val="24"/>
        </w:rPr>
        <w:t>CONSIDERACIONES PRELIMINARES</w:t>
      </w:r>
    </w:p>
    <w:p w14:paraId="28087B72" w14:textId="77777777" w:rsidR="001C2304" w:rsidRDefault="001C2304" w:rsidP="000759FE">
      <w:pPr>
        <w:pStyle w:val="Prrafodelista"/>
        <w:spacing w:after="0" w:line="240" w:lineRule="auto"/>
        <w:ind w:left="0"/>
        <w:jc w:val="both"/>
        <w:rPr>
          <w:rFonts w:ascii="Arial" w:hAnsi="Arial" w:cs="Arial"/>
          <w:sz w:val="24"/>
        </w:rPr>
      </w:pPr>
      <w:r w:rsidRPr="002936BB">
        <w:rPr>
          <w:rFonts w:ascii="Arial" w:hAnsi="Arial" w:cs="Arial"/>
          <w:sz w:val="24"/>
        </w:rPr>
        <w:t xml:space="preserve"> </w:t>
      </w:r>
    </w:p>
    <w:p w14:paraId="68748F6A" w14:textId="77777777" w:rsidR="002936BB" w:rsidRDefault="002936BB" w:rsidP="008A0DF1">
      <w:pPr>
        <w:spacing w:after="0" w:line="240" w:lineRule="auto"/>
        <w:jc w:val="both"/>
        <w:rPr>
          <w:rFonts w:ascii="Arial" w:hAnsi="Arial" w:cs="Arial"/>
          <w:sz w:val="24"/>
        </w:rPr>
      </w:pPr>
      <w:r>
        <w:rPr>
          <w:rFonts w:ascii="Arial" w:hAnsi="Arial" w:cs="Arial"/>
          <w:sz w:val="24"/>
        </w:rPr>
        <w:t xml:space="preserve">La Constitución Política del Estado Libre y Soberano de Colima, en su artículo 58, fracción XIX, establece como obligación del Ejecutivo a mi cargo: “Remitir cada año para su aprobación al Congreso del Estado, a más tardar el 31 de </w:t>
      </w:r>
      <w:r w:rsidR="000759FE">
        <w:rPr>
          <w:rFonts w:ascii="Arial" w:hAnsi="Arial" w:cs="Arial"/>
          <w:sz w:val="24"/>
        </w:rPr>
        <w:t>octubre, y en su caso, hasta el 15 de noviembre de cada seis años, cuando por motivo del cambio de gobierno del Ejecutivo del Estado, los proyectos de Ley de Ingresos y Presupuesto de Egresos del Estado”.</w:t>
      </w:r>
    </w:p>
    <w:p w14:paraId="5AAECEE4" w14:textId="77777777" w:rsidR="008A0DF1" w:rsidRDefault="008A0DF1" w:rsidP="008A0DF1">
      <w:pPr>
        <w:spacing w:after="0" w:line="240" w:lineRule="auto"/>
        <w:jc w:val="both"/>
        <w:rPr>
          <w:rFonts w:ascii="Arial" w:hAnsi="Arial" w:cs="Arial"/>
          <w:sz w:val="24"/>
        </w:rPr>
      </w:pPr>
    </w:p>
    <w:p w14:paraId="7F43E48E" w14:textId="1941E4D6" w:rsidR="000759FE" w:rsidRDefault="000759FE" w:rsidP="008A0DF1">
      <w:pPr>
        <w:spacing w:after="0" w:line="240" w:lineRule="auto"/>
        <w:jc w:val="both"/>
        <w:rPr>
          <w:rFonts w:ascii="Arial" w:hAnsi="Arial" w:cs="Arial"/>
          <w:sz w:val="24"/>
        </w:rPr>
      </w:pPr>
      <w:r>
        <w:rPr>
          <w:rFonts w:ascii="Arial" w:hAnsi="Arial" w:cs="Arial"/>
          <w:sz w:val="24"/>
        </w:rPr>
        <w:t xml:space="preserve">La </w:t>
      </w:r>
      <w:r w:rsidR="00BB0A2C">
        <w:rPr>
          <w:rFonts w:ascii="Arial" w:hAnsi="Arial" w:cs="Arial"/>
          <w:sz w:val="24"/>
        </w:rPr>
        <w:t>I</w:t>
      </w:r>
      <w:r>
        <w:rPr>
          <w:rFonts w:ascii="Arial" w:hAnsi="Arial" w:cs="Arial"/>
          <w:sz w:val="24"/>
        </w:rPr>
        <w:t>niciativa que se somete a la consideración de esta Honorable Soberanía, se elaboró con fundamento en las expectativas y proyecciones económicas que establece el Poder Ejecutivo Federal en los Criterios Generales de Política Económica</w:t>
      </w:r>
      <w:r w:rsidR="00646A47">
        <w:rPr>
          <w:rFonts w:ascii="Arial" w:hAnsi="Arial" w:cs="Arial"/>
          <w:sz w:val="24"/>
        </w:rPr>
        <w:t>, para el Ejercicio Fiscal 2021</w:t>
      </w:r>
      <w:r w:rsidR="004B3348">
        <w:rPr>
          <w:rFonts w:ascii="Arial" w:hAnsi="Arial" w:cs="Arial"/>
          <w:sz w:val="24"/>
        </w:rPr>
        <w:t xml:space="preserve">; así como en las recomendaciones </w:t>
      </w:r>
      <w:r w:rsidR="00646A47">
        <w:rPr>
          <w:rFonts w:ascii="Arial" w:hAnsi="Arial" w:cs="Arial"/>
          <w:sz w:val="24"/>
        </w:rPr>
        <w:t xml:space="preserve">y estimaciones </w:t>
      </w:r>
      <w:r w:rsidR="004B3348">
        <w:rPr>
          <w:rFonts w:ascii="Arial" w:hAnsi="Arial" w:cs="Arial"/>
          <w:sz w:val="24"/>
        </w:rPr>
        <w:t>de la Secretarí</w:t>
      </w:r>
      <w:r w:rsidR="0051565B">
        <w:rPr>
          <w:rFonts w:ascii="Arial" w:hAnsi="Arial" w:cs="Arial"/>
          <w:sz w:val="24"/>
        </w:rPr>
        <w:t>a de Hacienda y Crédito Público y en el panorama económico y necesidades locales actuales.</w:t>
      </w:r>
    </w:p>
    <w:p w14:paraId="6AA412B8" w14:textId="77777777" w:rsidR="004B3348" w:rsidRDefault="004B3348" w:rsidP="008A0DF1">
      <w:pPr>
        <w:spacing w:after="0" w:line="240" w:lineRule="auto"/>
        <w:jc w:val="both"/>
        <w:rPr>
          <w:rFonts w:ascii="Arial" w:hAnsi="Arial" w:cs="Arial"/>
          <w:sz w:val="24"/>
        </w:rPr>
      </w:pPr>
    </w:p>
    <w:p w14:paraId="336F15DB" w14:textId="77777777" w:rsidR="004B3348" w:rsidRDefault="004B3348" w:rsidP="008A0DF1">
      <w:pPr>
        <w:spacing w:after="0" w:line="240" w:lineRule="auto"/>
        <w:jc w:val="both"/>
        <w:rPr>
          <w:rFonts w:ascii="Arial" w:hAnsi="Arial" w:cs="Arial"/>
          <w:sz w:val="24"/>
        </w:rPr>
      </w:pPr>
      <w:r>
        <w:rPr>
          <w:rFonts w:ascii="Arial" w:hAnsi="Arial" w:cs="Arial"/>
          <w:sz w:val="24"/>
        </w:rPr>
        <w:t>Las expectativas que se establecen en dichos Criterios</w:t>
      </w:r>
      <w:r w:rsidR="004534B5">
        <w:rPr>
          <w:rFonts w:ascii="Arial" w:hAnsi="Arial" w:cs="Arial"/>
          <w:sz w:val="24"/>
        </w:rPr>
        <w:t xml:space="preserve">, </w:t>
      </w:r>
      <w:r w:rsidR="00387056">
        <w:rPr>
          <w:rFonts w:ascii="Arial" w:hAnsi="Arial" w:cs="Arial"/>
          <w:sz w:val="24"/>
        </w:rPr>
        <w:t xml:space="preserve">señalan la necesidad, en 2021, de que las políticas públicas continúen adaptándose a la trayectoria de la pandemia del COVID-19, garantizando la atención médica, procurando una recuperación económica, manteniendo la salud del sistema financiero a fin de contribuir a la estabilidad macroeconómica y disponer de recursos </w:t>
      </w:r>
      <w:r w:rsidR="00B96C90">
        <w:rPr>
          <w:rFonts w:ascii="Arial" w:hAnsi="Arial" w:cs="Arial"/>
          <w:sz w:val="24"/>
        </w:rPr>
        <w:t>en el largo plazo para cumplir los objetivos del Estado.</w:t>
      </w:r>
    </w:p>
    <w:p w14:paraId="47A63372" w14:textId="77777777" w:rsidR="005E0E02" w:rsidRDefault="005E0E02" w:rsidP="008A0DF1">
      <w:pPr>
        <w:spacing w:after="0" w:line="240" w:lineRule="auto"/>
        <w:jc w:val="both"/>
        <w:rPr>
          <w:rFonts w:ascii="Arial" w:hAnsi="Arial" w:cs="Arial"/>
          <w:sz w:val="24"/>
        </w:rPr>
      </w:pPr>
    </w:p>
    <w:p w14:paraId="4E1081CB" w14:textId="77777777" w:rsidR="004534B5" w:rsidRDefault="005E0E02" w:rsidP="008A0DF1">
      <w:pPr>
        <w:spacing w:after="0" w:line="240" w:lineRule="auto"/>
        <w:jc w:val="both"/>
        <w:rPr>
          <w:rFonts w:ascii="Arial" w:hAnsi="Arial" w:cs="Arial"/>
          <w:sz w:val="24"/>
        </w:rPr>
      </w:pPr>
      <w:r>
        <w:rPr>
          <w:rFonts w:ascii="Arial" w:hAnsi="Arial" w:cs="Arial"/>
          <w:sz w:val="24"/>
        </w:rPr>
        <w:lastRenderedPageBreak/>
        <w:t xml:space="preserve">El brote y posterior evolución como pandemia del COVID-19 ocurrió en un entorno externo de por sí complejo, como ya se vaticinaba en los expectativas de crecimiento para el cierre de 2019 y 2020, con una marcada desaceleración sincronizada de las principales economías del mundo que estaba en </w:t>
      </w:r>
      <w:r w:rsidR="00E11814">
        <w:rPr>
          <w:rFonts w:ascii="Arial" w:hAnsi="Arial" w:cs="Arial"/>
          <w:sz w:val="24"/>
        </w:rPr>
        <w:t>marcha</w:t>
      </w:r>
      <w:r>
        <w:rPr>
          <w:rFonts w:ascii="Arial" w:hAnsi="Arial" w:cs="Arial"/>
          <w:sz w:val="24"/>
        </w:rPr>
        <w:t xml:space="preserve"> desde 2019, la cual, estaba asociada con el fin de un largo ciclo económico  y también de incertidumbre</w:t>
      </w:r>
      <w:r w:rsidR="00E11814">
        <w:rPr>
          <w:rFonts w:ascii="Arial" w:hAnsi="Arial" w:cs="Arial"/>
          <w:sz w:val="24"/>
        </w:rPr>
        <w:t xml:space="preserve"> generada por las tensiones comerciales entre Estados Unidos (EEUU) y China, así como a las tensiones geopolíticas por el Brexit y diversos eventos de Medio Oriente.</w:t>
      </w:r>
    </w:p>
    <w:p w14:paraId="6A50195E" w14:textId="77777777" w:rsidR="00E11814" w:rsidRDefault="00E11814" w:rsidP="008A0DF1">
      <w:pPr>
        <w:spacing w:after="0" w:line="240" w:lineRule="auto"/>
        <w:jc w:val="both"/>
        <w:rPr>
          <w:rFonts w:ascii="Arial" w:hAnsi="Arial" w:cs="Arial"/>
          <w:sz w:val="24"/>
        </w:rPr>
      </w:pPr>
    </w:p>
    <w:p w14:paraId="1DEA1613" w14:textId="77777777" w:rsidR="00E11814" w:rsidRDefault="00E11814" w:rsidP="008A0DF1">
      <w:pPr>
        <w:spacing w:after="0" w:line="240" w:lineRule="auto"/>
        <w:jc w:val="both"/>
        <w:rPr>
          <w:rFonts w:ascii="Arial" w:hAnsi="Arial" w:cs="Arial"/>
          <w:sz w:val="24"/>
        </w:rPr>
      </w:pPr>
      <w:r>
        <w:rPr>
          <w:rFonts w:ascii="Arial" w:hAnsi="Arial" w:cs="Arial"/>
          <w:sz w:val="24"/>
        </w:rPr>
        <w:t>En el primer mes de 2020 se auguraba una moderación de la desaceleración global, con el acuerdo comercial alcanzado entre EEUU y China. De la misma manera con la ratificación en ciernes del tratado entre México, EEUU y Canadá (T-MEC), en México se registraba un nivel de riesgo país en su nivel más bajo desde 2014. Además se observaba un precio promedio del petróleo superior a las estimaciones de ingresos. El Fondo Monetario Internacional (FMI), proyectaba en enero de 2020 que más de 160 países experimentarían un incremento en su ingreso per cápita durante este año.</w:t>
      </w:r>
    </w:p>
    <w:p w14:paraId="385D9219" w14:textId="77777777" w:rsidR="005E0E02" w:rsidRDefault="005E0E02" w:rsidP="008A0DF1">
      <w:pPr>
        <w:spacing w:after="0" w:line="240" w:lineRule="auto"/>
        <w:jc w:val="both"/>
        <w:rPr>
          <w:rFonts w:ascii="Arial" w:hAnsi="Arial" w:cs="Arial"/>
          <w:sz w:val="24"/>
        </w:rPr>
      </w:pPr>
    </w:p>
    <w:p w14:paraId="78BA8F96" w14:textId="77777777" w:rsidR="00E11814" w:rsidRDefault="00E11814" w:rsidP="008A0DF1">
      <w:pPr>
        <w:spacing w:after="0" w:line="240" w:lineRule="auto"/>
        <w:jc w:val="both"/>
        <w:rPr>
          <w:rFonts w:ascii="Arial" w:hAnsi="Arial" w:cs="Arial"/>
          <w:sz w:val="24"/>
        </w:rPr>
      </w:pPr>
      <w:r>
        <w:rPr>
          <w:rFonts w:ascii="Arial" w:hAnsi="Arial" w:cs="Arial"/>
          <w:sz w:val="24"/>
        </w:rPr>
        <w:t>Los esfuerzos que se han realizado por preservar vidas y asegurar la atención médica de los enfermos, en un entorno de poca información respecto al nuevo coronavirus y sus efectos sobre la salud de la población y la economía, elevaron velozmente la incertidumbre en los primeros meses del año y tuvieron impactos profundos sobre la economía, los mercados financieros y los de materias primas globales casi de inmediato.</w:t>
      </w:r>
    </w:p>
    <w:p w14:paraId="28236AC6" w14:textId="77777777" w:rsidR="00E11814" w:rsidRDefault="00E11814" w:rsidP="008A0DF1">
      <w:pPr>
        <w:spacing w:after="0" w:line="240" w:lineRule="auto"/>
        <w:jc w:val="both"/>
        <w:rPr>
          <w:rFonts w:ascii="Arial" w:hAnsi="Arial" w:cs="Arial"/>
          <w:sz w:val="24"/>
        </w:rPr>
      </w:pPr>
    </w:p>
    <w:p w14:paraId="71C3FC60" w14:textId="50F05A17" w:rsidR="00E11814" w:rsidRDefault="00E11814" w:rsidP="008A0DF1">
      <w:pPr>
        <w:spacing w:after="0" w:line="240" w:lineRule="auto"/>
        <w:jc w:val="both"/>
        <w:rPr>
          <w:rFonts w:ascii="Arial" w:hAnsi="Arial" w:cs="Arial"/>
          <w:sz w:val="24"/>
        </w:rPr>
      </w:pPr>
      <w:r>
        <w:rPr>
          <w:rFonts w:ascii="Arial" w:hAnsi="Arial" w:cs="Arial"/>
          <w:sz w:val="24"/>
        </w:rPr>
        <w:t xml:space="preserve">Al tiempo que los sistemas de salud de los países hacían frente a un virus y una enfermedad </w:t>
      </w:r>
      <w:r w:rsidR="008A6595">
        <w:rPr>
          <w:rFonts w:ascii="Arial" w:hAnsi="Arial" w:cs="Arial"/>
          <w:sz w:val="24"/>
        </w:rPr>
        <w:t xml:space="preserve">nuevos, sin vacuna ni cura y con mecanismos de </w:t>
      </w:r>
      <w:r w:rsidR="00651948">
        <w:rPr>
          <w:rFonts w:ascii="Arial" w:hAnsi="Arial" w:cs="Arial"/>
          <w:sz w:val="24"/>
        </w:rPr>
        <w:t>trasmisión</w:t>
      </w:r>
      <w:r w:rsidR="008A6595">
        <w:rPr>
          <w:rFonts w:ascii="Arial" w:hAnsi="Arial" w:cs="Arial"/>
          <w:sz w:val="24"/>
        </w:rPr>
        <w:t xml:space="preserve"> y tasas de contagio y de mortalidad desconocidos, el cierre de fronteras y de los sectores industriales de las principales economías, impactaba inmediata y particularmente los sectores del transporte y el turismo de todos los países, así como a la producción de aquellos altamente integrados a las cadenas globales de suministro, como el nuestro.</w:t>
      </w:r>
    </w:p>
    <w:p w14:paraId="06B5F5E6" w14:textId="77777777" w:rsidR="008A6595" w:rsidRDefault="008A6595" w:rsidP="008A0DF1">
      <w:pPr>
        <w:spacing w:after="0" w:line="240" w:lineRule="auto"/>
        <w:jc w:val="both"/>
        <w:rPr>
          <w:rFonts w:ascii="Arial" w:hAnsi="Arial" w:cs="Arial"/>
          <w:sz w:val="24"/>
        </w:rPr>
      </w:pPr>
    </w:p>
    <w:p w14:paraId="0DA73852" w14:textId="77777777" w:rsidR="008A6595" w:rsidRDefault="008A6595" w:rsidP="008A0DF1">
      <w:pPr>
        <w:spacing w:after="0" w:line="240" w:lineRule="auto"/>
        <w:jc w:val="both"/>
        <w:rPr>
          <w:rFonts w:ascii="Arial" w:hAnsi="Arial" w:cs="Arial"/>
          <w:sz w:val="24"/>
        </w:rPr>
      </w:pPr>
      <w:r>
        <w:rPr>
          <w:rFonts w:ascii="Arial" w:hAnsi="Arial" w:cs="Arial"/>
          <w:sz w:val="24"/>
        </w:rPr>
        <w:t xml:space="preserve">Sumado a lo anterior, el aumento de aversión al riesgo entre inversionistas de todo el mundo ocasionó una salida significativa de capital de los mercados  emergentes hacia activos más seguros, que a su vez implicó dislocaciones en los mercados financieros de dichas economías, depreciaciones en sus monedas, incremento en las primas de riesgo y deterioro de los volúmenes de operación de los mercados bursátiles. </w:t>
      </w:r>
    </w:p>
    <w:p w14:paraId="63286B5E" w14:textId="77777777" w:rsidR="008A6595" w:rsidRDefault="008A6595" w:rsidP="008A0DF1">
      <w:pPr>
        <w:spacing w:after="0" w:line="240" w:lineRule="auto"/>
        <w:jc w:val="both"/>
        <w:rPr>
          <w:rFonts w:ascii="Arial" w:hAnsi="Arial" w:cs="Arial"/>
          <w:sz w:val="24"/>
        </w:rPr>
      </w:pPr>
    </w:p>
    <w:p w14:paraId="20ABDD3A" w14:textId="22502FE7" w:rsidR="008A6595" w:rsidRDefault="008A6595" w:rsidP="008A0DF1">
      <w:pPr>
        <w:spacing w:after="0" w:line="240" w:lineRule="auto"/>
        <w:jc w:val="both"/>
        <w:rPr>
          <w:rFonts w:ascii="Arial" w:hAnsi="Arial" w:cs="Arial"/>
          <w:sz w:val="24"/>
        </w:rPr>
      </w:pPr>
      <w:r>
        <w:rPr>
          <w:rFonts w:ascii="Arial" w:hAnsi="Arial" w:cs="Arial"/>
          <w:sz w:val="24"/>
        </w:rPr>
        <w:lastRenderedPageBreak/>
        <w:t>La expectativa de una pronunciada reducción en la demanda global trajo consigo una rápida disminución del precio del petróleo, entre otras materias primas,</w:t>
      </w:r>
      <w:r w:rsidR="005A615A">
        <w:rPr>
          <w:rFonts w:ascii="Arial" w:hAnsi="Arial" w:cs="Arial"/>
          <w:sz w:val="24"/>
        </w:rPr>
        <w:t xml:space="preserve"> que fue potencializada por tens</w:t>
      </w:r>
      <w:r>
        <w:rPr>
          <w:rFonts w:ascii="Arial" w:hAnsi="Arial" w:cs="Arial"/>
          <w:sz w:val="24"/>
        </w:rPr>
        <w:t>iones durante marzo y parte de abril por los miembros de la Organización de los Países Exportadores de Petróleo y sus aliados. De esta manera, en abril, el FMI estimaba que más de 170 países experimentarían una reducción en su ingreso per cápita.</w:t>
      </w:r>
    </w:p>
    <w:p w14:paraId="7C52B902" w14:textId="77777777" w:rsidR="008A6595" w:rsidRDefault="008A6595" w:rsidP="008A0DF1">
      <w:pPr>
        <w:spacing w:after="0" w:line="240" w:lineRule="auto"/>
        <w:jc w:val="both"/>
        <w:rPr>
          <w:rFonts w:ascii="Arial" w:hAnsi="Arial" w:cs="Arial"/>
          <w:sz w:val="24"/>
        </w:rPr>
      </w:pPr>
    </w:p>
    <w:p w14:paraId="0C9071BF" w14:textId="77777777" w:rsidR="008A6595" w:rsidRDefault="008A6595" w:rsidP="008A0DF1">
      <w:pPr>
        <w:spacing w:after="0" w:line="240" w:lineRule="auto"/>
        <w:jc w:val="both"/>
        <w:rPr>
          <w:rFonts w:ascii="Arial" w:hAnsi="Arial" w:cs="Arial"/>
          <w:sz w:val="24"/>
        </w:rPr>
      </w:pPr>
      <w:r>
        <w:rPr>
          <w:rFonts w:ascii="Arial" w:hAnsi="Arial" w:cs="Arial"/>
          <w:sz w:val="24"/>
        </w:rPr>
        <w:t xml:space="preserve">La conjunción de lo anterior ha configurado grandes retos en materia de política </w:t>
      </w:r>
      <w:r w:rsidR="009537A6">
        <w:rPr>
          <w:rFonts w:ascii="Arial" w:hAnsi="Arial" w:cs="Arial"/>
          <w:sz w:val="24"/>
        </w:rPr>
        <w:t>pública</w:t>
      </w:r>
      <w:r>
        <w:rPr>
          <w:rFonts w:ascii="Arial" w:hAnsi="Arial" w:cs="Arial"/>
          <w:sz w:val="24"/>
        </w:rPr>
        <w:t xml:space="preserve"> y para las finanzas públicas del m</w:t>
      </w:r>
      <w:r w:rsidR="006E20ED">
        <w:rPr>
          <w:rFonts w:ascii="Arial" w:hAnsi="Arial" w:cs="Arial"/>
          <w:sz w:val="24"/>
        </w:rPr>
        <w:t>undo y nuestro estado y país no han sido ajenos a ello. En particular a nivel nacional se identifican cinco elementos que presionaron la posición de las finanzas públicas: 1. Un incremento del gasto en salud, 2. Una mayor asignación de recursos para atender las funciones de desarrollo social y económico, para apoyar a personas y empresas, 3. Menores ingresos tributarios y no tributarios, 4. El impacto a los ingresos petroleros por las caídas en precios y ventas, y 5. El aumento del valor en moneda nacional de la deuda externa, por el mayor tipo de cambio.</w:t>
      </w:r>
    </w:p>
    <w:p w14:paraId="1C687525" w14:textId="77777777" w:rsidR="006E20ED" w:rsidRDefault="006E20ED" w:rsidP="008A0DF1">
      <w:pPr>
        <w:spacing w:after="0" w:line="240" w:lineRule="auto"/>
        <w:jc w:val="both"/>
        <w:rPr>
          <w:rFonts w:ascii="Arial" w:hAnsi="Arial" w:cs="Arial"/>
          <w:sz w:val="24"/>
        </w:rPr>
      </w:pPr>
    </w:p>
    <w:p w14:paraId="6E62CE3A" w14:textId="235EE629" w:rsidR="006E20ED" w:rsidRDefault="006B5A54" w:rsidP="008A0DF1">
      <w:pPr>
        <w:spacing w:after="0" w:line="240" w:lineRule="auto"/>
        <w:jc w:val="both"/>
        <w:rPr>
          <w:rFonts w:ascii="Arial" w:hAnsi="Arial" w:cs="Arial"/>
          <w:sz w:val="24"/>
        </w:rPr>
      </w:pPr>
      <w:r>
        <w:rPr>
          <w:rFonts w:ascii="Arial" w:hAnsi="Arial" w:cs="Arial"/>
          <w:sz w:val="24"/>
        </w:rPr>
        <w:t>El COVID-19 continúa presentado en el mundo una lamentable pérdida de vidas humanas y afectaciones a la salud</w:t>
      </w:r>
      <w:r w:rsidR="00FF3AF0">
        <w:rPr>
          <w:rFonts w:ascii="Arial" w:hAnsi="Arial" w:cs="Arial"/>
          <w:sz w:val="24"/>
        </w:rPr>
        <w:t xml:space="preserve"> para millones de personas. Al 28 de octubre</w:t>
      </w:r>
      <w:r>
        <w:rPr>
          <w:rFonts w:ascii="Arial" w:hAnsi="Arial" w:cs="Arial"/>
          <w:sz w:val="24"/>
        </w:rPr>
        <w:t xml:space="preserve"> se tení</w:t>
      </w:r>
      <w:r w:rsidR="00AD079B">
        <w:rPr>
          <w:rFonts w:ascii="Arial" w:hAnsi="Arial" w:cs="Arial"/>
          <w:sz w:val="24"/>
        </w:rPr>
        <w:t>an en México 906,863</w:t>
      </w:r>
      <w:r>
        <w:rPr>
          <w:rFonts w:ascii="Arial" w:hAnsi="Arial" w:cs="Arial"/>
          <w:sz w:val="24"/>
        </w:rPr>
        <w:t xml:space="preserve"> personas confirmadas y </w:t>
      </w:r>
      <w:r w:rsidR="00AD079B">
        <w:rPr>
          <w:rFonts w:ascii="Arial" w:hAnsi="Arial" w:cs="Arial"/>
          <w:sz w:val="24"/>
        </w:rPr>
        <w:t>90,309</w:t>
      </w:r>
      <w:r>
        <w:rPr>
          <w:rFonts w:ascii="Arial" w:hAnsi="Arial" w:cs="Arial"/>
          <w:sz w:val="24"/>
        </w:rPr>
        <w:t xml:space="preserve"> fallecidas, asimismo, la ocupación de camas de hospitalización general y con ventilador llegó a 33 y 29 por ciento el 5 de septiembre, respectivamente, más aún, 30 estados tenían disponibles más del 50 por ciento de ambos tipos de atención.</w:t>
      </w:r>
    </w:p>
    <w:p w14:paraId="5F8E7357" w14:textId="77777777" w:rsidR="006B5A54" w:rsidRDefault="006B5A54" w:rsidP="008A0DF1">
      <w:pPr>
        <w:spacing w:after="0" w:line="240" w:lineRule="auto"/>
        <w:jc w:val="both"/>
        <w:rPr>
          <w:rFonts w:ascii="Arial" w:hAnsi="Arial" w:cs="Arial"/>
          <w:sz w:val="24"/>
        </w:rPr>
      </w:pPr>
    </w:p>
    <w:p w14:paraId="76EBBC93" w14:textId="77777777" w:rsidR="006B5A54" w:rsidRDefault="006B5A54" w:rsidP="008A0DF1">
      <w:pPr>
        <w:spacing w:after="0" w:line="240" w:lineRule="auto"/>
        <w:jc w:val="both"/>
        <w:rPr>
          <w:rFonts w:ascii="Arial" w:hAnsi="Arial" w:cs="Arial"/>
          <w:sz w:val="24"/>
        </w:rPr>
      </w:pPr>
      <w:r>
        <w:rPr>
          <w:rFonts w:ascii="Arial" w:hAnsi="Arial" w:cs="Arial"/>
          <w:sz w:val="24"/>
        </w:rPr>
        <w:t xml:space="preserve">La información económica </w:t>
      </w:r>
      <w:r w:rsidR="00102371">
        <w:rPr>
          <w:rFonts w:ascii="Arial" w:hAnsi="Arial" w:cs="Arial"/>
          <w:sz w:val="24"/>
        </w:rPr>
        <w:t>más</w:t>
      </w:r>
      <w:r>
        <w:rPr>
          <w:rFonts w:ascii="Arial" w:hAnsi="Arial" w:cs="Arial"/>
          <w:sz w:val="24"/>
        </w:rPr>
        <w:t xml:space="preserve"> reciente señala que la economía mexicana toco piso entre finales de mayo y principios de junio y que la reactivación </w:t>
      </w:r>
      <w:r w:rsidR="00102371">
        <w:rPr>
          <w:rFonts w:ascii="Arial" w:hAnsi="Arial" w:cs="Arial"/>
          <w:sz w:val="24"/>
        </w:rPr>
        <w:t>está</w:t>
      </w:r>
      <w:r>
        <w:rPr>
          <w:rFonts w:ascii="Arial" w:hAnsi="Arial" w:cs="Arial"/>
          <w:sz w:val="24"/>
        </w:rPr>
        <w:t xml:space="preserve"> en marcha. Respecto al empleo, el Instituto Nacional de </w:t>
      </w:r>
      <w:r w:rsidR="00102371">
        <w:rPr>
          <w:rFonts w:ascii="Arial" w:hAnsi="Arial" w:cs="Arial"/>
          <w:sz w:val="24"/>
        </w:rPr>
        <w:t>Estadística</w:t>
      </w:r>
      <w:r>
        <w:rPr>
          <w:rFonts w:ascii="Arial" w:hAnsi="Arial" w:cs="Arial"/>
          <w:sz w:val="24"/>
        </w:rPr>
        <w:t xml:space="preserve"> y </w:t>
      </w:r>
      <w:r w:rsidR="00102371">
        <w:rPr>
          <w:rFonts w:ascii="Arial" w:hAnsi="Arial" w:cs="Arial"/>
          <w:sz w:val="24"/>
        </w:rPr>
        <w:t>Geográfica</w:t>
      </w:r>
      <w:r>
        <w:rPr>
          <w:rFonts w:ascii="Arial" w:hAnsi="Arial" w:cs="Arial"/>
          <w:sz w:val="24"/>
        </w:rPr>
        <w:t xml:space="preserve"> (INEGI) reportó una recuperación acumulada en mayo-julio de 6.6 millones de ocupaciones o 63.5 por ciento de aquellas perdidas en abril en el sector informal, que es más flexible y fue </w:t>
      </w:r>
      <w:r w:rsidR="00102371">
        <w:rPr>
          <w:rFonts w:ascii="Arial" w:hAnsi="Arial" w:cs="Arial"/>
          <w:sz w:val="24"/>
        </w:rPr>
        <w:t>más</w:t>
      </w:r>
      <w:r>
        <w:rPr>
          <w:rFonts w:ascii="Arial" w:hAnsi="Arial" w:cs="Arial"/>
          <w:sz w:val="24"/>
        </w:rPr>
        <w:t xml:space="preserve"> afectado, al haber presentado el 83.3</w:t>
      </w:r>
      <w:r w:rsidR="00102371">
        <w:rPr>
          <w:rFonts w:ascii="Arial" w:hAnsi="Arial" w:cs="Arial"/>
          <w:sz w:val="24"/>
        </w:rPr>
        <w:t xml:space="preserve"> por ciento de los 12.5 millones de ocupaciones perdidas entre marzo y abril. Por su parte el Instituto Mexicano del Seguro Social (IMSS) informó la recuperación de 126,092 empleos en la construcción, considerando el bimestre junio-julio, y de 48,367 y 4,105 empleos en las manufacturas y el comercio durante julio, respectivamente.</w:t>
      </w:r>
    </w:p>
    <w:p w14:paraId="4CAE49CA" w14:textId="77777777" w:rsidR="00102371" w:rsidRDefault="00102371" w:rsidP="008A0DF1">
      <w:pPr>
        <w:spacing w:after="0" w:line="240" w:lineRule="auto"/>
        <w:jc w:val="both"/>
        <w:rPr>
          <w:rFonts w:ascii="Arial" w:hAnsi="Arial" w:cs="Arial"/>
          <w:sz w:val="24"/>
        </w:rPr>
      </w:pPr>
    </w:p>
    <w:p w14:paraId="5551A3EC" w14:textId="50A4C08A" w:rsidR="00102371" w:rsidRDefault="00102371" w:rsidP="00102371">
      <w:pPr>
        <w:spacing w:after="0" w:line="240" w:lineRule="auto"/>
        <w:jc w:val="both"/>
        <w:rPr>
          <w:rFonts w:ascii="Arial" w:hAnsi="Arial" w:cs="Arial"/>
          <w:sz w:val="24"/>
        </w:rPr>
      </w:pPr>
      <w:r w:rsidRPr="00102371">
        <w:rPr>
          <w:rFonts w:ascii="Arial" w:hAnsi="Arial" w:cs="Arial"/>
          <w:sz w:val="24"/>
        </w:rPr>
        <w:t>En la parte de la producción, la</w:t>
      </w:r>
      <w:r w:rsidR="005A615A">
        <w:rPr>
          <w:rFonts w:ascii="Arial" w:hAnsi="Arial" w:cs="Arial"/>
          <w:sz w:val="24"/>
        </w:rPr>
        <w:t xml:space="preserve"> reactivación sincronizada del Bloque C</w:t>
      </w:r>
      <w:r w:rsidRPr="00102371">
        <w:rPr>
          <w:rFonts w:ascii="Arial" w:hAnsi="Arial" w:cs="Arial"/>
          <w:sz w:val="24"/>
        </w:rPr>
        <w:t>omercial de Norteamérica se refleja en los</w:t>
      </w:r>
      <w:r>
        <w:rPr>
          <w:rFonts w:ascii="Arial" w:hAnsi="Arial" w:cs="Arial"/>
          <w:sz w:val="24"/>
        </w:rPr>
        <w:t xml:space="preserve"> </w:t>
      </w:r>
      <w:r w:rsidRPr="00102371">
        <w:rPr>
          <w:rFonts w:ascii="Arial" w:hAnsi="Arial" w:cs="Arial"/>
          <w:sz w:val="24"/>
        </w:rPr>
        <w:t>aumentos mensuales desestacionalizados de las exportaciones no petroleras de 77</w:t>
      </w:r>
      <w:r w:rsidR="001B232A">
        <w:rPr>
          <w:rFonts w:ascii="Arial" w:hAnsi="Arial" w:cs="Arial"/>
          <w:sz w:val="24"/>
        </w:rPr>
        <w:t>.1 por ciento en junio y 10.2 por ciento</w:t>
      </w:r>
      <w:r w:rsidRPr="00102371">
        <w:rPr>
          <w:rFonts w:ascii="Arial" w:hAnsi="Arial" w:cs="Arial"/>
          <w:sz w:val="24"/>
        </w:rPr>
        <w:t xml:space="preserve"> en julio,</w:t>
      </w:r>
      <w:r>
        <w:rPr>
          <w:rFonts w:ascii="Arial" w:hAnsi="Arial" w:cs="Arial"/>
          <w:sz w:val="24"/>
        </w:rPr>
        <w:t xml:space="preserve"> </w:t>
      </w:r>
      <w:r w:rsidRPr="00102371">
        <w:rPr>
          <w:rFonts w:ascii="Arial" w:hAnsi="Arial" w:cs="Arial"/>
          <w:sz w:val="24"/>
        </w:rPr>
        <w:t xml:space="preserve">beneficiadas también por la flexibilidad del tipo de cambio, así como en el </w:t>
      </w:r>
      <w:r w:rsidR="00AB7AB6">
        <w:rPr>
          <w:rFonts w:ascii="Arial" w:hAnsi="Arial" w:cs="Arial"/>
          <w:sz w:val="24"/>
        </w:rPr>
        <w:lastRenderedPageBreak/>
        <w:t xml:space="preserve">crecimiento de 26.7 por ciento </w:t>
      </w:r>
      <w:r w:rsidRPr="00102371">
        <w:rPr>
          <w:rFonts w:ascii="Arial" w:hAnsi="Arial" w:cs="Arial"/>
          <w:sz w:val="24"/>
        </w:rPr>
        <w:t>de la producción</w:t>
      </w:r>
      <w:r>
        <w:rPr>
          <w:rFonts w:ascii="Arial" w:hAnsi="Arial" w:cs="Arial"/>
          <w:sz w:val="24"/>
        </w:rPr>
        <w:t xml:space="preserve"> </w:t>
      </w:r>
      <w:r w:rsidRPr="00102371">
        <w:rPr>
          <w:rFonts w:ascii="Arial" w:hAnsi="Arial" w:cs="Arial"/>
          <w:sz w:val="24"/>
        </w:rPr>
        <w:t>manufacturera en junio. La flexibilización cuidadosa interna de las medidas de confinamiento se muestra en el</w:t>
      </w:r>
      <w:r>
        <w:rPr>
          <w:rFonts w:ascii="Arial" w:hAnsi="Arial" w:cs="Arial"/>
          <w:sz w:val="24"/>
        </w:rPr>
        <w:t xml:space="preserve"> </w:t>
      </w:r>
      <w:r w:rsidRPr="00102371">
        <w:rPr>
          <w:rFonts w:ascii="Arial" w:hAnsi="Arial" w:cs="Arial"/>
          <w:sz w:val="24"/>
        </w:rPr>
        <w:t>i</w:t>
      </w:r>
      <w:r w:rsidR="00AB7AB6">
        <w:rPr>
          <w:rFonts w:ascii="Arial" w:hAnsi="Arial" w:cs="Arial"/>
          <w:sz w:val="24"/>
        </w:rPr>
        <w:t>ncremento mensual de 17.5 por ciento</w:t>
      </w:r>
      <w:r w:rsidRPr="00102371">
        <w:rPr>
          <w:rFonts w:ascii="Arial" w:hAnsi="Arial" w:cs="Arial"/>
          <w:sz w:val="24"/>
        </w:rPr>
        <w:t xml:space="preserve"> en junio en la construcción, con cifras desestacionalizadas, y en el aumento de la</w:t>
      </w:r>
      <w:r>
        <w:rPr>
          <w:rFonts w:ascii="Arial" w:hAnsi="Arial" w:cs="Arial"/>
          <w:sz w:val="24"/>
        </w:rPr>
        <w:t xml:space="preserve"> </w:t>
      </w:r>
      <w:r w:rsidRPr="00102371">
        <w:rPr>
          <w:rFonts w:ascii="Arial" w:hAnsi="Arial" w:cs="Arial"/>
          <w:sz w:val="24"/>
        </w:rPr>
        <w:t>producció</w:t>
      </w:r>
      <w:r w:rsidR="00AB7AB6">
        <w:rPr>
          <w:rFonts w:ascii="Arial" w:hAnsi="Arial" w:cs="Arial"/>
          <w:sz w:val="24"/>
        </w:rPr>
        <w:t>n industrial en general de 17.9 por ciento</w:t>
      </w:r>
      <w:r w:rsidRPr="00102371">
        <w:rPr>
          <w:rFonts w:ascii="Arial" w:hAnsi="Arial" w:cs="Arial"/>
          <w:sz w:val="24"/>
        </w:rPr>
        <w:t>.</w:t>
      </w:r>
    </w:p>
    <w:p w14:paraId="380A70E6" w14:textId="77777777" w:rsidR="00102371" w:rsidRDefault="00102371" w:rsidP="00102371">
      <w:pPr>
        <w:spacing w:after="0" w:line="240" w:lineRule="auto"/>
        <w:jc w:val="both"/>
        <w:rPr>
          <w:rFonts w:ascii="Arial" w:hAnsi="Arial" w:cs="Arial"/>
          <w:sz w:val="24"/>
        </w:rPr>
      </w:pPr>
    </w:p>
    <w:p w14:paraId="0399EB12" w14:textId="35DAE4E0" w:rsidR="00102371" w:rsidRDefault="00102371" w:rsidP="00102371">
      <w:pPr>
        <w:spacing w:after="0" w:line="240" w:lineRule="auto"/>
        <w:jc w:val="both"/>
        <w:rPr>
          <w:rFonts w:ascii="Arial" w:hAnsi="Arial" w:cs="Arial"/>
          <w:sz w:val="24"/>
        </w:rPr>
      </w:pPr>
      <w:r>
        <w:rPr>
          <w:rFonts w:ascii="Arial" w:hAnsi="Arial" w:cs="Arial"/>
          <w:sz w:val="24"/>
        </w:rPr>
        <w:t xml:space="preserve">El gasto social y la recuperación de empleos ayudaron a que el consumo privado, las ventas al menudeo y aquellas al mayoreo tuvieran una evolución positiva en junio. También contribuyó el importante incremento de diez por ciento de las remesas en el periodo enero-julio, cifra superior a la observada en otros </w:t>
      </w:r>
      <w:r w:rsidR="00AB7AB6">
        <w:rPr>
          <w:rFonts w:ascii="Arial" w:hAnsi="Arial" w:cs="Arial"/>
          <w:sz w:val="24"/>
        </w:rPr>
        <w:t>países</w:t>
      </w:r>
      <w:r>
        <w:rPr>
          <w:rFonts w:ascii="Arial" w:hAnsi="Arial" w:cs="Arial"/>
          <w:sz w:val="24"/>
        </w:rPr>
        <w:t xml:space="preserve"> receptores. El aumento mensual de 20.1 por ciento en la inversión </w:t>
      </w:r>
      <w:r w:rsidR="00B2427D">
        <w:rPr>
          <w:rFonts w:ascii="Arial" w:hAnsi="Arial" w:cs="Arial"/>
          <w:sz w:val="24"/>
        </w:rPr>
        <w:t>fija bruta durante junio refleja</w:t>
      </w:r>
      <w:r>
        <w:rPr>
          <w:rFonts w:ascii="Arial" w:hAnsi="Arial" w:cs="Arial"/>
          <w:sz w:val="24"/>
        </w:rPr>
        <w:t xml:space="preserve"> una disminución en la incertidumbre, aparejada a la apertura cuidadosa de la economía. En general la reactivación en proceso se observa en el incremento mensual en junio de 8.9 por ciento en el Índice Global de la Actividad Económica (IGAE), lo que captura el rebote asociado a la reanudación total o parcial de las operaciones y del uso de la capacidad instalada por parte de los negocios que habían suspendido actividades.</w:t>
      </w:r>
    </w:p>
    <w:p w14:paraId="42DBB7E7" w14:textId="77777777" w:rsidR="00102371" w:rsidRDefault="00102371" w:rsidP="00102371">
      <w:pPr>
        <w:spacing w:after="0" w:line="240" w:lineRule="auto"/>
        <w:jc w:val="both"/>
        <w:rPr>
          <w:rFonts w:ascii="Arial" w:hAnsi="Arial" w:cs="Arial"/>
          <w:sz w:val="24"/>
        </w:rPr>
      </w:pPr>
    </w:p>
    <w:p w14:paraId="022AF2C3" w14:textId="2F128F95" w:rsidR="00102371" w:rsidRDefault="00102371" w:rsidP="00102371">
      <w:pPr>
        <w:spacing w:after="0" w:line="240" w:lineRule="auto"/>
        <w:jc w:val="both"/>
        <w:rPr>
          <w:rFonts w:ascii="Arial" w:hAnsi="Arial" w:cs="Arial"/>
          <w:sz w:val="24"/>
        </w:rPr>
      </w:pPr>
      <w:r>
        <w:rPr>
          <w:rFonts w:ascii="Arial" w:hAnsi="Arial" w:cs="Arial"/>
          <w:sz w:val="24"/>
        </w:rPr>
        <w:t>Al cierre de finanzas pú</w:t>
      </w:r>
      <w:r w:rsidR="004F35F3">
        <w:rPr>
          <w:rFonts w:ascii="Arial" w:hAnsi="Arial" w:cs="Arial"/>
          <w:sz w:val="24"/>
        </w:rPr>
        <w:t xml:space="preserve">blicas 2020, tomando en cuenta lo anterior, las actualizaciones de las principales variables macroeconómicas y el hecho de que aunque el ritmo de recuperación de la economía global </w:t>
      </w:r>
      <w:r w:rsidR="002D4984">
        <w:rPr>
          <w:rFonts w:ascii="Arial" w:hAnsi="Arial" w:cs="Arial"/>
          <w:sz w:val="24"/>
        </w:rPr>
        <w:t>aún</w:t>
      </w:r>
      <w:r w:rsidR="004F35F3">
        <w:rPr>
          <w:rFonts w:ascii="Arial" w:hAnsi="Arial" w:cs="Arial"/>
          <w:sz w:val="24"/>
        </w:rPr>
        <w:t xml:space="preserve"> es incierto, en general a partir de mayo se ha observado un repunte, las estimaciones de los balances y del </w:t>
      </w:r>
      <w:r w:rsidR="00205355">
        <w:rPr>
          <w:rFonts w:ascii="Arial" w:hAnsi="Arial" w:cs="Arial"/>
          <w:sz w:val="24"/>
        </w:rPr>
        <w:t>Saldo Histórico de los Requerimientos Financieros del Sector Público (</w:t>
      </w:r>
      <w:r w:rsidR="004F35F3">
        <w:rPr>
          <w:rFonts w:ascii="Arial" w:hAnsi="Arial" w:cs="Arial"/>
          <w:sz w:val="24"/>
        </w:rPr>
        <w:t>SH</w:t>
      </w:r>
      <w:r w:rsidR="002D4984">
        <w:rPr>
          <w:rFonts w:ascii="Arial" w:hAnsi="Arial" w:cs="Arial"/>
          <w:sz w:val="24"/>
        </w:rPr>
        <w:t>RFSP</w:t>
      </w:r>
      <w:r w:rsidR="00205355">
        <w:rPr>
          <w:rFonts w:ascii="Arial" w:hAnsi="Arial" w:cs="Arial"/>
          <w:sz w:val="24"/>
        </w:rPr>
        <w:t>)</w:t>
      </w:r>
      <w:r w:rsidR="002D4984">
        <w:rPr>
          <w:rFonts w:ascii="Arial" w:hAnsi="Arial" w:cs="Arial"/>
          <w:sz w:val="24"/>
        </w:rPr>
        <w:t xml:space="preserve"> para el cierre del año en curso se ajustan en sentido positivo respecto a las presentadas al termino del segundo trimestre: el balance primario pasa de un déficit de 0.6 por ciento del PIB a un superávit de 0.2 por ciento, el balance presupuestario pasa de un déficit de 3.7 por ciento del PIB a uno de 2.9 por ciento, los </w:t>
      </w:r>
      <w:r w:rsidR="00B53EE8">
        <w:rPr>
          <w:rFonts w:ascii="Arial" w:hAnsi="Arial" w:cs="Arial"/>
          <w:sz w:val="24"/>
        </w:rPr>
        <w:t>Requerimientos Financieros del Sector Público (</w:t>
      </w:r>
      <w:r w:rsidR="002D4984">
        <w:rPr>
          <w:rFonts w:ascii="Arial" w:hAnsi="Arial" w:cs="Arial"/>
          <w:sz w:val="24"/>
        </w:rPr>
        <w:t>RFSP</w:t>
      </w:r>
      <w:r w:rsidR="00B53EE8">
        <w:rPr>
          <w:rFonts w:ascii="Arial" w:hAnsi="Arial" w:cs="Arial"/>
          <w:sz w:val="24"/>
        </w:rPr>
        <w:t>)</w:t>
      </w:r>
      <w:r w:rsidR="002D4984">
        <w:rPr>
          <w:rFonts w:ascii="Arial" w:hAnsi="Arial" w:cs="Arial"/>
          <w:sz w:val="24"/>
        </w:rPr>
        <w:t xml:space="preserve"> pasan de un déficit de 5.4 por ciento a uno de 4.7 por ciento del PIB, y el SHRFSP pasa de 55.4 por ciento a 54.7 por ciento del PIB.</w:t>
      </w:r>
    </w:p>
    <w:p w14:paraId="44AFCE26" w14:textId="77777777" w:rsidR="002D4984" w:rsidRDefault="002D4984" w:rsidP="00102371">
      <w:pPr>
        <w:spacing w:after="0" w:line="240" w:lineRule="auto"/>
        <w:jc w:val="both"/>
        <w:rPr>
          <w:rFonts w:ascii="Arial" w:hAnsi="Arial" w:cs="Arial"/>
          <w:sz w:val="24"/>
        </w:rPr>
      </w:pPr>
    </w:p>
    <w:p w14:paraId="27846133" w14:textId="18A7881F" w:rsidR="002D4984" w:rsidRDefault="002D4984" w:rsidP="00102371">
      <w:pPr>
        <w:spacing w:after="0" w:line="240" w:lineRule="auto"/>
        <w:jc w:val="both"/>
        <w:rPr>
          <w:rFonts w:ascii="Arial" w:hAnsi="Arial" w:cs="Arial"/>
          <w:sz w:val="24"/>
        </w:rPr>
      </w:pPr>
      <w:r>
        <w:rPr>
          <w:rFonts w:ascii="Arial" w:hAnsi="Arial" w:cs="Arial"/>
          <w:sz w:val="24"/>
        </w:rPr>
        <w:t xml:space="preserve">En este sentido, para las proyecciones de finanzas públicas 2021 se utiliza una tasa de crecimiento del PIB de 4.6 por ciento, en línea con la recuperación económica y el comercio a nivel global, así como la perspectiva </w:t>
      </w:r>
      <w:r w:rsidR="00AB7AB6">
        <w:rPr>
          <w:rFonts w:ascii="Arial" w:hAnsi="Arial" w:cs="Arial"/>
          <w:sz w:val="24"/>
        </w:rPr>
        <w:t>más</w:t>
      </w:r>
      <w:r>
        <w:rPr>
          <w:rFonts w:ascii="Arial" w:hAnsi="Arial" w:cs="Arial"/>
          <w:sz w:val="24"/>
        </w:rPr>
        <w:t xml:space="preserve"> favorable que se ha visto en el empleo, el consumo y la inversión durante la reapertura. Dicha estimación para nuestro país, podría ajustarse si la disponibilidad de la vacuna contra el COVID-19 permite una reapertura amplia temprana en el año.</w:t>
      </w:r>
    </w:p>
    <w:p w14:paraId="1C91A065" w14:textId="77777777" w:rsidR="002D4984" w:rsidRDefault="002D4984" w:rsidP="00102371">
      <w:pPr>
        <w:spacing w:after="0" w:line="240" w:lineRule="auto"/>
        <w:jc w:val="both"/>
        <w:rPr>
          <w:rFonts w:ascii="Arial" w:hAnsi="Arial" w:cs="Arial"/>
          <w:sz w:val="24"/>
        </w:rPr>
      </w:pPr>
    </w:p>
    <w:p w14:paraId="100F71C0" w14:textId="22423499" w:rsidR="00370E53" w:rsidRDefault="00370E53" w:rsidP="00C041EB">
      <w:pPr>
        <w:spacing w:after="0" w:line="240" w:lineRule="auto"/>
        <w:jc w:val="both"/>
        <w:rPr>
          <w:rFonts w:ascii="Arial" w:hAnsi="Arial" w:cs="Arial"/>
          <w:sz w:val="24"/>
        </w:rPr>
      </w:pPr>
      <w:r w:rsidRPr="00816A39">
        <w:rPr>
          <w:rFonts w:ascii="Arial" w:hAnsi="Arial" w:cs="Arial"/>
          <w:sz w:val="24"/>
        </w:rPr>
        <w:t>De esta manera, en línea con las expectativas nacionales señaladas</w:t>
      </w:r>
      <w:r w:rsidR="00136232">
        <w:rPr>
          <w:rFonts w:ascii="Arial" w:hAnsi="Arial" w:cs="Arial"/>
          <w:sz w:val="24"/>
        </w:rPr>
        <w:t>,</w:t>
      </w:r>
      <w:r w:rsidRPr="00816A39">
        <w:rPr>
          <w:rFonts w:ascii="Arial" w:hAnsi="Arial" w:cs="Arial"/>
          <w:sz w:val="24"/>
        </w:rPr>
        <w:t xml:space="preserve"> así como las proyecc</w:t>
      </w:r>
      <w:r w:rsidR="003702C2" w:rsidRPr="00816A39">
        <w:rPr>
          <w:rFonts w:ascii="Arial" w:hAnsi="Arial" w:cs="Arial"/>
          <w:sz w:val="24"/>
        </w:rPr>
        <w:t>iones al cierre de 2020</w:t>
      </w:r>
      <w:r w:rsidRPr="00816A39">
        <w:rPr>
          <w:rFonts w:ascii="Arial" w:hAnsi="Arial" w:cs="Arial"/>
          <w:sz w:val="24"/>
        </w:rPr>
        <w:t xml:space="preserve"> contenidas en los Criterios </w:t>
      </w:r>
      <w:r w:rsidR="00880F01" w:rsidRPr="00816A39">
        <w:rPr>
          <w:rFonts w:ascii="Arial" w:hAnsi="Arial" w:cs="Arial"/>
          <w:sz w:val="24"/>
        </w:rPr>
        <w:t xml:space="preserve">Generales </w:t>
      </w:r>
      <w:r w:rsidR="003702C2" w:rsidRPr="00816A39">
        <w:rPr>
          <w:rFonts w:ascii="Arial" w:hAnsi="Arial" w:cs="Arial"/>
          <w:sz w:val="24"/>
        </w:rPr>
        <w:t xml:space="preserve">de </w:t>
      </w:r>
      <w:r w:rsidR="003702C2" w:rsidRPr="00816A39">
        <w:rPr>
          <w:rFonts w:ascii="Arial" w:hAnsi="Arial" w:cs="Arial"/>
          <w:sz w:val="24"/>
        </w:rPr>
        <w:lastRenderedPageBreak/>
        <w:t>Política Económica 2021</w:t>
      </w:r>
      <w:r w:rsidRPr="00816A39">
        <w:rPr>
          <w:rFonts w:ascii="Arial" w:hAnsi="Arial" w:cs="Arial"/>
          <w:sz w:val="24"/>
        </w:rPr>
        <w:t>, las previsiones y prospectivas contenidas en el Plan de Gran Visión 20</w:t>
      </w:r>
      <w:r w:rsidR="00880F01" w:rsidRPr="00816A39">
        <w:rPr>
          <w:rFonts w:ascii="Arial" w:hAnsi="Arial" w:cs="Arial"/>
          <w:sz w:val="24"/>
        </w:rPr>
        <w:t>40</w:t>
      </w:r>
      <w:r w:rsidRPr="00816A39">
        <w:rPr>
          <w:rFonts w:ascii="Arial" w:hAnsi="Arial" w:cs="Arial"/>
          <w:sz w:val="24"/>
        </w:rPr>
        <w:t xml:space="preserve"> y en el Plan Estatal de Desarrollo 2016-2021</w:t>
      </w:r>
      <w:r w:rsidR="00136232">
        <w:rPr>
          <w:rFonts w:ascii="Arial" w:hAnsi="Arial" w:cs="Arial"/>
          <w:sz w:val="24"/>
        </w:rPr>
        <w:t>;</w:t>
      </w:r>
      <w:r w:rsidRPr="00816A39">
        <w:rPr>
          <w:rFonts w:ascii="Arial" w:hAnsi="Arial" w:cs="Arial"/>
          <w:sz w:val="24"/>
        </w:rPr>
        <w:t xml:space="preserve"> el Proyecto de Presupuesto de Egresos que se somete a la consideración de esa Honorable Soberanía, está orientado</w:t>
      </w:r>
      <w:r w:rsidR="003702C2" w:rsidRPr="00816A39">
        <w:rPr>
          <w:rFonts w:ascii="Arial" w:hAnsi="Arial" w:cs="Arial"/>
          <w:sz w:val="24"/>
        </w:rPr>
        <w:t>,</w:t>
      </w:r>
      <w:r w:rsidR="00BA4188" w:rsidRPr="00816A39">
        <w:rPr>
          <w:rFonts w:ascii="Arial" w:hAnsi="Arial" w:cs="Arial"/>
          <w:sz w:val="24"/>
        </w:rPr>
        <w:t xml:space="preserve"> </w:t>
      </w:r>
      <w:r w:rsidR="003702C2" w:rsidRPr="00816A39">
        <w:rPr>
          <w:rFonts w:ascii="Arial" w:hAnsi="Arial" w:cs="Arial"/>
          <w:sz w:val="24"/>
        </w:rPr>
        <w:t>sin descuidar las medidas sanitarias impuestas con motivo del virus SARS-CoV-2,</w:t>
      </w:r>
      <w:r w:rsidR="005E0732">
        <w:rPr>
          <w:rFonts w:ascii="Arial" w:hAnsi="Arial" w:cs="Arial"/>
          <w:sz w:val="24"/>
        </w:rPr>
        <w:t xml:space="preserve"> </w:t>
      </w:r>
      <w:r w:rsidR="00BA4188">
        <w:rPr>
          <w:rFonts w:ascii="Arial" w:hAnsi="Arial" w:cs="Arial"/>
          <w:sz w:val="24"/>
        </w:rPr>
        <w:t>a dar respuesta a las dem</w:t>
      </w:r>
      <w:r w:rsidR="00AB7AB6">
        <w:rPr>
          <w:rFonts w:ascii="Arial" w:hAnsi="Arial" w:cs="Arial"/>
          <w:sz w:val="24"/>
        </w:rPr>
        <w:t xml:space="preserve">andas y necesidades </w:t>
      </w:r>
      <w:r w:rsidR="00BA4188">
        <w:rPr>
          <w:rFonts w:ascii="Arial" w:hAnsi="Arial" w:cs="Arial"/>
          <w:sz w:val="24"/>
        </w:rPr>
        <w:t>de la sociedad, para seguir impulsado el desarrollo integral del estado y generar las condiciones y oportunidades para lograr mejores niveles de vida y bienest</w:t>
      </w:r>
      <w:r w:rsidR="005E0732">
        <w:rPr>
          <w:rFonts w:ascii="Arial" w:hAnsi="Arial" w:cs="Arial"/>
          <w:sz w:val="24"/>
        </w:rPr>
        <w:t>ar para las familias colimenses y con ello a atender los retos que quedan por superar.</w:t>
      </w:r>
    </w:p>
    <w:p w14:paraId="3B8B8BC5" w14:textId="77777777" w:rsidR="00BA4188" w:rsidRDefault="00BA4188" w:rsidP="00C041EB">
      <w:pPr>
        <w:spacing w:after="0" w:line="240" w:lineRule="auto"/>
        <w:jc w:val="both"/>
        <w:rPr>
          <w:rFonts w:ascii="Arial" w:hAnsi="Arial" w:cs="Arial"/>
          <w:sz w:val="24"/>
        </w:rPr>
      </w:pPr>
    </w:p>
    <w:p w14:paraId="737DE72B" w14:textId="16902EFD" w:rsidR="00BA4188" w:rsidRDefault="00957F58" w:rsidP="00C041EB">
      <w:pPr>
        <w:spacing w:after="0" w:line="240" w:lineRule="auto"/>
        <w:jc w:val="both"/>
        <w:rPr>
          <w:rFonts w:ascii="Arial" w:hAnsi="Arial" w:cs="Arial"/>
          <w:sz w:val="24"/>
        </w:rPr>
      </w:pPr>
      <w:r>
        <w:rPr>
          <w:rFonts w:ascii="Arial" w:hAnsi="Arial" w:cs="Arial"/>
          <w:sz w:val="24"/>
        </w:rPr>
        <w:t>En congruencia con el Plan Estatal de Desarrollo</w:t>
      </w:r>
      <w:r w:rsidR="0033287E">
        <w:rPr>
          <w:rFonts w:ascii="Arial" w:hAnsi="Arial" w:cs="Arial"/>
          <w:sz w:val="24"/>
        </w:rPr>
        <w:t xml:space="preserve"> 2016-2021 </w:t>
      </w:r>
      <w:r w:rsidR="00D451FA">
        <w:rPr>
          <w:rFonts w:ascii="Arial" w:hAnsi="Arial" w:cs="Arial"/>
          <w:sz w:val="24"/>
        </w:rPr>
        <w:t>(PED)</w:t>
      </w:r>
      <w:r>
        <w:rPr>
          <w:rFonts w:ascii="Arial" w:hAnsi="Arial" w:cs="Arial"/>
          <w:sz w:val="24"/>
        </w:rPr>
        <w:t xml:space="preserve">, que se constituye como la carta de navegación de la gestión gubernamental, se integró el presente Proyecto de Presupuesto, mismo que se turna a esa Honorable Soberanía para su análisis, discusión y </w:t>
      </w:r>
      <w:r w:rsidR="00F84CEB">
        <w:rPr>
          <w:rFonts w:ascii="Arial" w:hAnsi="Arial" w:cs="Arial"/>
          <w:sz w:val="24"/>
        </w:rPr>
        <w:t xml:space="preserve">en su caso </w:t>
      </w:r>
      <w:r>
        <w:rPr>
          <w:rFonts w:ascii="Arial" w:hAnsi="Arial" w:cs="Arial"/>
          <w:sz w:val="24"/>
        </w:rPr>
        <w:t>aprobación.</w:t>
      </w:r>
    </w:p>
    <w:p w14:paraId="401A5E53" w14:textId="77777777" w:rsidR="00957F58" w:rsidRDefault="00957F58" w:rsidP="00C041EB">
      <w:pPr>
        <w:spacing w:after="0" w:line="240" w:lineRule="auto"/>
        <w:jc w:val="both"/>
        <w:rPr>
          <w:rFonts w:ascii="Arial" w:hAnsi="Arial" w:cs="Arial"/>
          <w:sz w:val="24"/>
        </w:rPr>
      </w:pPr>
    </w:p>
    <w:p w14:paraId="4EA159D0" w14:textId="77777777" w:rsidR="00957F58" w:rsidRDefault="00471E4B" w:rsidP="00C041EB">
      <w:pPr>
        <w:spacing w:after="0" w:line="240" w:lineRule="auto"/>
        <w:jc w:val="both"/>
        <w:rPr>
          <w:rFonts w:ascii="Arial" w:hAnsi="Arial" w:cs="Arial"/>
          <w:sz w:val="24"/>
        </w:rPr>
      </w:pPr>
      <w:r>
        <w:rPr>
          <w:rFonts w:ascii="Arial" w:hAnsi="Arial" w:cs="Arial"/>
          <w:sz w:val="24"/>
        </w:rPr>
        <w:t>Su aprobación, fortalecerá las polític</w:t>
      </w:r>
      <w:r w:rsidR="00663455">
        <w:rPr>
          <w:rFonts w:ascii="Arial" w:hAnsi="Arial" w:cs="Arial"/>
          <w:sz w:val="24"/>
        </w:rPr>
        <w:t>as públicas que serán emprendidas</w:t>
      </w:r>
      <w:r w:rsidR="00D451FA">
        <w:rPr>
          <w:rFonts w:ascii="Arial" w:hAnsi="Arial" w:cs="Arial"/>
          <w:sz w:val="24"/>
        </w:rPr>
        <w:t xml:space="preserve"> en el ejercicio fiscal 2021</w:t>
      </w:r>
      <w:r w:rsidR="00F84CEB">
        <w:rPr>
          <w:rFonts w:ascii="Arial" w:hAnsi="Arial" w:cs="Arial"/>
          <w:sz w:val="24"/>
        </w:rPr>
        <w:t>,</w:t>
      </w:r>
      <w:r>
        <w:rPr>
          <w:rFonts w:ascii="Arial" w:hAnsi="Arial" w:cs="Arial"/>
          <w:sz w:val="24"/>
        </w:rPr>
        <w:t xml:space="preserve"> para atender prioridades vinculadas con aquellas acciones que proporcionan el bienestar social, el crecimiento económico y la seguridad de la población; de igual manera, posibilitarán el seguir trabajando por una mejor calidad de vida</w:t>
      </w:r>
      <w:r w:rsidR="00D451FA">
        <w:rPr>
          <w:rFonts w:ascii="Arial" w:hAnsi="Arial" w:cs="Arial"/>
          <w:sz w:val="24"/>
        </w:rPr>
        <w:t xml:space="preserve">, la disminución de la pobreza; </w:t>
      </w:r>
      <w:r>
        <w:rPr>
          <w:rFonts w:ascii="Arial" w:hAnsi="Arial" w:cs="Arial"/>
          <w:sz w:val="24"/>
        </w:rPr>
        <w:t xml:space="preserve"> for</w:t>
      </w:r>
      <w:r w:rsidR="00D451FA">
        <w:rPr>
          <w:rFonts w:ascii="Arial" w:hAnsi="Arial" w:cs="Arial"/>
          <w:sz w:val="24"/>
        </w:rPr>
        <w:t>taleciendo acciones en materia de salud, desarrollo económico y social.</w:t>
      </w:r>
    </w:p>
    <w:p w14:paraId="1EFF5B3A" w14:textId="77777777" w:rsidR="004C5606" w:rsidRDefault="004C5606" w:rsidP="00C041EB">
      <w:pPr>
        <w:spacing w:after="0" w:line="240" w:lineRule="auto"/>
        <w:jc w:val="both"/>
        <w:rPr>
          <w:rFonts w:ascii="Arial" w:hAnsi="Arial" w:cs="Arial"/>
          <w:sz w:val="24"/>
        </w:rPr>
      </w:pPr>
    </w:p>
    <w:p w14:paraId="455B91AB" w14:textId="77777777" w:rsidR="004C5606" w:rsidRDefault="004C5606" w:rsidP="00C041EB">
      <w:pPr>
        <w:spacing w:after="0" w:line="240" w:lineRule="auto"/>
        <w:jc w:val="both"/>
        <w:rPr>
          <w:rFonts w:ascii="Arial" w:hAnsi="Arial" w:cs="Arial"/>
          <w:sz w:val="24"/>
        </w:rPr>
      </w:pPr>
      <w:r>
        <w:rPr>
          <w:rFonts w:ascii="Arial" w:hAnsi="Arial" w:cs="Arial"/>
          <w:sz w:val="24"/>
        </w:rPr>
        <w:t xml:space="preserve">Producto de lo anterior, la política presupuestaria para el próximo ejercicio fiscal será de prudencia, austeridad y de estricta racionalidad en el ejercicio del gasto público, fincado en una visión que priorice dar respuestas oportunas a las demandas </w:t>
      </w:r>
      <w:r w:rsidR="00B70249">
        <w:rPr>
          <w:rFonts w:ascii="Arial" w:hAnsi="Arial" w:cs="Arial"/>
          <w:sz w:val="24"/>
        </w:rPr>
        <w:t>de las familias colimenses, especialmen</w:t>
      </w:r>
      <w:r w:rsidR="00351217">
        <w:rPr>
          <w:rFonts w:ascii="Arial" w:hAnsi="Arial" w:cs="Arial"/>
          <w:sz w:val="24"/>
        </w:rPr>
        <w:t xml:space="preserve">te aquellas provenientes </w:t>
      </w:r>
      <w:r w:rsidR="00D451FA">
        <w:rPr>
          <w:rFonts w:ascii="Arial" w:hAnsi="Arial" w:cs="Arial"/>
          <w:sz w:val="24"/>
        </w:rPr>
        <w:t>de los sectores más afectados por la pandemia del COVID-19.</w:t>
      </w:r>
    </w:p>
    <w:p w14:paraId="64F01F8A" w14:textId="77777777" w:rsidR="00351217" w:rsidRDefault="00351217" w:rsidP="00C041EB">
      <w:pPr>
        <w:spacing w:after="0" w:line="240" w:lineRule="auto"/>
        <w:jc w:val="both"/>
        <w:rPr>
          <w:rFonts w:ascii="Arial" w:hAnsi="Arial" w:cs="Arial"/>
          <w:sz w:val="24"/>
        </w:rPr>
      </w:pPr>
    </w:p>
    <w:p w14:paraId="6AF6E9D7" w14:textId="77777777" w:rsidR="00351217" w:rsidRDefault="00351217" w:rsidP="00C041EB">
      <w:pPr>
        <w:spacing w:after="0" w:line="240" w:lineRule="auto"/>
        <w:jc w:val="both"/>
        <w:rPr>
          <w:rFonts w:ascii="Arial" w:hAnsi="Arial" w:cs="Arial"/>
          <w:sz w:val="24"/>
        </w:rPr>
      </w:pPr>
      <w:r>
        <w:rPr>
          <w:rFonts w:ascii="Arial" w:hAnsi="Arial" w:cs="Arial"/>
          <w:sz w:val="24"/>
        </w:rPr>
        <w:t>Regidos con la Visión 2021 Colima con mayor bienestar para sus habitantes, el presente Proyecto de Presupuesto que se somete a la consideración del Honorable Congreso del Estado, incorpora prioridades de desarrollo vinculadas con los ejes estratégicos del P</w:t>
      </w:r>
      <w:r w:rsidR="00D451FA">
        <w:rPr>
          <w:rFonts w:ascii="Arial" w:hAnsi="Arial" w:cs="Arial"/>
          <w:sz w:val="24"/>
        </w:rPr>
        <w:t>ED 2016-2021, así como también las nuevas necesidades derivadas de las medidas de contención de la pandemia</w:t>
      </w:r>
      <w:r>
        <w:rPr>
          <w:rFonts w:ascii="Arial" w:hAnsi="Arial" w:cs="Arial"/>
          <w:sz w:val="24"/>
        </w:rPr>
        <w:t>.</w:t>
      </w:r>
    </w:p>
    <w:p w14:paraId="1D75CED9" w14:textId="77777777" w:rsidR="00351217" w:rsidRDefault="00351217" w:rsidP="00C041EB">
      <w:pPr>
        <w:spacing w:after="0" w:line="240" w:lineRule="auto"/>
        <w:jc w:val="both"/>
        <w:rPr>
          <w:rFonts w:ascii="Arial" w:hAnsi="Arial" w:cs="Arial"/>
          <w:sz w:val="24"/>
        </w:rPr>
      </w:pPr>
    </w:p>
    <w:p w14:paraId="4B8D2A7B" w14:textId="07117FA2" w:rsidR="00594957" w:rsidRDefault="00351217" w:rsidP="00C041EB">
      <w:pPr>
        <w:spacing w:after="0" w:line="240" w:lineRule="auto"/>
        <w:jc w:val="both"/>
        <w:rPr>
          <w:rFonts w:ascii="Arial" w:hAnsi="Arial" w:cs="Arial"/>
          <w:sz w:val="24"/>
        </w:rPr>
      </w:pPr>
      <w:r w:rsidRPr="00B2427D">
        <w:rPr>
          <w:rFonts w:ascii="Arial" w:hAnsi="Arial" w:cs="Arial"/>
          <w:sz w:val="24"/>
        </w:rPr>
        <w:t>La reactivación de Colima por medio de la acción públic</w:t>
      </w:r>
      <w:r w:rsidR="008E3660" w:rsidRPr="00B2427D">
        <w:rPr>
          <w:rFonts w:ascii="Arial" w:hAnsi="Arial" w:cs="Arial"/>
          <w:sz w:val="24"/>
        </w:rPr>
        <w:t>a</w:t>
      </w:r>
      <w:r w:rsidRPr="00B2427D">
        <w:rPr>
          <w:rFonts w:ascii="Arial" w:hAnsi="Arial" w:cs="Arial"/>
          <w:sz w:val="24"/>
        </w:rPr>
        <w:t xml:space="preserve"> en la que se ha venido tra</w:t>
      </w:r>
      <w:r w:rsidR="0073550C" w:rsidRPr="00B2427D">
        <w:rPr>
          <w:rFonts w:ascii="Arial" w:hAnsi="Arial" w:cs="Arial"/>
          <w:sz w:val="24"/>
        </w:rPr>
        <w:t xml:space="preserve">bajando se fortalecerá en 2021, </w:t>
      </w:r>
      <w:r w:rsidR="002B78E7" w:rsidRPr="00B2427D">
        <w:rPr>
          <w:rFonts w:ascii="Arial" w:hAnsi="Arial" w:cs="Arial"/>
          <w:sz w:val="24"/>
        </w:rPr>
        <w:t xml:space="preserve">buscando dar atención a los sectores social y económico que se han visto deteriorados durante el 2020, </w:t>
      </w:r>
      <w:r w:rsidR="0073550C" w:rsidRPr="00B2427D">
        <w:rPr>
          <w:rFonts w:ascii="Arial" w:hAnsi="Arial" w:cs="Arial"/>
          <w:sz w:val="24"/>
        </w:rPr>
        <w:t xml:space="preserve">ello en línea con la visión </w:t>
      </w:r>
      <w:r w:rsidRPr="00B2427D">
        <w:rPr>
          <w:rFonts w:ascii="Arial" w:hAnsi="Arial" w:cs="Arial"/>
          <w:sz w:val="24"/>
        </w:rPr>
        <w:t>del PED cuyo propósito se orienta a ser el estado del país que brinde el mayor bienestar a sus habitantes, con base en la competitividad y sustentabilidad de su economía</w:t>
      </w:r>
      <w:r w:rsidR="00667C88" w:rsidRPr="00B2427D">
        <w:rPr>
          <w:rFonts w:ascii="Arial" w:hAnsi="Arial" w:cs="Arial"/>
          <w:sz w:val="24"/>
        </w:rPr>
        <w:t xml:space="preserve">, que ofrezca más empleos </w:t>
      </w:r>
      <w:r w:rsidRPr="00B2427D">
        <w:rPr>
          <w:rFonts w:ascii="Arial" w:hAnsi="Arial" w:cs="Arial"/>
          <w:sz w:val="24"/>
        </w:rPr>
        <w:t xml:space="preserve">y que funcione en un círculo virtuoso </w:t>
      </w:r>
      <w:r w:rsidRPr="00B2427D">
        <w:rPr>
          <w:rFonts w:ascii="Arial" w:hAnsi="Arial" w:cs="Arial"/>
          <w:sz w:val="24"/>
        </w:rPr>
        <w:lastRenderedPageBreak/>
        <w:t>con el desarrollo soc</w:t>
      </w:r>
      <w:r w:rsidR="007C51D9" w:rsidRPr="00B2427D">
        <w:rPr>
          <w:rFonts w:ascii="Arial" w:hAnsi="Arial" w:cs="Arial"/>
          <w:sz w:val="24"/>
        </w:rPr>
        <w:t xml:space="preserve">ial, donde sus habitantes vivan </w:t>
      </w:r>
      <w:r w:rsidRPr="00B2427D">
        <w:rPr>
          <w:rFonts w:ascii="Arial" w:hAnsi="Arial" w:cs="Arial"/>
          <w:sz w:val="24"/>
        </w:rPr>
        <w:t>dentro de un entorno igualitario, además de un estado verde y con gobierno abierto, responsable y austero.</w:t>
      </w:r>
    </w:p>
    <w:p w14:paraId="01A38DC0" w14:textId="77777777" w:rsidR="00D451FA" w:rsidRDefault="00D451FA" w:rsidP="00C041EB">
      <w:pPr>
        <w:spacing w:after="0" w:line="240" w:lineRule="auto"/>
        <w:jc w:val="both"/>
        <w:rPr>
          <w:rFonts w:ascii="Arial" w:hAnsi="Arial" w:cs="Arial"/>
          <w:sz w:val="24"/>
        </w:rPr>
      </w:pPr>
    </w:p>
    <w:p w14:paraId="7A81A2CA" w14:textId="266A8BC4" w:rsidR="00351217" w:rsidRDefault="001F1499" w:rsidP="00C041EB">
      <w:pPr>
        <w:spacing w:after="0" w:line="240" w:lineRule="auto"/>
        <w:jc w:val="both"/>
        <w:rPr>
          <w:rFonts w:ascii="Arial" w:hAnsi="Arial" w:cs="Arial"/>
          <w:sz w:val="24"/>
        </w:rPr>
      </w:pPr>
      <w:r>
        <w:rPr>
          <w:rFonts w:ascii="Arial" w:hAnsi="Arial" w:cs="Arial"/>
          <w:sz w:val="24"/>
        </w:rPr>
        <w:t>En este tenor, el proceso de p</w:t>
      </w:r>
      <w:r w:rsidR="0073550C">
        <w:rPr>
          <w:rFonts w:ascii="Arial" w:hAnsi="Arial" w:cs="Arial"/>
          <w:sz w:val="24"/>
        </w:rPr>
        <w:t>rogramación-presupuestación 2021</w:t>
      </w:r>
      <w:r>
        <w:rPr>
          <w:rFonts w:ascii="Arial" w:hAnsi="Arial" w:cs="Arial"/>
          <w:sz w:val="24"/>
        </w:rPr>
        <w:t>, se realizó en estrecha congruencia con los objetivos y metas de los Programas Sectoriales, Especiales, Regionales e Institucionales que formularon las Dependencias y Entidades</w:t>
      </w:r>
      <w:r w:rsidR="002B78E7">
        <w:rPr>
          <w:rFonts w:ascii="Arial" w:hAnsi="Arial" w:cs="Arial"/>
          <w:sz w:val="24"/>
        </w:rPr>
        <w:t>, pero también de acuerdo a las necesidades que nos exige la realidad actual</w:t>
      </w:r>
      <w:r>
        <w:rPr>
          <w:rFonts w:ascii="Arial" w:hAnsi="Arial" w:cs="Arial"/>
          <w:sz w:val="24"/>
        </w:rPr>
        <w:t xml:space="preserve">, </w:t>
      </w:r>
      <w:r w:rsidR="002B78E7">
        <w:rPr>
          <w:rFonts w:ascii="Arial" w:hAnsi="Arial" w:cs="Arial"/>
          <w:sz w:val="24"/>
        </w:rPr>
        <w:t xml:space="preserve">vistos </w:t>
      </w:r>
      <w:r>
        <w:rPr>
          <w:rFonts w:ascii="Arial" w:hAnsi="Arial" w:cs="Arial"/>
          <w:sz w:val="24"/>
        </w:rPr>
        <w:t xml:space="preserve">como mecanismos para ejecutar las acciones prioritarias que demandan los colimenses para alcanzar mejores </w:t>
      </w:r>
      <w:r w:rsidR="005A615A">
        <w:rPr>
          <w:rFonts w:ascii="Arial" w:hAnsi="Arial" w:cs="Arial"/>
          <w:sz w:val="24"/>
        </w:rPr>
        <w:t>estad</w:t>
      </w:r>
      <w:r w:rsidR="008E3660">
        <w:rPr>
          <w:rFonts w:ascii="Arial" w:hAnsi="Arial" w:cs="Arial"/>
          <w:sz w:val="24"/>
        </w:rPr>
        <w:t>os</w:t>
      </w:r>
      <w:r>
        <w:rPr>
          <w:rFonts w:ascii="Arial" w:hAnsi="Arial" w:cs="Arial"/>
          <w:sz w:val="24"/>
        </w:rPr>
        <w:t xml:space="preserve"> de desarrollo.</w:t>
      </w:r>
    </w:p>
    <w:p w14:paraId="5A4F0762" w14:textId="77777777" w:rsidR="001F1499" w:rsidRDefault="001F1499" w:rsidP="00C041EB">
      <w:pPr>
        <w:spacing w:after="0" w:line="240" w:lineRule="auto"/>
        <w:jc w:val="both"/>
        <w:rPr>
          <w:rFonts w:ascii="Arial" w:hAnsi="Arial" w:cs="Arial"/>
          <w:sz w:val="24"/>
        </w:rPr>
      </w:pPr>
    </w:p>
    <w:p w14:paraId="24DB247A" w14:textId="77777777" w:rsidR="001F1499" w:rsidRDefault="001F1499" w:rsidP="00C041EB">
      <w:pPr>
        <w:spacing w:after="0" w:line="240" w:lineRule="auto"/>
        <w:jc w:val="both"/>
        <w:rPr>
          <w:rFonts w:ascii="Arial" w:hAnsi="Arial" w:cs="Arial"/>
          <w:sz w:val="24"/>
        </w:rPr>
      </w:pPr>
      <w:r>
        <w:rPr>
          <w:rFonts w:ascii="Arial" w:hAnsi="Arial" w:cs="Arial"/>
          <w:sz w:val="24"/>
        </w:rPr>
        <w:t>En función de lo anterior, el Proyecto de Presupuesto de Egresos se encuentra alineado</w:t>
      </w:r>
      <w:r w:rsidR="00373574">
        <w:rPr>
          <w:rFonts w:ascii="Arial" w:hAnsi="Arial" w:cs="Arial"/>
          <w:sz w:val="24"/>
        </w:rPr>
        <w:t xml:space="preserve"> con el Eje Transversal del PED denominado, </w:t>
      </w:r>
      <w:r w:rsidR="00373574" w:rsidRPr="002E5441">
        <w:rPr>
          <w:rFonts w:ascii="Arial" w:hAnsi="Arial" w:cs="Arial"/>
          <w:i/>
          <w:sz w:val="24"/>
        </w:rPr>
        <w:t>Colima con un Gobierno Moderno, Efectivo y Transparente</w:t>
      </w:r>
      <w:r w:rsidR="00373574">
        <w:rPr>
          <w:rFonts w:ascii="Arial" w:hAnsi="Arial" w:cs="Arial"/>
          <w:sz w:val="24"/>
        </w:rPr>
        <w:t>, mismo que en su visión 2021, se orienta, entre otros aspectos, al fortalecimiento de las finanzas públicas que incentiven el pleno desarrollo de los sectores productivos, un Presupuesto basado en Resultados (PbR) y un sistema moderno e integral de implementación, monitoreo y evaluación de programas sociales.</w:t>
      </w:r>
    </w:p>
    <w:p w14:paraId="455A2C2A" w14:textId="77777777" w:rsidR="007C51D9" w:rsidRDefault="007C51D9" w:rsidP="00C041EB">
      <w:pPr>
        <w:spacing w:after="0" w:line="240" w:lineRule="auto"/>
        <w:jc w:val="both"/>
        <w:rPr>
          <w:rFonts w:ascii="Arial" w:hAnsi="Arial" w:cs="Arial"/>
          <w:sz w:val="24"/>
        </w:rPr>
      </w:pPr>
    </w:p>
    <w:p w14:paraId="0613290D" w14:textId="77777777" w:rsidR="00373574" w:rsidRPr="00B2427D" w:rsidRDefault="00373574" w:rsidP="00C041EB">
      <w:pPr>
        <w:spacing w:after="0" w:line="240" w:lineRule="auto"/>
        <w:jc w:val="both"/>
        <w:rPr>
          <w:rFonts w:ascii="Arial" w:hAnsi="Arial" w:cs="Arial"/>
          <w:sz w:val="24"/>
        </w:rPr>
      </w:pPr>
      <w:r>
        <w:rPr>
          <w:rFonts w:ascii="Arial" w:hAnsi="Arial" w:cs="Arial"/>
          <w:sz w:val="24"/>
        </w:rPr>
        <w:t xml:space="preserve">La </w:t>
      </w:r>
      <w:r w:rsidR="00000CE1">
        <w:rPr>
          <w:rFonts w:ascii="Arial" w:hAnsi="Arial" w:cs="Arial"/>
          <w:sz w:val="24"/>
        </w:rPr>
        <w:t xml:space="preserve">presente propuesta, </w:t>
      </w:r>
      <w:r>
        <w:rPr>
          <w:rFonts w:ascii="Arial" w:hAnsi="Arial" w:cs="Arial"/>
          <w:sz w:val="24"/>
        </w:rPr>
        <w:t>se formuló con una visión responsable</w:t>
      </w:r>
      <w:r w:rsidR="00000CE1">
        <w:rPr>
          <w:rFonts w:ascii="Arial" w:hAnsi="Arial" w:cs="Arial"/>
          <w:sz w:val="24"/>
        </w:rPr>
        <w:t>, realista</w:t>
      </w:r>
      <w:r>
        <w:rPr>
          <w:rFonts w:ascii="Arial" w:hAnsi="Arial" w:cs="Arial"/>
          <w:sz w:val="24"/>
        </w:rPr>
        <w:t xml:space="preserve"> y objetiva, </w:t>
      </w:r>
      <w:r w:rsidRPr="00B2427D">
        <w:rPr>
          <w:rFonts w:ascii="Arial" w:hAnsi="Arial" w:cs="Arial"/>
          <w:sz w:val="24"/>
        </w:rPr>
        <w:t xml:space="preserve">privilegiando la asignación del presupuesto a la prevención del delito, la seguridad pública, </w:t>
      </w:r>
      <w:r w:rsidR="00000CE1" w:rsidRPr="00B2427D">
        <w:rPr>
          <w:rFonts w:ascii="Arial" w:hAnsi="Arial" w:cs="Arial"/>
          <w:sz w:val="24"/>
        </w:rPr>
        <w:t xml:space="preserve">la salud, el </w:t>
      </w:r>
      <w:r w:rsidRPr="00B2427D">
        <w:rPr>
          <w:rFonts w:ascii="Arial" w:hAnsi="Arial" w:cs="Arial"/>
          <w:sz w:val="24"/>
        </w:rPr>
        <w:t xml:space="preserve">bienestar social, </w:t>
      </w:r>
      <w:r w:rsidR="00000CE1" w:rsidRPr="00B2427D">
        <w:rPr>
          <w:rFonts w:ascii="Arial" w:hAnsi="Arial" w:cs="Arial"/>
          <w:sz w:val="24"/>
        </w:rPr>
        <w:t xml:space="preserve">la </w:t>
      </w:r>
      <w:r w:rsidRPr="00B2427D">
        <w:rPr>
          <w:rFonts w:ascii="Arial" w:hAnsi="Arial" w:cs="Arial"/>
          <w:sz w:val="24"/>
        </w:rPr>
        <w:t xml:space="preserve">educación, </w:t>
      </w:r>
      <w:r w:rsidR="00000CE1" w:rsidRPr="00B2427D">
        <w:rPr>
          <w:rFonts w:ascii="Arial" w:hAnsi="Arial" w:cs="Arial"/>
          <w:sz w:val="24"/>
        </w:rPr>
        <w:t xml:space="preserve">el </w:t>
      </w:r>
      <w:r w:rsidRPr="00B2427D">
        <w:rPr>
          <w:rFonts w:ascii="Arial" w:hAnsi="Arial" w:cs="Arial"/>
          <w:sz w:val="24"/>
        </w:rPr>
        <w:t xml:space="preserve">desarrollo económico, apoyo a los jóvenes, </w:t>
      </w:r>
      <w:r w:rsidR="00000CE1" w:rsidRPr="00B2427D">
        <w:rPr>
          <w:rFonts w:ascii="Arial" w:hAnsi="Arial" w:cs="Arial"/>
          <w:sz w:val="24"/>
        </w:rPr>
        <w:t>atención de grupos vulnerables</w:t>
      </w:r>
      <w:r w:rsidRPr="00B2427D">
        <w:rPr>
          <w:rFonts w:ascii="Arial" w:hAnsi="Arial" w:cs="Arial"/>
          <w:sz w:val="24"/>
        </w:rPr>
        <w:t xml:space="preserve">, </w:t>
      </w:r>
      <w:r w:rsidR="00000CE1" w:rsidRPr="00B2427D">
        <w:rPr>
          <w:rFonts w:ascii="Arial" w:hAnsi="Arial" w:cs="Arial"/>
          <w:sz w:val="24"/>
        </w:rPr>
        <w:t xml:space="preserve">subsidios </w:t>
      </w:r>
      <w:r w:rsidRPr="00B2427D">
        <w:rPr>
          <w:rFonts w:ascii="Arial" w:hAnsi="Arial" w:cs="Arial"/>
          <w:sz w:val="24"/>
        </w:rPr>
        <w:t>al campo, la infraestructura social</w:t>
      </w:r>
      <w:r w:rsidR="00000CE1" w:rsidRPr="00B2427D">
        <w:rPr>
          <w:rFonts w:ascii="Arial" w:hAnsi="Arial" w:cs="Arial"/>
          <w:sz w:val="24"/>
        </w:rPr>
        <w:t xml:space="preserve"> y el impulso a la</w:t>
      </w:r>
      <w:r w:rsidRPr="00B2427D">
        <w:rPr>
          <w:rFonts w:ascii="Arial" w:hAnsi="Arial" w:cs="Arial"/>
          <w:sz w:val="24"/>
        </w:rPr>
        <w:t xml:space="preserve"> generación de empleos de calidad.</w:t>
      </w:r>
    </w:p>
    <w:p w14:paraId="281A8B33" w14:textId="77777777" w:rsidR="00373574" w:rsidRPr="00B2427D" w:rsidRDefault="00373574" w:rsidP="00C041EB">
      <w:pPr>
        <w:spacing w:after="0" w:line="240" w:lineRule="auto"/>
        <w:jc w:val="both"/>
        <w:rPr>
          <w:rFonts w:ascii="Arial" w:hAnsi="Arial" w:cs="Arial"/>
          <w:sz w:val="24"/>
        </w:rPr>
      </w:pPr>
    </w:p>
    <w:p w14:paraId="2AD3EDCD" w14:textId="001D340B" w:rsidR="00A52A13" w:rsidRDefault="00A52A13" w:rsidP="00C041EB">
      <w:pPr>
        <w:spacing w:after="0" w:line="240" w:lineRule="auto"/>
        <w:jc w:val="both"/>
        <w:rPr>
          <w:rFonts w:ascii="Arial" w:hAnsi="Arial" w:cs="Arial"/>
          <w:sz w:val="24"/>
        </w:rPr>
      </w:pPr>
      <w:r w:rsidRPr="00B2427D">
        <w:rPr>
          <w:rFonts w:ascii="Arial" w:hAnsi="Arial" w:cs="Arial"/>
          <w:sz w:val="24"/>
        </w:rPr>
        <w:t xml:space="preserve">Cabe hacer mención que, en el tema de salud, además de incluir previsiones presupuestarias para la atención de la pandemia provocada por el COVID-19, </w:t>
      </w:r>
      <w:r w:rsidR="00B41641" w:rsidRPr="00B2427D">
        <w:rPr>
          <w:rFonts w:ascii="Arial" w:hAnsi="Arial" w:cs="Arial"/>
          <w:sz w:val="24"/>
        </w:rPr>
        <w:t>también se prevén recursos para la aportación liquida estatal al Instituto de Salud para el Bienestar.</w:t>
      </w:r>
    </w:p>
    <w:p w14:paraId="1F56A03A" w14:textId="77777777" w:rsidR="00A52A13" w:rsidRDefault="00A52A13" w:rsidP="00C041EB">
      <w:pPr>
        <w:spacing w:after="0" w:line="240" w:lineRule="auto"/>
        <w:jc w:val="both"/>
        <w:rPr>
          <w:rFonts w:ascii="Arial" w:hAnsi="Arial" w:cs="Arial"/>
          <w:sz w:val="24"/>
        </w:rPr>
      </w:pPr>
    </w:p>
    <w:p w14:paraId="1D5AF534" w14:textId="209E076A" w:rsidR="002E5441" w:rsidRDefault="002E5441" w:rsidP="00C041EB">
      <w:pPr>
        <w:spacing w:after="0" w:line="240" w:lineRule="auto"/>
        <w:jc w:val="both"/>
        <w:rPr>
          <w:rFonts w:ascii="Arial" w:hAnsi="Arial" w:cs="Arial"/>
          <w:sz w:val="24"/>
        </w:rPr>
      </w:pPr>
      <w:r>
        <w:rPr>
          <w:rFonts w:ascii="Arial" w:hAnsi="Arial" w:cs="Arial"/>
          <w:sz w:val="24"/>
        </w:rPr>
        <w:t>En congruencia con lo previsto en el artículo 73, fracción XXVIII de la Constitución Política de los Estados Unidos Mexicanos, así como en los artículos 6 y 7 de la Ley General de Contabilidad Gubernamental, que señalan la obligatoriedad de que los entes públicos adopten e implementen, en el ámbito de sus respe</w:t>
      </w:r>
      <w:r w:rsidR="00A732A5">
        <w:rPr>
          <w:rFonts w:ascii="Arial" w:hAnsi="Arial" w:cs="Arial"/>
          <w:sz w:val="24"/>
        </w:rPr>
        <w:t>c</w:t>
      </w:r>
      <w:r>
        <w:rPr>
          <w:rFonts w:ascii="Arial" w:hAnsi="Arial" w:cs="Arial"/>
          <w:sz w:val="24"/>
        </w:rPr>
        <w:t>tivas competencias, las decisiones que tome el Consejo Nacional de Armonización Contable (CONAC), órgano de coordinación en la materia, emisor de normas y lineamientos para la generación de información financiera</w:t>
      </w:r>
      <w:r w:rsidR="001A5598">
        <w:rPr>
          <w:rFonts w:ascii="Arial" w:hAnsi="Arial" w:cs="Arial"/>
          <w:sz w:val="24"/>
        </w:rPr>
        <w:t>.</w:t>
      </w:r>
      <w:r w:rsidR="006122BD">
        <w:rPr>
          <w:rFonts w:ascii="Arial" w:hAnsi="Arial" w:cs="Arial"/>
          <w:sz w:val="24"/>
        </w:rPr>
        <w:t xml:space="preserve"> </w:t>
      </w:r>
      <w:r w:rsidR="001A5598">
        <w:rPr>
          <w:rFonts w:ascii="Arial" w:hAnsi="Arial" w:cs="Arial"/>
          <w:sz w:val="24"/>
        </w:rPr>
        <w:t>E</w:t>
      </w:r>
      <w:r>
        <w:rPr>
          <w:rFonts w:ascii="Arial" w:hAnsi="Arial" w:cs="Arial"/>
          <w:sz w:val="24"/>
        </w:rPr>
        <w:t>l G</w:t>
      </w:r>
      <w:r w:rsidR="00BC36DF">
        <w:rPr>
          <w:rFonts w:ascii="Arial" w:hAnsi="Arial" w:cs="Arial"/>
          <w:sz w:val="24"/>
        </w:rPr>
        <w:t xml:space="preserve">obierno del Estado de Colima </w:t>
      </w:r>
      <w:r>
        <w:rPr>
          <w:rFonts w:ascii="Arial" w:hAnsi="Arial" w:cs="Arial"/>
          <w:sz w:val="24"/>
        </w:rPr>
        <w:t>continua</w:t>
      </w:r>
      <w:r w:rsidR="00FE0501">
        <w:rPr>
          <w:rFonts w:ascii="Arial" w:hAnsi="Arial" w:cs="Arial"/>
          <w:sz w:val="24"/>
        </w:rPr>
        <w:t>rá</w:t>
      </w:r>
      <w:r>
        <w:rPr>
          <w:rFonts w:ascii="Arial" w:hAnsi="Arial" w:cs="Arial"/>
          <w:sz w:val="24"/>
        </w:rPr>
        <w:t xml:space="preserve"> impulsando las acciones necesarias para seguir modificando, adaptando y consolidando el sistema </w:t>
      </w:r>
      <w:r>
        <w:rPr>
          <w:rFonts w:ascii="Arial" w:hAnsi="Arial" w:cs="Arial"/>
          <w:sz w:val="24"/>
        </w:rPr>
        <w:lastRenderedPageBreak/>
        <w:t>presupuestario, acorde con los clasificadores y lineamientos que emite dicho Consejo.</w:t>
      </w:r>
    </w:p>
    <w:p w14:paraId="457D7EEB" w14:textId="77777777" w:rsidR="00373574" w:rsidRDefault="00373574" w:rsidP="00C041EB">
      <w:pPr>
        <w:spacing w:after="0" w:line="240" w:lineRule="auto"/>
        <w:jc w:val="both"/>
        <w:rPr>
          <w:rFonts w:ascii="Arial" w:hAnsi="Arial" w:cs="Arial"/>
          <w:sz w:val="24"/>
        </w:rPr>
      </w:pPr>
    </w:p>
    <w:p w14:paraId="7A7ACB98" w14:textId="5EDECE1B" w:rsidR="00392D00" w:rsidRDefault="004C1DD7" w:rsidP="00C041EB">
      <w:pPr>
        <w:spacing w:after="0" w:line="240" w:lineRule="auto"/>
        <w:jc w:val="both"/>
        <w:rPr>
          <w:rFonts w:ascii="Arial" w:hAnsi="Arial" w:cs="Arial"/>
          <w:sz w:val="24"/>
        </w:rPr>
      </w:pPr>
      <w:r>
        <w:rPr>
          <w:rFonts w:ascii="Arial" w:hAnsi="Arial" w:cs="Arial"/>
          <w:sz w:val="24"/>
        </w:rPr>
        <w:t>En el presente Proyecto</w:t>
      </w:r>
      <w:r w:rsidR="004B3CF6">
        <w:rPr>
          <w:rFonts w:ascii="Arial" w:hAnsi="Arial" w:cs="Arial"/>
          <w:sz w:val="24"/>
        </w:rPr>
        <w:t xml:space="preserve"> se retoman los postulados es</w:t>
      </w:r>
      <w:r w:rsidR="00713A0B">
        <w:rPr>
          <w:rFonts w:ascii="Arial" w:hAnsi="Arial" w:cs="Arial"/>
          <w:sz w:val="24"/>
        </w:rPr>
        <w:t>tablecidos en la Ley de Disciplina Financiera de las Entidades Federativas</w:t>
      </w:r>
      <w:r w:rsidR="00BB7F7B">
        <w:rPr>
          <w:rFonts w:ascii="Arial" w:hAnsi="Arial" w:cs="Arial"/>
          <w:sz w:val="24"/>
        </w:rPr>
        <w:t xml:space="preserve"> y los Municipios</w:t>
      </w:r>
      <w:r w:rsidR="00713A0B">
        <w:rPr>
          <w:rFonts w:ascii="Arial" w:hAnsi="Arial" w:cs="Arial"/>
          <w:sz w:val="24"/>
        </w:rPr>
        <w:t xml:space="preserve"> y los previstos en la Ley de Presupuesto y Responsabilidad Hacendaria, dichas l</w:t>
      </w:r>
      <w:r w:rsidR="00AD079B">
        <w:rPr>
          <w:rFonts w:ascii="Arial" w:hAnsi="Arial" w:cs="Arial"/>
          <w:sz w:val="24"/>
        </w:rPr>
        <w:t>eyes se encuentran armonizadas, desde el año 2017.</w:t>
      </w:r>
    </w:p>
    <w:p w14:paraId="53E17855" w14:textId="77777777" w:rsidR="00351BA5" w:rsidRDefault="00351BA5" w:rsidP="00C041EB">
      <w:pPr>
        <w:spacing w:after="0" w:line="240" w:lineRule="auto"/>
        <w:jc w:val="both"/>
        <w:rPr>
          <w:rFonts w:ascii="Arial" w:hAnsi="Arial" w:cs="Arial"/>
          <w:sz w:val="24"/>
        </w:rPr>
      </w:pPr>
    </w:p>
    <w:p w14:paraId="0BD2474C" w14:textId="77777777" w:rsidR="00351BA5" w:rsidRDefault="00BB0A2C" w:rsidP="00C041EB">
      <w:pPr>
        <w:spacing w:after="0" w:line="240" w:lineRule="auto"/>
        <w:jc w:val="both"/>
        <w:rPr>
          <w:rFonts w:ascii="Arial" w:hAnsi="Arial" w:cs="Arial"/>
          <w:sz w:val="24"/>
        </w:rPr>
      </w:pPr>
      <w:r>
        <w:rPr>
          <w:rFonts w:ascii="Arial" w:hAnsi="Arial" w:cs="Arial"/>
          <w:sz w:val="24"/>
        </w:rPr>
        <w:t>Aunado a lo anterior, la</w:t>
      </w:r>
      <w:r w:rsidR="009A6E9E">
        <w:rPr>
          <w:rFonts w:ascii="Arial" w:hAnsi="Arial" w:cs="Arial"/>
          <w:sz w:val="24"/>
        </w:rPr>
        <w:t xml:space="preserve"> presente</w:t>
      </w:r>
      <w:r>
        <w:rPr>
          <w:rFonts w:ascii="Arial" w:hAnsi="Arial" w:cs="Arial"/>
          <w:sz w:val="24"/>
        </w:rPr>
        <w:t xml:space="preserve"> I</w:t>
      </w:r>
      <w:r w:rsidR="00351BA5">
        <w:rPr>
          <w:rFonts w:ascii="Arial" w:hAnsi="Arial" w:cs="Arial"/>
          <w:sz w:val="24"/>
        </w:rPr>
        <w:t xml:space="preserve">niciativa, es congruente con lo previsto en el artículo 107 de la Constitución Política del Estado Libre y Soberano de Colima, el cual prevé que </w:t>
      </w:r>
      <w:r w:rsidR="00351BA5" w:rsidRPr="00720EA8">
        <w:rPr>
          <w:rFonts w:ascii="Arial" w:hAnsi="Arial" w:cs="Arial"/>
          <w:sz w:val="24"/>
        </w:rPr>
        <w:t xml:space="preserve">las finanzas públicas del Estado estarán apegadas a un criterio de racionalidad y de disciplina fiscal, de manera que </w:t>
      </w:r>
      <w:r w:rsidR="00663455" w:rsidRPr="00720EA8">
        <w:rPr>
          <w:rFonts w:ascii="Arial" w:hAnsi="Arial" w:cs="Arial"/>
          <w:sz w:val="24"/>
        </w:rPr>
        <w:t xml:space="preserve">cada </w:t>
      </w:r>
      <w:r w:rsidR="00351BA5" w:rsidRPr="00720EA8">
        <w:rPr>
          <w:rFonts w:ascii="Arial" w:hAnsi="Arial" w:cs="Arial"/>
          <w:sz w:val="24"/>
        </w:rPr>
        <w:t xml:space="preserve">año el nivel de gasto que se establezca en el Presupuesto de Egresos sea igual o inferior a los ingresos previstos para el </w:t>
      </w:r>
      <w:r w:rsidR="00DB69CD" w:rsidRPr="00720EA8">
        <w:rPr>
          <w:rFonts w:ascii="Arial" w:hAnsi="Arial" w:cs="Arial"/>
          <w:sz w:val="24"/>
        </w:rPr>
        <w:t>mismo ejercicio fiscal. Asimismo, se encuentra en línea con lo establecido en el artículo 108 del mismo ordenamiento</w:t>
      </w:r>
      <w:r w:rsidR="00DB69CD">
        <w:rPr>
          <w:rFonts w:ascii="Arial" w:hAnsi="Arial" w:cs="Arial"/>
          <w:sz w:val="24"/>
        </w:rPr>
        <w:t xml:space="preserve"> en el cual se prevé que: </w:t>
      </w:r>
    </w:p>
    <w:p w14:paraId="1D05F019" w14:textId="77777777" w:rsidR="00DB69CD" w:rsidRPr="00A94320" w:rsidRDefault="00DB69CD" w:rsidP="00C041EB">
      <w:pPr>
        <w:spacing w:after="0" w:line="240" w:lineRule="auto"/>
        <w:jc w:val="both"/>
        <w:rPr>
          <w:rFonts w:ascii="Arial" w:hAnsi="Arial" w:cs="Arial"/>
          <w:sz w:val="28"/>
        </w:rPr>
      </w:pPr>
    </w:p>
    <w:p w14:paraId="07D8BF7C" w14:textId="77777777" w:rsidR="00DB69CD" w:rsidRPr="00A94320" w:rsidRDefault="00DB69CD" w:rsidP="00FE0501">
      <w:pPr>
        <w:spacing w:after="0" w:line="240" w:lineRule="auto"/>
        <w:ind w:left="567"/>
        <w:jc w:val="both"/>
        <w:rPr>
          <w:rFonts w:ascii="Arial" w:hAnsi="Arial" w:cs="Arial"/>
          <w:i/>
          <w:iCs/>
          <w:sz w:val="24"/>
        </w:rPr>
      </w:pPr>
      <w:r w:rsidRPr="00A94320">
        <w:rPr>
          <w:rFonts w:ascii="Arial" w:hAnsi="Arial" w:cs="Arial"/>
          <w:i/>
          <w:iCs/>
          <w:sz w:val="24"/>
        </w:rPr>
        <w:t>“Los recursos y fondos públicos que administren, custodien o ejerzan los poderes del Estado, los municipios, los órganos autónomos previstos por esta Constitución, los organismos descentralizados contemplados en las leyes, empresas de participación pública, fideicomisos públicos del Estado y municipios, así como a cargo de cualquier persona física o moral, pública o privada, se manejarán con eficiencia, eficacia, economía, transparencia y honradez, para satisfacer los objetivos a los que están destinados.</w:t>
      </w:r>
    </w:p>
    <w:p w14:paraId="2136A7B4" w14:textId="77777777" w:rsidR="00DB69CD" w:rsidRPr="00A94320" w:rsidRDefault="00DB69CD" w:rsidP="00FE0501">
      <w:pPr>
        <w:spacing w:after="0" w:line="240" w:lineRule="auto"/>
        <w:ind w:left="567"/>
        <w:jc w:val="both"/>
        <w:rPr>
          <w:rFonts w:ascii="Arial" w:hAnsi="Arial" w:cs="Arial"/>
          <w:sz w:val="24"/>
        </w:rPr>
      </w:pPr>
    </w:p>
    <w:p w14:paraId="48CC6BF2" w14:textId="77777777" w:rsidR="00DB69CD" w:rsidRPr="00A94320" w:rsidRDefault="00DB69CD" w:rsidP="00FE0501">
      <w:pPr>
        <w:spacing w:after="0" w:line="240" w:lineRule="auto"/>
        <w:ind w:left="567"/>
        <w:jc w:val="both"/>
        <w:rPr>
          <w:rFonts w:ascii="Arial" w:hAnsi="Arial" w:cs="Arial"/>
          <w:i/>
          <w:iCs/>
          <w:sz w:val="24"/>
        </w:rPr>
      </w:pPr>
      <w:r w:rsidRPr="00A94320">
        <w:rPr>
          <w:rFonts w:ascii="Arial" w:hAnsi="Arial" w:cs="Arial"/>
          <w:i/>
          <w:iCs/>
          <w:sz w:val="24"/>
        </w:rPr>
        <w:t>El ejercicio de dichos recursos será</w:t>
      </w:r>
      <w:r w:rsidR="000F679E" w:rsidRPr="00A94320">
        <w:rPr>
          <w:rFonts w:ascii="Arial" w:hAnsi="Arial" w:cs="Arial"/>
          <w:i/>
          <w:iCs/>
          <w:sz w:val="24"/>
        </w:rPr>
        <w:t xml:space="preserve"> objeto de evaluación, control y fiscalización por parte del Órgano Superior de Auditoría y Fiscalización Gubernamental del Estado previsto por esta Constitución, con el propósito de que los recursos que se asignen en los respectivos presupuestos, se administren y ejerzan en los términos del párrafo anterior”.</w:t>
      </w:r>
    </w:p>
    <w:p w14:paraId="65560EA9" w14:textId="77777777" w:rsidR="000F679E" w:rsidRDefault="000F679E" w:rsidP="00C041EB">
      <w:pPr>
        <w:spacing w:after="0" w:line="240" w:lineRule="auto"/>
        <w:jc w:val="both"/>
        <w:rPr>
          <w:rFonts w:ascii="Arial" w:hAnsi="Arial" w:cs="Arial"/>
          <w:sz w:val="24"/>
        </w:rPr>
      </w:pPr>
    </w:p>
    <w:p w14:paraId="317D4AE1" w14:textId="0EA05AB3" w:rsidR="00E2351C" w:rsidRDefault="008905B5" w:rsidP="00C041EB">
      <w:pPr>
        <w:spacing w:after="0" w:line="240" w:lineRule="auto"/>
        <w:jc w:val="both"/>
        <w:rPr>
          <w:rFonts w:ascii="Arial" w:hAnsi="Arial" w:cs="Arial"/>
          <w:sz w:val="24"/>
        </w:rPr>
      </w:pPr>
      <w:r>
        <w:rPr>
          <w:rFonts w:ascii="Arial" w:hAnsi="Arial" w:cs="Arial"/>
          <w:sz w:val="24"/>
        </w:rPr>
        <w:t>En este sentido, dentro</w:t>
      </w:r>
      <w:r w:rsidR="002850BA">
        <w:rPr>
          <w:rFonts w:ascii="Arial" w:hAnsi="Arial" w:cs="Arial"/>
          <w:sz w:val="24"/>
        </w:rPr>
        <w:t xml:space="preserve"> del P</w:t>
      </w:r>
      <w:r>
        <w:rPr>
          <w:rFonts w:ascii="Arial" w:hAnsi="Arial" w:cs="Arial"/>
          <w:sz w:val="24"/>
        </w:rPr>
        <w:t>ED</w:t>
      </w:r>
      <w:r w:rsidR="002850BA">
        <w:rPr>
          <w:rFonts w:ascii="Arial" w:hAnsi="Arial" w:cs="Arial"/>
          <w:sz w:val="24"/>
        </w:rPr>
        <w:t xml:space="preserve"> </w:t>
      </w:r>
      <w:r>
        <w:rPr>
          <w:rFonts w:ascii="Arial" w:hAnsi="Arial" w:cs="Arial"/>
          <w:sz w:val="24"/>
        </w:rPr>
        <w:t>se estableció el Eje III. denominado Colima Seguro</w:t>
      </w:r>
      <w:r w:rsidR="00DA200C">
        <w:rPr>
          <w:rFonts w:ascii="Arial" w:hAnsi="Arial" w:cs="Arial"/>
          <w:sz w:val="24"/>
        </w:rPr>
        <w:t xml:space="preserve">, </w:t>
      </w:r>
      <w:r w:rsidR="00BC6F49">
        <w:rPr>
          <w:rFonts w:ascii="Arial" w:hAnsi="Arial" w:cs="Arial"/>
          <w:sz w:val="24"/>
        </w:rPr>
        <w:t>se establecieron las estrategias y líneas a seguir en materia de seguridad pública, así como también de procur</w:t>
      </w:r>
      <w:r w:rsidR="002850BA">
        <w:rPr>
          <w:rFonts w:ascii="Arial" w:hAnsi="Arial" w:cs="Arial"/>
          <w:sz w:val="24"/>
        </w:rPr>
        <w:t>ación e impartición de justicia</w:t>
      </w:r>
      <w:r w:rsidR="00BC6F49">
        <w:rPr>
          <w:rFonts w:ascii="Arial" w:hAnsi="Arial" w:cs="Arial"/>
          <w:sz w:val="24"/>
        </w:rPr>
        <w:t xml:space="preserve"> la creación de la Fiscalía General del Estado, el establecimiento del Sistema Anticorrupción del Estado de Colima así como</w:t>
      </w:r>
      <w:r w:rsidR="002850BA">
        <w:rPr>
          <w:rFonts w:ascii="Arial" w:hAnsi="Arial" w:cs="Arial"/>
          <w:sz w:val="24"/>
        </w:rPr>
        <w:t xml:space="preserve"> los esfuerzos encaminados a la puesta en marcha </w:t>
      </w:r>
      <w:r w:rsidR="00BC6F49">
        <w:rPr>
          <w:rFonts w:ascii="Arial" w:hAnsi="Arial" w:cs="Arial"/>
          <w:sz w:val="24"/>
        </w:rPr>
        <w:t>del C5i marcan los resultados más palpables de este Eje, el cual se continuará fortaleciendo</w:t>
      </w:r>
      <w:r w:rsidR="00D82BBA">
        <w:rPr>
          <w:rFonts w:ascii="Arial" w:hAnsi="Arial" w:cs="Arial"/>
          <w:sz w:val="24"/>
        </w:rPr>
        <w:t xml:space="preserve"> y consolidando como se ha venido trabajando desde el inicio de la presente administración. Se </w:t>
      </w:r>
      <w:r w:rsidR="00E96E7B">
        <w:rPr>
          <w:rFonts w:ascii="Arial" w:hAnsi="Arial" w:cs="Arial"/>
          <w:sz w:val="24"/>
        </w:rPr>
        <w:t>permanecerá</w:t>
      </w:r>
      <w:r w:rsidR="00D82BBA">
        <w:rPr>
          <w:rFonts w:ascii="Arial" w:hAnsi="Arial" w:cs="Arial"/>
          <w:sz w:val="24"/>
        </w:rPr>
        <w:t xml:space="preserve"> atacando la </w:t>
      </w:r>
      <w:r w:rsidR="00D82BBA">
        <w:rPr>
          <w:rFonts w:ascii="Arial" w:hAnsi="Arial" w:cs="Arial"/>
          <w:sz w:val="24"/>
        </w:rPr>
        <w:lastRenderedPageBreak/>
        <w:t xml:space="preserve">problemática de la seguridad pública </w:t>
      </w:r>
      <w:r w:rsidR="00E96E7B">
        <w:rPr>
          <w:rFonts w:ascii="Arial" w:hAnsi="Arial" w:cs="Arial"/>
          <w:sz w:val="24"/>
        </w:rPr>
        <w:t xml:space="preserve">entendida </w:t>
      </w:r>
      <w:r w:rsidR="00D82BBA">
        <w:rPr>
          <w:rFonts w:ascii="Arial" w:hAnsi="Arial" w:cs="Arial"/>
          <w:sz w:val="24"/>
        </w:rPr>
        <w:t>como un asunto estructural, consciente</w:t>
      </w:r>
      <w:r w:rsidR="00E426F4">
        <w:rPr>
          <w:rFonts w:ascii="Arial" w:hAnsi="Arial" w:cs="Arial"/>
          <w:sz w:val="24"/>
        </w:rPr>
        <w:t>s</w:t>
      </w:r>
      <w:r w:rsidR="00D82BBA">
        <w:rPr>
          <w:rFonts w:ascii="Arial" w:hAnsi="Arial" w:cs="Arial"/>
          <w:sz w:val="24"/>
        </w:rPr>
        <w:t xml:space="preserve"> que representa una situación de origen multifactorial.</w:t>
      </w:r>
    </w:p>
    <w:p w14:paraId="2EAE5947" w14:textId="77777777" w:rsidR="00AD7C21" w:rsidRDefault="00AD7C21" w:rsidP="00C041EB">
      <w:pPr>
        <w:spacing w:after="0" w:line="240" w:lineRule="auto"/>
        <w:jc w:val="both"/>
        <w:rPr>
          <w:rFonts w:ascii="Arial" w:hAnsi="Arial" w:cs="Arial"/>
          <w:sz w:val="24"/>
        </w:rPr>
      </w:pPr>
    </w:p>
    <w:p w14:paraId="71A3D3D4" w14:textId="5804ED27" w:rsidR="00AD7C21" w:rsidRDefault="00AD7C21" w:rsidP="00C041EB">
      <w:pPr>
        <w:spacing w:after="0" w:line="240" w:lineRule="auto"/>
        <w:jc w:val="both"/>
        <w:rPr>
          <w:rFonts w:ascii="Arial" w:hAnsi="Arial" w:cs="Arial"/>
          <w:sz w:val="24"/>
        </w:rPr>
      </w:pPr>
      <w:r>
        <w:rPr>
          <w:rFonts w:ascii="Arial" w:hAnsi="Arial" w:cs="Arial"/>
          <w:sz w:val="24"/>
        </w:rPr>
        <w:t xml:space="preserve">En el marco de la reforma constitucional en materia de </w:t>
      </w:r>
      <w:r w:rsidR="00B666B9">
        <w:rPr>
          <w:rFonts w:ascii="Arial" w:hAnsi="Arial" w:cs="Arial"/>
          <w:sz w:val="24"/>
        </w:rPr>
        <w:t xml:space="preserve">combate a la corrupción se cuenta con un Sistema Anticorrupción, al cual se le asignan recursos y funge </w:t>
      </w:r>
      <w:r>
        <w:rPr>
          <w:rFonts w:ascii="Arial" w:hAnsi="Arial" w:cs="Arial"/>
          <w:sz w:val="24"/>
        </w:rPr>
        <w:t>como la instancia de coordinación entre las autoridades de todos los órdenes de gobierno competentes en la prevención, detección y sanción de responsabilidades administrativas y hechos de corrupción, así como en la fiscalización y control de recursos públicos.</w:t>
      </w:r>
    </w:p>
    <w:p w14:paraId="35026075" w14:textId="77777777" w:rsidR="00594957" w:rsidRDefault="00594957" w:rsidP="00C041EB">
      <w:pPr>
        <w:spacing w:after="0" w:line="240" w:lineRule="auto"/>
        <w:jc w:val="both"/>
        <w:rPr>
          <w:rFonts w:ascii="Arial" w:hAnsi="Arial" w:cs="Arial"/>
          <w:sz w:val="24"/>
        </w:rPr>
      </w:pPr>
    </w:p>
    <w:p w14:paraId="373B2678" w14:textId="77777777" w:rsidR="00AD7C21" w:rsidRDefault="00AD7C21" w:rsidP="00C041EB">
      <w:pPr>
        <w:spacing w:after="0" w:line="240" w:lineRule="auto"/>
        <w:jc w:val="both"/>
        <w:rPr>
          <w:rFonts w:ascii="Arial" w:hAnsi="Arial" w:cs="Arial"/>
          <w:sz w:val="24"/>
        </w:rPr>
      </w:pPr>
      <w:r>
        <w:rPr>
          <w:rFonts w:ascii="Arial" w:hAnsi="Arial" w:cs="Arial"/>
          <w:sz w:val="24"/>
        </w:rPr>
        <w:t>Dicho sistema integra a las instancias administrativas y jurisdiccionales encargadas de la identificación, prevención, supervisión, investigación y sanción de hechos, no solo del servidor público o particular que realicen hechos conocidos o identificados como de corrupción en contra de la administración pública, sino también en aquellos casos en que su función, cargo o comisión las realice en contra de los principios de legalidad, honradez, lealtad, imparcialidad y eficiencia.</w:t>
      </w:r>
    </w:p>
    <w:p w14:paraId="733FABBF" w14:textId="77777777" w:rsidR="00AD7C21" w:rsidRDefault="00AD7C21" w:rsidP="00C041EB">
      <w:pPr>
        <w:spacing w:after="0" w:line="240" w:lineRule="auto"/>
        <w:jc w:val="both"/>
        <w:rPr>
          <w:rFonts w:ascii="Arial" w:hAnsi="Arial" w:cs="Arial"/>
          <w:sz w:val="24"/>
        </w:rPr>
      </w:pPr>
    </w:p>
    <w:p w14:paraId="6CACBCA3" w14:textId="2B40396E" w:rsidR="005646E0" w:rsidRDefault="00951EC0" w:rsidP="00C041EB">
      <w:pPr>
        <w:spacing w:after="0" w:line="240" w:lineRule="auto"/>
        <w:jc w:val="both"/>
        <w:rPr>
          <w:rFonts w:ascii="Arial" w:hAnsi="Arial" w:cs="Arial"/>
          <w:sz w:val="24"/>
        </w:rPr>
      </w:pPr>
      <w:r>
        <w:rPr>
          <w:rFonts w:ascii="Arial" w:hAnsi="Arial" w:cs="Arial"/>
          <w:sz w:val="24"/>
        </w:rPr>
        <w:t>Por otra parte, con el propósito de continuar trabajando en la prevención social de la violencia y el delito, erradicar las causas que generan la violencia, en el fortalecimiento institucional y operativo de las corporaciones de seguridad, vía el uso intenso de los sistemas de inteligencia, y coordinación ef</w:t>
      </w:r>
      <w:r w:rsidR="005646E0">
        <w:rPr>
          <w:rFonts w:ascii="Arial" w:hAnsi="Arial" w:cs="Arial"/>
          <w:sz w:val="24"/>
        </w:rPr>
        <w:t xml:space="preserve">ectiva entre los tres órdenes de gobierno, se </w:t>
      </w:r>
      <w:r w:rsidR="00915F12">
        <w:rPr>
          <w:rFonts w:ascii="Arial" w:hAnsi="Arial" w:cs="Arial"/>
          <w:sz w:val="24"/>
        </w:rPr>
        <w:t>espera</w:t>
      </w:r>
      <w:r w:rsidR="001B1DDA">
        <w:rPr>
          <w:rFonts w:ascii="Arial" w:hAnsi="Arial" w:cs="Arial"/>
          <w:sz w:val="24"/>
        </w:rPr>
        <w:t xml:space="preserve"> para el ejercicio fiscal 2021, </w:t>
      </w:r>
      <w:r w:rsidR="00DC6C2B">
        <w:rPr>
          <w:rFonts w:ascii="Arial" w:hAnsi="Arial" w:cs="Arial"/>
          <w:sz w:val="24"/>
        </w:rPr>
        <w:t xml:space="preserve">el inicio de operaciones </w:t>
      </w:r>
      <w:r w:rsidR="00743841">
        <w:rPr>
          <w:rFonts w:ascii="Arial" w:hAnsi="Arial" w:cs="Arial"/>
          <w:sz w:val="24"/>
        </w:rPr>
        <w:t>del Centro de Coordinación</w:t>
      </w:r>
      <w:r w:rsidR="005646E0">
        <w:rPr>
          <w:rFonts w:ascii="Arial" w:hAnsi="Arial" w:cs="Arial"/>
          <w:sz w:val="24"/>
        </w:rPr>
        <w:t xml:space="preserve">, Comando, </w:t>
      </w:r>
      <w:r w:rsidR="00743841">
        <w:rPr>
          <w:rFonts w:ascii="Arial" w:hAnsi="Arial" w:cs="Arial"/>
          <w:sz w:val="24"/>
        </w:rPr>
        <w:t>Control</w:t>
      </w:r>
      <w:r w:rsidR="005646E0">
        <w:rPr>
          <w:rFonts w:ascii="Arial" w:hAnsi="Arial" w:cs="Arial"/>
          <w:sz w:val="24"/>
        </w:rPr>
        <w:t>, C</w:t>
      </w:r>
      <w:r w:rsidR="00743841">
        <w:rPr>
          <w:rFonts w:ascii="Arial" w:hAnsi="Arial" w:cs="Arial"/>
          <w:sz w:val="24"/>
        </w:rPr>
        <w:t>omunicaciones, Cómputo e Inteligencia del Estado de Colima (</w:t>
      </w:r>
      <w:r w:rsidR="005646E0">
        <w:rPr>
          <w:rFonts w:ascii="Arial" w:hAnsi="Arial" w:cs="Arial"/>
          <w:sz w:val="24"/>
        </w:rPr>
        <w:t>C5i).</w:t>
      </w:r>
      <w:r w:rsidR="002A505B">
        <w:rPr>
          <w:rFonts w:ascii="Arial" w:hAnsi="Arial" w:cs="Arial"/>
          <w:sz w:val="24"/>
        </w:rPr>
        <w:t xml:space="preserve"> </w:t>
      </w:r>
      <w:r w:rsidR="005646E0">
        <w:rPr>
          <w:rFonts w:ascii="Arial" w:hAnsi="Arial" w:cs="Arial"/>
          <w:sz w:val="24"/>
        </w:rPr>
        <w:t>Mediante dicho esfuerzo</w:t>
      </w:r>
      <w:r w:rsidR="00DC6C2B">
        <w:rPr>
          <w:rFonts w:ascii="Arial" w:hAnsi="Arial" w:cs="Arial"/>
          <w:sz w:val="24"/>
        </w:rPr>
        <w:t xml:space="preserve"> se </w:t>
      </w:r>
      <w:r w:rsidR="005646E0">
        <w:rPr>
          <w:rFonts w:ascii="Arial" w:hAnsi="Arial" w:cs="Arial"/>
          <w:sz w:val="24"/>
        </w:rPr>
        <w:t>dispondrá de tecnología de punta para otorgar servicios oportunos de seguridad pública y de ate</w:t>
      </w:r>
      <w:r w:rsidR="00B666B9">
        <w:rPr>
          <w:rFonts w:ascii="Arial" w:hAnsi="Arial" w:cs="Arial"/>
          <w:sz w:val="24"/>
        </w:rPr>
        <w:t xml:space="preserve">nción de emergencias, en beneficio de todos los colimenses. </w:t>
      </w:r>
    </w:p>
    <w:p w14:paraId="39CDBBF7" w14:textId="77777777" w:rsidR="005646E0" w:rsidRDefault="005646E0" w:rsidP="00C041EB">
      <w:pPr>
        <w:spacing w:after="0" w:line="240" w:lineRule="auto"/>
        <w:jc w:val="both"/>
        <w:rPr>
          <w:rFonts w:ascii="Arial" w:hAnsi="Arial" w:cs="Arial"/>
          <w:sz w:val="24"/>
        </w:rPr>
      </w:pPr>
    </w:p>
    <w:p w14:paraId="24B0CB39" w14:textId="60E65E92" w:rsidR="005646E0" w:rsidRDefault="005646E0" w:rsidP="00C041EB">
      <w:pPr>
        <w:spacing w:after="0" w:line="240" w:lineRule="auto"/>
        <w:jc w:val="both"/>
        <w:rPr>
          <w:rFonts w:ascii="Arial" w:hAnsi="Arial" w:cs="Arial"/>
          <w:sz w:val="24"/>
        </w:rPr>
      </w:pPr>
      <w:r>
        <w:rPr>
          <w:rFonts w:ascii="Arial" w:hAnsi="Arial" w:cs="Arial"/>
          <w:sz w:val="24"/>
        </w:rPr>
        <w:t xml:space="preserve">De merecer la presente </w:t>
      </w:r>
      <w:r w:rsidR="00BB0A2C">
        <w:rPr>
          <w:rFonts w:ascii="Arial" w:hAnsi="Arial" w:cs="Arial"/>
          <w:sz w:val="24"/>
        </w:rPr>
        <w:t>I</w:t>
      </w:r>
      <w:r>
        <w:rPr>
          <w:rFonts w:ascii="Arial" w:hAnsi="Arial" w:cs="Arial"/>
          <w:sz w:val="24"/>
        </w:rPr>
        <w:t>niciativa la aprobación de esa Honorable Soberanía</w:t>
      </w:r>
      <w:r w:rsidR="00DE083C">
        <w:rPr>
          <w:rFonts w:ascii="Arial" w:hAnsi="Arial" w:cs="Arial"/>
          <w:sz w:val="24"/>
        </w:rPr>
        <w:t>, se continuará</w:t>
      </w:r>
      <w:r w:rsidR="009E2C88">
        <w:rPr>
          <w:rFonts w:ascii="Arial" w:hAnsi="Arial" w:cs="Arial"/>
          <w:sz w:val="24"/>
        </w:rPr>
        <w:t xml:space="preserve"> trabajando en las acciones que promuevan la igualdad entre mujeres y hombres, la erradicación de la violencia de género y la eliminación de cualquier forma de discriminación de género, acciones que se sustentan en el Eje Transversal 2.- Colima por la Igualdad.</w:t>
      </w:r>
    </w:p>
    <w:p w14:paraId="2D71110A" w14:textId="77777777" w:rsidR="009E2C88" w:rsidRDefault="009E2C88" w:rsidP="00C041EB">
      <w:pPr>
        <w:spacing w:after="0" w:line="240" w:lineRule="auto"/>
        <w:jc w:val="both"/>
        <w:rPr>
          <w:rFonts w:ascii="Arial" w:hAnsi="Arial" w:cs="Arial"/>
          <w:sz w:val="24"/>
        </w:rPr>
      </w:pPr>
    </w:p>
    <w:p w14:paraId="65A78379" w14:textId="3513FFFC" w:rsidR="009E2C88" w:rsidRDefault="00EB16C1" w:rsidP="00C041EB">
      <w:pPr>
        <w:spacing w:after="0" w:line="240" w:lineRule="auto"/>
        <w:jc w:val="both"/>
        <w:rPr>
          <w:rFonts w:ascii="Arial" w:hAnsi="Arial" w:cs="Arial"/>
          <w:sz w:val="24"/>
        </w:rPr>
      </w:pPr>
      <w:r>
        <w:rPr>
          <w:rFonts w:ascii="Arial" w:hAnsi="Arial" w:cs="Arial"/>
          <w:sz w:val="24"/>
        </w:rPr>
        <w:t xml:space="preserve">En </w:t>
      </w:r>
      <w:r w:rsidR="00550D69">
        <w:rPr>
          <w:rFonts w:ascii="Arial" w:hAnsi="Arial" w:cs="Arial"/>
          <w:sz w:val="24"/>
        </w:rPr>
        <w:t xml:space="preserve">este </w:t>
      </w:r>
      <w:r>
        <w:rPr>
          <w:rFonts w:ascii="Arial" w:hAnsi="Arial" w:cs="Arial"/>
          <w:sz w:val="24"/>
        </w:rPr>
        <w:t>sentido</w:t>
      </w:r>
      <w:r w:rsidR="009E2C88">
        <w:rPr>
          <w:rFonts w:ascii="Arial" w:hAnsi="Arial" w:cs="Arial"/>
          <w:sz w:val="24"/>
        </w:rPr>
        <w:t>, atendiendo los resolutivos de la Declaratoria de Alerta de Género contra las Mujeres del Estado de Colima</w:t>
      </w:r>
      <w:r w:rsidR="000D21AC">
        <w:rPr>
          <w:rFonts w:ascii="Arial" w:hAnsi="Arial" w:cs="Arial"/>
          <w:sz w:val="24"/>
        </w:rPr>
        <w:t>, emitida por la Secretaría de Gobernación el 20 de junio de 2017 para los municipios de Coquimatlán, Colima, Cuauhtémoc, Tecomán y Villa de Álvarez, así como las observaciones derivadas del Informe del Grupo de Trab</w:t>
      </w:r>
      <w:r w:rsidR="00336262">
        <w:rPr>
          <w:rFonts w:ascii="Arial" w:hAnsi="Arial" w:cs="Arial"/>
          <w:sz w:val="24"/>
        </w:rPr>
        <w:t>ajo conformado para atender la Solicitud de A</w:t>
      </w:r>
      <w:r w:rsidR="000D21AC">
        <w:rPr>
          <w:rFonts w:ascii="Arial" w:hAnsi="Arial" w:cs="Arial"/>
          <w:sz w:val="24"/>
        </w:rPr>
        <w:t xml:space="preserve">lerta de </w:t>
      </w:r>
      <w:r w:rsidR="00336262">
        <w:rPr>
          <w:rFonts w:ascii="Arial" w:hAnsi="Arial" w:cs="Arial"/>
          <w:sz w:val="24"/>
        </w:rPr>
        <w:t>Violencia de Género contra las M</w:t>
      </w:r>
      <w:r w:rsidR="000D21AC">
        <w:rPr>
          <w:rFonts w:ascii="Arial" w:hAnsi="Arial" w:cs="Arial"/>
          <w:sz w:val="24"/>
        </w:rPr>
        <w:t xml:space="preserve">ujeres en el Estado de Colima, se </w:t>
      </w:r>
      <w:r w:rsidR="000D21AC">
        <w:rPr>
          <w:rFonts w:ascii="Arial" w:hAnsi="Arial" w:cs="Arial"/>
          <w:sz w:val="24"/>
        </w:rPr>
        <w:lastRenderedPageBreak/>
        <w:t>fortalecieron los Lineamientos para la Elaboración del Anteproyecto de Presupuesto de Egres</w:t>
      </w:r>
      <w:r w:rsidR="00B666B9">
        <w:rPr>
          <w:rFonts w:ascii="Arial" w:hAnsi="Arial" w:cs="Arial"/>
          <w:sz w:val="24"/>
        </w:rPr>
        <w:t>os para el Ejercicio Fiscal 2021</w:t>
      </w:r>
      <w:r w:rsidR="000D21AC">
        <w:rPr>
          <w:rFonts w:ascii="Arial" w:hAnsi="Arial" w:cs="Arial"/>
          <w:sz w:val="24"/>
        </w:rPr>
        <w:t>, en ar</w:t>
      </w:r>
      <w:r w:rsidR="00F61ABA">
        <w:rPr>
          <w:rFonts w:ascii="Arial" w:hAnsi="Arial" w:cs="Arial"/>
          <w:sz w:val="24"/>
        </w:rPr>
        <w:t xml:space="preserve">as de atender las observaciones y etiquetar </w:t>
      </w:r>
      <w:r w:rsidR="000D21AC">
        <w:rPr>
          <w:rFonts w:ascii="Arial" w:hAnsi="Arial" w:cs="Arial"/>
          <w:sz w:val="24"/>
        </w:rPr>
        <w:t>recurs</w:t>
      </w:r>
      <w:r w:rsidR="00F61ABA">
        <w:rPr>
          <w:rFonts w:ascii="Arial" w:hAnsi="Arial" w:cs="Arial"/>
          <w:sz w:val="24"/>
        </w:rPr>
        <w:t xml:space="preserve">os para el precitado tema, ello en cumplimiento también </w:t>
      </w:r>
      <w:r w:rsidR="000D21AC">
        <w:rPr>
          <w:rFonts w:ascii="Arial" w:hAnsi="Arial" w:cs="Arial"/>
          <w:sz w:val="24"/>
        </w:rPr>
        <w:t>del artículo 41, fracción II de la Ley Federal de Presupuesto y Responsabilidad Hacendaria</w:t>
      </w:r>
      <w:r w:rsidR="00C70C49">
        <w:rPr>
          <w:rFonts w:ascii="Arial" w:hAnsi="Arial" w:cs="Arial"/>
          <w:sz w:val="24"/>
        </w:rPr>
        <w:t>.</w:t>
      </w:r>
    </w:p>
    <w:p w14:paraId="666BA6CD" w14:textId="77777777" w:rsidR="00C70C49" w:rsidRDefault="00C70C49" w:rsidP="00C041EB">
      <w:pPr>
        <w:spacing w:after="0" w:line="240" w:lineRule="auto"/>
        <w:jc w:val="both"/>
        <w:rPr>
          <w:rFonts w:ascii="Arial" w:hAnsi="Arial" w:cs="Arial"/>
          <w:sz w:val="24"/>
        </w:rPr>
      </w:pPr>
    </w:p>
    <w:p w14:paraId="4AEAEB40" w14:textId="26B61A21" w:rsidR="00C70C49" w:rsidRDefault="00C70C49" w:rsidP="00C041EB">
      <w:pPr>
        <w:spacing w:after="0" w:line="240" w:lineRule="auto"/>
        <w:jc w:val="both"/>
        <w:rPr>
          <w:rFonts w:ascii="Arial" w:hAnsi="Arial" w:cs="Arial"/>
          <w:sz w:val="24"/>
        </w:rPr>
      </w:pPr>
      <w:r>
        <w:rPr>
          <w:rFonts w:ascii="Arial" w:hAnsi="Arial" w:cs="Arial"/>
          <w:sz w:val="24"/>
        </w:rPr>
        <w:t>Así mismo, en atención a metodología propuesta por el Fo</w:t>
      </w:r>
      <w:r w:rsidR="00D87F65">
        <w:rPr>
          <w:rFonts w:ascii="Arial" w:hAnsi="Arial" w:cs="Arial"/>
          <w:sz w:val="24"/>
        </w:rPr>
        <w:t>ndo de Naciones Unidas para la Infancia (UNICEF), se incluye en el presente Proyecto de Presupu</w:t>
      </w:r>
      <w:r w:rsidR="00B666B9">
        <w:rPr>
          <w:rFonts w:ascii="Arial" w:hAnsi="Arial" w:cs="Arial"/>
          <w:sz w:val="24"/>
        </w:rPr>
        <w:t>esto, las previsiones de gasto para</w:t>
      </w:r>
      <w:r w:rsidR="00D87F65">
        <w:rPr>
          <w:rFonts w:ascii="Arial" w:hAnsi="Arial" w:cs="Arial"/>
          <w:sz w:val="24"/>
        </w:rPr>
        <w:t xml:space="preserve"> la atención de la niñez</w:t>
      </w:r>
      <w:r w:rsidR="00B666B9">
        <w:rPr>
          <w:rFonts w:ascii="Arial" w:hAnsi="Arial" w:cs="Arial"/>
          <w:sz w:val="24"/>
        </w:rPr>
        <w:t xml:space="preserve"> colimense</w:t>
      </w:r>
      <w:r w:rsidR="00E27A36">
        <w:rPr>
          <w:rFonts w:ascii="Arial" w:hAnsi="Arial" w:cs="Arial"/>
          <w:sz w:val="24"/>
        </w:rPr>
        <w:t>, velando en todo momento por su integridad y sano desarrollo</w:t>
      </w:r>
      <w:r w:rsidR="00D87F65">
        <w:rPr>
          <w:rFonts w:ascii="Arial" w:hAnsi="Arial" w:cs="Arial"/>
          <w:sz w:val="24"/>
        </w:rPr>
        <w:t>,</w:t>
      </w:r>
      <w:r w:rsidR="00E27A36">
        <w:rPr>
          <w:rFonts w:ascii="Arial" w:hAnsi="Arial" w:cs="Arial"/>
          <w:sz w:val="24"/>
        </w:rPr>
        <w:t xml:space="preserve"> lo anterior de manera transversal relacionado con la Agenda 2030 y los Objetivos de</w:t>
      </w:r>
      <w:r w:rsidR="004932DD">
        <w:rPr>
          <w:rFonts w:ascii="Arial" w:hAnsi="Arial" w:cs="Arial"/>
          <w:sz w:val="24"/>
        </w:rPr>
        <w:t>l</w:t>
      </w:r>
      <w:r w:rsidR="00E27A36">
        <w:rPr>
          <w:rFonts w:ascii="Arial" w:hAnsi="Arial" w:cs="Arial"/>
          <w:sz w:val="24"/>
        </w:rPr>
        <w:t xml:space="preserve"> Desarrollo Sostenible, </w:t>
      </w:r>
      <w:r w:rsidR="00D87F65">
        <w:rPr>
          <w:rFonts w:ascii="Arial" w:hAnsi="Arial" w:cs="Arial"/>
          <w:sz w:val="24"/>
        </w:rPr>
        <w:t>para identificar y cuantificar el gasto público destinado para la atención de la infancia.</w:t>
      </w:r>
    </w:p>
    <w:p w14:paraId="2B135FB0" w14:textId="77777777" w:rsidR="00B666B9" w:rsidRDefault="00B666B9" w:rsidP="00C041EB">
      <w:pPr>
        <w:spacing w:after="0" w:line="240" w:lineRule="auto"/>
        <w:jc w:val="both"/>
        <w:rPr>
          <w:rFonts w:ascii="Arial" w:hAnsi="Arial" w:cs="Arial"/>
          <w:sz w:val="24"/>
        </w:rPr>
      </w:pPr>
    </w:p>
    <w:p w14:paraId="314FDBDB" w14:textId="77777777" w:rsidR="00D87F65" w:rsidRDefault="00D87F65" w:rsidP="00C041EB">
      <w:pPr>
        <w:spacing w:after="0" w:line="240" w:lineRule="auto"/>
        <w:jc w:val="both"/>
        <w:rPr>
          <w:rFonts w:ascii="Arial" w:hAnsi="Arial" w:cs="Arial"/>
          <w:sz w:val="24"/>
        </w:rPr>
      </w:pPr>
      <w:r>
        <w:rPr>
          <w:rFonts w:ascii="Arial" w:hAnsi="Arial" w:cs="Arial"/>
          <w:sz w:val="24"/>
        </w:rPr>
        <w:t>La UNICEF propone el desarrollo de anexos transversales en todos los presupuestos de egresos estatales con el fin de orientar el ejercicio de los recursos públicos bajo un enfoque de derechos y contar con herramientas que favorezcan la igualdad de oportunidades y garanticen el bienestar de la niñez.</w:t>
      </w:r>
    </w:p>
    <w:p w14:paraId="5FB21FB9" w14:textId="77777777" w:rsidR="00D87F65" w:rsidRDefault="00D87F65" w:rsidP="00C041EB">
      <w:pPr>
        <w:spacing w:after="0" w:line="240" w:lineRule="auto"/>
        <w:jc w:val="both"/>
        <w:rPr>
          <w:rFonts w:ascii="Arial" w:hAnsi="Arial" w:cs="Arial"/>
          <w:sz w:val="24"/>
        </w:rPr>
      </w:pPr>
    </w:p>
    <w:p w14:paraId="463A8768" w14:textId="532C117F" w:rsidR="00594957" w:rsidRDefault="00D87F65" w:rsidP="00C041EB">
      <w:pPr>
        <w:spacing w:after="0" w:line="240" w:lineRule="auto"/>
        <w:jc w:val="both"/>
        <w:rPr>
          <w:rFonts w:ascii="Arial" w:hAnsi="Arial" w:cs="Arial"/>
          <w:sz w:val="24"/>
        </w:rPr>
      </w:pPr>
      <w:r>
        <w:rPr>
          <w:rFonts w:ascii="Arial" w:hAnsi="Arial" w:cs="Arial"/>
          <w:sz w:val="24"/>
        </w:rPr>
        <w:t xml:space="preserve">En este sentido, con el fin de contar con </w:t>
      </w:r>
      <w:r w:rsidR="004932DD">
        <w:rPr>
          <w:rFonts w:ascii="Arial" w:hAnsi="Arial" w:cs="Arial"/>
          <w:sz w:val="24"/>
        </w:rPr>
        <w:t xml:space="preserve">un </w:t>
      </w:r>
      <w:r>
        <w:rPr>
          <w:rFonts w:ascii="Arial" w:hAnsi="Arial" w:cs="Arial"/>
          <w:sz w:val="24"/>
        </w:rPr>
        <w:t>catálogo más completo que refleje la transversalidad del gasto estata</w:t>
      </w:r>
      <w:r w:rsidR="004932DD">
        <w:rPr>
          <w:rFonts w:ascii="Arial" w:hAnsi="Arial" w:cs="Arial"/>
          <w:sz w:val="24"/>
        </w:rPr>
        <w:t>l, para el ejercicio fiscal 2021,</w:t>
      </w:r>
      <w:r>
        <w:rPr>
          <w:rFonts w:ascii="Arial" w:hAnsi="Arial" w:cs="Arial"/>
          <w:sz w:val="24"/>
        </w:rPr>
        <w:t xml:space="preserve"> </w:t>
      </w:r>
      <w:r w:rsidR="004932DD">
        <w:rPr>
          <w:rFonts w:ascii="Arial" w:hAnsi="Arial" w:cs="Arial"/>
          <w:sz w:val="24"/>
        </w:rPr>
        <w:t>se presenta</w:t>
      </w:r>
      <w:r>
        <w:rPr>
          <w:rFonts w:ascii="Arial" w:hAnsi="Arial" w:cs="Arial"/>
          <w:sz w:val="24"/>
        </w:rPr>
        <w:t xml:space="preserve"> la desagregación por metas de la Agenda 2030 y los Objetivos del Desarrollo Sostenib</w:t>
      </w:r>
      <w:r w:rsidR="00796E22">
        <w:rPr>
          <w:rFonts w:ascii="Arial" w:hAnsi="Arial" w:cs="Arial"/>
          <w:sz w:val="24"/>
        </w:rPr>
        <w:t>le.</w:t>
      </w:r>
      <w:r w:rsidR="004932DD">
        <w:rPr>
          <w:rFonts w:ascii="Arial" w:hAnsi="Arial" w:cs="Arial"/>
          <w:sz w:val="24"/>
        </w:rPr>
        <w:t xml:space="preserve"> L</w:t>
      </w:r>
      <w:r w:rsidR="00796E22">
        <w:rPr>
          <w:rFonts w:ascii="Arial" w:hAnsi="Arial" w:cs="Arial"/>
          <w:sz w:val="24"/>
        </w:rPr>
        <w:t>a Agenda 2030 se distribuye en 17 Objetivos del Desarrollo Sostenible y a su</w:t>
      </w:r>
      <w:r w:rsidR="002A505B">
        <w:rPr>
          <w:rFonts w:ascii="Arial" w:hAnsi="Arial" w:cs="Arial"/>
          <w:sz w:val="24"/>
        </w:rPr>
        <w:t xml:space="preserve"> </w:t>
      </w:r>
      <w:r w:rsidR="00796E22">
        <w:rPr>
          <w:rFonts w:ascii="Arial" w:hAnsi="Arial" w:cs="Arial"/>
          <w:sz w:val="24"/>
        </w:rPr>
        <w:t>vez</w:t>
      </w:r>
      <w:r w:rsidR="002A505B">
        <w:rPr>
          <w:rFonts w:ascii="Arial" w:hAnsi="Arial" w:cs="Arial"/>
          <w:sz w:val="24"/>
        </w:rPr>
        <w:t>, estos,</w:t>
      </w:r>
      <w:r w:rsidR="00796E22">
        <w:rPr>
          <w:rFonts w:ascii="Arial" w:hAnsi="Arial" w:cs="Arial"/>
          <w:sz w:val="24"/>
        </w:rPr>
        <w:t xml:space="preserve"> en 169 metas</w:t>
      </w:r>
      <w:r w:rsidR="004932DD">
        <w:rPr>
          <w:rFonts w:ascii="Arial" w:hAnsi="Arial" w:cs="Arial"/>
          <w:sz w:val="24"/>
        </w:rPr>
        <w:t xml:space="preserve">, </w:t>
      </w:r>
      <w:r w:rsidR="00796E22">
        <w:rPr>
          <w:rFonts w:ascii="Arial" w:hAnsi="Arial" w:cs="Arial"/>
          <w:sz w:val="24"/>
        </w:rPr>
        <w:t>con dicha desagregación, se tendrá</w:t>
      </w:r>
      <w:r w:rsidR="00420607">
        <w:rPr>
          <w:rFonts w:ascii="Arial" w:hAnsi="Arial" w:cs="Arial"/>
          <w:sz w:val="24"/>
        </w:rPr>
        <w:t>n</w:t>
      </w:r>
      <w:r w:rsidR="00796E22">
        <w:rPr>
          <w:rFonts w:ascii="Arial" w:hAnsi="Arial" w:cs="Arial"/>
          <w:sz w:val="24"/>
        </w:rPr>
        <w:t xml:space="preserve"> plenamente identificado</w:t>
      </w:r>
      <w:r w:rsidR="00420607">
        <w:rPr>
          <w:rFonts w:ascii="Arial" w:hAnsi="Arial" w:cs="Arial"/>
          <w:sz w:val="24"/>
        </w:rPr>
        <w:t>s los recursos destinados transversalmente para el cum</w:t>
      </w:r>
      <w:r w:rsidR="004932DD">
        <w:rPr>
          <w:rFonts w:ascii="Arial" w:hAnsi="Arial" w:cs="Arial"/>
          <w:sz w:val="24"/>
        </w:rPr>
        <w:t>plimiento de la referida Agenda.</w:t>
      </w:r>
    </w:p>
    <w:p w14:paraId="1C3FA758" w14:textId="5CA80FCC" w:rsidR="00796E22" w:rsidRDefault="00796E22" w:rsidP="00C041EB">
      <w:pPr>
        <w:spacing w:after="0" w:line="240" w:lineRule="auto"/>
        <w:jc w:val="both"/>
        <w:rPr>
          <w:rFonts w:ascii="Arial" w:hAnsi="Arial" w:cs="Arial"/>
          <w:sz w:val="24"/>
        </w:rPr>
      </w:pPr>
      <w:r>
        <w:rPr>
          <w:rFonts w:ascii="Arial" w:hAnsi="Arial" w:cs="Arial"/>
          <w:sz w:val="24"/>
        </w:rPr>
        <w:t xml:space="preserve"> </w:t>
      </w:r>
    </w:p>
    <w:p w14:paraId="51039F27" w14:textId="2E7ACA32" w:rsidR="00402767" w:rsidRDefault="00402767" w:rsidP="00C041EB">
      <w:pPr>
        <w:spacing w:after="0" w:line="240" w:lineRule="auto"/>
        <w:jc w:val="both"/>
        <w:rPr>
          <w:rFonts w:ascii="Arial" w:hAnsi="Arial" w:cs="Arial"/>
          <w:sz w:val="24"/>
        </w:rPr>
      </w:pPr>
      <w:r>
        <w:rPr>
          <w:rFonts w:ascii="Arial" w:hAnsi="Arial" w:cs="Arial"/>
          <w:sz w:val="24"/>
        </w:rPr>
        <w:t>Por otro l</w:t>
      </w:r>
      <w:r w:rsidR="004932DD">
        <w:rPr>
          <w:rFonts w:ascii="Arial" w:hAnsi="Arial" w:cs="Arial"/>
          <w:sz w:val="24"/>
        </w:rPr>
        <w:t xml:space="preserve">ado, sensible a las condiciones </w:t>
      </w:r>
      <w:r>
        <w:rPr>
          <w:rFonts w:ascii="Arial" w:hAnsi="Arial" w:cs="Arial"/>
          <w:sz w:val="24"/>
        </w:rPr>
        <w:t>adversas</w:t>
      </w:r>
      <w:r w:rsidR="004932DD">
        <w:rPr>
          <w:rFonts w:ascii="Arial" w:hAnsi="Arial" w:cs="Arial"/>
          <w:sz w:val="24"/>
        </w:rPr>
        <w:t xml:space="preserve"> </w:t>
      </w:r>
      <w:r>
        <w:rPr>
          <w:rFonts w:ascii="Arial" w:hAnsi="Arial" w:cs="Arial"/>
          <w:sz w:val="24"/>
        </w:rPr>
        <w:t>que</w:t>
      </w:r>
      <w:r w:rsidR="00B24A18">
        <w:rPr>
          <w:rFonts w:ascii="Arial" w:hAnsi="Arial" w:cs="Arial"/>
          <w:sz w:val="24"/>
        </w:rPr>
        <w:t xml:space="preserve"> ya</w:t>
      </w:r>
      <w:r>
        <w:rPr>
          <w:rFonts w:ascii="Arial" w:hAnsi="Arial" w:cs="Arial"/>
          <w:sz w:val="24"/>
        </w:rPr>
        <w:t xml:space="preserve"> enfrenta</w:t>
      </w:r>
      <w:r w:rsidR="00B24A18">
        <w:rPr>
          <w:rFonts w:ascii="Arial" w:hAnsi="Arial" w:cs="Arial"/>
          <w:sz w:val="24"/>
        </w:rPr>
        <w:t>ba</w:t>
      </w:r>
      <w:r>
        <w:rPr>
          <w:rFonts w:ascii="Arial" w:hAnsi="Arial" w:cs="Arial"/>
          <w:sz w:val="24"/>
        </w:rPr>
        <w:t xml:space="preserve"> la economía</w:t>
      </w:r>
      <w:r w:rsidR="004932DD" w:rsidRPr="004932DD">
        <w:rPr>
          <w:rFonts w:ascii="Arial" w:hAnsi="Arial" w:cs="Arial"/>
          <w:sz w:val="24"/>
        </w:rPr>
        <w:t xml:space="preserve"> </w:t>
      </w:r>
      <w:r w:rsidR="00B24A18">
        <w:rPr>
          <w:rFonts w:ascii="Arial" w:hAnsi="Arial" w:cs="Arial"/>
          <w:sz w:val="24"/>
        </w:rPr>
        <w:t xml:space="preserve">y </w:t>
      </w:r>
      <w:r w:rsidR="004932DD">
        <w:rPr>
          <w:rFonts w:ascii="Arial" w:hAnsi="Arial" w:cs="Arial"/>
          <w:sz w:val="24"/>
        </w:rPr>
        <w:t>que se han intensificado con motivo de la pandemia</w:t>
      </w:r>
      <w:r>
        <w:rPr>
          <w:rFonts w:ascii="Arial" w:hAnsi="Arial" w:cs="Arial"/>
          <w:sz w:val="24"/>
        </w:rPr>
        <w:t xml:space="preserve">, la presente administración promueve políticas </w:t>
      </w:r>
      <w:r w:rsidR="004932DD">
        <w:rPr>
          <w:rFonts w:ascii="Arial" w:hAnsi="Arial" w:cs="Arial"/>
          <w:sz w:val="24"/>
        </w:rPr>
        <w:t xml:space="preserve">públicas </w:t>
      </w:r>
      <w:r>
        <w:rPr>
          <w:rFonts w:ascii="Arial" w:hAnsi="Arial" w:cs="Arial"/>
          <w:sz w:val="24"/>
        </w:rPr>
        <w:t xml:space="preserve">y ejecuta acciones </w:t>
      </w:r>
      <w:r w:rsidR="004932DD">
        <w:rPr>
          <w:rFonts w:ascii="Arial" w:hAnsi="Arial" w:cs="Arial"/>
          <w:sz w:val="24"/>
        </w:rPr>
        <w:t xml:space="preserve">que priorizan en todo </w:t>
      </w:r>
      <w:r w:rsidR="004932DD" w:rsidRPr="00B24A18">
        <w:rPr>
          <w:rFonts w:ascii="Arial" w:hAnsi="Arial" w:cs="Arial"/>
          <w:sz w:val="24"/>
        </w:rPr>
        <w:t>momento el fortalecimiento de</w:t>
      </w:r>
      <w:r w:rsidRPr="00B24A18">
        <w:rPr>
          <w:rFonts w:ascii="Arial" w:hAnsi="Arial" w:cs="Arial"/>
          <w:sz w:val="24"/>
        </w:rPr>
        <w:t xml:space="preserve"> la economía de las familias colimenses; en función de ello, se prevén recursos para continuar subsidiando el Impuesto Sobre Tenencia o Uso de Vehículos Automotores.</w:t>
      </w:r>
      <w:r>
        <w:rPr>
          <w:rFonts w:ascii="Arial" w:hAnsi="Arial" w:cs="Arial"/>
          <w:sz w:val="24"/>
        </w:rPr>
        <w:t xml:space="preserve"> </w:t>
      </w:r>
    </w:p>
    <w:p w14:paraId="12FD8040" w14:textId="77777777" w:rsidR="00402767" w:rsidRDefault="00402767" w:rsidP="00C041EB">
      <w:pPr>
        <w:spacing w:after="0" w:line="240" w:lineRule="auto"/>
        <w:jc w:val="both"/>
        <w:rPr>
          <w:rFonts w:ascii="Arial" w:hAnsi="Arial" w:cs="Arial"/>
          <w:sz w:val="24"/>
        </w:rPr>
      </w:pPr>
    </w:p>
    <w:p w14:paraId="222DCC00" w14:textId="77777777" w:rsidR="00CB5DFA" w:rsidRDefault="00402767" w:rsidP="00C041EB">
      <w:pPr>
        <w:spacing w:after="0" w:line="240" w:lineRule="auto"/>
        <w:jc w:val="both"/>
        <w:rPr>
          <w:rFonts w:ascii="Arial" w:hAnsi="Arial" w:cs="Arial"/>
          <w:sz w:val="24"/>
        </w:rPr>
      </w:pPr>
      <w:r>
        <w:rPr>
          <w:rFonts w:ascii="Arial" w:hAnsi="Arial" w:cs="Arial"/>
          <w:sz w:val="24"/>
        </w:rPr>
        <w:t>En el marco de la Gestión Pública para Resultados (GpR), y en congruencia con lo ya mencionado, se redoblan esfuerzos para fortalecer el Presupuesto basado en Resultados (PbR)</w:t>
      </w:r>
      <w:r w:rsidR="00CB5DFA">
        <w:rPr>
          <w:rFonts w:ascii="Arial" w:hAnsi="Arial" w:cs="Arial"/>
          <w:sz w:val="24"/>
        </w:rPr>
        <w:t xml:space="preserve"> y el Sistema de Evaluación del Desempeño</w:t>
      </w:r>
      <w:r w:rsidR="00112BEB">
        <w:rPr>
          <w:rFonts w:ascii="Arial" w:hAnsi="Arial" w:cs="Arial"/>
          <w:sz w:val="24"/>
        </w:rPr>
        <w:t xml:space="preserve"> (SED)</w:t>
      </w:r>
      <w:r w:rsidR="00CB5DFA">
        <w:rPr>
          <w:rFonts w:ascii="Arial" w:hAnsi="Arial" w:cs="Arial"/>
          <w:sz w:val="24"/>
        </w:rPr>
        <w:t>.</w:t>
      </w:r>
    </w:p>
    <w:p w14:paraId="51F7F10B" w14:textId="77777777" w:rsidR="00CB5DFA" w:rsidRDefault="00CB5DFA" w:rsidP="00C041EB">
      <w:pPr>
        <w:spacing w:after="0" w:line="240" w:lineRule="auto"/>
        <w:jc w:val="both"/>
        <w:rPr>
          <w:rFonts w:ascii="Arial" w:hAnsi="Arial" w:cs="Arial"/>
          <w:sz w:val="24"/>
        </w:rPr>
      </w:pPr>
    </w:p>
    <w:p w14:paraId="2FE7130E" w14:textId="77777777" w:rsidR="00CB5DFA" w:rsidRDefault="00CB5DFA" w:rsidP="00C041EB">
      <w:pPr>
        <w:spacing w:after="0" w:line="240" w:lineRule="auto"/>
        <w:jc w:val="both"/>
        <w:rPr>
          <w:rFonts w:ascii="Arial" w:hAnsi="Arial" w:cs="Arial"/>
          <w:sz w:val="24"/>
        </w:rPr>
      </w:pPr>
      <w:r>
        <w:rPr>
          <w:rFonts w:ascii="Arial" w:hAnsi="Arial" w:cs="Arial"/>
          <w:sz w:val="24"/>
        </w:rPr>
        <w:t xml:space="preserve">El PbR se concibe como el instrumento metodológico y el modelo de cultura organizacional cuyo objetivo es que los recursos públicos se asignen </w:t>
      </w:r>
      <w:r w:rsidRPr="00091B63">
        <w:rPr>
          <w:rFonts w:ascii="Arial" w:hAnsi="Arial" w:cs="Arial"/>
          <w:sz w:val="24"/>
        </w:rPr>
        <w:lastRenderedPageBreak/>
        <w:t>prioritariamente a los Programas Presupuestarios que generen más beneficios a la población y que se corrija el diseño de aquellos que no están funcionando.</w:t>
      </w:r>
      <w:r w:rsidR="00EC05DC" w:rsidRPr="00091B63">
        <w:rPr>
          <w:rFonts w:ascii="Arial" w:hAnsi="Arial" w:cs="Arial"/>
          <w:sz w:val="24"/>
        </w:rPr>
        <w:t xml:space="preserve"> Un presupuesto con enfoque en el logro de resultados consiste en que los órganos públicos establezcan de manera puntua</w:t>
      </w:r>
      <w:r w:rsidR="00112BEB" w:rsidRPr="00091B63">
        <w:rPr>
          <w:rFonts w:ascii="Arial" w:hAnsi="Arial" w:cs="Arial"/>
          <w:sz w:val="24"/>
        </w:rPr>
        <w:t>l los objetivos que se alcanzará</w:t>
      </w:r>
      <w:r w:rsidR="00EC05DC" w:rsidRPr="00091B63">
        <w:rPr>
          <w:rFonts w:ascii="Arial" w:hAnsi="Arial" w:cs="Arial"/>
          <w:sz w:val="24"/>
        </w:rPr>
        <w:t>n con los recursos que se asignen</w:t>
      </w:r>
      <w:r w:rsidR="00EC05DC">
        <w:rPr>
          <w:rFonts w:ascii="Arial" w:hAnsi="Arial" w:cs="Arial"/>
          <w:sz w:val="24"/>
        </w:rPr>
        <w:t xml:space="preserve"> </w:t>
      </w:r>
      <w:r w:rsidR="00112BEB">
        <w:rPr>
          <w:rFonts w:ascii="Arial" w:hAnsi="Arial" w:cs="Arial"/>
          <w:sz w:val="24"/>
        </w:rPr>
        <w:t xml:space="preserve">a sus respectivos programas y que el grado de consecución de dichos objetivos pueda ser efectivamente confirmado mediante el Sistema de Evaluación del Desempeño. </w:t>
      </w:r>
    </w:p>
    <w:p w14:paraId="4ED2D4AE" w14:textId="77777777" w:rsidR="00112BEB" w:rsidRDefault="00112BEB" w:rsidP="00C041EB">
      <w:pPr>
        <w:spacing w:after="0" w:line="240" w:lineRule="auto"/>
        <w:jc w:val="both"/>
        <w:rPr>
          <w:rFonts w:ascii="Arial" w:hAnsi="Arial" w:cs="Arial"/>
          <w:sz w:val="24"/>
        </w:rPr>
      </w:pPr>
    </w:p>
    <w:p w14:paraId="0935F3D3" w14:textId="73C028F7" w:rsidR="00112BEB" w:rsidRDefault="00112BEB" w:rsidP="00C041EB">
      <w:pPr>
        <w:spacing w:after="0" w:line="240" w:lineRule="auto"/>
        <w:jc w:val="both"/>
        <w:rPr>
          <w:rFonts w:ascii="Arial" w:hAnsi="Arial" w:cs="Arial"/>
          <w:sz w:val="24"/>
        </w:rPr>
      </w:pPr>
      <w:r>
        <w:rPr>
          <w:rFonts w:ascii="Arial" w:hAnsi="Arial" w:cs="Arial"/>
          <w:sz w:val="24"/>
        </w:rPr>
        <w:t xml:space="preserve">Asimismo, mediante la construcción de Matrices de Indicadores para Resultados (MIR) de los Programas Presupuestarios alineados al Plan Estatal de Desarrollo y </w:t>
      </w:r>
      <w:r w:rsidR="00392543">
        <w:rPr>
          <w:rFonts w:ascii="Arial" w:hAnsi="Arial" w:cs="Arial"/>
          <w:sz w:val="24"/>
        </w:rPr>
        <w:t xml:space="preserve">a </w:t>
      </w:r>
      <w:r>
        <w:rPr>
          <w:rFonts w:ascii="Arial" w:hAnsi="Arial" w:cs="Arial"/>
          <w:sz w:val="24"/>
        </w:rPr>
        <w:t>los Objetivos del Desarrollo Sostenible y Metas de la Agenda 2030,</w:t>
      </w:r>
      <w:r w:rsidR="00392543">
        <w:rPr>
          <w:rFonts w:ascii="Arial" w:hAnsi="Arial" w:cs="Arial"/>
          <w:sz w:val="24"/>
        </w:rPr>
        <w:t xml:space="preserve"> se incorporan las MIR de los Programas Presupuestarios</w:t>
      </w:r>
      <w:r>
        <w:rPr>
          <w:rFonts w:ascii="Arial" w:hAnsi="Arial" w:cs="Arial"/>
          <w:sz w:val="24"/>
        </w:rPr>
        <w:t xml:space="preserve">, en el Sistema Integral de Administración Financiera, para poder emitir, además de los diferentes informes </w:t>
      </w:r>
      <w:r w:rsidR="00392543">
        <w:rPr>
          <w:rFonts w:ascii="Arial" w:hAnsi="Arial" w:cs="Arial"/>
          <w:sz w:val="24"/>
        </w:rPr>
        <w:t>financieros</w:t>
      </w:r>
      <w:r>
        <w:rPr>
          <w:rFonts w:ascii="Arial" w:hAnsi="Arial" w:cs="Arial"/>
          <w:sz w:val="24"/>
        </w:rPr>
        <w:t xml:space="preserve"> obligados por Ley, los informes en sus diferentes clasificacion</w:t>
      </w:r>
      <w:r w:rsidR="00392543">
        <w:rPr>
          <w:rFonts w:ascii="Arial" w:hAnsi="Arial" w:cs="Arial"/>
          <w:sz w:val="24"/>
        </w:rPr>
        <w:t xml:space="preserve">es sobre los temas programáticos y con ello se da </w:t>
      </w:r>
      <w:r w:rsidR="00AC530A">
        <w:rPr>
          <w:rFonts w:ascii="Arial" w:hAnsi="Arial" w:cs="Arial"/>
          <w:sz w:val="24"/>
        </w:rPr>
        <w:t>el seguimiento puntual a</w:t>
      </w:r>
      <w:r w:rsidR="00392543">
        <w:rPr>
          <w:rFonts w:ascii="Arial" w:hAnsi="Arial" w:cs="Arial"/>
          <w:sz w:val="24"/>
        </w:rPr>
        <w:t xml:space="preserve">l </w:t>
      </w:r>
      <w:r w:rsidR="00AC530A">
        <w:rPr>
          <w:rFonts w:ascii="Arial" w:hAnsi="Arial" w:cs="Arial"/>
          <w:sz w:val="24"/>
        </w:rPr>
        <w:t xml:space="preserve">ejercicio de dichos recursos </w:t>
      </w:r>
      <w:r w:rsidR="00392543">
        <w:rPr>
          <w:rFonts w:ascii="Arial" w:hAnsi="Arial" w:cs="Arial"/>
          <w:sz w:val="24"/>
        </w:rPr>
        <w:t>de acuerdo al propósito para el que fueron destinados.</w:t>
      </w:r>
    </w:p>
    <w:p w14:paraId="75D7AC9B" w14:textId="77777777" w:rsidR="00B01491" w:rsidRDefault="00B01491" w:rsidP="00C041EB">
      <w:pPr>
        <w:spacing w:after="0" w:line="240" w:lineRule="auto"/>
        <w:jc w:val="both"/>
        <w:rPr>
          <w:rFonts w:ascii="Arial" w:hAnsi="Arial" w:cs="Arial"/>
          <w:sz w:val="24"/>
        </w:rPr>
      </w:pPr>
    </w:p>
    <w:p w14:paraId="6E05B708" w14:textId="34198576" w:rsidR="00B01491" w:rsidRDefault="00B01491" w:rsidP="00C041EB">
      <w:pPr>
        <w:spacing w:after="0" w:line="240" w:lineRule="auto"/>
        <w:jc w:val="both"/>
        <w:rPr>
          <w:rFonts w:ascii="Arial" w:hAnsi="Arial" w:cs="Arial"/>
          <w:sz w:val="24"/>
        </w:rPr>
      </w:pPr>
      <w:r>
        <w:rPr>
          <w:rFonts w:ascii="Arial" w:hAnsi="Arial" w:cs="Arial"/>
          <w:sz w:val="24"/>
        </w:rPr>
        <w:t>En el proceso de integración del presente proyecto, se otorgó especial atención a la evaluación y se tomaron en cons</w:t>
      </w:r>
      <w:r w:rsidR="00C15D84">
        <w:rPr>
          <w:rFonts w:ascii="Arial" w:hAnsi="Arial" w:cs="Arial"/>
          <w:sz w:val="24"/>
        </w:rPr>
        <w:t xml:space="preserve">ideración los resultados </w:t>
      </w:r>
      <w:r>
        <w:rPr>
          <w:rFonts w:ascii="Arial" w:hAnsi="Arial" w:cs="Arial"/>
          <w:sz w:val="24"/>
        </w:rPr>
        <w:t xml:space="preserve">de </w:t>
      </w:r>
      <w:r w:rsidR="00C15D84">
        <w:rPr>
          <w:rFonts w:ascii="Arial" w:hAnsi="Arial" w:cs="Arial"/>
          <w:sz w:val="24"/>
        </w:rPr>
        <w:t xml:space="preserve">los </w:t>
      </w:r>
      <w:r>
        <w:rPr>
          <w:rFonts w:ascii="Arial" w:hAnsi="Arial" w:cs="Arial"/>
          <w:sz w:val="24"/>
        </w:rPr>
        <w:t xml:space="preserve">Programas Presupuestarios que fueron </w:t>
      </w:r>
      <w:r w:rsidR="002B15B4">
        <w:rPr>
          <w:rFonts w:ascii="Arial" w:hAnsi="Arial" w:cs="Arial"/>
          <w:sz w:val="24"/>
        </w:rPr>
        <w:t>valorados</w:t>
      </w:r>
      <w:r>
        <w:rPr>
          <w:rFonts w:ascii="Arial" w:hAnsi="Arial" w:cs="Arial"/>
          <w:sz w:val="24"/>
        </w:rPr>
        <w:t xml:space="preserve"> por agentes externos, mismas que </w:t>
      </w:r>
      <w:r w:rsidR="007D2E94">
        <w:rPr>
          <w:rFonts w:ascii="Arial" w:hAnsi="Arial" w:cs="Arial"/>
          <w:sz w:val="24"/>
        </w:rPr>
        <w:t xml:space="preserve">han sido </w:t>
      </w:r>
      <w:r w:rsidR="007D75F1">
        <w:rPr>
          <w:rFonts w:ascii="Arial" w:hAnsi="Arial" w:cs="Arial"/>
          <w:sz w:val="24"/>
        </w:rPr>
        <w:t>incluidas en los Programas Anuales de E</w:t>
      </w:r>
      <w:r>
        <w:rPr>
          <w:rFonts w:ascii="Arial" w:hAnsi="Arial" w:cs="Arial"/>
          <w:sz w:val="24"/>
        </w:rPr>
        <w:t>valuación correspondiente</w:t>
      </w:r>
      <w:r w:rsidR="002B15B4">
        <w:rPr>
          <w:rFonts w:ascii="Arial" w:hAnsi="Arial" w:cs="Arial"/>
          <w:sz w:val="24"/>
        </w:rPr>
        <w:t xml:space="preserve">s a los ejercicios 2016, 2017, </w:t>
      </w:r>
      <w:r>
        <w:rPr>
          <w:rFonts w:ascii="Arial" w:hAnsi="Arial" w:cs="Arial"/>
          <w:sz w:val="24"/>
        </w:rPr>
        <w:t>2018</w:t>
      </w:r>
      <w:r w:rsidR="002B15B4">
        <w:rPr>
          <w:rFonts w:ascii="Arial" w:hAnsi="Arial" w:cs="Arial"/>
          <w:sz w:val="24"/>
        </w:rPr>
        <w:t xml:space="preserve"> y 2019</w:t>
      </w:r>
      <w:r>
        <w:rPr>
          <w:rFonts w:ascii="Arial" w:hAnsi="Arial" w:cs="Arial"/>
          <w:sz w:val="24"/>
        </w:rPr>
        <w:t>.</w:t>
      </w:r>
      <w:r w:rsidR="00AA2C2F">
        <w:rPr>
          <w:rFonts w:ascii="Arial" w:hAnsi="Arial" w:cs="Arial"/>
          <w:sz w:val="24"/>
        </w:rPr>
        <w:t xml:space="preserve"> </w:t>
      </w:r>
      <w:r>
        <w:rPr>
          <w:rFonts w:ascii="Arial" w:hAnsi="Arial" w:cs="Arial"/>
          <w:sz w:val="24"/>
        </w:rPr>
        <w:t xml:space="preserve">Con dicha acción se </w:t>
      </w:r>
      <w:r w:rsidR="002B15B4">
        <w:rPr>
          <w:rFonts w:ascii="Arial" w:hAnsi="Arial" w:cs="Arial"/>
          <w:sz w:val="24"/>
        </w:rPr>
        <w:t xml:space="preserve">atiende a lo previsto </w:t>
      </w:r>
      <w:r>
        <w:rPr>
          <w:rFonts w:ascii="Arial" w:hAnsi="Arial" w:cs="Arial"/>
          <w:sz w:val="24"/>
        </w:rPr>
        <w:t>en el artículo 108 de la Constitución Política del E</w:t>
      </w:r>
      <w:r w:rsidR="00AA2C2F">
        <w:rPr>
          <w:rFonts w:ascii="Arial" w:hAnsi="Arial" w:cs="Arial"/>
          <w:sz w:val="24"/>
        </w:rPr>
        <w:t>s</w:t>
      </w:r>
      <w:r w:rsidR="008D41BD">
        <w:rPr>
          <w:rFonts w:ascii="Arial" w:hAnsi="Arial" w:cs="Arial"/>
          <w:sz w:val="24"/>
        </w:rPr>
        <w:t>tado Libre y Soberano de Colima y el 134 de la Constitución Política de los Estados Unidos Mexicanos.</w:t>
      </w:r>
    </w:p>
    <w:p w14:paraId="6C4BB081" w14:textId="77777777" w:rsidR="00B01491" w:rsidRDefault="00B01491" w:rsidP="00B01491">
      <w:pPr>
        <w:spacing w:after="0" w:line="240" w:lineRule="auto"/>
        <w:jc w:val="both"/>
        <w:rPr>
          <w:rFonts w:ascii="Arial" w:hAnsi="Arial" w:cs="Arial"/>
          <w:i/>
          <w:sz w:val="24"/>
        </w:rPr>
      </w:pPr>
    </w:p>
    <w:p w14:paraId="2EBF35C8" w14:textId="1A84B521" w:rsidR="00DD3020" w:rsidRDefault="00615B5D" w:rsidP="00C041EB">
      <w:pPr>
        <w:spacing w:after="0" w:line="240" w:lineRule="auto"/>
        <w:jc w:val="both"/>
        <w:rPr>
          <w:rFonts w:ascii="Arial" w:hAnsi="Arial" w:cs="Arial"/>
          <w:sz w:val="24"/>
        </w:rPr>
      </w:pPr>
      <w:r>
        <w:rPr>
          <w:rFonts w:ascii="Arial" w:hAnsi="Arial" w:cs="Arial"/>
          <w:sz w:val="24"/>
        </w:rPr>
        <w:t>Aunado a ello, y atendiendo lo previsto en el Objetivo IV.1.3 del Plan Estatal de Desarro</w:t>
      </w:r>
      <w:r w:rsidR="009B7A2D">
        <w:rPr>
          <w:rFonts w:ascii="Arial" w:hAnsi="Arial" w:cs="Arial"/>
          <w:sz w:val="24"/>
        </w:rPr>
        <w:t xml:space="preserve">llo, la presente administración </w:t>
      </w:r>
      <w:r w:rsidR="001835D0">
        <w:rPr>
          <w:rFonts w:ascii="Arial" w:hAnsi="Arial" w:cs="Arial"/>
          <w:sz w:val="24"/>
        </w:rPr>
        <w:t>continuará impulsando acciones</w:t>
      </w:r>
      <w:r w:rsidR="009B7A2D">
        <w:rPr>
          <w:rFonts w:ascii="Arial" w:hAnsi="Arial" w:cs="Arial"/>
          <w:sz w:val="24"/>
        </w:rPr>
        <w:t xml:space="preserve"> encaminadas a sanear el Sistema de P</w:t>
      </w:r>
      <w:r>
        <w:rPr>
          <w:rFonts w:ascii="Arial" w:hAnsi="Arial" w:cs="Arial"/>
          <w:sz w:val="24"/>
        </w:rPr>
        <w:t xml:space="preserve">ensiones del Estado mediante su evaluación, reestructuración </w:t>
      </w:r>
      <w:r w:rsidR="00DD3020">
        <w:rPr>
          <w:rFonts w:ascii="Arial" w:hAnsi="Arial" w:cs="Arial"/>
          <w:sz w:val="24"/>
        </w:rPr>
        <w:t>y seguimiento, con el fin de reducir la carga fiscal a mediano plazo, garantizar y regular la seguridad social, así como buscar la sustentabilidad financiera del sistema de pensiones de los servidores públicos.</w:t>
      </w:r>
    </w:p>
    <w:p w14:paraId="787F094D" w14:textId="77777777" w:rsidR="00DD3020" w:rsidRDefault="00DD3020" w:rsidP="00C041EB">
      <w:pPr>
        <w:spacing w:after="0" w:line="240" w:lineRule="auto"/>
        <w:jc w:val="both"/>
        <w:rPr>
          <w:rFonts w:ascii="Arial" w:hAnsi="Arial" w:cs="Arial"/>
          <w:sz w:val="24"/>
        </w:rPr>
      </w:pPr>
    </w:p>
    <w:p w14:paraId="3C94D266" w14:textId="1EDD9CEC" w:rsidR="00DD3020" w:rsidRPr="008D41BD" w:rsidRDefault="001835D0" w:rsidP="00C041EB">
      <w:pPr>
        <w:spacing w:after="0" w:line="240" w:lineRule="auto"/>
        <w:jc w:val="both"/>
        <w:rPr>
          <w:rFonts w:ascii="Arial" w:hAnsi="Arial" w:cs="Arial"/>
          <w:sz w:val="24"/>
        </w:rPr>
      </w:pPr>
      <w:r w:rsidRPr="008D41BD">
        <w:rPr>
          <w:rFonts w:ascii="Arial" w:hAnsi="Arial" w:cs="Arial"/>
          <w:sz w:val="24"/>
        </w:rPr>
        <w:t xml:space="preserve">Producto de lo anterior, </w:t>
      </w:r>
      <w:r w:rsidR="000D30A6" w:rsidRPr="008D41BD">
        <w:rPr>
          <w:rFonts w:ascii="Arial" w:hAnsi="Arial" w:cs="Arial"/>
          <w:sz w:val="24"/>
        </w:rPr>
        <w:t xml:space="preserve">en el presente Proyecto se contemplan </w:t>
      </w:r>
      <w:r w:rsidR="00F64CB2" w:rsidRPr="008D41BD">
        <w:rPr>
          <w:rFonts w:ascii="Arial" w:hAnsi="Arial" w:cs="Arial"/>
          <w:sz w:val="24"/>
        </w:rPr>
        <w:t xml:space="preserve">las </w:t>
      </w:r>
      <w:r w:rsidR="000D30A6" w:rsidRPr="008D41BD">
        <w:rPr>
          <w:rFonts w:ascii="Arial" w:hAnsi="Arial" w:cs="Arial"/>
          <w:sz w:val="24"/>
        </w:rPr>
        <w:t>previsiones y asignaciones presupuestarias en materia de cuotas y aportaciones previstas en los artículos 13 y 60 de la Ley de Pensiones de los Servidores Públicos del Estado de Colima, tales como:</w:t>
      </w:r>
    </w:p>
    <w:p w14:paraId="34585D9C" w14:textId="77777777" w:rsidR="000D30A6" w:rsidRPr="008D41BD" w:rsidRDefault="000D30A6" w:rsidP="00C041EB">
      <w:pPr>
        <w:spacing w:after="0" w:line="240" w:lineRule="auto"/>
        <w:jc w:val="both"/>
        <w:rPr>
          <w:rFonts w:ascii="Arial" w:hAnsi="Arial" w:cs="Arial"/>
          <w:sz w:val="24"/>
        </w:rPr>
      </w:pPr>
    </w:p>
    <w:p w14:paraId="3D0BF93F" w14:textId="689905FD" w:rsidR="000D30A6" w:rsidRPr="008D41BD" w:rsidRDefault="000D30A6" w:rsidP="000D30A6">
      <w:pPr>
        <w:pStyle w:val="Prrafodelista"/>
        <w:numPr>
          <w:ilvl w:val="0"/>
          <w:numId w:val="2"/>
        </w:numPr>
        <w:spacing w:after="0" w:line="240" w:lineRule="auto"/>
        <w:jc w:val="both"/>
        <w:rPr>
          <w:rFonts w:ascii="Arial" w:hAnsi="Arial" w:cs="Arial"/>
          <w:sz w:val="24"/>
        </w:rPr>
      </w:pPr>
      <w:r w:rsidRPr="008D41BD">
        <w:rPr>
          <w:rFonts w:ascii="Arial" w:hAnsi="Arial" w:cs="Arial"/>
          <w:sz w:val="24"/>
        </w:rPr>
        <w:t>Una aportación diferenciada a cargo de la Entidad Pública Patronal, co</w:t>
      </w:r>
      <w:r w:rsidR="001835D0" w:rsidRPr="008D41BD">
        <w:rPr>
          <w:rFonts w:ascii="Arial" w:hAnsi="Arial" w:cs="Arial"/>
          <w:sz w:val="24"/>
        </w:rPr>
        <w:t>nsistente en un porcentaje</w:t>
      </w:r>
      <w:r w:rsidRPr="008D41BD">
        <w:rPr>
          <w:rFonts w:ascii="Arial" w:hAnsi="Arial" w:cs="Arial"/>
          <w:sz w:val="24"/>
        </w:rPr>
        <w:t xml:space="preserve">, de los salarios de cotización, por cada uno </w:t>
      </w:r>
      <w:r w:rsidR="00F54118" w:rsidRPr="008D41BD">
        <w:rPr>
          <w:rFonts w:ascii="Arial" w:hAnsi="Arial" w:cs="Arial"/>
          <w:sz w:val="24"/>
        </w:rPr>
        <w:t>de los servidores públicos estatales inscritos al Instituto; y,</w:t>
      </w:r>
    </w:p>
    <w:p w14:paraId="0F65BBFC" w14:textId="77777777" w:rsidR="00F54118" w:rsidRPr="008D41BD" w:rsidRDefault="00F54118" w:rsidP="000D30A6">
      <w:pPr>
        <w:pStyle w:val="Prrafodelista"/>
        <w:numPr>
          <w:ilvl w:val="0"/>
          <w:numId w:val="2"/>
        </w:numPr>
        <w:spacing w:after="0" w:line="240" w:lineRule="auto"/>
        <w:jc w:val="both"/>
        <w:rPr>
          <w:rFonts w:ascii="Arial" w:hAnsi="Arial" w:cs="Arial"/>
          <w:sz w:val="24"/>
        </w:rPr>
      </w:pPr>
      <w:r w:rsidRPr="008D41BD">
        <w:rPr>
          <w:rFonts w:ascii="Arial" w:hAnsi="Arial" w:cs="Arial"/>
          <w:sz w:val="24"/>
        </w:rPr>
        <w:lastRenderedPageBreak/>
        <w:t>Aportaciones extraordinarias al Instituto de Pensiones de los Servidores Públicos del Estado de Colima.</w:t>
      </w:r>
    </w:p>
    <w:p w14:paraId="4CE95AB5" w14:textId="77777777" w:rsidR="00F54118" w:rsidRDefault="00F54118" w:rsidP="00F54118">
      <w:pPr>
        <w:spacing w:after="0" w:line="240" w:lineRule="auto"/>
        <w:jc w:val="both"/>
        <w:rPr>
          <w:rFonts w:ascii="Arial" w:hAnsi="Arial" w:cs="Arial"/>
          <w:sz w:val="24"/>
        </w:rPr>
      </w:pPr>
    </w:p>
    <w:p w14:paraId="2F49B962" w14:textId="77777777" w:rsidR="00F54118" w:rsidRDefault="00F54118" w:rsidP="00F54118">
      <w:pPr>
        <w:spacing w:after="0" w:line="240" w:lineRule="auto"/>
        <w:jc w:val="both"/>
        <w:rPr>
          <w:rFonts w:ascii="Arial" w:hAnsi="Arial" w:cs="Arial"/>
          <w:sz w:val="24"/>
        </w:rPr>
      </w:pPr>
      <w:r>
        <w:rPr>
          <w:rFonts w:ascii="Arial" w:hAnsi="Arial" w:cs="Arial"/>
          <w:sz w:val="24"/>
        </w:rPr>
        <w:t xml:space="preserve">En otro orden de ideas, el presente </w:t>
      </w:r>
      <w:r w:rsidR="007D2E94">
        <w:rPr>
          <w:rFonts w:ascii="Arial" w:hAnsi="Arial" w:cs="Arial"/>
          <w:sz w:val="24"/>
        </w:rPr>
        <w:t>P</w:t>
      </w:r>
      <w:r>
        <w:rPr>
          <w:rFonts w:ascii="Arial" w:hAnsi="Arial" w:cs="Arial"/>
          <w:sz w:val="24"/>
        </w:rPr>
        <w:t>royecto que se somete a la consideración de esa Honorable Soberanía, incluye un apartado correspondiente a un tema que cobra cada vez mayor relevancia y que tiene como propósito el impulsar la participación ciudadana en la presupuestación vía el Presupuesto Participativo.</w:t>
      </w:r>
    </w:p>
    <w:p w14:paraId="3A59A018" w14:textId="77777777" w:rsidR="00F54118" w:rsidRDefault="00F54118" w:rsidP="00F54118">
      <w:pPr>
        <w:spacing w:after="0" w:line="240" w:lineRule="auto"/>
        <w:jc w:val="both"/>
        <w:rPr>
          <w:rFonts w:ascii="Arial" w:hAnsi="Arial" w:cs="Arial"/>
          <w:sz w:val="24"/>
        </w:rPr>
      </w:pPr>
    </w:p>
    <w:p w14:paraId="1B5F9B1A" w14:textId="5BF45E80" w:rsidR="007E4035" w:rsidRDefault="00F54118" w:rsidP="00F54118">
      <w:pPr>
        <w:spacing w:after="0" w:line="240" w:lineRule="auto"/>
        <w:jc w:val="both"/>
        <w:rPr>
          <w:rFonts w:ascii="Arial" w:hAnsi="Arial" w:cs="Arial"/>
          <w:sz w:val="24"/>
        </w:rPr>
      </w:pPr>
      <w:r>
        <w:rPr>
          <w:rFonts w:ascii="Arial" w:hAnsi="Arial" w:cs="Arial"/>
          <w:sz w:val="24"/>
        </w:rPr>
        <w:t xml:space="preserve">El Presupuesto Participativo es una política pública que permite que los ciudadanos diseñen con las autoridades la forma en que se implementará el presupuesto público, en México dicha práctica se ha realizado en </w:t>
      </w:r>
      <w:r w:rsidR="00F64CB2">
        <w:rPr>
          <w:rFonts w:ascii="Arial" w:hAnsi="Arial" w:cs="Arial"/>
          <w:sz w:val="24"/>
        </w:rPr>
        <w:t xml:space="preserve">el </w:t>
      </w:r>
      <w:r>
        <w:rPr>
          <w:rFonts w:ascii="Arial" w:hAnsi="Arial" w:cs="Arial"/>
          <w:sz w:val="24"/>
        </w:rPr>
        <w:t>estado de Nuevo León</w:t>
      </w:r>
      <w:r w:rsidR="001835D0">
        <w:rPr>
          <w:rFonts w:ascii="Arial" w:hAnsi="Arial" w:cs="Arial"/>
          <w:sz w:val="24"/>
        </w:rPr>
        <w:t xml:space="preserve"> y en la Ciudad de México, por mencionar algunos. </w:t>
      </w:r>
    </w:p>
    <w:p w14:paraId="3DCDFAE1" w14:textId="77777777" w:rsidR="007E4035" w:rsidRDefault="007E4035" w:rsidP="00F54118">
      <w:pPr>
        <w:spacing w:after="0" w:line="240" w:lineRule="auto"/>
        <w:jc w:val="both"/>
        <w:rPr>
          <w:rFonts w:ascii="Arial" w:hAnsi="Arial" w:cs="Arial"/>
          <w:sz w:val="24"/>
        </w:rPr>
      </w:pPr>
    </w:p>
    <w:p w14:paraId="221E59B0" w14:textId="4B19393D" w:rsidR="00F54118" w:rsidRDefault="007E4035" w:rsidP="00F54118">
      <w:pPr>
        <w:spacing w:after="0" w:line="240" w:lineRule="auto"/>
        <w:jc w:val="both"/>
        <w:rPr>
          <w:rFonts w:ascii="Arial" w:hAnsi="Arial" w:cs="Arial"/>
          <w:sz w:val="24"/>
        </w:rPr>
      </w:pPr>
      <w:r>
        <w:rPr>
          <w:rFonts w:ascii="Arial" w:hAnsi="Arial" w:cs="Arial"/>
          <w:sz w:val="24"/>
        </w:rPr>
        <w:t>El Gobierno del Esta</w:t>
      </w:r>
      <w:r w:rsidR="00EF606F">
        <w:rPr>
          <w:rFonts w:ascii="Arial" w:hAnsi="Arial" w:cs="Arial"/>
          <w:sz w:val="24"/>
        </w:rPr>
        <w:t xml:space="preserve">do de Colima, como un ejercicio </w:t>
      </w:r>
      <w:r>
        <w:rPr>
          <w:rFonts w:ascii="Arial" w:hAnsi="Arial" w:cs="Arial"/>
          <w:sz w:val="24"/>
        </w:rPr>
        <w:t>de Presupuesto Participativo y en cumplimiento a la Ley de Fomento a las Organizaciones de la Socieda</w:t>
      </w:r>
      <w:r w:rsidR="00F64CB2">
        <w:rPr>
          <w:rFonts w:ascii="Arial" w:hAnsi="Arial" w:cs="Arial"/>
          <w:sz w:val="24"/>
        </w:rPr>
        <w:t>d Civil de Estado de Colima</w:t>
      </w:r>
      <w:r w:rsidR="00EF606F">
        <w:rPr>
          <w:rFonts w:ascii="Arial" w:hAnsi="Arial" w:cs="Arial"/>
          <w:sz w:val="24"/>
        </w:rPr>
        <w:t xml:space="preserve"> desde </w:t>
      </w:r>
      <w:r>
        <w:rPr>
          <w:rFonts w:ascii="Arial" w:hAnsi="Arial" w:cs="Arial"/>
          <w:sz w:val="24"/>
        </w:rPr>
        <w:t>2018</w:t>
      </w:r>
      <w:r w:rsidR="00EF606F">
        <w:rPr>
          <w:rFonts w:ascii="Arial" w:hAnsi="Arial" w:cs="Arial"/>
          <w:sz w:val="24"/>
        </w:rPr>
        <w:t xml:space="preserve"> ha destinado</w:t>
      </w:r>
      <w:r>
        <w:rPr>
          <w:rFonts w:ascii="Arial" w:hAnsi="Arial" w:cs="Arial"/>
          <w:sz w:val="24"/>
        </w:rPr>
        <w:t>, con la aprobación del H. Congreso</w:t>
      </w:r>
      <w:r w:rsidR="00533CEF">
        <w:rPr>
          <w:rFonts w:ascii="Arial" w:hAnsi="Arial" w:cs="Arial"/>
          <w:sz w:val="24"/>
        </w:rPr>
        <w:t xml:space="preserve"> Estatal</w:t>
      </w:r>
      <w:r>
        <w:rPr>
          <w:rFonts w:ascii="Arial" w:hAnsi="Arial" w:cs="Arial"/>
          <w:sz w:val="24"/>
        </w:rPr>
        <w:t xml:space="preserve"> recursos a la partida “Ayudas para el fomento a las Organizaciones de la Sociedad Civil</w:t>
      </w:r>
      <w:r w:rsidR="007367F4">
        <w:rPr>
          <w:rFonts w:ascii="Arial" w:hAnsi="Arial" w:cs="Arial"/>
          <w:sz w:val="24"/>
        </w:rPr>
        <w:t>”</w:t>
      </w:r>
      <w:r>
        <w:rPr>
          <w:rFonts w:ascii="Arial" w:hAnsi="Arial" w:cs="Arial"/>
          <w:sz w:val="24"/>
        </w:rPr>
        <w:t>, para que la sociedad civil organizada, por medio de un Registro Estatal de Organizaciones y a través de un</w:t>
      </w:r>
      <w:r w:rsidR="008B0EB5">
        <w:rPr>
          <w:rFonts w:ascii="Arial" w:hAnsi="Arial" w:cs="Arial"/>
          <w:sz w:val="24"/>
        </w:rPr>
        <w:t>a convocatoria pública defina</w:t>
      </w:r>
      <w:r>
        <w:rPr>
          <w:rFonts w:ascii="Arial" w:hAnsi="Arial" w:cs="Arial"/>
          <w:sz w:val="24"/>
        </w:rPr>
        <w:t xml:space="preserve"> s</w:t>
      </w:r>
      <w:r w:rsidR="0089377E">
        <w:rPr>
          <w:rFonts w:ascii="Arial" w:hAnsi="Arial" w:cs="Arial"/>
          <w:sz w:val="24"/>
        </w:rPr>
        <w:t xml:space="preserve">u aplicación, mediante </w:t>
      </w:r>
      <w:r>
        <w:rPr>
          <w:rFonts w:ascii="Arial" w:hAnsi="Arial" w:cs="Arial"/>
          <w:sz w:val="24"/>
        </w:rPr>
        <w:t>la presentación de proyectos que</w:t>
      </w:r>
      <w:r w:rsidR="00F54118">
        <w:rPr>
          <w:rFonts w:ascii="Arial" w:hAnsi="Arial" w:cs="Arial"/>
          <w:sz w:val="24"/>
        </w:rPr>
        <w:t xml:space="preserve"> </w:t>
      </w:r>
      <w:r w:rsidR="008B0EB5">
        <w:rPr>
          <w:rFonts w:ascii="Arial" w:hAnsi="Arial" w:cs="Arial"/>
          <w:sz w:val="24"/>
        </w:rPr>
        <w:t xml:space="preserve">se aprueban </w:t>
      </w:r>
      <w:r>
        <w:rPr>
          <w:rFonts w:ascii="Arial" w:hAnsi="Arial" w:cs="Arial"/>
          <w:sz w:val="24"/>
        </w:rPr>
        <w:t>en el seno de la Comisión de Fomento a las Organizaciones de la Sociedad Civil.</w:t>
      </w:r>
    </w:p>
    <w:p w14:paraId="01638783" w14:textId="77777777" w:rsidR="007E4035" w:rsidRDefault="007E4035" w:rsidP="00F54118">
      <w:pPr>
        <w:spacing w:after="0" w:line="240" w:lineRule="auto"/>
        <w:jc w:val="both"/>
        <w:rPr>
          <w:rFonts w:ascii="Arial" w:hAnsi="Arial" w:cs="Arial"/>
          <w:sz w:val="24"/>
        </w:rPr>
      </w:pPr>
    </w:p>
    <w:p w14:paraId="62526682" w14:textId="4DC70160" w:rsidR="007E4035" w:rsidRDefault="007E4035" w:rsidP="00F54118">
      <w:pPr>
        <w:spacing w:after="0" w:line="240" w:lineRule="auto"/>
        <w:jc w:val="both"/>
        <w:rPr>
          <w:rFonts w:ascii="Arial" w:hAnsi="Arial" w:cs="Arial"/>
          <w:sz w:val="24"/>
        </w:rPr>
      </w:pPr>
      <w:r>
        <w:rPr>
          <w:rFonts w:ascii="Arial" w:hAnsi="Arial" w:cs="Arial"/>
          <w:sz w:val="24"/>
        </w:rPr>
        <w:t>Con el propósito de continuar con el impulso de la participación social en la presupuestación, para el ejercicio fiscal 202</w:t>
      </w:r>
      <w:r w:rsidR="00533CEF">
        <w:rPr>
          <w:rFonts w:ascii="Arial" w:hAnsi="Arial" w:cs="Arial"/>
          <w:sz w:val="24"/>
        </w:rPr>
        <w:t>1</w:t>
      </w:r>
      <w:r>
        <w:rPr>
          <w:rFonts w:ascii="Arial" w:hAnsi="Arial" w:cs="Arial"/>
          <w:sz w:val="24"/>
        </w:rPr>
        <w:t xml:space="preserve">, el </w:t>
      </w:r>
      <w:r w:rsidR="00EF606F">
        <w:rPr>
          <w:rFonts w:ascii="Arial" w:hAnsi="Arial" w:cs="Arial"/>
          <w:sz w:val="24"/>
        </w:rPr>
        <w:t xml:space="preserve">presente Proyecto de </w:t>
      </w:r>
      <w:r>
        <w:rPr>
          <w:rFonts w:ascii="Arial" w:hAnsi="Arial" w:cs="Arial"/>
          <w:sz w:val="24"/>
        </w:rPr>
        <w:t>Presupuesto de Egresos incluye un apartado correspondient</w:t>
      </w:r>
      <w:r w:rsidR="003B4927">
        <w:rPr>
          <w:rFonts w:ascii="Arial" w:hAnsi="Arial" w:cs="Arial"/>
          <w:sz w:val="24"/>
        </w:rPr>
        <w:t xml:space="preserve">e </w:t>
      </w:r>
      <w:r w:rsidR="00EF606F">
        <w:rPr>
          <w:rFonts w:ascii="Arial" w:hAnsi="Arial" w:cs="Arial"/>
          <w:sz w:val="24"/>
        </w:rPr>
        <w:t>a</w:t>
      </w:r>
      <w:r>
        <w:rPr>
          <w:rFonts w:ascii="Arial" w:hAnsi="Arial" w:cs="Arial"/>
          <w:sz w:val="24"/>
        </w:rPr>
        <w:t xml:space="preserve">l Presupuesto Participativo, por medio de la asignación presupuestaria a los siguientes apartados: </w:t>
      </w:r>
    </w:p>
    <w:p w14:paraId="0E3372BB" w14:textId="77777777" w:rsidR="007E4035" w:rsidRDefault="007E4035" w:rsidP="00F54118">
      <w:pPr>
        <w:spacing w:after="0" w:line="240" w:lineRule="auto"/>
        <w:jc w:val="both"/>
        <w:rPr>
          <w:rFonts w:ascii="Arial" w:hAnsi="Arial" w:cs="Arial"/>
          <w:sz w:val="24"/>
        </w:rPr>
      </w:pPr>
    </w:p>
    <w:p w14:paraId="66C52548" w14:textId="77777777" w:rsidR="007E4035" w:rsidRDefault="007E4035" w:rsidP="007E4035">
      <w:pPr>
        <w:pStyle w:val="Prrafodelista"/>
        <w:numPr>
          <w:ilvl w:val="0"/>
          <w:numId w:val="3"/>
        </w:numPr>
        <w:spacing w:after="0" w:line="240" w:lineRule="auto"/>
        <w:jc w:val="both"/>
        <w:rPr>
          <w:rFonts w:ascii="Arial" w:hAnsi="Arial" w:cs="Arial"/>
          <w:sz w:val="24"/>
        </w:rPr>
      </w:pPr>
      <w:r>
        <w:rPr>
          <w:rFonts w:ascii="Arial" w:hAnsi="Arial" w:cs="Arial"/>
          <w:sz w:val="24"/>
        </w:rPr>
        <w:t>La asignación presupuestal destinada a financiar proyectos de las Organizaciones de la Sociedad Civil;</w:t>
      </w:r>
    </w:p>
    <w:p w14:paraId="34342196" w14:textId="77777777" w:rsidR="003B4927" w:rsidRPr="003B4927" w:rsidRDefault="007E4035" w:rsidP="003B4927">
      <w:pPr>
        <w:pStyle w:val="Prrafodelista"/>
        <w:numPr>
          <w:ilvl w:val="0"/>
          <w:numId w:val="3"/>
        </w:numPr>
        <w:spacing w:after="0" w:line="240" w:lineRule="auto"/>
        <w:jc w:val="both"/>
        <w:rPr>
          <w:rFonts w:ascii="Arial" w:hAnsi="Arial" w:cs="Arial"/>
          <w:sz w:val="24"/>
        </w:rPr>
      </w:pPr>
      <w:r>
        <w:rPr>
          <w:rFonts w:ascii="Arial" w:hAnsi="Arial" w:cs="Arial"/>
          <w:sz w:val="24"/>
        </w:rPr>
        <w:t>La asignación pre</w:t>
      </w:r>
      <w:r w:rsidR="00EF606F">
        <w:rPr>
          <w:rFonts w:ascii="Arial" w:hAnsi="Arial" w:cs="Arial"/>
          <w:sz w:val="24"/>
        </w:rPr>
        <w:t xml:space="preserve">supuestal destinada a </w:t>
      </w:r>
      <w:r w:rsidR="007367F4">
        <w:rPr>
          <w:rFonts w:ascii="Arial" w:hAnsi="Arial" w:cs="Arial"/>
          <w:sz w:val="24"/>
        </w:rPr>
        <w:t>financiar</w:t>
      </w:r>
      <w:r>
        <w:rPr>
          <w:rFonts w:ascii="Arial" w:hAnsi="Arial" w:cs="Arial"/>
          <w:sz w:val="24"/>
        </w:rPr>
        <w:t xml:space="preserve"> proyectos de las Instituciones de Asistencia Privada; y</w:t>
      </w:r>
    </w:p>
    <w:p w14:paraId="4EF93695" w14:textId="77777777" w:rsidR="003B4927" w:rsidRDefault="003B4927" w:rsidP="007E4035">
      <w:pPr>
        <w:pStyle w:val="Prrafodelista"/>
        <w:numPr>
          <w:ilvl w:val="0"/>
          <w:numId w:val="3"/>
        </w:numPr>
        <w:spacing w:after="0" w:line="240" w:lineRule="auto"/>
        <w:jc w:val="both"/>
        <w:rPr>
          <w:rFonts w:ascii="Arial" w:hAnsi="Arial" w:cs="Arial"/>
          <w:sz w:val="24"/>
        </w:rPr>
      </w:pPr>
      <w:r>
        <w:rPr>
          <w:rFonts w:ascii="Arial" w:hAnsi="Arial" w:cs="Arial"/>
          <w:sz w:val="24"/>
        </w:rPr>
        <w:t>La asignación presupuestal destinada a ayudas extraordinarias a las Organizaciones de la Sociedad Civil.</w:t>
      </w:r>
    </w:p>
    <w:p w14:paraId="49AFC9B8" w14:textId="77777777" w:rsidR="000F15DD" w:rsidRDefault="000F15DD" w:rsidP="003B4927">
      <w:pPr>
        <w:spacing w:after="0" w:line="240" w:lineRule="auto"/>
        <w:jc w:val="both"/>
        <w:rPr>
          <w:rFonts w:ascii="Arial" w:hAnsi="Arial" w:cs="Arial"/>
          <w:sz w:val="24"/>
        </w:rPr>
      </w:pPr>
    </w:p>
    <w:p w14:paraId="47A18B44" w14:textId="20FC2FB7" w:rsidR="002F3432" w:rsidRDefault="00124D57" w:rsidP="003B4927">
      <w:pPr>
        <w:spacing w:after="0" w:line="240" w:lineRule="auto"/>
        <w:jc w:val="both"/>
        <w:rPr>
          <w:rFonts w:ascii="Arial" w:hAnsi="Arial" w:cs="Arial"/>
          <w:sz w:val="24"/>
        </w:rPr>
      </w:pPr>
      <w:r w:rsidRPr="00F64CB2">
        <w:rPr>
          <w:rFonts w:ascii="Arial" w:hAnsi="Arial" w:cs="Arial"/>
          <w:sz w:val="24"/>
        </w:rPr>
        <w:t>El Consejo Ejecutivo de la Comisión de Fomento a las Organizaciones de la Sociedad Civil del Estado de Colima</w:t>
      </w:r>
      <w:r w:rsidR="00EC64D2" w:rsidRPr="00F64CB2">
        <w:rPr>
          <w:rFonts w:ascii="Arial" w:hAnsi="Arial" w:cs="Arial"/>
          <w:sz w:val="24"/>
        </w:rPr>
        <w:t xml:space="preserve"> a través de la Convocatoria</w:t>
      </w:r>
      <w:r w:rsidR="00F64CB2">
        <w:rPr>
          <w:rFonts w:ascii="Arial" w:hAnsi="Arial" w:cs="Arial"/>
          <w:sz w:val="24"/>
        </w:rPr>
        <w:t xml:space="preserve"> del</w:t>
      </w:r>
      <w:r w:rsidR="00EC64D2" w:rsidRPr="00F64CB2">
        <w:rPr>
          <w:rFonts w:ascii="Arial" w:hAnsi="Arial" w:cs="Arial"/>
          <w:sz w:val="24"/>
        </w:rPr>
        <w:t xml:space="preserve"> Registro Estatal de Organizaciones</w:t>
      </w:r>
      <w:r w:rsidR="00F64CB2" w:rsidRPr="00F64CB2">
        <w:rPr>
          <w:rFonts w:ascii="Arial" w:hAnsi="Arial" w:cs="Arial"/>
          <w:sz w:val="24"/>
        </w:rPr>
        <w:t xml:space="preserve"> de la Sociedad Civil distribuirá los</w:t>
      </w:r>
      <w:r w:rsidR="00EC64D2" w:rsidRPr="00F64CB2">
        <w:rPr>
          <w:rFonts w:ascii="Arial" w:hAnsi="Arial" w:cs="Arial"/>
          <w:sz w:val="24"/>
        </w:rPr>
        <w:t xml:space="preserve"> recursos</w:t>
      </w:r>
      <w:r w:rsidR="00F64CB2" w:rsidRPr="00F64CB2">
        <w:rPr>
          <w:rFonts w:ascii="Arial" w:hAnsi="Arial" w:cs="Arial"/>
          <w:sz w:val="24"/>
        </w:rPr>
        <w:t xml:space="preserve"> que se </w:t>
      </w:r>
      <w:r w:rsidR="00F64CB2" w:rsidRPr="00F64CB2">
        <w:rPr>
          <w:rFonts w:ascii="Arial" w:hAnsi="Arial" w:cs="Arial"/>
          <w:sz w:val="24"/>
        </w:rPr>
        <w:lastRenderedPageBreak/>
        <w:t>autoricen</w:t>
      </w:r>
      <w:r w:rsidR="00EC64D2" w:rsidRPr="00F64CB2">
        <w:rPr>
          <w:rFonts w:ascii="Arial" w:hAnsi="Arial" w:cs="Arial"/>
          <w:sz w:val="24"/>
        </w:rPr>
        <w:t xml:space="preserve"> para financiar proyectos de la sociedad civil organizada,</w:t>
      </w:r>
      <w:r w:rsidR="006D18B7" w:rsidRPr="00F64CB2">
        <w:rPr>
          <w:rFonts w:ascii="Arial" w:hAnsi="Arial" w:cs="Arial"/>
          <w:sz w:val="24"/>
        </w:rPr>
        <w:t xml:space="preserve"> </w:t>
      </w:r>
      <w:r w:rsidR="00F64CB2" w:rsidRPr="00F64CB2">
        <w:rPr>
          <w:rFonts w:ascii="Arial" w:hAnsi="Arial" w:cs="Arial"/>
          <w:sz w:val="24"/>
        </w:rPr>
        <w:t>durante el ejercicio fiscal 2021.</w:t>
      </w:r>
    </w:p>
    <w:p w14:paraId="1468C34A" w14:textId="77777777" w:rsidR="00F64CB2" w:rsidRPr="002F3432" w:rsidRDefault="00F64CB2" w:rsidP="003B4927">
      <w:pPr>
        <w:spacing w:after="0" w:line="240" w:lineRule="auto"/>
        <w:jc w:val="both"/>
        <w:rPr>
          <w:rFonts w:ascii="Arial" w:hAnsi="Arial" w:cs="Arial"/>
          <w:sz w:val="24"/>
        </w:rPr>
      </w:pPr>
    </w:p>
    <w:p w14:paraId="1B689ADB" w14:textId="0992664D" w:rsidR="003B4927" w:rsidRDefault="00533CEF" w:rsidP="003B4927">
      <w:pPr>
        <w:spacing w:after="0" w:line="240" w:lineRule="auto"/>
        <w:jc w:val="both"/>
        <w:rPr>
          <w:rFonts w:ascii="Arial" w:hAnsi="Arial" w:cs="Arial"/>
          <w:sz w:val="24"/>
        </w:rPr>
      </w:pPr>
      <w:r>
        <w:rPr>
          <w:rFonts w:ascii="Arial" w:hAnsi="Arial" w:cs="Arial"/>
          <w:sz w:val="24"/>
        </w:rPr>
        <w:t>Para cumplir con los fines a los que será destinado y e</w:t>
      </w:r>
      <w:r w:rsidR="003B4927">
        <w:rPr>
          <w:rFonts w:ascii="Arial" w:hAnsi="Arial" w:cs="Arial"/>
          <w:sz w:val="24"/>
        </w:rPr>
        <w:t>n c</w:t>
      </w:r>
      <w:r w:rsidR="006C3958">
        <w:rPr>
          <w:rFonts w:ascii="Arial" w:hAnsi="Arial" w:cs="Arial"/>
          <w:sz w:val="24"/>
        </w:rPr>
        <w:t>onsecuencia</w:t>
      </w:r>
      <w:r>
        <w:rPr>
          <w:rFonts w:ascii="Arial" w:hAnsi="Arial" w:cs="Arial"/>
          <w:sz w:val="24"/>
        </w:rPr>
        <w:t xml:space="preserve"> de lo planteado </w:t>
      </w:r>
      <w:r w:rsidR="003B4927">
        <w:rPr>
          <w:rFonts w:ascii="Arial" w:hAnsi="Arial" w:cs="Arial"/>
          <w:sz w:val="24"/>
        </w:rPr>
        <w:t xml:space="preserve">en la presente </w:t>
      </w:r>
      <w:r w:rsidR="004B5F5B">
        <w:rPr>
          <w:rFonts w:ascii="Arial" w:hAnsi="Arial" w:cs="Arial"/>
          <w:sz w:val="24"/>
        </w:rPr>
        <w:t>I</w:t>
      </w:r>
      <w:r w:rsidR="003B4927">
        <w:rPr>
          <w:rFonts w:ascii="Arial" w:hAnsi="Arial" w:cs="Arial"/>
          <w:sz w:val="24"/>
        </w:rPr>
        <w:t xml:space="preserve">niciativa, el presupuesto total </w:t>
      </w:r>
      <w:r>
        <w:rPr>
          <w:rFonts w:ascii="Arial" w:hAnsi="Arial" w:cs="Arial"/>
          <w:sz w:val="24"/>
        </w:rPr>
        <w:t xml:space="preserve">a ejercer </w:t>
      </w:r>
      <w:r w:rsidR="003B4927">
        <w:rPr>
          <w:rFonts w:ascii="Arial" w:hAnsi="Arial" w:cs="Arial"/>
          <w:sz w:val="24"/>
        </w:rPr>
        <w:t xml:space="preserve">se distribuye </w:t>
      </w:r>
      <w:r>
        <w:rPr>
          <w:rFonts w:ascii="Arial" w:hAnsi="Arial" w:cs="Arial"/>
          <w:sz w:val="24"/>
        </w:rPr>
        <w:t>de la siguiente manera según el origen de sus</w:t>
      </w:r>
      <w:r w:rsidR="003B4927">
        <w:rPr>
          <w:rFonts w:ascii="Arial" w:hAnsi="Arial" w:cs="Arial"/>
          <w:sz w:val="24"/>
        </w:rPr>
        <w:t xml:space="preserve"> Fuentes de Financiamiento:</w:t>
      </w:r>
    </w:p>
    <w:p w14:paraId="1709844D" w14:textId="77777777" w:rsidR="003B4927" w:rsidRDefault="003B4927" w:rsidP="003B4927">
      <w:pPr>
        <w:spacing w:after="0" w:line="240" w:lineRule="auto"/>
        <w:jc w:val="both"/>
        <w:rPr>
          <w:rFonts w:ascii="Arial" w:hAnsi="Arial" w:cs="Arial"/>
          <w:sz w:val="24"/>
        </w:rPr>
      </w:pPr>
    </w:p>
    <w:p w14:paraId="63252F0D" w14:textId="00EC7DED" w:rsidR="003B4927" w:rsidRPr="00C737BF" w:rsidRDefault="00E079D4" w:rsidP="003B4927">
      <w:pPr>
        <w:spacing w:after="0" w:line="240" w:lineRule="auto"/>
        <w:jc w:val="both"/>
        <w:rPr>
          <w:rFonts w:ascii="Arial" w:hAnsi="Arial" w:cs="Arial"/>
          <w:sz w:val="24"/>
        </w:rPr>
      </w:pPr>
      <w:r w:rsidRPr="00080520">
        <w:rPr>
          <w:rFonts w:ascii="Arial" w:hAnsi="Arial" w:cs="Arial"/>
          <w:sz w:val="24"/>
        </w:rPr>
        <w:t>El 12</w:t>
      </w:r>
      <w:r w:rsidR="00643680" w:rsidRPr="00080520">
        <w:rPr>
          <w:rFonts w:ascii="Arial" w:hAnsi="Arial" w:cs="Arial"/>
          <w:sz w:val="24"/>
        </w:rPr>
        <w:t>.0</w:t>
      </w:r>
      <w:r w:rsidR="003B4927" w:rsidRPr="00080520">
        <w:rPr>
          <w:rFonts w:ascii="Arial" w:hAnsi="Arial" w:cs="Arial"/>
          <w:sz w:val="24"/>
        </w:rPr>
        <w:t xml:space="preserve"> por ciento </w:t>
      </w:r>
      <w:r w:rsidR="00F72923" w:rsidRPr="00080520">
        <w:rPr>
          <w:rFonts w:ascii="Arial" w:hAnsi="Arial" w:cs="Arial"/>
          <w:sz w:val="24"/>
        </w:rPr>
        <w:t xml:space="preserve">que </w:t>
      </w:r>
      <w:r w:rsidR="003B4927" w:rsidRPr="00080520">
        <w:rPr>
          <w:rFonts w:ascii="Arial" w:hAnsi="Arial" w:cs="Arial"/>
          <w:sz w:val="24"/>
        </w:rPr>
        <w:t xml:space="preserve">equivale a </w:t>
      </w:r>
      <w:r w:rsidRPr="00080520">
        <w:rPr>
          <w:rFonts w:ascii="Arial" w:hAnsi="Arial" w:cs="Arial"/>
          <w:sz w:val="24"/>
        </w:rPr>
        <w:t>2,124</w:t>
      </w:r>
      <w:r w:rsidR="003B4927" w:rsidRPr="00080520">
        <w:rPr>
          <w:rFonts w:ascii="Arial" w:hAnsi="Arial" w:cs="Arial"/>
          <w:sz w:val="24"/>
        </w:rPr>
        <w:t xml:space="preserve"> millones de pesos, será financ</w:t>
      </w:r>
      <w:r w:rsidRPr="00080520">
        <w:rPr>
          <w:rFonts w:ascii="Arial" w:hAnsi="Arial" w:cs="Arial"/>
          <w:sz w:val="24"/>
        </w:rPr>
        <w:t>iado con ingresos locales; el 78</w:t>
      </w:r>
      <w:r w:rsidR="00643680" w:rsidRPr="00080520">
        <w:rPr>
          <w:rFonts w:ascii="Arial" w:hAnsi="Arial" w:cs="Arial"/>
          <w:sz w:val="24"/>
        </w:rPr>
        <w:t xml:space="preserve">.0 </w:t>
      </w:r>
      <w:r w:rsidR="003B4927" w:rsidRPr="00080520">
        <w:rPr>
          <w:rFonts w:ascii="Arial" w:hAnsi="Arial" w:cs="Arial"/>
          <w:sz w:val="24"/>
        </w:rPr>
        <w:t xml:space="preserve">por ciento asciende a </w:t>
      </w:r>
      <w:r w:rsidR="00402FB2" w:rsidRPr="00080520">
        <w:rPr>
          <w:rFonts w:ascii="Arial" w:hAnsi="Arial" w:cs="Arial"/>
          <w:sz w:val="24"/>
        </w:rPr>
        <w:t>13,687</w:t>
      </w:r>
      <w:r w:rsidR="002A005A" w:rsidRPr="00080520">
        <w:rPr>
          <w:rFonts w:ascii="Arial" w:hAnsi="Arial" w:cs="Arial"/>
          <w:sz w:val="24"/>
        </w:rPr>
        <w:t xml:space="preserve"> </w:t>
      </w:r>
      <w:r w:rsidR="003B4927" w:rsidRPr="00080520">
        <w:rPr>
          <w:rFonts w:ascii="Arial" w:hAnsi="Arial" w:cs="Arial"/>
          <w:sz w:val="24"/>
        </w:rPr>
        <w:t xml:space="preserve">millones de pesos, con recursos provenientes de Participaciones, Aportaciones, Convenios, Incentivos Derivados de la Colaboración Fiscal y Fondos Distintos de Aportaciones; y, el </w:t>
      </w:r>
      <w:r w:rsidR="00643680" w:rsidRPr="00080520">
        <w:rPr>
          <w:rFonts w:ascii="Arial" w:hAnsi="Arial" w:cs="Arial"/>
          <w:sz w:val="24"/>
        </w:rPr>
        <w:t xml:space="preserve">10.0 </w:t>
      </w:r>
      <w:r w:rsidR="003B4927" w:rsidRPr="00080520">
        <w:rPr>
          <w:rFonts w:ascii="Arial" w:hAnsi="Arial" w:cs="Arial"/>
          <w:sz w:val="24"/>
        </w:rPr>
        <w:t>por ciento restante</w:t>
      </w:r>
      <w:r w:rsidR="00B26885" w:rsidRPr="00080520">
        <w:rPr>
          <w:rFonts w:ascii="Arial" w:hAnsi="Arial" w:cs="Arial"/>
          <w:sz w:val="24"/>
        </w:rPr>
        <w:t>,</w:t>
      </w:r>
      <w:r w:rsidR="003B4927" w:rsidRPr="00080520">
        <w:rPr>
          <w:rFonts w:ascii="Arial" w:hAnsi="Arial" w:cs="Arial"/>
          <w:sz w:val="24"/>
        </w:rPr>
        <w:t xml:space="preserve"> </w:t>
      </w:r>
      <w:r w:rsidR="00B26885" w:rsidRPr="00080520">
        <w:rPr>
          <w:rFonts w:ascii="Arial" w:hAnsi="Arial" w:cs="Arial"/>
          <w:sz w:val="24"/>
        </w:rPr>
        <w:t xml:space="preserve">que </w:t>
      </w:r>
      <w:r w:rsidR="003B4927" w:rsidRPr="00080520">
        <w:rPr>
          <w:rFonts w:ascii="Arial" w:hAnsi="Arial" w:cs="Arial"/>
          <w:sz w:val="24"/>
        </w:rPr>
        <w:t xml:space="preserve">equivalente a </w:t>
      </w:r>
      <w:r w:rsidR="002A005A" w:rsidRPr="00080520">
        <w:rPr>
          <w:rFonts w:ascii="Arial" w:hAnsi="Arial" w:cs="Arial"/>
          <w:sz w:val="24"/>
        </w:rPr>
        <w:t>1,663</w:t>
      </w:r>
      <w:r w:rsidR="003B4927" w:rsidRPr="00080520">
        <w:rPr>
          <w:rFonts w:ascii="Arial" w:hAnsi="Arial" w:cs="Arial"/>
          <w:sz w:val="24"/>
        </w:rPr>
        <w:t xml:space="preserve"> millones de pesos</w:t>
      </w:r>
      <w:r w:rsidR="00B26885" w:rsidRPr="00080520">
        <w:rPr>
          <w:rFonts w:ascii="Arial" w:hAnsi="Arial" w:cs="Arial"/>
          <w:sz w:val="24"/>
        </w:rPr>
        <w:t>,</w:t>
      </w:r>
      <w:r w:rsidR="003B4927" w:rsidRPr="00080520">
        <w:rPr>
          <w:rFonts w:ascii="Arial" w:hAnsi="Arial" w:cs="Arial"/>
          <w:sz w:val="24"/>
        </w:rPr>
        <w:t xml:space="preserve"> proviene de Transferencias, Asignaciones, Subsidios y Subvenciones, y Pensiones y Jubilaciones.</w:t>
      </w:r>
      <w:r w:rsidR="003B4927" w:rsidRPr="00C737BF">
        <w:rPr>
          <w:rFonts w:ascii="Arial" w:hAnsi="Arial" w:cs="Arial"/>
          <w:sz w:val="24"/>
        </w:rPr>
        <w:t xml:space="preserve"> </w:t>
      </w:r>
    </w:p>
    <w:p w14:paraId="248ADE97" w14:textId="77777777" w:rsidR="003B4927" w:rsidRPr="007A6F93" w:rsidRDefault="003B4927" w:rsidP="003B4927">
      <w:pPr>
        <w:spacing w:after="0" w:line="240" w:lineRule="auto"/>
        <w:jc w:val="both"/>
        <w:rPr>
          <w:rFonts w:ascii="Arial" w:hAnsi="Arial" w:cs="Arial"/>
          <w:sz w:val="24"/>
          <w:highlight w:val="yellow"/>
        </w:rPr>
      </w:pPr>
    </w:p>
    <w:tbl>
      <w:tblPr>
        <w:tblW w:w="5030" w:type="pct"/>
        <w:tblInd w:w="-25" w:type="dxa"/>
        <w:tblLayout w:type="fixed"/>
        <w:tblCellMar>
          <w:left w:w="70" w:type="dxa"/>
          <w:right w:w="70" w:type="dxa"/>
        </w:tblCellMar>
        <w:tblLook w:val="04A0" w:firstRow="1" w:lastRow="0" w:firstColumn="1" w:lastColumn="0" w:noHBand="0" w:noVBand="1"/>
      </w:tblPr>
      <w:tblGrid>
        <w:gridCol w:w="1013"/>
        <w:gridCol w:w="5103"/>
        <w:gridCol w:w="1716"/>
        <w:gridCol w:w="713"/>
      </w:tblGrid>
      <w:tr w:rsidR="00643680" w:rsidRPr="00643680" w14:paraId="10C8045C" w14:textId="77777777" w:rsidTr="00A94320">
        <w:trPr>
          <w:trHeight w:val="540"/>
        </w:trPr>
        <w:tc>
          <w:tcPr>
            <w:tcW w:w="5000" w:type="pct"/>
            <w:gridSpan w:val="4"/>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hideMark/>
          </w:tcPr>
          <w:p w14:paraId="7E8A0AA9" w14:textId="0357A6E4" w:rsidR="00643680" w:rsidRPr="00643680" w:rsidRDefault="00643680" w:rsidP="00643680">
            <w:pPr>
              <w:spacing w:after="0" w:line="240" w:lineRule="auto"/>
              <w:jc w:val="center"/>
              <w:rPr>
                <w:rFonts w:ascii="Arial" w:eastAsia="Times New Roman" w:hAnsi="Arial" w:cs="Arial"/>
                <w:b/>
                <w:bCs/>
                <w:szCs w:val="28"/>
                <w:lang w:val="es-ES" w:eastAsia="es-ES"/>
              </w:rPr>
            </w:pPr>
            <w:bookmarkStart w:id="1" w:name="RANGE!B2:E17"/>
            <w:r w:rsidRPr="00643680">
              <w:rPr>
                <w:rFonts w:ascii="Arial" w:eastAsia="Times New Roman" w:hAnsi="Arial" w:cs="Arial"/>
                <w:b/>
                <w:bCs/>
                <w:sz w:val="28"/>
                <w:szCs w:val="28"/>
                <w:lang w:val="es-ES" w:eastAsia="es-ES"/>
              </w:rPr>
              <w:t>Fuentes de Financiamiento del Gasto en 202</w:t>
            </w:r>
            <w:bookmarkEnd w:id="1"/>
            <w:r w:rsidR="00533CEF">
              <w:rPr>
                <w:rFonts w:ascii="Arial" w:eastAsia="Times New Roman" w:hAnsi="Arial" w:cs="Arial"/>
                <w:b/>
                <w:bCs/>
                <w:sz w:val="28"/>
                <w:szCs w:val="28"/>
                <w:lang w:val="es-ES" w:eastAsia="es-ES"/>
              </w:rPr>
              <w:t>1</w:t>
            </w:r>
          </w:p>
        </w:tc>
      </w:tr>
      <w:tr w:rsidR="00643680" w:rsidRPr="00643680" w14:paraId="38CA1B4D" w14:textId="77777777" w:rsidTr="00E11E19">
        <w:trPr>
          <w:trHeight w:val="315"/>
        </w:trPr>
        <w:tc>
          <w:tcPr>
            <w:tcW w:w="3579" w:type="pct"/>
            <w:gridSpan w:val="2"/>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45C06C6" w14:textId="77777777" w:rsidR="00643680" w:rsidRPr="00643680" w:rsidRDefault="00643680" w:rsidP="00643680">
            <w:pPr>
              <w:spacing w:after="0" w:line="240" w:lineRule="auto"/>
              <w:jc w:val="center"/>
              <w:rPr>
                <w:rFonts w:ascii="Arial" w:eastAsia="Times New Roman" w:hAnsi="Arial" w:cs="Arial"/>
                <w:b/>
                <w:bCs/>
                <w:color w:val="000000"/>
                <w:szCs w:val="24"/>
                <w:lang w:val="es-ES" w:eastAsia="es-ES"/>
              </w:rPr>
            </w:pPr>
            <w:r w:rsidRPr="00643680">
              <w:rPr>
                <w:rFonts w:ascii="Arial" w:eastAsia="Times New Roman" w:hAnsi="Arial" w:cs="Arial"/>
                <w:b/>
                <w:bCs/>
                <w:color w:val="000000"/>
                <w:szCs w:val="24"/>
                <w:lang w:val="es-ES" w:eastAsia="es-ES"/>
              </w:rPr>
              <w:t>Origen de los Ingresos</w:t>
            </w:r>
          </w:p>
        </w:tc>
        <w:tc>
          <w:tcPr>
            <w:tcW w:w="1004" w:type="pct"/>
            <w:tcBorders>
              <w:top w:val="nil"/>
              <w:left w:val="nil"/>
              <w:bottom w:val="single" w:sz="4" w:space="0" w:color="auto"/>
              <w:right w:val="single" w:sz="4" w:space="0" w:color="auto"/>
            </w:tcBorders>
            <w:shd w:val="clear" w:color="000000" w:fill="D9D9D9"/>
            <w:noWrap/>
            <w:vAlign w:val="center"/>
            <w:hideMark/>
          </w:tcPr>
          <w:p w14:paraId="397CD377" w14:textId="77777777" w:rsidR="00643680" w:rsidRPr="00643680" w:rsidRDefault="00643680" w:rsidP="00643680">
            <w:pPr>
              <w:spacing w:after="0" w:line="240" w:lineRule="auto"/>
              <w:jc w:val="center"/>
              <w:rPr>
                <w:rFonts w:ascii="Arial" w:eastAsia="Times New Roman" w:hAnsi="Arial" w:cs="Arial"/>
                <w:b/>
                <w:bCs/>
                <w:color w:val="000000"/>
                <w:szCs w:val="24"/>
                <w:lang w:val="es-ES" w:eastAsia="es-ES"/>
              </w:rPr>
            </w:pPr>
            <w:r w:rsidRPr="00643680">
              <w:rPr>
                <w:rFonts w:ascii="Arial" w:eastAsia="Times New Roman" w:hAnsi="Arial" w:cs="Arial"/>
                <w:b/>
                <w:bCs/>
                <w:color w:val="000000"/>
                <w:szCs w:val="24"/>
                <w:lang w:val="es-ES" w:eastAsia="es-ES"/>
              </w:rPr>
              <w:t>Importe</w:t>
            </w:r>
          </w:p>
        </w:tc>
        <w:tc>
          <w:tcPr>
            <w:tcW w:w="417" w:type="pct"/>
            <w:tcBorders>
              <w:top w:val="nil"/>
              <w:left w:val="nil"/>
              <w:bottom w:val="single" w:sz="4" w:space="0" w:color="auto"/>
              <w:right w:val="single" w:sz="4" w:space="0" w:color="auto"/>
            </w:tcBorders>
            <w:shd w:val="clear" w:color="000000" w:fill="D9D9D9"/>
            <w:noWrap/>
            <w:vAlign w:val="center"/>
            <w:hideMark/>
          </w:tcPr>
          <w:p w14:paraId="04C9478A" w14:textId="77777777" w:rsidR="00643680" w:rsidRPr="00643680" w:rsidRDefault="00643680" w:rsidP="00643680">
            <w:pPr>
              <w:spacing w:after="0" w:line="240" w:lineRule="auto"/>
              <w:jc w:val="center"/>
              <w:rPr>
                <w:rFonts w:ascii="Arial" w:eastAsia="Times New Roman" w:hAnsi="Arial" w:cs="Arial"/>
                <w:b/>
                <w:bCs/>
                <w:color w:val="000000"/>
                <w:szCs w:val="24"/>
                <w:lang w:val="es-ES" w:eastAsia="es-ES"/>
              </w:rPr>
            </w:pPr>
            <w:r w:rsidRPr="00643680">
              <w:rPr>
                <w:rFonts w:ascii="Arial" w:eastAsia="Times New Roman" w:hAnsi="Arial" w:cs="Arial"/>
                <w:b/>
                <w:bCs/>
                <w:color w:val="000000"/>
                <w:szCs w:val="24"/>
                <w:lang w:val="es-ES" w:eastAsia="es-ES"/>
              </w:rPr>
              <w:t>%</w:t>
            </w:r>
          </w:p>
        </w:tc>
      </w:tr>
      <w:tr w:rsidR="00643680" w:rsidRPr="00643680" w14:paraId="5BB327D2" w14:textId="77777777" w:rsidTr="00E11E19">
        <w:trPr>
          <w:trHeight w:val="327"/>
        </w:trPr>
        <w:tc>
          <w:tcPr>
            <w:tcW w:w="3579" w:type="pct"/>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C862C38" w14:textId="77777777" w:rsidR="00643680" w:rsidRPr="00643680" w:rsidRDefault="00643680" w:rsidP="00643680">
            <w:pPr>
              <w:spacing w:after="0" w:line="240" w:lineRule="auto"/>
              <w:jc w:val="right"/>
              <w:rPr>
                <w:rFonts w:ascii="Arial" w:eastAsia="Times New Roman" w:hAnsi="Arial" w:cs="Arial"/>
                <w:b/>
                <w:bCs/>
                <w:color w:val="000000"/>
                <w:szCs w:val="24"/>
                <w:lang w:val="es-ES" w:eastAsia="es-ES"/>
              </w:rPr>
            </w:pPr>
            <w:r w:rsidRPr="00643680">
              <w:rPr>
                <w:rFonts w:ascii="Arial" w:eastAsia="Times New Roman" w:hAnsi="Arial" w:cs="Arial"/>
                <w:b/>
                <w:bCs/>
                <w:color w:val="000000"/>
                <w:szCs w:val="24"/>
                <w:lang w:val="es-ES" w:eastAsia="es-ES"/>
              </w:rPr>
              <w:t>Total de Ingresos Locales</w:t>
            </w:r>
          </w:p>
        </w:tc>
        <w:tc>
          <w:tcPr>
            <w:tcW w:w="1004" w:type="pct"/>
            <w:tcBorders>
              <w:top w:val="nil"/>
              <w:left w:val="nil"/>
              <w:bottom w:val="single" w:sz="4" w:space="0" w:color="auto"/>
              <w:right w:val="single" w:sz="4" w:space="0" w:color="auto"/>
            </w:tcBorders>
            <w:shd w:val="clear" w:color="000000" w:fill="F2F2F2"/>
            <w:vAlign w:val="center"/>
            <w:hideMark/>
          </w:tcPr>
          <w:p w14:paraId="025B329E" w14:textId="0086A652" w:rsidR="00643680" w:rsidRPr="00643680" w:rsidRDefault="00597834" w:rsidP="00643680">
            <w:pPr>
              <w:spacing w:after="0" w:line="240" w:lineRule="auto"/>
              <w:jc w:val="right"/>
              <w:rPr>
                <w:rFonts w:ascii="Arial" w:eastAsia="Times New Roman" w:hAnsi="Arial" w:cs="Arial"/>
                <w:b/>
                <w:bCs/>
                <w:szCs w:val="24"/>
                <w:lang w:val="es-ES" w:eastAsia="es-ES"/>
              </w:rPr>
            </w:pPr>
            <w:r w:rsidRPr="00597834">
              <w:rPr>
                <w:rFonts w:ascii="Arial" w:eastAsia="Times New Roman" w:hAnsi="Arial" w:cs="Arial"/>
                <w:b/>
                <w:bCs/>
                <w:szCs w:val="24"/>
                <w:lang w:val="es-ES" w:eastAsia="es-ES"/>
              </w:rPr>
              <w:t>2,123,638,931</w:t>
            </w:r>
          </w:p>
        </w:tc>
        <w:tc>
          <w:tcPr>
            <w:tcW w:w="417" w:type="pct"/>
            <w:tcBorders>
              <w:top w:val="nil"/>
              <w:left w:val="nil"/>
              <w:bottom w:val="single" w:sz="4" w:space="0" w:color="auto"/>
              <w:right w:val="single" w:sz="4" w:space="0" w:color="auto"/>
            </w:tcBorders>
            <w:shd w:val="clear" w:color="000000" w:fill="F2F2F2"/>
            <w:noWrap/>
            <w:vAlign w:val="center"/>
            <w:hideMark/>
          </w:tcPr>
          <w:p w14:paraId="7FB19BCE" w14:textId="436D8956" w:rsidR="00643680" w:rsidRPr="00643680" w:rsidRDefault="00E11E19" w:rsidP="00643680">
            <w:pPr>
              <w:spacing w:after="0" w:line="240" w:lineRule="auto"/>
              <w:jc w:val="center"/>
              <w:rPr>
                <w:rFonts w:ascii="Arial" w:eastAsia="Times New Roman" w:hAnsi="Arial" w:cs="Arial"/>
                <w:b/>
                <w:szCs w:val="24"/>
                <w:lang w:val="es-ES" w:eastAsia="es-ES"/>
              </w:rPr>
            </w:pPr>
            <w:r>
              <w:rPr>
                <w:rFonts w:ascii="Arial" w:eastAsia="Times New Roman" w:hAnsi="Arial" w:cs="Arial"/>
                <w:b/>
                <w:szCs w:val="24"/>
                <w:lang w:val="es-ES" w:eastAsia="es-ES"/>
              </w:rPr>
              <w:t>12</w:t>
            </w:r>
            <w:r w:rsidR="00643680" w:rsidRPr="00643680">
              <w:rPr>
                <w:rFonts w:ascii="Arial" w:eastAsia="Times New Roman" w:hAnsi="Arial" w:cs="Arial"/>
                <w:b/>
                <w:szCs w:val="24"/>
                <w:lang w:val="es-ES" w:eastAsia="es-ES"/>
              </w:rPr>
              <w:t>%</w:t>
            </w:r>
          </w:p>
        </w:tc>
      </w:tr>
      <w:tr w:rsidR="00E11E19" w:rsidRPr="00643680" w14:paraId="30A6D0FA" w14:textId="77777777" w:rsidTr="00E11E19">
        <w:trPr>
          <w:trHeight w:val="300"/>
        </w:trPr>
        <w:tc>
          <w:tcPr>
            <w:tcW w:w="593" w:type="pct"/>
            <w:vMerge w:val="restart"/>
            <w:tcBorders>
              <w:top w:val="nil"/>
              <w:left w:val="single" w:sz="4" w:space="0" w:color="auto"/>
              <w:bottom w:val="single" w:sz="4" w:space="0" w:color="auto"/>
              <w:right w:val="single" w:sz="4" w:space="0" w:color="auto"/>
            </w:tcBorders>
            <w:shd w:val="clear" w:color="auto" w:fill="auto"/>
            <w:vAlign w:val="center"/>
            <w:hideMark/>
          </w:tcPr>
          <w:p w14:paraId="030B891F" w14:textId="77777777" w:rsidR="00E11E19" w:rsidRPr="00643680" w:rsidRDefault="00E11E19" w:rsidP="00E11E19">
            <w:pPr>
              <w:spacing w:after="0" w:line="240" w:lineRule="auto"/>
              <w:jc w:val="center"/>
              <w:rPr>
                <w:rFonts w:ascii="Calibri" w:eastAsia="Times New Roman" w:hAnsi="Calibri" w:cs="Calibri"/>
                <w:b/>
                <w:bCs/>
                <w:color w:val="000000"/>
                <w:szCs w:val="28"/>
                <w:lang w:val="es-ES" w:eastAsia="es-ES"/>
              </w:rPr>
            </w:pPr>
            <w:r w:rsidRPr="00643680">
              <w:rPr>
                <w:rFonts w:ascii="Calibri" w:eastAsia="Times New Roman" w:hAnsi="Calibri" w:cs="Calibri"/>
                <w:b/>
                <w:bCs/>
                <w:color w:val="000000"/>
                <w:sz w:val="20"/>
                <w:szCs w:val="28"/>
                <w:lang w:val="es-ES" w:eastAsia="es-ES"/>
              </w:rPr>
              <w:t>Ingresos Locales</w:t>
            </w:r>
          </w:p>
        </w:tc>
        <w:tc>
          <w:tcPr>
            <w:tcW w:w="2986" w:type="pct"/>
            <w:tcBorders>
              <w:top w:val="nil"/>
              <w:left w:val="nil"/>
              <w:bottom w:val="single" w:sz="4" w:space="0" w:color="auto"/>
              <w:right w:val="single" w:sz="4" w:space="0" w:color="auto"/>
            </w:tcBorders>
            <w:shd w:val="clear" w:color="000000" w:fill="FFFFFF"/>
            <w:noWrap/>
            <w:vAlign w:val="center"/>
            <w:hideMark/>
          </w:tcPr>
          <w:p w14:paraId="6C9817F7" w14:textId="77777777" w:rsidR="00E11E19" w:rsidRPr="00643680" w:rsidRDefault="00E11E19" w:rsidP="00E11E19">
            <w:pPr>
              <w:spacing w:after="0" w:line="240" w:lineRule="auto"/>
              <w:jc w:val="both"/>
              <w:rPr>
                <w:rFonts w:ascii="Arial" w:eastAsia="Times New Roman" w:hAnsi="Arial" w:cs="Arial"/>
                <w:color w:val="000000"/>
                <w:sz w:val="20"/>
                <w:szCs w:val="24"/>
                <w:lang w:val="es-ES" w:eastAsia="es-ES"/>
              </w:rPr>
            </w:pPr>
            <w:r w:rsidRPr="00643680">
              <w:rPr>
                <w:rFonts w:ascii="Arial" w:eastAsia="Times New Roman" w:hAnsi="Arial" w:cs="Arial"/>
                <w:color w:val="000000"/>
                <w:sz w:val="20"/>
                <w:szCs w:val="24"/>
                <w:lang w:val="es-ES" w:eastAsia="es-ES"/>
              </w:rPr>
              <w:t>Impuestos</w:t>
            </w:r>
          </w:p>
        </w:tc>
        <w:tc>
          <w:tcPr>
            <w:tcW w:w="100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1DC574B" w14:textId="31508F0C" w:rsidR="00E11E19" w:rsidRPr="00E11E19" w:rsidRDefault="00E11E19" w:rsidP="00E11E19">
            <w:pPr>
              <w:spacing w:after="0" w:line="240" w:lineRule="auto"/>
              <w:jc w:val="right"/>
              <w:rPr>
                <w:rFonts w:ascii="Arial" w:eastAsia="Times New Roman" w:hAnsi="Arial" w:cs="Arial"/>
                <w:sz w:val="20"/>
                <w:szCs w:val="24"/>
                <w:lang w:val="es-ES" w:eastAsia="es-ES"/>
              </w:rPr>
            </w:pPr>
            <w:r w:rsidRPr="00E11E19">
              <w:rPr>
                <w:rFonts w:ascii="Arial" w:hAnsi="Arial" w:cs="Arial"/>
                <w:sz w:val="20"/>
              </w:rPr>
              <w:t>1,122,200,286</w:t>
            </w:r>
          </w:p>
        </w:tc>
        <w:tc>
          <w:tcPr>
            <w:tcW w:w="417" w:type="pct"/>
            <w:tcBorders>
              <w:top w:val="nil"/>
              <w:left w:val="nil"/>
              <w:bottom w:val="single" w:sz="4" w:space="0" w:color="auto"/>
              <w:right w:val="single" w:sz="4" w:space="0" w:color="auto"/>
            </w:tcBorders>
            <w:shd w:val="clear" w:color="auto" w:fill="auto"/>
            <w:noWrap/>
            <w:vAlign w:val="center"/>
            <w:hideMark/>
          </w:tcPr>
          <w:p w14:paraId="1D0DACB1" w14:textId="77777777" w:rsidR="00E11E19" w:rsidRPr="00643680" w:rsidRDefault="00E11E19" w:rsidP="00E11E19">
            <w:pPr>
              <w:spacing w:after="0" w:line="240" w:lineRule="auto"/>
              <w:jc w:val="center"/>
              <w:rPr>
                <w:rFonts w:ascii="Arial" w:eastAsia="Times New Roman" w:hAnsi="Arial" w:cs="Arial"/>
                <w:szCs w:val="24"/>
                <w:lang w:val="es-ES" w:eastAsia="es-ES"/>
              </w:rPr>
            </w:pPr>
            <w:r>
              <w:rPr>
                <w:rFonts w:ascii="Arial" w:eastAsia="Times New Roman" w:hAnsi="Arial" w:cs="Arial"/>
                <w:szCs w:val="24"/>
                <w:lang w:val="es-ES" w:eastAsia="es-ES"/>
              </w:rPr>
              <w:t>6</w:t>
            </w:r>
            <w:r w:rsidRPr="00643680">
              <w:rPr>
                <w:rFonts w:ascii="Arial" w:eastAsia="Times New Roman" w:hAnsi="Arial" w:cs="Arial"/>
                <w:szCs w:val="24"/>
                <w:lang w:val="es-ES" w:eastAsia="es-ES"/>
              </w:rPr>
              <w:t>%</w:t>
            </w:r>
          </w:p>
        </w:tc>
      </w:tr>
      <w:tr w:rsidR="00E11E19" w:rsidRPr="00643680" w14:paraId="12762126" w14:textId="77777777" w:rsidTr="00E11E19">
        <w:trPr>
          <w:trHeight w:val="300"/>
        </w:trPr>
        <w:tc>
          <w:tcPr>
            <w:tcW w:w="593" w:type="pct"/>
            <w:vMerge/>
            <w:tcBorders>
              <w:top w:val="nil"/>
              <w:left w:val="single" w:sz="4" w:space="0" w:color="auto"/>
              <w:bottom w:val="single" w:sz="4" w:space="0" w:color="auto"/>
              <w:right w:val="single" w:sz="4" w:space="0" w:color="auto"/>
            </w:tcBorders>
            <w:vAlign w:val="center"/>
            <w:hideMark/>
          </w:tcPr>
          <w:p w14:paraId="0AABD606" w14:textId="77777777" w:rsidR="00E11E19" w:rsidRPr="00643680" w:rsidRDefault="00E11E19" w:rsidP="00E11E19">
            <w:pPr>
              <w:spacing w:after="0" w:line="240" w:lineRule="auto"/>
              <w:rPr>
                <w:rFonts w:ascii="Calibri" w:eastAsia="Times New Roman" w:hAnsi="Calibri" w:cs="Calibri"/>
                <w:b/>
                <w:bCs/>
                <w:color w:val="000000"/>
                <w:szCs w:val="28"/>
                <w:lang w:val="es-ES" w:eastAsia="es-ES"/>
              </w:rPr>
            </w:pPr>
          </w:p>
        </w:tc>
        <w:tc>
          <w:tcPr>
            <w:tcW w:w="2986" w:type="pct"/>
            <w:tcBorders>
              <w:top w:val="nil"/>
              <w:left w:val="nil"/>
              <w:bottom w:val="single" w:sz="4" w:space="0" w:color="auto"/>
              <w:right w:val="single" w:sz="4" w:space="0" w:color="auto"/>
            </w:tcBorders>
            <w:shd w:val="clear" w:color="000000" w:fill="FFFFFF"/>
            <w:noWrap/>
            <w:vAlign w:val="center"/>
            <w:hideMark/>
          </w:tcPr>
          <w:p w14:paraId="7D3E576D" w14:textId="77777777" w:rsidR="00E11E19" w:rsidRPr="00643680" w:rsidRDefault="00E11E19" w:rsidP="00E11E19">
            <w:pPr>
              <w:spacing w:after="0" w:line="240" w:lineRule="auto"/>
              <w:jc w:val="both"/>
              <w:rPr>
                <w:rFonts w:ascii="Arial" w:eastAsia="Times New Roman" w:hAnsi="Arial" w:cs="Arial"/>
                <w:color w:val="000000"/>
                <w:sz w:val="20"/>
                <w:szCs w:val="24"/>
                <w:lang w:val="es-ES" w:eastAsia="es-ES"/>
              </w:rPr>
            </w:pPr>
            <w:r w:rsidRPr="00643680">
              <w:rPr>
                <w:rFonts w:ascii="Arial" w:eastAsia="Times New Roman" w:hAnsi="Arial" w:cs="Arial"/>
                <w:color w:val="000000"/>
                <w:sz w:val="20"/>
                <w:szCs w:val="24"/>
                <w:lang w:val="es-ES" w:eastAsia="es-ES"/>
              </w:rPr>
              <w:t>Cuotas y Aportaciones de Seguridad Social</w:t>
            </w:r>
          </w:p>
        </w:tc>
        <w:tc>
          <w:tcPr>
            <w:tcW w:w="1004" w:type="pct"/>
            <w:tcBorders>
              <w:top w:val="nil"/>
              <w:left w:val="single" w:sz="4" w:space="0" w:color="auto"/>
              <w:bottom w:val="single" w:sz="4" w:space="0" w:color="auto"/>
              <w:right w:val="single" w:sz="4" w:space="0" w:color="auto"/>
            </w:tcBorders>
            <w:shd w:val="clear" w:color="000000" w:fill="FFFFFF"/>
            <w:vAlign w:val="center"/>
            <w:hideMark/>
          </w:tcPr>
          <w:p w14:paraId="5BACFA17" w14:textId="7B62F349" w:rsidR="00E11E19" w:rsidRPr="00E11E19" w:rsidRDefault="00E11E19" w:rsidP="00E11E19">
            <w:pPr>
              <w:spacing w:after="0" w:line="240" w:lineRule="auto"/>
              <w:jc w:val="right"/>
              <w:rPr>
                <w:rFonts w:ascii="Arial" w:eastAsia="Times New Roman" w:hAnsi="Arial" w:cs="Arial"/>
                <w:sz w:val="20"/>
                <w:szCs w:val="24"/>
                <w:lang w:val="es-ES" w:eastAsia="es-ES"/>
              </w:rPr>
            </w:pPr>
            <w:r w:rsidRPr="00E11E19">
              <w:rPr>
                <w:rFonts w:ascii="Arial" w:hAnsi="Arial" w:cs="Arial"/>
                <w:sz w:val="20"/>
              </w:rPr>
              <w:t>0</w:t>
            </w:r>
          </w:p>
        </w:tc>
        <w:tc>
          <w:tcPr>
            <w:tcW w:w="417" w:type="pct"/>
            <w:tcBorders>
              <w:top w:val="nil"/>
              <w:left w:val="nil"/>
              <w:bottom w:val="single" w:sz="4" w:space="0" w:color="auto"/>
              <w:right w:val="single" w:sz="4" w:space="0" w:color="auto"/>
            </w:tcBorders>
            <w:shd w:val="clear" w:color="auto" w:fill="auto"/>
            <w:noWrap/>
            <w:vAlign w:val="center"/>
            <w:hideMark/>
          </w:tcPr>
          <w:p w14:paraId="16032A30" w14:textId="77777777" w:rsidR="00E11E19" w:rsidRPr="00643680" w:rsidRDefault="00E11E19" w:rsidP="00E11E19">
            <w:pPr>
              <w:spacing w:after="0" w:line="240" w:lineRule="auto"/>
              <w:jc w:val="center"/>
              <w:rPr>
                <w:rFonts w:ascii="Arial" w:eastAsia="Times New Roman" w:hAnsi="Arial" w:cs="Arial"/>
                <w:szCs w:val="24"/>
                <w:lang w:val="es-ES" w:eastAsia="es-ES"/>
              </w:rPr>
            </w:pPr>
            <w:r w:rsidRPr="00643680">
              <w:rPr>
                <w:rFonts w:ascii="Arial" w:eastAsia="Times New Roman" w:hAnsi="Arial" w:cs="Arial"/>
                <w:szCs w:val="24"/>
                <w:lang w:val="es-ES" w:eastAsia="es-ES"/>
              </w:rPr>
              <w:t>0%</w:t>
            </w:r>
          </w:p>
        </w:tc>
      </w:tr>
      <w:tr w:rsidR="00E11E19" w:rsidRPr="00643680" w14:paraId="4F9E93B6" w14:textId="77777777" w:rsidTr="00E11E19">
        <w:trPr>
          <w:trHeight w:val="300"/>
        </w:trPr>
        <w:tc>
          <w:tcPr>
            <w:tcW w:w="593" w:type="pct"/>
            <w:vMerge/>
            <w:tcBorders>
              <w:top w:val="nil"/>
              <w:left w:val="single" w:sz="4" w:space="0" w:color="auto"/>
              <w:bottom w:val="single" w:sz="4" w:space="0" w:color="auto"/>
              <w:right w:val="single" w:sz="4" w:space="0" w:color="auto"/>
            </w:tcBorders>
            <w:vAlign w:val="center"/>
            <w:hideMark/>
          </w:tcPr>
          <w:p w14:paraId="58E25AA3" w14:textId="77777777" w:rsidR="00E11E19" w:rsidRPr="00643680" w:rsidRDefault="00E11E19" w:rsidP="00E11E19">
            <w:pPr>
              <w:spacing w:after="0" w:line="240" w:lineRule="auto"/>
              <w:rPr>
                <w:rFonts w:ascii="Calibri" w:eastAsia="Times New Roman" w:hAnsi="Calibri" w:cs="Calibri"/>
                <w:b/>
                <w:bCs/>
                <w:color w:val="000000"/>
                <w:szCs w:val="28"/>
                <w:lang w:val="es-ES" w:eastAsia="es-ES"/>
              </w:rPr>
            </w:pPr>
          </w:p>
        </w:tc>
        <w:tc>
          <w:tcPr>
            <w:tcW w:w="2986" w:type="pct"/>
            <w:tcBorders>
              <w:top w:val="nil"/>
              <w:left w:val="nil"/>
              <w:bottom w:val="single" w:sz="4" w:space="0" w:color="auto"/>
              <w:right w:val="single" w:sz="4" w:space="0" w:color="auto"/>
            </w:tcBorders>
            <w:shd w:val="clear" w:color="000000" w:fill="FFFFFF"/>
            <w:noWrap/>
            <w:vAlign w:val="center"/>
            <w:hideMark/>
          </w:tcPr>
          <w:p w14:paraId="7EBC0304" w14:textId="77777777" w:rsidR="00E11E19" w:rsidRPr="00643680" w:rsidRDefault="00E11E19" w:rsidP="00E11E19">
            <w:pPr>
              <w:spacing w:after="0" w:line="240" w:lineRule="auto"/>
              <w:jc w:val="both"/>
              <w:rPr>
                <w:rFonts w:ascii="Arial" w:eastAsia="Times New Roman" w:hAnsi="Arial" w:cs="Arial"/>
                <w:color w:val="000000"/>
                <w:sz w:val="20"/>
                <w:szCs w:val="24"/>
                <w:lang w:val="es-ES" w:eastAsia="es-ES"/>
              </w:rPr>
            </w:pPr>
            <w:r w:rsidRPr="00643680">
              <w:rPr>
                <w:rFonts w:ascii="Arial" w:eastAsia="Times New Roman" w:hAnsi="Arial" w:cs="Arial"/>
                <w:color w:val="000000"/>
                <w:sz w:val="20"/>
                <w:szCs w:val="24"/>
                <w:lang w:val="es-ES" w:eastAsia="es-ES"/>
              </w:rPr>
              <w:t>Contribuciones de Mejoras</w:t>
            </w:r>
          </w:p>
        </w:tc>
        <w:tc>
          <w:tcPr>
            <w:tcW w:w="1004" w:type="pct"/>
            <w:tcBorders>
              <w:top w:val="nil"/>
              <w:left w:val="single" w:sz="4" w:space="0" w:color="auto"/>
              <w:bottom w:val="single" w:sz="4" w:space="0" w:color="auto"/>
              <w:right w:val="single" w:sz="4" w:space="0" w:color="auto"/>
            </w:tcBorders>
            <w:shd w:val="clear" w:color="000000" w:fill="FFFFFF"/>
            <w:vAlign w:val="center"/>
            <w:hideMark/>
          </w:tcPr>
          <w:p w14:paraId="0DCCAE90" w14:textId="3D3BF2D0" w:rsidR="00E11E19" w:rsidRPr="00E11E19" w:rsidRDefault="00E11E19" w:rsidP="00E11E19">
            <w:pPr>
              <w:spacing w:after="0" w:line="240" w:lineRule="auto"/>
              <w:jc w:val="right"/>
              <w:rPr>
                <w:rFonts w:ascii="Arial" w:eastAsia="Times New Roman" w:hAnsi="Arial" w:cs="Arial"/>
                <w:sz w:val="20"/>
                <w:szCs w:val="24"/>
                <w:lang w:val="es-ES" w:eastAsia="es-ES"/>
              </w:rPr>
            </w:pPr>
            <w:r w:rsidRPr="00E11E19">
              <w:rPr>
                <w:rFonts w:ascii="Arial" w:hAnsi="Arial" w:cs="Arial"/>
                <w:sz w:val="20"/>
              </w:rPr>
              <w:t>0</w:t>
            </w:r>
          </w:p>
        </w:tc>
        <w:tc>
          <w:tcPr>
            <w:tcW w:w="417" w:type="pct"/>
            <w:tcBorders>
              <w:top w:val="nil"/>
              <w:left w:val="nil"/>
              <w:bottom w:val="single" w:sz="4" w:space="0" w:color="auto"/>
              <w:right w:val="single" w:sz="4" w:space="0" w:color="auto"/>
            </w:tcBorders>
            <w:shd w:val="clear" w:color="auto" w:fill="auto"/>
            <w:noWrap/>
            <w:vAlign w:val="center"/>
            <w:hideMark/>
          </w:tcPr>
          <w:p w14:paraId="00517267" w14:textId="77777777" w:rsidR="00E11E19" w:rsidRPr="00643680" w:rsidRDefault="00E11E19" w:rsidP="00E11E19">
            <w:pPr>
              <w:spacing w:after="0" w:line="240" w:lineRule="auto"/>
              <w:jc w:val="center"/>
              <w:rPr>
                <w:rFonts w:ascii="Arial" w:eastAsia="Times New Roman" w:hAnsi="Arial" w:cs="Arial"/>
                <w:szCs w:val="24"/>
                <w:lang w:val="es-ES" w:eastAsia="es-ES"/>
              </w:rPr>
            </w:pPr>
            <w:r w:rsidRPr="00643680">
              <w:rPr>
                <w:rFonts w:ascii="Arial" w:eastAsia="Times New Roman" w:hAnsi="Arial" w:cs="Arial"/>
                <w:szCs w:val="24"/>
                <w:lang w:val="es-ES" w:eastAsia="es-ES"/>
              </w:rPr>
              <w:t>0%</w:t>
            </w:r>
          </w:p>
        </w:tc>
      </w:tr>
      <w:tr w:rsidR="00E11E19" w:rsidRPr="00643680" w14:paraId="20D8806E" w14:textId="77777777" w:rsidTr="00E11E19">
        <w:trPr>
          <w:trHeight w:val="300"/>
        </w:trPr>
        <w:tc>
          <w:tcPr>
            <w:tcW w:w="593" w:type="pct"/>
            <w:vMerge/>
            <w:tcBorders>
              <w:top w:val="nil"/>
              <w:left w:val="single" w:sz="4" w:space="0" w:color="auto"/>
              <w:bottom w:val="single" w:sz="4" w:space="0" w:color="auto"/>
              <w:right w:val="single" w:sz="4" w:space="0" w:color="auto"/>
            </w:tcBorders>
            <w:vAlign w:val="center"/>
            <w:hideMark/>
          </w:tcPr>
          <w:p w14:paraId="11959319" w14:textId="77777777" w:rsidR="00E11E19" w:rsidRPr="00643680" w:rsidRDefault="00E11E19" w:rsidP="00E11E19">
            <w:pPr>
              <w:spacing w:after="0" w:line="240" w:lineRule="auto"/>
              <w:rPr>
                <w:rFonts w:ascii="Calibri" w:eastAsia="Times New Roman" w:hAnsi="Calibri" w:cs="Calibri"/>
                <w:b/>
                <w:bCs/>
                <w:color w:val="000000"/>
                <w:szCs w:val="28"/>
                <w:lang w:val="es-ES" w:eastAsia="es-ES"/>
              </w:rPr>
            </w:pPr>
          </w:p>
        </w:tc>
        <w:tc>
          <w:tcPr>
            <w:tcW w:w="2986" w:type="pct"/>
            <w:tcBorders>
              <w:top w:val="nil"/>
              <w:left w:val="nil"/>
              <w:bottom w:val="single" w:sz="4" w:space="0" w:color="auto"/>
              <w:right w:val="single" w:sz="4" w:space="0" w:color="auto"/>
            </w:tcBorders>
            <w:shd w:val="clear" w:color="000000" w:fill="FFFFFF"/>
            <w:noWrap/>
            <w:vAlign w:val="center"/>
            <w:hideMark/>
          </w:tcPr>
          <w:p w14:paraId="3238F01D" w14:textId="77777777" w:rsidR="00E11E19" w:rsidRPr="00643680" w:rsidRDefault="00E11E19" w:rsidP="00E11E19">
            <w:pPr>
              <w:spacing w:after="0" w:line="240" w:lineRule="auto"/>
              <w:jc w:val="both"/>
              <w:rPr>
                <w:rFonts w:ascii="Arial" w:eastAsia="Times New Roman" w:hAnsi="Arial" w:cs="Arial"/>
                <w:color w:val="000000"/>
                <w:sz w:val="20"/>
                <w:szCs w:val="24"/>
                <w:lang w:val="es-ES" w:eastAsia="es-ES"/>
              </w:rPr>
            </w:pPr>
            <w:r w:rsidRPr="00643680">
              <w:rPr>
                <w:rFonts w:ascii="Arial" w:eastAsia="Times New Roman" w:hAnsi="Arial" w:cs="Arial"/>
                <w:color w:val="000000"/>
                <w:sz w:val="20"/>
                <w:szCs w:val="24"/>
                <w:lang w:val="es-ES" w:eastAsia="es-ES"/>
              </w:rPr>
              <w:t>Derechos</w:t>
            </w:r>
          </w:p>
        </w:tc>
        <w:tc>
          <w:tcPr>
            <w:tcW w:w="1004" w:type="pct"/>
            <w:tcBorders>
              <w:top w:val="nil"/>
              <w:left w:val="single" w:sz="4" w:space="0" w:color="auto"/>
              <w:bottom w:val="single" w:sz="4" w:space="0" w:color="auto"/>
              <w:right w:val="single" w:sz="4" w:space="0" w:color="auto"/>
            </w:tcBorders>
            <w:shd w:val="clear" w:color="000000" w:fill="FFFFFF"/>
            <w:vAlign w:val="center"/>
            <w:hideMark/>
          </w:tcPr>
          <w:p w14:paraId="4D604DB2" w14:textId="6822A21D" w:rsidR="00E11E19" w:rsidRPr="00E11E19" w:rsidRDefault="00E11E19" w:rsidP="00E11E19">
            <w:pPr>
              <w:spacing w:after="0" w:line="240" w:lineRule="auto"/>
              <w:jc w:val="right"/>
              <w:rPr>
                <w:rFonts w:ascii="Arial" w:eastAsia="Times New Roman" w:hAnsi="Arial" w:cs="Arial"/>
                <w:sz w:val="20"/>
                <w:szCs w:val="24"/>
                <w:lang w:val="es-ES" w:eastAsia="es-ES"/>
              </w:rPr>
            </w:pPr>
            <w:r w:rsidRPr="00E11E19">
              <w:rPr>
                <w:rFonts w:ascii="Arial" w:hAnsi="Arial" w:cs="Arial"/>
                <w:sz w:val="20"/>
              </w:rPr>
              <w:t>462,974,866</w:t>
            </w:r>
          </w:p>
        </w:tc>
        <w:tc>
          <w:tcPr>
            <w:tcW w:w="417" w:type="pct"/>
            <w:tcBorders>
              <w:top w:val="nil"/>
              <w:left w:val="nil"/>
              <w:bottom w:val="single" w:sz="4" w:space="0" w:color="auto"/>
              <w:right w:val="single" w:sz="4" w:space="0" w:color="auto"/>
            </w:tcBorders>
            <w:shd w:val="clear" w:color="auto" w:fill="auto"/>
            <w:noWrap/>
            <w:vAlign w:val="center"/>
            <w:hideMark/>
          </w:tcPr>
          <w:p w14:paraId="0291723F" w14:textId="77777777" w:rsidR="00E11E19" w:rsidRPr="00643680" w:rsidRDefault="00E11E19" w:rsidP="00E11E19">
            <w:pPr>
              <w:spacing w:after="0" w:line="240" w:lineRule="auto"/>
              <w:jc w:val="center"/>
              <w:rPr>
                <w:rFonts w:ascii="Arial" w:eastAsia="Times New Roman" w:hAnsi="Arial" w:cs="Arial"/>
                <w:szCs w:val="24"/>
                <w:lang w:val="es-ES" w:eastAsia="es-ES"/>
              </w:rPr>
            </w:pPr>
            <w:r w:rsidRPr="00643680">
              <w:rPr>
                <w:rFonts w:ascii="Arial" w:eastAsia="Times New Roman" w:hAnsi="Arial" w:cs="Arial"/>
                <w:szCs w:val="24"/>
                <w:lang w:val="es-ES" w:eastAsia="es-ES"/>
              </w:rPr>
              <w:t>3%</w:t>
            </w:r>
          </w:p>
        </w:tc>
      </w:tr>
      <w:tr w:rsidR="00E11E19" w:rsidRPr="00643680" w14:paraId="08D19EC2" w14:textId="77777777" w:rsidTr="00E11E19">
        <w:trPr>
          <w:trHeight w:val="300"/>
        </w:trPr>
        <w:tc>
          <w:tcPr>
            <w:tcW w:w="593" w:type="pct"/>
            <w:vMerge/>
            <w:tcBorders>
              <w:top w:val="nil"/>
              <w:left w:val="single" w:sz="4" w:space="0" w:color="auto"/>
              <w:bottom w:val="single" w:sz="4" w:space="0" w:color="auto"/>
              <w:right w:val="single" w:sz="4" w:space="0" w:color="auto"/>
            </w:tcBorders>
            <w:vAlign w:val="center"/>
            <w:hideMark/>
          </w:tcPr>
          <w:p w14:paraId="2CC3AF84" w14:textId="77777777" w:rsidR="00E11E19" w:rsidRPr="00643680" w:rsidRDefault="00E11E19" w:rsidP="00E11E19">
            <w:pPr>
              <w:spacing w:after="0" w:line="240" w:lineRule="auto"/>
              <w:rPr>
                <w:rFonts w:ascii="Calibri" w:eastAsia="Times New Roman" w:hAnsi="Calibri" w:cs="Calibri"/>
                <w:b/>
                <w:bCs/>
                <w:color w:val="000000"/>
                <w:szCs w:val="28"/>
                <w:lang w:val="es-ES" w:eastAsia="es-ES"/>
              </w:rPr>
            </w:pPr>
          </w:p>
        </w:tc>
        <w:tc>
          <w:tcPr>
            <w:tcW w:w="2986" w:type="pct"/>
            <w:tcBorders>
              <w:top w:val="nil"/>
              <w:left w:val="nil"/>
              <w:bottom w:val="single" w:sz="4" w:space="0" w:color="auto"/>
              <w:right w:val="single" w:sz="4" w:space="0" w:color="auto"/>
            </w:tcBorders>
            <w:shd w:val="clear" w:color="000000" w:fill="FFFFFF"/>
            <w:noWrap/>
            <w:vAlign w:val="center"/>
            <w:hideMark/>
          </w:tcPr>
          <w:p w14:paraId="6A31243B" w14:textId="77777777" w:rsidR="00E11E19" w:rsidRPr="00643680" w:rsidRDefault="00E11E19" w:rsidP="00E11E19">
            <w:pPr>
              <w:spacing w:after="0" w:line="240" w:lineRule="auto"/>
              <w:jc w:val="both"/>
              <w:rPr>
                <w:rFonts w:ascii="Arial" w:eastAsia="Times New Roman" w:hAnsi="Arial" w:cs="Arial"/>
                <w:color w:val="000000"/>
                <w:sz w:val="20"/>
                <w:szCs w:val="24"/>
                <w:lang w:val="es-ES" w:eastAsia="es-ES"/>
              </w:rPr>
            </w:pPr>
            <w:r w:rsidRPr="00643680">
              <w:rPr>
                <w:rFonts w:ascii="Arial" w:eastAsia="Times New Roman" w:hAnsi="Arial" w:cs="Arial"/>
                <w:color w:val="000000"/>
                <w:sz w:val="20"/>
                <w:szCs w:val="24"/>
                <w:lang w:val="es-ES" w:eastAsia="es-ES"/>
              </w:rPr>
              <w:t>Productos</w:t>
            </w:r>
          </w:p>
        </w:tc>
        <w:tc>
          <w:tcPr>
            <w:tcW w:w="1004" w:type="pct"/>
            <w:tcBorders>
              <w:top w:val="nil"/>
              <w:left w:val="single" w:sz="4" w:space="0" w:color="auto"/>
              <w:bottom w:val="single" w:sz="4" w:space="0" w:color="auto"/>
              <w:right w:val="single" w:sz="4" w:space="0" w:color="auto"/>
            </w:tcBorders>
            <w:shd w:val="clear" w:color="000000" w:fill="FFFFFF"/>
            <w:vAlign w:val="center"/>
            <w:hideMark/>
          </w:tcPr>
          <w:p w14:paraId="7A47DDFF" w14:textId="5D03976A" w:rsidR="00E11E19" w:rsidRPr="00E11E19" w:rsidRDefault="00597834" w:rsidP="00E11E19">
            <w:pPr>
              <w:spacing w:after="0" w:line="240" w:lineRule="auto"/>
              <w:jc w:val="right"/>
              <w:rPr>
                <w:rFonts w:ascii="Arial" w:eastAsia="Times New Roman" w:hAnsi="Arial" w:cs="Arial"/>
                <w:sz w:val="20"/>
                <w:szCs w:val="24"/>
                <w:lang w:val="es-ES" w:eastAsia="es-ES"/>
              </w:rPr>
            </w:pPr>
            <w:r w:rsidRPr="00597834">
              <w:rPr>
                <w:rFonts w:ascii="Arial" w:hAnsi="Arial" w:cs="Arial"/>
                <w:sz w:val="20"/>
              </w:rPr>
              <w:t>40,928,191</w:t>
            </w:r>
          </w:p>
        </w:tc>
        <w:tc>
          <w:tcPr>
            <w:tcW w:w="417" w:type="pct"/>
            <w:tcBorders>
              <w:top w:val="nil"/>
              <w:left w:val="nil"/>
              <w:bottom w:val="single" w:sz="4" w:space="0" w:color="auto"/>
              <w:right w:val="single" w:sz="4" w:space="0" w:color="auto"/>
            </w:tcBorders>
            <w:shd w:val="clear" w:color="auto" w:fill="auto"/>
            <w:noWrap/>
            <w:vAlign w:val="center"/>
            <w:hideMark/>
          </w:tcPr>
          <w:p w14:paraId="321C756D" w14:textId="77777777" w:rsidR="00E11E19" w:rsidRPr="00643680" w:rsidRDefault="00E11E19" w:rsidP="00E11E19">
            <w:pPr>
              <w:spacing w:after="0" w:line="240" w:lineRule="auto"/>
              <w:jc w:val="center"/>
              <w:rPr>
                <w:rFonts w:ascii="Arial" w:eastAsia="Times New Roman" w:hAnsi="Arial" w:cs="Arial"/>
                <w:szCs w:val="24"/>
                <w:lang w:val="es-ES" w:eastAsia="es-ES"/>
              </w:rPr>
            </w:pPr>
            <w:r w:rsidRPr="00643680">
              <w:rPr>
                <w:rFonts w:ascii="Arial" w:eastAsia="Times New Roman" w:hAnsi="Arial" w:cs="Arial"/>
                <w:szCs w:val="24"/>
                <w:lang w:val="es-ES" w:eastAsia="es-ES"/>
              </w:rPr>
              <w:t>0%</w:t>
            </w:r>
          </w:p>
        </w:tc>
      </w:tr>
      <w:tr w:rsidR="00E11E19" w:rsidRPr="00643680" w14:paraId="112F48AA" w14:textId="77777777" w:rsidTr="00E11E19">
        <w:trPr>
          <w:trHeight w:val="300"/>
        </w:trPr>
        <w:tc>
          <w:tcPr>
            <w:tcW w:w="593" w:type="pct"/>
            <w:vMerge/>
            <w:tcBorders>
              <w:top w:val="nil"/>
              <w:left w:val="single" w:sz="4" w:space="0" w:color="auto"/>
              <w:bottom w:val="single" w:sz="4" w:space="0" w:color="auto"/>
              <w:right w:val="single" w:sz="4" w:space="0" w:color="auto"/>
            </w:tcBorders>
            <w:vAlign w:val="center"/>
            <w:hideMark/>
          </w:tcPr>
          <w:p w14:paraId="6CC428E1" w14:textId="77777777" w:rsidR="00E11E19" w:rsidRPr="00643680" w:rsidRDefault="00E11E19" w:rsidP="00E11E19">
            <w:pPr>
              <w:spacing w:after="0" w:line="240" w:lineRule="auto"/>
              <w:rPr>
                <w:rFonts w:ascii="Calibri" w:eastAsia="Times New Roman" w:hAnsi="Calibri" w:cs="Calibri"/>
                <w:b/>
                <w:bCs/>
                <w:color w:val="000000"/>
                <w:szCs w:val="28"/>
                <w:lang w:val="es-ES" w:eastAsia="es-ES"/>
              </w:rPr>
            </w:pPr>
          </w:p>
        </w:tc>
        <w:tc>
          <w:tcPr>
            <w:tcW w:w="2986" w:type="pct"/>
            <w:tcBorders>
              <w:top w:val="nil"/>
              <w:left w:val="nil"/>
              <w:bottom w:val="single" w:sz="4" w:space="0" w:color="auto"/>
              <w:right w:val="single" w:sz="4" w:space="0" w:color="auto"/>
            </w:tcBorders>
            <w:shd w:val="clear" w:color="000000" w:fill="FFFFFF"/>
            <w:noWrap/>
            <w:vAlign w:val="center"/>
            <w:hideMark/>
          </w:tcPr>
          <w:p w14:paraId="3C61269E" w14:textId="77777777" w:rsidR="00E11E19" w:rsidRPr="00643680" w:rsidRDefault="00E11E19" w:rsidP="00E11E19">
            <w:pPr>
              <w:spacing w:after="0" w:line="240" w:lineRule="auto"/>
              <w:jc w:val="both"/>
              <w:rPr>
                <w:rFonts w:ascii="Arial" w:eastAsia="Times New Roman" w:hAnsi="Arial" w:cs="Arial"/>
                <w:color w:val="000000"/>
                <w:sz w:val="20"/>
                <w:szCs w:val="24"/>
                <w:lang w:val="es-ES" w:eastAsia="es-ES"/>
              </w:rPr>
            </w:pPr>
            <w:r w:rsidRPr="00643680">
              <w:rPr>
                <w:rFonts w:ascii="Arial" w:eastAsia="Times New Roman" w:hAnsi="Arial" w:cs="Arial"/>
                <w:color w:val="000000"/>
                <w:sz w:val="20"/>
                <w:szCs w:val="24"/>
                <w:lang w:val="es-ES" w:eastAsia="es-ES"/>
              </w:rPr>
              <w:t>Aprovechamientos</w:t>
            </w:r>
          </w:p>
        </w:tc>
        <w:tc>
          <w:tcPr>
            <w:tcW w:w="1004" w:type="pct"/>
            <w:tcBorders>
              <w:top w:val="nil"/>
              <w:left w:val="single" w:sz="4" w:space="0" w:color="auto"/>
              <w:bottom w:val="single" w:sz="4" w:space="0" w:color="auto"/>
              <w:right w:val="single" w:sz="4" w:space="0" w:color="auto"/>
            </w:tcBorders>
            <w:shd w:val="clear" w:color="000000" w:fill="FFFFFF"/>
            <w:vAlign w:val="center"/>
            <w:hideMark/>
          </w:tcPr>
          <w:p w14:paraId="76133E02" w14:textId="130971CC" w:rsidR="00E11E19" w:rsidRPr="00E11E19" w:rsidRDefault="00597834" w:rsidP="00E11E19">
            <w:pPr>
              <w:spacing w:after="0" w:line="240" w:lineRule="auto"/>
              <w:jc w:val="right"/>
              <w:rPr>
                <w:rFonts w:ascii="Arial" w:eastAsia="Times New Roman" w:hAnsi="Arial" w:cs="Arial"/>
                <w:sz w:val="20"/>
                <w:szCs w:val="24"/>
                <w:lang w:val="es-ES" w:eastAsia="es-ES"/>
              </w:rPr>
            </w:pPr>
            <w:r w:rsidRPr="00597834">
              <w:rPr>
                <w:rFonts w:ascii="Arial" w:hAnsi="Arial" w:cs="Arial"/>
                <w:sz w:val="20"/>
              </w:rPr>
              <w:t>497,535,588</w:t>
            </w:r>
          </w:p>
        </w:tc>
        <w:tc>
          <w:tcPr>
            <w:tcW w:w="417" w:type="pct"/>
            <w:tcBorders>
              <w:top w:val="nil"/>
              <w:left w:val="nil"/>
              <w:bottom w:val="single" w:sz="4" w:space="0" w:color="auto"/>
              <w:right w:val="single" w:sz="4" w:space="0" w:color="auto"/>
            </w:tcBorders>
            <w:shd w:val="clear" w:color="auto" w:fill="auto"/>
            <w:noWrap/>
            <w:vAlign w:val="center"/>
            <w:hideMark/>
          </w:tcPr>
          <w:p w14:paraId="5B3EBEEC" w14:textId="7A23680C" w:rsidR="00E11E19" w:rsidRPr="00643680" w:rsidRDefault="00E11E19" w:rsidP="00E11E19">
            <w:pPr>
              <w:spacing w:after="0" w:line="240" w:lineRule="auto"/>
              <w:jc w:val="center"/>
              <w:rPr>
                <w:rFonts w:ascii="Arial" w:eastAsia="Times New Roman" w:hAnsi="Arial" w:cs="Arial"/>
                <w:szCs w:val="24"/>
                <w:lang w:val="es-ES" w:eastAsia="es-ES"/>
              </w:rPr>
            </w:pPr>
            <w:r>
              <w:rPr>
                <w:rFonts w:ascii="Arial" w:eastAsia="Times New Roman" w:hAnsi="Arial" w:cs="Arial"/>
                <w:szCs w:val="24"/>
                <w:lang w:val="es-ES" w:eastAsia="es-ES"/>
              </w:rPr>
              <w:t>3</w:t>
            </w:r>
            <w:r w:rsidRPr="00643680">
              <w:rPr>
                <w:rFonts w:ascii="Arial" w:eastAsia="Times New Roman" w:hAnsi="Arial" w:cs="Arial"/>
                <w:szCs w:val="24"/>
                <w:lang w:val="es-ES" w:eastAsia="es-ES"/>
              </w:rPr>
              <w:t>%</w:t>
            </w:r>
          </w:p>
        </w:tc>
      </w:tr>
      <w:tr w:rsidR="00E11E19" w:rsidRPr="00643680" w14:paraId="7F58983F" w14:textId="77777777" w:rsidTr="00E11E19">
        <w:trPr>
          <w:trHeight w:val="600"/>
        </w:trPr>
        <w:tc>
          <w:tcPr>
            <w:tcW w:w="593" w:type="pct"/>
            <w:vMerge/>
            <w:tcBorders>
              <w:top w:val="nil"/>
              <w:left w:val="single" w:sz="4" w:space="0" w:color="auto"/>
              <w:bottom w:val="single" w:sz="4" w:space="0" w:color="auto"/>
              <w:right w:val="single" w:sz="4" w:space="0" w:color="auto"/>
            </w:tcBorders>
            <w:vAlign w:val="center"/>
            <w:hideMark/>
          </w:tcPr>
          <w:p w14:paraId="5E036EEF" w14:textId="77777777" w:rsidR="00E11E19" w:rsidRPr="00643680" w:rsidRDefault="00E11E19" w:rsidP="00E11E19">
            <w:pPr>
              <w:spacing w:after="0" w:line="240" w:lineRule="auto"/>
              <w:rPr>
                <w:rFonts w:ascii="Calibri" w:eastAsia="Times New Roman" w:hAnsi="Calibri" w:cs="Calibri"/>
                <w:b/>
                <w:bCs/>
                <w:color w:val="000000"/>
                <w:szCs w:val="28"/>
                <w:lang w:val="es-ES" w:eastAsia="es-ES"/>
              </w:rPr>
            </w:pPr>
          </w:p>
        </w:tc>
        <w:tc>
          <w:tcPr>
            <w:tcW w:w="2986" w:type="pct"/>
            <w:tcBorders>
              <w:top w:val="nil"/>
              <w:left w:val="nil"/>
              <w:bottom w:val="single" w:sz="4" w:space="0" w:color="auto"/>
              <w:right w:val="single" w:sz="4" w:space="0" w:color="auto"/>
            </w:tcBorders>
            <w:shd w:val="clear" w:color="000000" w:fill="FFFFFF"/>
            <w:noWrap/>
            <w:vAlign w:val="center"/>
            <w:hideMark/>
          </w:tcPr>
          <w:p w14:paraId="44C3A41C" w14:textId="77777777" w:rsidR="00E11E19" w:rsidRPr="00643680" w:rsidRDefault="00E11E19" w:rsidP="00E11E19">
            <w:pPr>
              <w:spacing w:after="0" w:line="240" w:lineRule="auto"/>
              <w:jc w:val="both"/>
              <w:rPr>
                <w:rFonts w:ascii="Arial" w:eastAsia="Times New Roman" w:hAnsi="Arial" w:cs="Arial"/>
                <w:color w:val="000000"/>
                <w:sz w:val="20"/>
                <w:szCs w:val="24"/>
                <w:lang w:val="es-ES" w:eastAsia="es-ES"/>
              </w:rPr>
            </w:pPr>
            <w:r w:rsidRPr="00643680">
              <w:rPr>
                <w:rFonts w:ascii="Arial" w:eastAsia="Times New Roman" w:hAnsi="Arial" w:cs="Arial"/>
                <w:color w:val="000000"/>
                <w:sz w:val="20"/>
                <w:szCs w:val="24"/>
                <w:lang w:val="es-ES" w:eastAsia="es-ES"/>
              </w:rPr>
              <w:t>Ingresos por Venta de Bienes, Prestación de Servicios y Otros Ingresos</w:t>
            </w:r>
          </w:p>
        </w:tc>
        <w:tc>
          <w:tcPr>
            <w:tcW w:w="1004" w:type="pct"/>
            <w:tcBorders>
              <w:top w:val="nil"/>
              <w:left w:val="single" w:sz="4" w:space="0" w:color="auto"/>
              <w:bottom w:val="single" w:sz="4" w:space="0" w:color="auto"/>
              <w:right w:val="single" w:sz="4" w:space="0" w:color="auto"/>
            </w:tcBorders>
            <w:shd w:val="clear" w:color="000000" w:fill="FFFFFF"/>
            <w:vAlign w:val="center"/>
            <w:hideMark/>
          </w:tcPr>
          <w:p w14:paraId="207BA57C" w14:textId="571D7E2A" w:rsidR="00E11E19" w:rsidRPr="00E11E19" w:rsidRDefault="00E11E19" w:rsidP="00E11E19">
            <w:pPr>
              <w:spacing w:after="0" w:line="240" w:lineRule="auto"/>
              <w:jc w:val="right"/>
              <w:rPr>
                <w:rFonts w:ascii="Arial" w:eastAsia="Times New Roman" w:hAnsi="Arial" w:cs="Arial"/>
                <w:sz w:val="20"/>
                <w:szCs w:val="24"/>
                <w:lang w:val="es-ES" w:eastAsia="es-ES"/>
              </w:rPr>
            </w:pPr>
            <w:r w:rsidRPr="00E11E19">
              <w:rPr>
                <w:rFonts w:ascii="Arial" w:hAnsi="Arial" w:cs="Arial"/>
                <w:sz w:val="20"/>
              </w:rPr>
              <w:t>0</w:t>
            </w:r>
          </w:p>
        </w:tc>
        <w:tc>
          <w:tcPr>
            <w:tcW w:w="417" w:type="pct"/>
            <w:tcBorders>
              <w:top w:val="nil"/>
              <w:left w:val="nil"/>
              <w:bottom w:val="single" w:sz="4" w:space="0" w:color="auto"/>
              <w:right w:val="single" w:sz="4" w:space="0" w:color="auto"/>
            </w:tcBorders>
            <w:shd w:val="clear" w:color="auto" w:fill="auto"/>
            <w:noWrap/>
            <w:vAlign w:val="center"/>
            <w:hideMark/>
          </w:tcPr>
          <w:p w14:paraId="42883B52" w14:textId="77777777" w:rsidR="00E11E19" w:rsidRPr="00643680" w:rsidRDefault="00E11E19" w:rsidP="00E11E19">
            <w:pPr>
              <w:spacing w:after="0" w:line="240" w:lineRule="auto"/>
              <w:jc w:val="center"/>
              <w:rPr>
                <w:rFonts w:ascii="Arial" w:eastAsia="Times New Roman" w:hAnsi="Arial" w:cs="Arial"/>
                <w:szCs w:val="24"/>
                <w:lang w:val="es-ES" w:eastAsia="es-ES"/>
              </w:rPr>
            </w:pPr>
            <w:r w:rsidRPr="00643680">
              <w:rPr>
                <w:rFonts w:ascii="Arial" w:eastAsia="Times New Roman" w:hAnsi="Arial" w:cs="Arial"/>
                <w:szCs w:val="24"/>
                <w:lang w:val="es-ES" w:eastAsia="es-ES"/>
              </w:rPr>
              <w:t>0%</w:t>
            </w:r>
          </w:p>
        </w:tc>
      </w:tr>
      <w:tr w:rsidR="00643680" w:rsidRPr="00643680" w14:paraId="56A84DB4" w14:textId="77777777" w:rsidTr="00E11E19">
        <w:trPr>
          <w:trHeight w:val="315"/>
        </w:trPr>
        <w:tc>
          <w:tcPr>
            <w:tcW w:w="3579" w:type="pct"/>
            <w:gridSpan w:val="2"/>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04D59277" w14:textId="77777777" w:rsidR="00643680" w:rsidRPr="00643680" w:rsidRDefault="00643680" w:rsidP="00643680">
            <w:pPr>
              <w:spacing w:after="0" w:line="240" w:lineRule="auto"/>
              <w:jc w:val="right"/>
              <w:rPr>
                <w:rFonts w:ascii="Arial" w:eastAsia="Times New Roman" w:hAnsi="Arial" w:cs="Arial"/>
                <w:b/>
                <w:bCs/>
                <w:color w:val="000000"/>
                <w:szCs w:val="24"/>
                <w:lang w:val="es-ES" w:eastAsia="es-ES"/>
              </w:rPr>
            </w:pPr>
            <w:r w:rsidRPr="00643680">
              <w:rPr>
                <w:rFonts w:ascii="Arial" w:eastAsia="Times New Roman" w:hAnsi="Arial" w:cs="Arial"/>
                <w:b/>
                <w:bCs/>
                <w:color w:val="000000"/>
                <w:szCs w:val="24"/>
                <w:lang w:val="es-ES" w:eastAsia="es-ES"/>
              </w:rPr>
              <w:t>Total de Recursos Federales</w:t>
            </w:r>
          </w:p>
        </w:tc>
        <w:tc>
          <w:tcPr>
            <w:tcW w:w="1004" w:type="pct"/>
            <w:tcBorders>
              <w:top w:val="nil"/>
              <w:left w:val="nil"/>
              <w:bottom w:val="single" w:sz="4" w:space="0" w:color="auto"/>
              <w:right w:val="single" w:sz="4" w:space="0" w:color="auto"/>
            </w:tcBorders>
            <w:shd w:val="clear" w:color="000000" w:fill="F2F2F2"/>
            <w:vAlign w:val="center"/>
            <w:hideMark/>
          </w:tcPr>
          <w:p w14:paraId="10609029" w14:textId="2EE393B8" w:rsidR="00643680" w:rsidRPr="00643680" w:rsidRDefault="00597834" w:rsidP="00643680">
            <w:pPr>
              <w:spacing w:after="0" w:line="240" w:lineRule="auto"/>
              <w:jc w:val="right"/>
              <w:rPr>
                <w:rFonts w:ascii="Arial" w:eastAsia="Times New Roman" w:hAnsi="Arial" w:cs="Arial"/>
                <w:b/>
                <w:bCs/>
                <w:szCs w:val="24"/>
                <w:lang w:val="es-ES" w:eastAsia="es-ES"/>
              </w:rPr>
            </w:pPr>
            <w:r w:rsidRPr="00597834">
              <w:rPr>
                <w:rFonts w:ascii="Arial" w:eastAsia="Times New Roman" w:hAnsi="Arial" w:cs="Arial"/>
                <w:b/>
                <w:bCs/>
                <w:szCs w:val="24"/>
                <w:lang w:val="es-ES" w:eastAsia="es-ES"/>
              </w:rPr>
              <w:t>15,350,361,069</w:t>
            </w:r>
          </w:p>
        </w:tc>
        <w:tc>
          <w:tcPr>
            <w:tcW w:w="417" w:type="pct"/>
            <w:tcBorders>
              <w:top w:val="nil"/>
              <w:left w:val="nil"/>
              <w:bottom w:val="single" w:sz="4" w:space="0" w:color="auto"/>
              <w:right w:val="single" w:sz="4" w:space="0" w:color="auto"/>
            </w:tcBorders>
            <w:shd w:val="clear" w:color="000000" w:fill="F2F2F2"/>
            <w:noWrap/>
            <w:vAlign w:val="center"/>
            <w:hideMark/>
          </w:tcPr>
          <w:p w14:paraId="63873FD2" w14:textId="01ABC375" w:rsidR="00643680" w:rsidRPr="00643680" w:rsidRDefault="00E11E19" w:rsidP="00643680">
            <w:pPr>
              <w:spacing w:after="0" w:line="240" w:lineRule="auto"/>
              <w:jc w:val="center"/>
              <w:rPr>
                <w:rFonts w:ascii="Arial" w:eastAsia="Times New Roman" w:hAnsi="Arial" w:cs="Arial"/>
                <w:b/>
                <w:szCs w:val="24"/>
                <w:lang w:val="es-ES" w:eastAsia="es-ES"/>
              </w:rPr>
            </w:pPr>
            <w:r>
              <w:rPr>
                <w:rFonts w:ascii="Arial" w:eastAsia="Times New Roman" w:hAnsi="Arial" w:cs="Arial"/>
                <w:b/>
                <w:szCs w:val="24"/>
                <w:lang w:val="es-ES" w:eastAsia="es-ES"/>
              </w:rPr>
              <w:t>88</w:t>
            </w:r>
            <w:r w:rsidR="00643680" w:rsidRPr="00643680">
              <w:rPr>
                <w:rFonts w:ascii="Arial" w:eastAsia="Times New Roman" w:hAnsi="Arial" w:cs="Arial"/>
                <w:b/>
                <w:szCs w:val="24"/>
                <w:lang w:val="es-ES" w:eastAsia="es-ES"/>
              </w:rPr>
              <w:t>%</w:t>
            </w:r>
          </w:p>
        </w:tc>
      </w:tr>
      <w:tr w:rsidR="00E11E19" w:rsidRPr="00643680" w14:paraId="5E8D19DE" w14:textId="77777777" w:rsidTr="00A52A13">
        <w:trPr>
          <w:trHeight w:val="600"/>
        </w:trPr>
        <w:tc>
          <w:tcPr>
            <w:tcW w:w="593" w:type="pct"/>
            <w:vMerge w:val="restart"/>
            <w:tcBorders>
              <w:top w:val="nil"/>
              <w:left w:val="single" w:sz="4" w:space="0" w:color="auto"/>
              <w:bottom w:val="single" w:sz="4" w:space="0" w:color="auto"/>
              <w:right w:val="single" w:sz="4" w:space="0" w:color="auto"/>
            </w:tcBorders>
            <w:shd w:val="clear" w:color="auto" w:fill="auto"/>
            <w:vAlign w:val="center"/>
            <w:hideMark/>
          </w:tcPr>
          <w:p w14:paraId="11B9DA3F" w14:textId="77777777" w:rsidR="00E11E19" w:rsidRPr="00643680" w:rsidRDefault="00E11E19" w:rsidP="00E11E19">
            <w:pPr>
              <w:spacing w:after="0" w:line="240" w:lineRule="auto"/>
              <w:jc w:val="center"/>
              <w:rPr>
                <w:rFonts w:ascii="Calibri" w:eastAsia="Times New Roman" w:hAnsi="Calibri" w:cs="Calibri"/>
                <w:b/>
                <w:bCs/>
                <w:color w:val="000000"/>
                <w:szCs w:val="28"/>
                <w:lang w:val="es-ES" w:eastAsia="es-ES"/>
              </w:rPr>
            </w:pPr>
            <w:r w:rsidRPr="00643680">
              <w:rPr>
                <w:rFonts w:ascii="Calibri" w:eastAsia="Times New Roman" w:hAnsi="Calibri" w:cs="Calibri"/>
                <w:b/>
                <w:bCs/>
                <w:color w:val="000000"/>
                <w:sz w:val="20"/>
                <w:szCs w:val="28"/>
                <w:lang w:val="es-ES" w:eastAsia="es-ES"/>
              </w:rPr>
              <w:t>Recursos Federales</w:t>
            </w:r>
          </w:p>
        </w:tc>
        <w:tc>
          <w:tcPr>
            <w:tcW w:w="2986" w:type="pct"/>
            <w:tcBorders>
              <w:top w:val="nil"/>
              <w:left w:val="nil"/>
              <w:bottom w:val="single" w:sz="4" w:space="0" w:color="auto"/>
              <w:right w:val="single" w:sz="4" w:space="0" w:color="auto"/>
            </w:tcBorders>
            <w:shd w:val="clear" w:color="000000" w:fill="FFFFFF"/>
            <w:noWrap/>
            <w:vAlign w:val="center"/>
            <w:hideMark/>
          </w:tcPr>
          <w:p w14:paraId="21F64CEC" w14:textId="77777777" w:rsidR="00E11E19" w:rsidRPr="00643680" w:rsidRDefault="00E11E19" w:rsidP="00E11E19">
            <w:pPr>
              <w:spacing w:after="0" w:line="240" w:lineRule="auto"/>
              <w:jc w:val="both"/>
              <w:rPr>
                <w:rFonts w:ascii="Arial" w:eastAsia="Times New Roman" w:hAnsi="Arial" w:cs="Arial"/>
                <w:color w:val="000000"/>
                <w:sz w:val="20"/>
                <w:szCs w:val="24"/>
                <w:lang w:val="es-ES" w:eastAsia="es-ES"/>
              </w:rPr>
            </w:pPr>
            <w:r w:rsidRPr="00643680">
              <w:rPr>
                <w:rFonts w:ascii="Arial" w:eastAsia="Times New Roman" w:hAnsi="Arial" w:cs="Arial"/>
                <w:color w:val="000000"/>
                <w:sz w:val="20"/>
                <w:szCs w:val="24"/>
                <w:lang w:val="es-ES" w:eastAsia="es-ES"/>
              </w:rPr>
              <w:t>Participaciones, Aportaciones, Convenios, Incentivos Derivados de la Colaboración Fiscal y Fondos Distintos de Aportaciones</w:t>
            </w:r>
          </w:p>
        </w:tc>
        <w:tc>
          <w:tcPr>
            <w:tcW w:w="1004"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0F1CFC2" w14:textId="405F6F40" w:rsidR="00E11E19" w:rsidRPr="00E11E19" w:rsidRDefault="00597834" w:rsidP="00E11E19">
            <w:pPr>
              <w:spacing w:after="0" w:line="240" w:lineRule="auto"/>
              <w:jc w:val="right"/>
              <w:rPr>
                <w:rFonts w:ascii="Arial" w:eastAsia="Times New Roman" w:hAnsi="Arial" w:cs="Arial"/>
                <w:sz w:val="20"/>
                <w:szCs w:val="24"/>
                <w:lang w:val="es-ES" w:eastAsia="es-ES"/>
              </w:rPr>
            </w:pPr>
            <w:r w:rsidRPr="00597834">
              <w:rPr>
                <w:rFonts w:ascii="Arial" w:hAnsi="Arial" w:cs="Arial"/>
                <w:sz w:val="20"/>
              </w:rPr>
              <w:t>13,687,127,757</w:t>
            </w:r>
          </w:p>
        </w:tc>
        <w:tc>
          <w:tcPr>
            <w:tcW w:w="417" w:type="pct"/>
            <w:tcBorders>
              <w:top w:val="nil"/>
              <w:left w:val="nil"/>
              <w:bottom w:val="single" w:sz="4" w:space="0" w:color="auto"/>
              <w:right w:val="single" w:sz="4" w:space="0" w:color="auto"/>
            </w:tcBorders>
            <w:shd w:val="clear" w:color="auto" w:fill="auto"/>
            <w:noWrap/>
            <w:vAlign w:val="center"/>
            <w:hideMark/>
          </w:tcPr>
          <w:p w14:paraId="57BBE6AB" w14:textId="37E5E1A5" w:rsidR="00E11E19" w:rsidRPr="00643680" w:rsidRDefault="00E11E19" w:rsidP="00E11E19">
            <w:pPr>
              <w:spacing w:after="0" w:line="240" w:lineRule="auto"/>
              <w:jc w:val="center"/>
              <w:rPr>
                <w:rFonts w:ascii="Arial" w:eastAsia="Times New Roman" w:hAnsi="Arial" w:cs="Arial"/>
                <w:sz w:val="20"/>
                <w:szCs w:val="24"/>
                <w:lang w:val="es-ES" w:eastAsia="es-ES"/>
              </w:rPr>
            </w:pPr>
            <w:r>
              <w:rPr>
                <w:rFonts w:ascii="Arial" w:eastAsia="Times New Roman" w:hAnsi="Arial" w:cs="Arial"/>
                <w:sz w:val="20"/>
                <w:szCs w:val="24"/>
                <w:lang w:val="es-ES" w:eastAsia="es-ES"/>
              </w:rPr>
              <w:t>78</w:t>
            </w:r>
            <w:r w:rsidRPr="00643680">
              <w:rPr>
                <w:rFonts w:ascii="Arial" w:eastAsia="Times New Roman" w:hAnsi="Arial" w:cs="Arial"/>
                <w:sz w:val="20"/>
                <w:szCs w:val="24"/>
                <w:lang w:val="es-ES" w:eastAsia="es-ES"/>
              </w:rPr>
              <w:t>%</w:t>
            </w:r>
          </w:p>
        </w:tc>
      </w:tr>
      <w:tr w:rsidR="00E11E19" w:rsidRPr="00643680" w14:paraId="649229EA" w14:textId="77777777" w:rsidTr="00A52A13">
        <w:trPr>
          <w:trHeight w:val="600"/>
        </w:trPr>
        <w:tc>
          <w:tcPr>
            <w:tcW w:w="593" w:type="pct"/>
            <w:vMerge/>
            <w:tcBorders>
              <w:top w:val="nil"/>
              <w:left w:val="single" w:sz="4" w:space="0" w:color="auto"/>
              <w:bottom w:val="single" w:sz="4" w:space="0" w:color="auto"/>
              <w:right w:val="single" w:sz="4" w:space="0" w:color="auto"/>
            </w:tcBorders>
            <w:vAlign w:val="center"/>
            <w:hideMark/>
          </w:tcPr>
          <w:p w14:paraId="66264698" w14:textId="77777777" w:rsidR="00E11E19" w:rsidRPr="00643680" w:rsidRDefault="00E11E19" w:rsidP="00E11E19">
            <w:pPr>
              <w:spacing w:after="0" w:line="240" w:lineRule="auto"/>
              <w:rPr>
                <w:rFonts w:ascii="Calibri" w:eastAsia="Times New Roman" w:hAnsi="Calibri" w:cs="Calibri"/>
                <w:b/>
                <w:bCs/>
                <w:color w:val="000000"/>
                <w:szCs w:val="28"/>
                <w:lang w:val="es-ES" w:eastAsia="es-ES"/>
              </w:rPr>
            </w:pPr>
          </w:p>
        </w:tc>
        <w:tc>
          <w:tcPr>
            <w:tcW w:w="2986" w:type="pct"/>
            <w:tcBorders>
              <w:top w:val="nil"/>
              <w:left w:val="nil"/>
              <w:bottom w:val="single" w:sz="4" w:space="0" w:color="auto"/>
              <w:right w:val="single" w:sz="4" w:space="0" w:color="auto"/>
            </w:tcBorders>
            <w:shd w:val="clear" w:color="000000" w:fill="FFFFFF"/>
            <w:noWrap/>
            <w:vAlign w:val="center"/>
            <w:hideMark/>
          </w:tcPr>
          <w:p w14:paraId="656F131A" w14:textId="77777777" w:rsidR="00E11E19" w:rsidRPr="00643680" w:rsidRDefault="00E11E19" w:rsidP="00E11E19">
            <w:pPr>
              <w:spacing w:after="0" w:line="240" w:lineRule="auto"/>
              <w:jc w:val="both"/>
              <w:rPr>
                <w:rFonts w:ascii="Arial" w:eastAsia="Times New Roman" w:hAnsi="Arial" w:cs="Arial"/>
                <w:color w:val="000000"/>
                <w:sz w:val="20"/>
                <w:szCs w:val="24"/>
                <w:lang w:val="es-ES" w:eastAsia="es-ES"/>
              </w:rPr>
            </w:pPr>
            <w:r w:rsidRPr="00643680">
              <w:rPr>
                <w:rFonts w:ascii="Arial" w:eastAsia="Times New Roman" w:hAnsi="Arial" w:cs="Arial"/>
                <w:color w:val="000000"/>
                <w:sz w:val="20"/>
                <w:szCs w:val="24"/>
                <w:lang w:val="es-ES" w:eastAsia="es-ES"/>
              </w:rPr>
              <w:t xml:space="preserve">Transferencias, Asignaciones, </w:t>
            </w:r>
            <w:r w:rsidRPr="002E0DB6">
              <w:rPr>
                <w:rFonts w:ascii="Arial" w:eastAsia="Times New Roman" w:hAnsi="Arial" w:cs="Arial"/>
                <w:color w:val="000000"/>
                <w:sz w:val="20"/>
                <w:szCs w:val="24"/>
                <w:lang w:val="es-ES" w:eastAsia="es-ES"/>
              </w:rPr>
              <w:t>Subsidios</w:t>
            </w:r>
            <w:r w:rsidRPr="00643680">
              <w:rPr>
                <w:rFonts w:ascii="Arial" w:eastAsia="Times New Roman" w:hAnsi="Arial" w:cs="Arial"/>
                <w:color w:val="000000"/>
                <w:sz w:val="20"/>
                <w:szCs w:val="24"/>
                <w:lang w:val="es-ES" w:eastAsia="es-ES"/>
              </w:rPr>
              <w:t xml:space="preserve"> y Subvenciones, y Pensiones y Jubilaciones</w:t>
            </w:r>
          </w:p>
        </w:tc>
        <w:tc>
          <w:tcPr>
            <w:tcW w:w="1004" w:type="pct"/>
            <w:tcBorders>
              <w:top w:val="nil"/>
              <w:left w:val="single" w:sz="4" w:space="0" w:color="auto"/>
              <w:bottom w:val="single" w:sz="4" w:space="0" w:color="auto"/>
              <w:right w:val="single" w:sz="4" w:space="0" w:color="auto"/>
            </w:tcBorders>
            <w:shd w:val="clear" w:color="000000" w:fill="FFFFFF"/>
            <w:vAlign w:val="center"/>
            <w:hideMark/>
          </w:tcPr>
          <w:p w14:paraId="713CBD23" w14:textId="73B31EC6" w:rsidR="00E11E19" w:rsidRPr="00E11E19" w:rsidRDefault="00E11E19" w:rsidP="00E11E19">
            <w:pPr>
              <w:spacing w:after="0" w:line="240" w:lineRule="auto"/>
              <w:jc w:val="right"/>
              <w:rPr>
                <w:rFonts w:ascii="Arial" w:eastAsia="Times New Roman" w:hAnsi="Arial" w:cs="Arial"/>
                <w:sz w:val="20"/>
                <w:szCs w:val="24"/>
                <w:lang w:val="es-ES" w:eastAsia="es-ES"/>
              </w:rPr>
            </w:pPr>
            <w:r w:rsidRPr="00E11E19">
              <w:rPr>
                <w:rFonts w:ascii="Arial" w:hAnsi="Arial" w:cs="Arial"/>
                <w:sz w:val="20"/>
              </w:rPr>
              <w:t>1,663,233,312</w:t>
            </w:r>
          </w:p>
        </w:tc>
        <w:tc>
          <w:tcPr>
            <w:tcW w:w="417" w:type="pct"/>
            <w:tcBorders>
              <w:top w:val="nil"/>
              <w:left w:val="nil"/>
              <w:bottom w:val="single" w:sz="4" w:space="0" w:color="auto"/>
              <w:right w:val="single" w:sz="4" w:space="0" w:color="auto"/>
            </w:tcBorders>
            <w:shd w:val="clear" w:color="auto" w:fill="auto"/>
            <w:noWrap/>
            <w:vAlign w:val="center"/>
            <w:hideMark/>
          </w:tcPr>
          <w:p w14:paraId="4230C8BF" w14:textId="77777777" w:rsidR="00E11E19" w:rsidRPr="00643680" w:rsidRDefault="00E11E19" w:rsidP="00E11E19">
            <w:pPr>
              <w:spacing w:after="0" w:line="240" w:lineRule="auto"/>
              <w:jc w:val="center"/>
              <w:rPr>
                <w:rFonts w:ascii="Arial" w:eastAsia="Times New Roman" w:hAnsi="Arial" w:cs="Arial"/>
                <w:sz w:val="20"/>
                <w:szCs w:val="24"/>
                <w:lang w:val="es-ES" w:eastAsia="es-ES"/>
              </w:rPr>
            </w:pPr>
            <w:r w:rsidRPr="00643680">
              <w:rPr>
                <w:rFonts w:ascii="Arial" w:eastAsia="Times New Roman" w:hAnsi="Arial" w:cs="Arial"/>
                <w:sz w:val="20"/>
                <w:szCs w:val="24"/>
                <w:lang w:val="es-ES" w:eastAsia="es-ES"/>
              </w:rPr>
              <w:t>10%</w:t>
            </w:r>
          </w:p>
        </w:tc>
      </w:tr>
      <w:tr w:rsidR="00643680" w:rsidRPr="00643680" w14:paraId="3C215BDA" w14:textId="77777777" w:rsidTr="00E11E19">
        <w:trPr>
          <w:trHeight w:val="315"/>
        </w:trPr>
        <w:tc>
          <w:tcPr>
            <w:tcW w:w="3579" w:type="pct"/>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14:paraId="565EF0BD" w14:textId="77777777" w:rsidR="00643680" w:rsidRPr="00643680" w:rsidRDefault="00643680" w:rsidP="002A005A">
            <w:pPr>
              <w:spacing w:after="0" w:line="240" w:lineRule="auto"/>
              <w:jc w:val="right"/>
              <w:rPr>
                <w:rFonts w:ascii="Arial" w:eastAsia="Times New Roman" w:hAnsi="Arial" w:cs="Arial"/>
                <w:b/>
                <w:bCs/>
                <w:color w:val="000000"/>
                <w:szCs w:val="24"/>
                <w:lang w:val="es-ES" w:eastAsia="es-ES"/>
              </w:rPr>
            </w:pPr>
            <w:r w:rsidRPr="00643680">
              <w:rPr>
                <w:rFonts w:ascii="Arial" w:eastAsia="Times New Roman" w:hAnsi="Arial" w:cs="Arial"/>
                <w:b/>
                <w:bCs/>
                <w:color w:val="000000"/>
                <w:szCs w:val="24"/>
                <w:lang w:val="es-ES" w:eastAsia="es-ES"/>
              </w:rPr>
              <w:t>Ingresos Derivados de Financiamientos</w:t>
            </w:r>
          </w:p>
        </w:tc>
        <w:tc>
          <w:tcPr>
            <w:tcW w:w="1004" w:type="pct"/>
            <w:tcBorders>
              <w:top w:val="nil"/>
              <w:left w:val="nil"/>
              <w:bottom w:val="single" w:sz="4" w:space="0" w:color="auto"/>
              <w:right w:val="single" w:sz="4" w:space="0" w:color="auto"/>
            </w:tcBorders>
            <w:shd w:val="clear" w:color="000000" w:fill="F2F2F2"/>
            <w:vAlign w:val="center"/>
            <w:hideMark/>
          </w:tcPr>
          <w:p w14:paraId="134670BC" w14:textId="77777777" w:rsidR="00643680" w:rsidRPr="00643680" w:rsidRDefault="00643680" w:rsidP="00643680">
            <w:pPr>
              <w:spacing w:after="0" w:line="240" w:lineRule="auto"/>
              <w:jc w:val="right"/>
              <w:rPr>
                <w:rFonts w:ascii="Arial" w:eastAsia="Times New Roman" w:hAnsi="Arial" w:cs="Arial"/>
                <w:szCs w:val="24"/>
                <w:lang w:val="es-ES" w:eastAsia="es-ES"/>
              </w:rPr>
            </w:pPr>
            <w:r w:rsidRPr="00643680">
              <w:rPr>
                <w:rFonts w:ascii="Arial" w:eastAsia="Times New Roman" w:hAnsi="Arial" w:cs="Arial"/>
                <w:szCs w:val="24"/>
                <w:lang w:val="es-ES" w:eastAsia="es-ES"/>
              </w:rPr>
              <w:t>0</w:t>
            </w:r>
          </w:p>
        </w:tc>
        <w:tc>
          <w:tcPr>
            <w:tcW w:w="417" w:type="pct"/>
            <w:tcBorders>
              <w:top w:val="nil"/>
              <w:left w:val="nil"/>
              <w:bottom w:val="single" w:sz="4" w:space="0" w:color="auto"/>
              <w:right w:val="single" w:sz="4" w:space="0" w:color="auto"/>
            </w:tcBorders>
            <w:shd w:val="clear" w:color="000000" w:fill="F2F2F2"/>
            <w:noWrap/>
            <w:vAlign w:val="center"/>
            <w:hideMark/>
          </w:tcPr>
          <w:p w14:paraId="105F8942" w14:textId="77777777" w:rsidR="00643680" w:rsidRPr="00643680" w:rsidRDefault="00643680" w:rsidP="00643680">
            <w:pPr>
              <w:spacing w:after="0" w:line="240" w:lineRule="auto"/>
              <w:jc w:val="center"/>
              <w:rPr>
                <w:rFonts w:ascii="Arial" w:eastAsia="Times New Roman" w:hAnsi="Arial" w:cs="Arial"/>
                <w:szCs w:val="24"/>
                <w:lang w:val="es-ES" w:eastAsia="es-ES"/>
              </w:rPr>
            </w:pPr>
            <w:r w:rsidRPr="00643680">
              <w:rPr>
                <w:rFonts w:ascii="Arial" w:eastAsia="Times New Roman" w:hAnsi="Arial" w:cs="Arial"/>
                <w:szCs w:val="24"/>
                <w:lang w:val="es-ES" w:eastAsia="es-ES"/>
              </w:rPr>
              <w:t>0%</w:t>
            </w:r>
          </w:p>
        </w:tc>
      </w:tr>
      <w:tr w:rsidR="00643680" w:rsidRPr="00643680" w14:paraId="173CBA74" w14:textId="77777777" w:rsidTr="00E11E19">
        <w:trPr>
          <w:trHeight w:val="315"/>
        </w:trPr>
        <w:tc>
          <w:tcPr>
            <w:tcW w:w="3579"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14:paraId="66CDA0D8" w14:textId="77777777" w:rsidR="00643680" w:rsidRPr="00643680" w:rsidRDefault="00643680" w:rsidP="00643680">
            <w:pPr>
              <w:spacing w:after="0" w:line="240" w:lineRule="auto"/>
              <w:jc w:val="right"/>
              <w:rPr>
                <w:rFonts w:ascii="Arial" w:eastAsia="Times New Roman" w:hAnsi="Arial" w:cs="Arial"/>
                <w:b/>
                <w:bCs/>
                <w:color w:val="000000"/>
                <w:szCs w:val="24"/>
                <w:lang w:val="es-ES" w:eastAsia="es-ES"/>
              </w:rPr>
            </w:pPr>
            <w:r w:rsidRPr="00643680">
              <w:rPr>
                <w:rFonts w:ascii="Arial" w:eastAsia="Times New Roman" w:hAnsi="Arial" w:cs="Arial"/>
                <w:b/>
                <w:bCs/>
                <w:color w:val="000000"/>
                <w:szCs w:val="24"/>
                <w:lang w:val="es-ES" w:eastAsia="es-ES"/>
              </w:rPr>
              <w:t>Total de Ingresos</w:t>
            </w:r>
          </w:p>
        </w:tc>
        <w:tc>
          <w:tcPr>
            <w:tcW w:w="1004" w:type="pct"/>
            <w:tcBorders>
              <w:top w:val="nil"/>
              <w:left w:val="nil"/>
              <w:bottom w:val="single" w:sz="4" w:space="0" w:color="auto"/>
              <w:right w:val="single" w:sz="4" w:space="0" w:color="auto"/>
            </w:tcBorders>
            <w:shd w:val="clear" w:color="000000" w:fill="D9D9D9"/>
            <w:vAlign w:val="center"/>
            <w:hideMark/>
          </w:tcPr>
          <w:p w14:paraId="79A078D3" w14:textId="0339329D" w:rsidR="00643680" w:rsidRPr="00643680" w:rsidRDefault="00937686" w:rsidP="00643680">
            <w:pPr>
              <w:spacing w:after="0" w:line="240" w:lineRule="auto"/>
              <w:jc w:val="right"/>
              <w:rPr>
                <w:rFonts w:ascii="Arial" w:eastAsia="Times New Roman" w:hAnsi="Arial" w:cs="Arial"/>
                <w:b/>
                <w:bCs/>
                <w:color w:val="000000"/>
                <w:szCs w:val="24"/>
                <w:lang w:val="es-ES" w:eastAsia="es-ES"/>
              </w:rPr>
            </w:pPr>
            <w:r w:rsidRPr="00937686">
              <w:rPr>
                <w:rFonts w:ascii="Arial" w:eastAsia="Times New Roman" w:hAnsi="Arial" w:cs="Arial"/>
                <w:b/>
                <w:bCs/>
                <w:color w:val="000000"/>
                <w:szCs w:val="24"/>
                <w:lang w:val="es-ES" w:eastAsia="es-ES"/>
              </w:rPr>
              <w:t>17,474,000,000</w:t>
            </w:r>
          </w:p>
        </w:tc>
        <w:tc>
          <w:tcPr>
            <w:tcW w:w="417" w:type="pct"/>
            <w:tcBorders>
              <w:top w:val="nil"/>
              <w:left w:val="nil"/>
              <w:bottom w:val="single" w:sz="4" w:space="0" w:color="auto"/>
              <w:right w:val="single" w:sz="4" w:space="0" w:color="auto"/>
            </w:tcBorders>
            <w:shd w:val="clear" w:color="000000" w:fill="D9D9D9"/>
            <w:noWrap/>
            <w:vAlign w:val="center"/>
            <w:hideMark/>
          </w:tcPr>
          <w:p w14:paraId="1C48283F" w14:textId="77777777" w:rsidR="00643680" w:rsidRPr="00643680" w:rsidRDefault="00643680" w:rsidP="00643680">
            <w:pPr>
              <w:spacing w:after="0" w:line="240" w:lineRule="auto"/>
              <w:jc w:val="center"/>
              <w:rPr>
                <w:rFonts w:ascii="Calibri" w:eastAsia="Times New Roman" w:hAnsi="Calibri" w:cs="Calibri"/>
                <w:b/>
                <w:bCs/>
                <w:color w:val="000000"/>
                <w:lang w:val="es-ES" w:eastAsia="es-ES"/>
              </w:rPr>
            </w:pPr>
            <w:r w:rsidRPr="00643680">
              <w:rPr>
                <w:rFonts w:ascii="Calibri" w:eastAsia="Times New Roman" w:hAnsi="Calibri" w:cs="Calibri"/>
                <w:b/>
                <w:bCs/>
                <w:color w:val="000000"/>
                <w:lang w:val="es-ES" w:eastAsia="es-ES"/>
              </w:rPr>
              <w:t>100%</w:t>
            </w:r>
          </w:p>
        </w:tc>
      </w:tr>
      <w:tr w:rsidR="00643680" w:rsidRPr="00643680" w14:paraId="45D14E57" w14:textId="77777777" w:rsidTr="00911253">
        <w:trPr>
          <w:trHeight w:val="300"/>
        </w:trPr>
        <w:tc>
          <w:tcPr>
            <w:tcW w:w="5000" w:type="pct"/>
            <w:gridSpan w:val="4"/>
            <w:tcBorders>
              <w:top w:val="nil"/>
              <w:left w:val="nil"/>
              <w:bottom w:val="nil"/>
              <w:right w:val="nil"/>
            </w:tcBorders>
            <w:shd w:val="clear" w:color="auto" w:fill="auto"/>
            <w:noWrap/>
            <w:hideMark/>
          </w:tcPr>
          <w:p w14:paraId="0FC9A526" w14:textId="01CAF468" w:rsidR="00643680" w:rsidRPr="00643680" w:rsidRDefault="00533CEF" w:rsidP="00911253">
            <w:pPr>
              <w:spacing w:after="0" w:line="240" w:lineRule="auto"/>
              <w:rPr>
                <w:rFonts w:ascii="Arial" w:eastAsia="Times New Roman" w:hAnsi="Arial" w:cs="Arial"/>
                <w:color w:val="000000"/>
                <w:szCs w:val="18"/>
                <w:lang w:val="es-ES" w:eastAsia="es-ES"/>
              </w:rPr>
            </w:pPr>
            <w:r>
              <w:rPr>
                <w:rFonts w:ascii="Arial" w:eastAsia="Times New Roman" w:hAnsi="Arial" w:cs="Arial"/>
                <w:color w:val="000000"/>
                <w:sz w:val="16"/>
                <w:szCs w:val="18"/>
                <w:lang w:val="es-ES" w:eastAsia="es-ES"/>
              </w:rPr>
              <w:t>Fuente: Ingresos Estimados 2021</w:t>
            </w:r>
            <w:r w:rsidR="00643680" w:rsidRPr="00643680">
              <w:rPr>
                <w:rFonts w:ascii="Arial" w:eastAsia="Times New Roman" w:hAnsi="Arial" w:cs="Arial"/>
                <w:color w:val="000000"/>
                <w:sz w:val="16"/>
                <w:szCs w:val="18"/>
                <w:lang w:val="es-ES" w:eastAsia="es-ES"/>
              </w:rPr>
              <w:t>.</w:t>
            </w:r>
          </w:p>
        </w:tc>
      </w:tr>
    </w:tbl>
    <w:p w14:paraId="52749AFE" w14:textId="77777777" w:rsidR="003B4927" w:rsidRPr="007B539B" w:rsidRDefault="003B4927" w:rsidP="003B4927">
      <w:pPr>
        <w:spacing w:after="0" w:line="240" w:lineRule="auto"/>
        <w:jc w:val="both"/>
        <w:rPr>
          <w:rFonts w:ascii="Arial" w:hAnsi="Arial" w:cs="Arial"/>
          <w:sz w:val="24"/>
        </w:rPr>
      </w:pPr>
      <w:r w:rsidRPr="00F776C7">
        <w:rPr>
          <w:rFonts w:ascii="Arial" w:hAnsi="Arial" w:cs="Arial"/>
          <w:sz w:val="24"/>
        </w:rPr>
        <w:t>Es importante destacar que no se contemplan como fuente de financiamiento los Ingresos Derivados de Financiamientos.</w:t>
      </w:r>
    </w:p>
    <w:p w14:paraId="5E6AF583" w14:textId="77777777" w:rsidR="007A6F93" w:rsidRPr="007B539B" w:rsidRDefault="007A6F93" w:rsidP="003B4927">
      <w:pPr>
        <w:spacing w:after="0" w:line="240" w:lineRule="auto"/>
        <w:jc w:val="both"/>
        <w:rPr>
          <w:rFonts w:ascii="Arial" w:hAnsi="Arial" w:cs="Arial"/>
          <w:sz w:val="24"/>
        </w:rPr>
      </w:pPr>
    </w:p>
    <w:p w14:paraId="48598A5E" w14:textId="073C5DBD" w:rsidR="007A6F93" w:rsidRDefault="00533CEF" w:rsidP="003B4927">
      <w:pPr>
        <w:spacing w:after="0" w:line="240" w:lineRule="auto"/>
        <w:jc w:val="both"/>
        <w:rPr>
          <w:rFonts w:ascii="Arial" w:hAnsi="Arial" w:cs="Arial"/>
          <w:sz w:val="24"/>
        </w:rPr>
      </w:pPr>
      <w:r w:rsidRPr="00F776C7">
        <w:rPr>
          <w:rFonts w:ascii="Arial" w:hAnsi="Arial" w:cs="Arial"/>
          <w:sz w:val="24"/>
        </w:rPr>
        <w:lastRenderedPageBreak/>
        <w:t>En lo que refiere a las</w:t>
      </w:r>
      <w:r w:rsidR="007A6F93" w:rsidRPr="00F776C7">
        <w:rPr>
          <w:rFonts w:ascii="Arial" w:hAnsi="Arial" w:cs="Arial"/>
          <w:sz w:val="24"/>
        </w:rPr>
        <w:t xml:space="preserve"> fuentes de </w:t>
      </w:r>
      <w:r w:rsidRPr="00F776C7">
        <w:rPr>
          <w:rFonts w:ascii="Arial" w:hAnsi="Arial" w:cs="Arial"/>
          <w:sz w:val="24"/>
        </w:rPr>
        <w:t>financiamiento del gasto en 2021</w:t>
      </w:r>
      <w:r w:rsidR="007A6F93" w:rsidRPr="00F776C7">
        <w:rPr>
          <w:rFonts w:ascii="Arial" w:hAnsi="Arial" w:cs="Arial"/>
          <w:sz w:val="24"/>
        </w:rPr>
        <w:t xml:space="preserve">, el </w:t>
      </w:r>
      <w:r w:rsidR="00C91977" w:rsidRPr="00F776C7">
        <w:rPr>
          <w:rFonts w:ascii="Arial" w:hAnsi="Arial" w:cs="Arial"/>
          <w:sz w:val="24"/>
        </w:rPr>
        <w:t>44</w:t>
      </w:r>
      <w:r w:rsidR="00185A41" w:rsidRPr="00F776C7">
        <w:rPr>
          <w:rFonts w:ascii="Arial" w:hAnsi="Arial" w:cs="Arial"/>
          <w:sz w:val="24"/>
        </w:rPr>
        <w:t>.0</w:t>
      </w:r>
      <w:r w:rsidR="007A6F93" w:rsidRPr="00F776C7">
        <w:rPr>
          <w:rFonts w:ascii="Arial" w:hAnsi="Arial" w:cs="Arial"/>
          <w:sz w:val="24"/>
        </w:rPr>
        <w:t xml:space="preserve"> por ciento proviene de Ingresos Locales</w:t>
      </w:r>
      <w:r w:rsidR="00185A41" w:rsidRPr="00F776C7">
        <w:rPr>
          <w:rFonts w:ascii="Arial" w:hAnsi="Arial" w:cs="Arial"/>
          <w:sz w:val="24"/>
        </w:rPr>
        <w:t xml:space="preserve"> y de Participaciones</w:t>
      </w:r>
      <w:r w:rsidR="00E27853" w:rsidRPr="00F776C7">
        <w:rPr>
          <w:rFonts w:ascii="Arial" w:hAnsi="Arial" w:cs="Arial"/>
          <w:sz w:val="24"/>
        </w:rPr>
        <w:t xml:space="preserve"> y cor</w:t>
      </w:r>
      <w:r w:rsidR="00C91977" w:rsidRPr="00F776C7">
        <w:rPr>
          <w:rFonts w:ascii="Arial" w:hAnsi="Arial" w:cs="Arial"/>
          <w:sz w:val="24"/>
        </w:rPr>
        <w:t>responde a los Ingresos de Libre Disposición</w:t>
      </w:r>
      <w:r w:rsidR="00185A41" w:rsidRPr="00F776C7">
        <w:rPr>
          <w:rFonts w:ascii="Arial" w:hAnsi="Arial" w:cs="Arial"/>
          <w:sz w:val="24"/>
        </w:rPr>
        <w:t>; y el 5</w:t>
      </w:r>
      <w:r w:rsidR="00C91977" w:rsidRPr="00F776C7">
        <w:rPr>
          <w:rFonts w:ascii="Arial" w:hAnsi="Arial" w:cs="Arial"/>
          <w:sz w:val="24"/>
        </w:rPr>
        <w:t>6</w:t>
      </w:r>
      <w:r w:rsidR="00185A41" w:rsidRPr="00F776C7">
        <w:rPr>
          <w:rFonts w:ascii="Arial" w:hAnsi="Arial" w:cs="Arial"/>
          <w:sz w:val="24"/>
        </w:rPr>
        <w:t>.0</w:t>
      </w:r>
      <w:r w:rsidR="007A6F93" w:rsidRPr="00F776C7">
        <w:rPr>
          <w:rFonts w:ascii="Arial" w:hAnsi="Arial" w:cs="Arial"/>
          <w:sz w:val="24"/>
        </w:rPr>
        <w:t xml:space="preserve"> por ciento restante, proviene de Recursos Federales, los cuales se conforman de las Aportaciones del Ramo 33, Convenios, Incentivos Derivados de la Colaboración Fiscal con la Federación y de las Transferencias, Asignaciones, Subsidios y Subvenci</w:t>
      </w:r>
      <w:r w:rsidR="00911253" w:rsidRPr="00F776C7">
        <w:rPr>
          <w:rFonts w:ascii="Arial" w:hAnsi="Arial" w:cs="Arial"/>
          <w:sz w:val="24"/>
        </w:rPr>
        <w:t>ones y Pensiones y Jubilaciones, como se observa a continuación:</w:t>
      </w:r>
    </w:p>
    <w:p w14:paraId="2E1E0194" w14:textId="77777777" w:rsidR="00911253" w:rsidRDefault="00911253" w:rsidP="003B4927">
      <w:pPr>
        <w:spacing w:after="0" w:line="240" w:lineRule="auto"/>
        <w:jc w:val="both"/>
        <w:rPr>
          <w:rFonts w:ascii="Arial" w:hAnsi="Arial" w:cs="Arial"/>
          <w:sz w:val="24"/>
        </w:rPr>
      </w:pPr>
    </w:p>
    <w:p w14:paraId="502F64E7" w14:textId="78878BAF" w:rsidR="007A6F93" w:rsidRDefault="00C91977" w:rsidP="00911253">
      <w:pPr>
        <w:spacing w:after="0" w:line="240" w:lineRule="auto"/>
        <w:jc w:val="center"/>
        <w:rPr>
          <w:rFonts w:ascii="Arial" w:hAnsi="Arial" w:cs="Arial"/>
          <w:sz w:val="24"/>
        </w:rPr>
      </w:pPr>
      <w:r w:rsidRPr="00C91977">
        <w:rPr>
          <w:noProof/>
        </w:rPr>
        <w:drawing>
          <wp:inline distT="0" distB="0" distL="0" distR="0" wp14:anchorId="6477DD64" wp14:editId="6DABF29E">
            <wp:extent cx="4580890" cy="348488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80890" cy="3484880"/>
                    </a:xfrm>
                    <a:prstGeom prst="rect">
                      <a:avLst/>
                    </a:prstGeom>
                    <a:noFill/>
                    <a:ln>
                      <a:noFill/>
                    </a:ln>
                  </pic:spPr>
                </pic:pic>
              </a:graphicData>
            </a:graphic>
          </wp:inline>
        </w:drawing>
      </w:r>
    </w:p>
    <w:p w14:paraId="453EDF77" w14:textId="77777777" w:rsidR="007F2113" w:rsidRDefault="007F2113" w:rsidP="00C041EB">
      <w:pPr>
        <w:spacing w:after="0" w:line="240" w:lineRule="auto"/>
        <w:jc w:val="both"/>
        <w:rPr>
          <w:rFonts w:ascii="Arial" w:hAnsi="Arial" w:cs="Arial"/>
          <w:b/>
          <w:bCs/>
          <w:i/>
          <w:iCs/>
          <w:sz w:val="24"/>
        </w:rPr>
      </w:pPr>
    </w:p>
    <w:p w14:paraId="180FA123" w14:textId="77777777" w:rsidR="007A6F93" w:rsidRPr="007F1457" w:rsidRDefault="007A6F93" w:rsidP="00C041EB">
      <w:pPr>
        <w:spacing w:after="0" w:line="240" w:lineRule="auto"/>
        <w:jc w:val="both"/>
        <w:rPr>
          <w:rFonts w:ascii="Arial" w:hAnsi="Arial" w:cs="Arial"/>
          <w:b/>
          <w:bCs/>
          <w:i/>
          <w:iCs/>
          <w:sz w:val="24"/>
        </w:rPr>
      </w:pPr>
      <w:r w:rsidRPr="007F1457">
        <w:rPr>
          <w:rFonts w:ascii="Arial" w:hAnsi="Arial" w:cs="Arial"/>
          <w:b/>
          <w:bCs/>
          <w:i/>
          <w:iCs/>
          <w:sz w:val="24"/>
        </w:rPr>
        <w:t>Ingresos de Libre Disposición</w:t>
      </w:r>
    </w:p>
    <w:p w14:paraId="2AA58B71" w14:textId="77777777" w:rsidR="007A6F93" w:rsidRDefault="007A6F93" w:rsidP="00C041EB">
      <w:pPr>
        <w:spacing w:after="0" w:line="240" w:lineRule="auto"/>
        <w:jc w:val="both"/>
        <w:rPr>
          <w:rFonts w:ascii="Arial" w:hAnsi="Arial" w:cs="Arial"/>
          <w:sz w:val="24"/>
        </w:rPr>
      </w:pPr>
    </w:p>
    <w:p w14:paraId="2BE32BB8" w14:textId="496539A9" w:rsidR="007A6F93" w:rsidRDefault="007A6F93" w:rsidP="00C041EB">
      <w:pPr>
        <w:spacing w:after="0" w:line="240" w:lineRule="auto"/>
        <w:jc w:val="both"/>
        <w:rPr>
          <w:rFonts w:ascii="Arial" w:hAnsi="Arial" w:cs="Arial"/>
          <w:sz w:val="24"/>
        </w:rPr>
      </w:pPr>
      <w:r>
        <w:rPr>
          <w:rFonts w:ascii="Arial" w:hAnsi="Arial" w:cs="Arial"/>
          <w:sz w:val="24"/>
        </w:rPr>
        <w:t xml:space="preserve">De acuerdo a lo previsto en la Ley de Disciplina Financiera de las Entidades Federativas y los Municipios: </w:t>
      </w:r>
      <w:r w:rsidRPr="00F72923">
        <w:rPr>
          <w:rFonts w:ascii="Arial" w:hAnsi="Arial" w:cs="Arial"/>
          <w:i/>
          <w:sz w:val="24"/>
        </w:rPr>
        <w:t xml:space="preserve">“los Ingresos de Libre Disposición se constituyen de los Ingresos locales y las participaciones federales, así como de los recursos que, en su caso, reciban del Fondo de Estabilización de los Ingresos de las Entidades Federativas en los términos del artículo 19 de la Ley Federal de Presupuesto y Responsabilidad Hacendaria y cualquier otro recurso que no </w:t>
      </w:r>
      <w:r w:rsidR="002E0474" w:rsidRPr="00F72923">
        <w:rPr>
          <w:rFonts w:ascii="Arial" w:hAnsi="Arial" w:cs="Arial"/>
          <w:i/>
          <w:sz w:val="24"/>
        </w:rPr>
        <w:t>esté</w:t>
      </w:r>
      <w:r w:rsidRPr="00F72923">
        <w:rPr>
          <w:rFonts w:ascii="Arial" w:hAnsi="Arial" w:cs="Arial"/>
          <w:i/>
          <w:sz w:val="24"/>
        </w:rPr>
        <w:t xml:space="preserve"> </w:t>
      </w:r>
      <w:r w:rsidR="00911253" w:rsidRPr="00F72923">
        <w:rPr>
          <w:rFonts w:ascii="Arial" w:hAnsi="Arial" w:cs="Arial"/>
          <w:i/>
          <w:sz w:val="24"/>
        </w:rPr>
        <w:t>destinado a un fin específico</w:t>
      </w:r>
      <w:r w:rsidR="00E23ABE">
        <w:rPr>
          <w:rFonts w:ascii="Arial" w:hAnsi="Arial" w:cs="Arial"/>
          <w:sz w:val="24"/>
        </w:rPr>
        <w:t>”, para 2021</w:t>
      </w:r>
      <w:r w:rsidR="00911253">
        <w:rPr>
          <w:rFonts w:ascii="Arial" w:hAnsi="Arial" w:cs="Arial"/>
          <w:sz w:val="24"/>
        </w:rPr>
        <w:t xml:space="preserve"> los Ingresos de Libre Disposición estimados son los siguientes:</w:t>
      </w:r>
    </w:p>
    <w:p w14:paraId="4510F820" w14:textId="77777777" w:rsidR="00911253" w:rsidRDefault="00911253" w:rsidP="00C041EB">
      <w:pPr>
        <w:spacing w:after="0" w:line="240" w:lineRule="auto"/>
        <w:jc w:val="both"/>
        <w:rPr>
          <w:rFonts w:ascii="Arial" w:hAnsi="Arial" w:cs="Arial"/>
          <w:sz w:val="24"/>
        </w:rPr>
      </w:pPr>
    </w:p>
    <w:tbl>
      <w:tblPr>
        <w:tblStyle w:val="Tablaconcuadrcula"/>
        <w:tblW w:w="0" w:type="auto"/>
        <w:tblLook w:val="04A0" w:firstRow="1" w:lastRow="0" w:firstColumn="1" w:lastColumn="0" w:noHBand="0" w:noVBand="1"/>
      </w:tblPr>
      <w:tblGrid>
        <w:gridCol w:w="6411"/>
        <w:gridCol w:w="2083"/>
      </w:tblGrid>
      <w:tr w:rsidR="00911253" w:rsidRPr="00911253" w14:paraId="5A9DF6D0" w14:textId="77777777" w:rsidTr="00911253">
        <w:trPr>
          <w:trHeight w:val="525"/>
        </w:trPr>
        <w:tc>
          <w:tcPr>
            <w:tcW w:w="8740" w:type="dxa"/>
            <w:gridSpan w:val="2"/>
            <w:shd w:val="clear" w:color="auto" w:fill="DBDBDB" w:themeFill="accent3" w:themeFillTint="66"/>
            <w:noWrap/>
            <w:vAlign w:val="center"/>
            <w:hideMark/>
          </w:tcPr>
          <w:p w14:paraId="370BCC00" w14:textId="0DD1F47C" w:rsidR="00911253" w:rsidRPr="00911253" w:rsidRDefault="00911253" w:rsidP="00911253">
            <w:pPr>
              <w:spacing w:after="0" w:line="240" w:lineRule="auto"/>
              <w:jc w:val="center"/>
              <w:rPr>
                <w:rFonts w:ascii="Arial" w:hAnsi="Arial" w:cs="Arial"/>
                <w:b/>
                <w:bCs/>
                <w:sz w:val="24"/>
                <w:lang w:val="es-ES"/>
              </w:rPr>
            </w:pPr>
            <w:bookmarkStart w:id="2" w:name="RANGE!B3:D16"/>
            <w:r w:rsidRPr="00911253">
              <w:rPr>
                <w:rFonts w:ascii="Arial" w:hAnsi="Arial" w:cs="Arial"/>
                <w:b/>
                <w:bCs/>
                <w:sz w:val="28"/>
              </w:rPr>
              <w:lastRenderedPageBreak/>
              <w:t>Estimación de Ingresos de Libre Disposición 202</w:t>
            </w:r>
            <w:bookmarkEnd w:id="2"/>
            <w:r w:rsidR="00943A44">
              <w:rPr>
                <w:rFonts w:ascii="Arial" w:hAnsi="Arial" w:cs="Arial"/>
                <w:b/>
                <w:bCs/>
                <w:sz w:val="28"/>
              </w:rPr>
              <w:t>1</w:t>
            </w:r>
          </w:p>
        </w:tc>
      </w:tr>
      <w:tr w:rsidR="00911253" w:rsidRPr="00911253" w14:paraId="5256AE43" w14:textId="77777777" w:rsidTr="00911253">
        <w:trPr>
          <w:trHeight w:val="375"/>
        </w:trPr>
        <w:tc>
          <w:tcPr>
            <w:tcW w:w="8740" w:type="dxa"/>
            <w:gridSpan w:val="2"/>
            <w:noWrap/>
            <w:hideMark/>
          </w:tcPr>
          <w:p w14:paraId="79126918" w14:textId="77777777" w:rsidR="00911253" w:rsidRPr="00911253" w:rsidRDefault="00911253" w:rsidP="00911253">
            <w:pPr>
              <w:spacing w:after="0" w:line="240" w:lineRule="auto"/>
              <w:jc w:val="both"/>
              <w:rPr>
                <w:rFonts w:ascii="Arial" w:hAnsi="Arial" w:cs="Arial"/>
                <w:b/>
                <w:bCs/>
                <w:sz w:val="24"/>
              </w:rPr>
            </w:pPr>
            <w:r w:rsidRPr="00911253">
              <w:rPr>
                <w:rFonts w:ascii="Arial" w:hAnsi="Arial" w:cs="Arial"/>
                <w:b/>
                <w:bCs/>
                <w:sz w:val="24"/>
              </w:rPr>
              <w:t>Ingresos de Libre Disposición:</w:t>
            </w:r>
          </w:p>
        </w:tc>
      </w:tr>
      <w:tr w:rsidR="00911253" w:rsidRPr="00911253" w14:paraId="7B02AA9C" w14:textId="77777777" w:rsidTr="00911253">
        <w:trPr>
          <w:trHeight w:val="300"/>
        </w:trPr>
        <w:tc>
          <w:tcPr>
            <w:tcW w:w="6600" w:type="dxa"/>
            <w:noWrap/>
            <w:hideMark/>
          </w:tcPr>
          <w:p w14:paraId="62681395" w14:textId="77777777" w:rsidR="00911253" w:rsidRPr="00911253" w:rsidRDefault="00911253" w:rsidP="00911253">
            <w:pPr>
              <w:spacing w:after="0" w:line="240" w:lineRule="auto"/>
              <w:jc w:val="both"/>
              <w:rPr>
                <w:rFonts w:ascii="Arial" w:hAnsi="Arial" w:cs="Arial"/>
                <w:sz w:val="24"/>
              </w:rPr>
            </w:pPr>
            <w:r w:rsidRPr="00911253">
              <w:rPr>
                <w:rFonts w:ascii="Arial" w:hAnsi="Arial" w:cs="Arial"/>
                <w:sz w:val="24"/>
              </w:rPr>
              <w:t>Impuestos</w:t>
            </w:r>
          </w:p>
        </w:tc>
        <w:tc>
          <w:tcPr>
            <w:tcW w:w="2140" w:type="dxa"/>
            <w:noWrap/>
            <w:hideMark/>
          </w:tcPr>
          <w:p w14:paraId="4DC433C3" w14:textId="28197418" w:rsidR="00911253" w:rsidRPr="00911253" w:rsidRDefault="00C93C5E" w:rsidP="00C93C5E">
            <w:pPr>
              <w:spacing w:after="0" w:line="240" w:lineRule="auto"/>
              <w:jc w:val="right"/>
              <w:rPr>
                <w:rFonts w:ascii="Arial" w:hAnsi="Arial" w:cs="Arial"/>
                <w:sz w:val="24"/>
              </w:rPr>
            </w:pPr>
            <w:r>
              <w:rPr>
                <w:rFonts w:ascii="Arial" w:hAnsi="Arial" w:cs="Arial"/>
                <w:sz w:val="24"/>
              </w:rPr>
              <w:t>1,122,200,286</w:t>
            </w:r>
          </w:p>
        </w:tc>
      </w:tr>
      <w:tr w:rsidR="00911253" w:rsidRPr="00911253" w14:paraId="0112F9D4" w14:textId="77777777" w:rsidTr="00E23ABE">
        <w:trPr>
          <w:trHeight w:val="300"/>
        </w:trPr>
        <w:tc>
          <w:tcPr>
            <w:tcW w:w="6600" w:type="dxa"/>
            <w:noWrap/>
            <w:hideMark/>
          </w:tcPr>
          <w:p w14:paraId="30581CA8" w14:textId="77777777" w:rsidR="00911253" w:rsidRPr="00911253" w:rsidRDefault="00911253" w:rsidP="00911253">
            <w:pPr>
              <w:spacing w:after="0" w:line="240" w:lineRule="auto"/>
              <w:jc w:val="both"/>
              <w:rPr>
                <w:rFonts w:ascii="Arial" w:hAnsi="Arial" w:cs="Arial"/>
                <w:sz w:val="24"/>
              </w:rPr>
            </w:pPr>
            <w:r w:rsidRPr="00911253">
              <w:rPr>
                <w:rFonts w:ascii="Arial" w:hAnsi="Arial" w:cs="Arial"/>
                <w:sz w:val="24"/>
              </w:rPr>
              <w:t>Derechos</w:t>
            </w:r>
          </w:p>
        </w:tc>
        <w:tc>
          <w:tcPr>
            <w:tcW w:w="2140" w:type="dxa"/>
            <w:noWrap/>
          </w:tcPr>
          <w:p w14:paraId="3F5027C8" w14:textId="790BEE60" w:rsidR="00911253" w:rsidRPr="00911253" w:rsidRDefault="00C93C5E" w:rsidP="00C93C5E">
            <w:pPr>
              <w:spacing w:after="0" w:line="240" w:lineRule="auto"/>
              <w:jc w:val="right"/>
              <w:rPr>
                <w:rFonts w:ascii="Arial" w:hAnsi="Arial" w:cs="Arial"/>
                <w:sz w:val="24"/>
              </w:rPr>
            </w:pPr>
            <w:r>
              <w:rPr>
                <w:rFonts w:ascii="Arial" w:hAnsi="Arial" w:cs="Arial"/>
                <w:sz w:val="24"/>
              </w:rPr>
              <w:t>462,974,866</w:t>
            </w:r>
          </w:p>
        </w:tc>
      </w:tr>
      <w:tr w:rsidR="00911253" w:rsidRPr="00911253" w14:paraId="73A9189B" w14:textId="77777777" w:rsidTr="00E23ABE">
        <w:trPr>
          <w:trHeight w:val="300"/>
        </w:trPr>
        <w:tc>
          <w:tcPr>
            <w:tcW w:w="6600" w:type="dxa"/>
            <w:noWrap/>
            <w:hideMark/>
          </w:tcPr>
          <w:p w14:paraId="5006E925" w14:textId="77777777" w:rsidR="00911253" w:rsidRPr="00911253" w:rsidRDefault="00911253" w:rsidP="00911253">
            <w:pPr>
              <w:spacing w:after="0" w:line="240" w:lineRule="auto"/>
              <w:jc w:val="both"/>
              <w:rPr>
                <w:rFonts w:ascii="Arial" w:hAnsi="Arial" w:cs="Arial"/>
                <w:sz w:val="24"/>
              </w:rPr>
            </w:pPr>
            <w:r w:rsidRPr="00911253">
              <w:rPr>
                <w:rFonts w:ascii="Arial" w:hAnsi="Arial" w:cs="Arial"/>
                <w:sz w:val="24"/>
              </w:rPr>
              <w:t>Productos</w:t>
            </w:r>
          </w:p>
        </w:tc>
        <w:tc>
          <w:tcPr>
            <w:tcW w:w="2140" w:type="dxa"/>
            <w:noWrap/>
          </w:tcPr>
          <w:p w14:paraId="342B13F3" w14:textId="21B6FEB5" w:rsidR="00911253" w:rsidRPr="00911253" w:rsidRDefault="00CE15A6" w:rsidP="00C93C5E">
            <w:pPr>
              <w:spacing w:after="0" w:line="240" w:lineRule="auto"/>
              <w:jc w:val="right"/>
              <w:rPr>
                <w:rFonts w:ascii="Arial" w:hAnsi="Arial" w:cs="Arial"/>
                <w:sz w:val="24"/>
              </w:rPr>
            </w:pPr>
            <w:r w:rsidRPr="00CE15A6">
              <w:rPr>
                <w:rFonts w:ascii="Arial" w:hAnsi="Arial" w:cs="Arial"/>
                <w:sz w:val="24"/>
              </w:rPr>
              <w:t>40,928,191</w:t>
            </w:r>
          </w:p>
        </w:tc>
      </w:tr>
      <w:tr w:rsidR="00911253" w:rsidRPr="00911253" w14:paraId="054600FA" w14:textId="77777777" w:rsidTr="00E23ABE">
        <w:trPr>
          <w:trHeight w:val="300"/>
        </w:trPr>
        <w:tc>
          <w:tcPr>
            <w:tcW w:w="6600" w:type="dxa"/>
            <w:noWrap/>
            <w:hideMark/>
          </w:tcPr>
          <w:p w14:paraId="3921EF84" w14:textId="77777777" w:rsidR="00911253" w:rsidRPr="00911253" w:rsidRDefault="00911253" w:rsidP="00911253">
            <w:pPr>
              <w:spacing w:after="0" w:line="240" w:lineRule="auto"/>
              <w:jc w:val="both"/>
              <w:rPr>
                <w:rFonts w:ascii="Arial" w:hAnsi="Arial" w:cs="Arial"/>
                <w:sz w:val="24"/>
              </w:rPr>
            </w:pPr>
            <w:r w:rsidRPr="00911253">
              <w:rPr>
                <w:rFonts w:ascii="Arial" w:hAnsi="Arial" w:cs="Arial"/>
                <w:sz w:val="24"/>
              </w:rPr>
              <w:t>Aprovechamientos</w:t>
            </w:r>
          </w:p>
        </w:tc>
        <w:tc>
          <w:tcPr>
            <w:tcW w:w="2140" w:type="dxa"/>
            <w:noWrap/>
          </w:tcPr>
          <w:p w14:paraId="65EE6282" w14:textId="620831BE" w:rsidR="00911253" w:rsidRPr="00911253" w:rsidRDefault="00CE15A6" w:rsidP="00C93C5E">
            <w:pPr>
              <w:spacing w:after="0" w:line="240" w:lineRule="auto"/>
              <w:jc w:val="right"/>
              <w:rPr>
                <w:rFonts w:ascii="Arial" w:hAnsi="Arial" w:cs="Arial"/>
                <w:sz w:val="24"/>
              </w:rPr>
            </w:pPr>
            <w:r w:rsidRPr="00CE15A6">
              <w:rPr>
                <w:rFonts w:ascii="Arial" w:hAnsi="Arial" w:cs="Arial"/>
                <w:sz w:val="24"/>
              </w:rPr>
              <w:t>497,535,588</w:t>
            </w:r>
          </w:p>
        </w:tc>
      </w:tr>
      <w:tr w:rsidR="00911253" w:rsidRPr="00911253" w14:paraId="7E920F64" w14:textId="77777777" w:rsidTr="00E23ABE">
        <w:trPr>
          <w:trHeight w:val="300"/>
        </w:trPr>
        <w:tc>
          <w:tcPr>
            <w:tcW w:w="6600" w:type="dxa"/>
            <w:noWrap/>
            <w:hideMark/>
          </w:tcPr>
          <w:p w14:paraId="69A031F0" w14:textId="77777777" w:rsidR="00911253" w:rsidRPr="00911253" w:rsidRDefault="00911253" w:rsidP="00911253">
            <w:pPr>
              <w:spacing w:after="0" w:line="240" w:lineRule="auto"/>
              <w:jc w:val="both"/>
              <w:rPr>
                <w:rFonts w:ascii="Arial" w:hAnsi="Arial" w:cs="Arial"/>
                <w:sz w:val="24"/>
              </w:rPr>
            </w:pPr>
            <w:r w:rsidRPr="00911253">
              <w:rPr>
                <w:rFonts w:ascii="Arial" w:hAnsi="Arial" w:cs="Arial"/>
                <w:sz w:val="24"/>
              </w:rPr>
              <w:t>Participaciones</w:t>
            </w:r>
          </w:p>
        </w:tc>
        <w:tc>
          <w:tcPr>
            <w:tcW w:w="2140" w:type="dxa"/>
            <w:noWrap/>
          </w:tcPr>
          <w:p w14:paraId="41A8AA17" w14:textId="39840C2D" w:rsidR="00911253" w:rsidRPr="00911253" w:rsidRDefault="00C93C5E" w:rsidP="00C93C5E">
            <w:pPr>
              <w:spacing w:after="0" w:line="240" w:lineRule="auto"/>
              <w:jc w:val="right"/>
              <w:rPr>
                <w:rFonts w:ascii="Arial" w:hAnsi="Arial" w:cs="Arial"/>
                <w:sz w:val="24"/>
              </w:rPr>
            </w:pPr>
            <w:r>
              <w:rPr>
                <w:rFonts w:ascii="Arial" w:hAnsi="Arial" w:cs="Arial"/>
                <w:sz w:val="24"/>
              </w:rPr>
              <w:t>5,614,210,757</w:t>
            </w:r>
          </w:p>
        </w:tc>
      </w:tr>
      <w:tr w:rsidR="00911253" w:rsidRPr="00911253" w14:paraId="2A1F5590" w14:textId="77777777" w:rsidTr="00E23ABE">
        <w:trPr>
          <w:trHeight w:val="300"/>
        </w:trPr>
        <w:tc>
          <w:tcPr>
            <w:tcW w:w="6600" w:type="dxa"/>
            <w:noWrap/>
            <w:hideMark/>
          </w:tcPr>
          <w:p w14:paraId="446563C4" w14:textId="77777777" w:rsidR="00911253" w:rsidRPr="00911253" w:rsidRDefault="00911253" w:rsidP="00911253">
            <w:pPr>
              <w:spacing w:after="0" w:line="240" w:lineRule="auto"/>
              <w:jc w:val="both"/>
              <w:rPr>
                <w:rFonts w:ascii="Arial" w:hAnsi="Arial" w:cs="Arial"/>
                <w:sz w:val="24"/>
              </w:rPr>
            </w:pPr>
            <w:r w:rsidRPr="00911253">
              <w:rPr>
                <w:rFonts w:ascii="Arial" w:hAnsi="Arial" w:cs="Arial"/>
                <w:sz w:val="24"/>
              </w:rPr>
              <w:t>Incentivos Derivados de la Colaboración Fiscal</w:t>
            </w:r>
          </w:p>
        </w:tc>
        <w:tc>
          <w:tcPr>
            <w:tcW w:w="2140" w:type="dxa"/>
            <w:noWrap/>
          </w:tcPr>
          <w:p w14:paraId="00B13A89" w14:textId="7B384A37" w:rsidR="00911253" w:rsidRPr="00911253" w:rsidRDefault="00C93C5E" w:rsidP="00C93C5E">
            <w:pPr>
              <w:spacing w:after="0" w:line="240" w:lineRule="auto"/>
              <w:jc w:val="right"/>
              <w:rPr>
                <w:rFonts w:ascii="Arial" w:hAnsi="Arial" w:cs="Arial"/>
                <w:sz w:val="24"/>
              </w:rPr>
            </w:pPr>
            <w:r>
              <w:rPr>
                <w:rFonts w:ascii="Arial" w:hAnsi="Arial" w:cs="Arial"/>
                <w:sz w:val="24"/>
              </w:rPr>
              <w:t>344,960,170</w:t>
            </w:r>
          </w:p>
        </w:tc>
      </w:tr>
      <w:tr w:rsidR="00911253" w:rsidRPr="00911253" w14:paraId="2BDFF87D" w14:textId="77777777" w:rsidTr="00E23ABE">
        <w:trPr>
          <w:trHeight w:val="327"/>
        </w:trPr>
        <w:tc>
          <w:tcPr>
            <w:tcW w:w="6600" w:type="dxa"/>
            <w:hideMark/>
          </w:tcPr>
          <w:p w14:paraId="0F224D35" w14:textId="77777777" w:rsidR="00911253" w:rsidRPr="00911253" w:rsidRDefault="00911253" w:rsidP="00911253">
            <w:pPr>
              <w:spacing w:after="0" w:line="240" w:lineRule="auto"/>
              <w:jc w:val="both"/>
              <w:rPr>
                <w:rFonts w:ascii="Arial" w:hAnsi="Arial" w:cs="Arial"/>
                <w:sz w:val="24"/>
              </w:rPr>
            </w:pPr>
            <w:r w:rsidRPr="00911253">
              <w:rPr>
                <w:rFonts w:ascii="Arial" w:hAnsi="Arial" w:cs="Arial"/>
                <w:sz w:val="24"/>
              </w:rPr>
              <w:t>Convenios de Libre Disposición</w:t>
            </w:r>
          </w:p>
        </w:tc>
        <w:tc>
          <w:tcPr>
            <w:tcW w:w="2140" w:type="dxa"/>
            <w:noWrap/>
          </w:tcPr>
          <w:p w14:paraId="31F8ABB4" w14:textId="0DF49657" w:rsidR="00911253" w:rsidRPr="00911253" w:rsidRDefault="00C93C5E" w:rsidP="00C93C5E">
            <w:pPr>
              <w:spacing w:after="0" w:line="240" w:lineRule="auto"/>
              <w:jc w:val="right"/>
              <w:rPr>
                <w:rFonts w:ascii="Arial" w:hAnsi="Arial" w:cs="Arial"/>
                <w:sz w:val="24"/>
              </w:rPr>
            </w:pPr>
            <w:r>
              <w:rPr>
                <w:rFonts w:ascii="Arial" w:hAnsi="Arial" w:cs="Arial"/>
                <w:sz w:val="24"/>
              </w:rPr>
              <w:t>50,000,000</w:t>
            </w:r>
          </w:p>
        </w:tc>
      </w:tr>
      <w:tr w:rsidR="00911253" w:rsidRPr="00911253" w14:paraId="64D037B8" w14:textId="77777777" w:rsidTr="004328A1">
        <w:trPr>
          <w:trHeight w:val="690"/>
        </w:trPr>
        <w:tc>
          <w:tcPr>
            <w:tcW w:w="6600" w:type="dxa"/>
            <w:hideMark/>
          </w:tcPr>
          <w:p w14:paraId="4A4C984E" w14:textId="77777777" w:rsidR="00911253" w:rsidRPr="00911253" w:rsidRDefault="00911253" w:rsidP="00911253">
            <w:pPr>
              <w:spacing w:after="0" w:line="240" w:lineRule="auto"/>
              <w:jc w:val="both"/>
              <w:rPr>
                <w:rFonts w:ascii="Arial" w:hAnsi="Arial" w:cs="Arial"/>
                <w:b/>
                <w:bCs/>
                <w:sz w:val="24"/>
              </w:rPr>
            </w:pPr>
            <w:r w:rsidRPr="00911253">
              <w:rPr>
                <w:rFonts w:ascii="Arial" w:hAnsi="Arial" w:cs="Arial"/>
                <w:b/>
                <w:bCs/>
                <w:sz w:val="24"/>
              </w:rPr>
              <w:t>Importe de Ingresos de Libre Disposición: (Incluye Participaciones a Municipios)</w:t>
            </w:r>
          </w:p>
        </w:tc>
        <w:tc>
          <w:tcPr>
            <w:tcW w:w="2140" w:type="dxa"/>
            <w:noWrap/>
            <w:vAlign w:val="center"/>
            <w:hideMark/>
          </w:tcPr>
          <w:p w14:paraId="777BD611" w14:textId="25B45D99" w:rsidR="00911253" w:rsidRPr="00C93C5E" w:rsidRDefault="00CE15A6" w:rsidP="004328A1">
            <w:pPr>
              <w:spacing w:after="0" w:line="240" w:lineRule="auto"/>
              <w:jc w:val="right"/>
              <w:rPr>
                <w:rFonts w:ascii="Arial" w:hAnsi="Arial" w:cs="Arial"/>
                <w:b/>
                <w:bCs/>
                <w:sz w:val="24"/>
              </w:rPr>
            </w:pPr>
            <w:r w:rsidRPr="00CE15A6">
              <w:rPr>
                <w:rFonts w:ascii="Arial" w:hAnsi="Arial" w:cs="Arial"/>
                <w:b/>
                <w:sz w:val="24"/>
              </w:rPr>
              <w:t>8,132,809,858</w:t>
            </w:r>
          </w:p>
        </w:tc>
      </w:tr>
      <w:tr w:rsidR="00911253" w:rsidRPr="00911253" w14:paraId="65305100" w14:textId="77777777" w:rsidTr="00911253">
        <w:trPr>
          <w:trHeight w:val="342"/>
        </w:trPr>
        <w:tc>
          <w:tcPr>
            <w:tcW w:w="8740" w:type="dxa"/>
            <w:gridSpan w:val="2"/>
            <w:noWrap/>
            <w:hideMark/>
          </w:tcPr>
          <w:p w14:paraId="22F67D44" w14:textId="77777777" w:rsidR="00911253" w:rsidRPr="00911253" w:rsidRDefault="00911253" w:rsidP="00911253">
            <w:pPr>
              <w:spacing w:after="0" w:line="240" w:lineRule="auto"/>
              <w:jc w:val="both"/>
              <w:rPr>
                <w:rFonts w:ascii="Arial" w:hAnsi="Arial" w:cs="Arial"/>
                <w:sz w:val="24"/>
              </w:rPr>
            </w:pPr>
            <w:r w:rsidRPr="00911253">
              <w:rPr>
                <w:rFonts w:ascii="Arial" w:hAnsi="Arial" w:cs="Arial"/>
                <w:sz w:val="24"/>
              </w:rPr>
              <w:t> </w:t>
            </w:r>
          </w:p>
        </w:tc>
      </w:tr>
      <w:tr w:rsidR="00911253" w:rsidRPr="00911253" w14:paraId="7988A7D6" w14:textId="77777777" w:rsidTr="00C93C5E">
        <w:trPr>
          <w:trHeight w:val="315"/>
        </w:trPr>
        <w:tc>
          <w:tcPr>
            <w:tcW w:w="6600" w:type="dxa"/>
            <w:noWrap/>
            <w:hideMark/>
          </w:tcPr>
          <w:p w14:paraId="09A048CA" w14:textId="77777777" w:rsidR="00911253" w:rsidRPr="00911253" w:rsidRDefault="00911253" w:rsidP="00911253">
            <w:pPr>
              <w:spacing w:after="0" w:line="240" w:lineRule="auto"/>
              <w:jc w:val="both"/>
              <w:rPr>
                <w:rFonts w:ascii="Arial" w:hAnsi="Arial" w:cs="Arial"/>
                <w:b/>
                <w:bCs/>
                <w:sz w:val="24"/>
              </w:rPr>
            </w:pPr>
            <w:r w:rsidRPr="00911253">
              <w:rPr>
                <w:rFonts w:ascii="Arial" w:hAnsi="Arial" w:cs="Arial"/>
                <w:b/>
                <w:bCs/>
                <w:sz w:val="24"/>
              </w:rPr>
              <w:t>Menos Monto Estimado de Participaciones a Municipios:</w:t>
            </w:r>
          </w:p>
        </w:tc>
        <w:tc>
          <w:tcPr>
            <w:tcW w:w="2140" w:type="dxa"/>
            <w:noWrap/>
            <w:vAlign w:val="center"/>
          </w:tcPr>
          <w:p w14:paraId="6515346A" w14:textId="19865FEA" w:rsidR="00911253" w:rsidRPr="00911253" w:rsidRDefault="00737257" w:rsidP="004328A1">
            <w:pPr>
              <w:spacing w:after="0" w:line="240" w:lineRule="auto"/>
              <w:jc w:val="right"/>
              <w:rPr>
                <w:rFonts w:ascii="Arial" w:hAnsi="Arial" w:cs="Arial"/>
                <w:b/>
                <w:bCs/>
                <w:sz w:val="24"/>
              </w:rPr>
            </w:pPr>
            <w:r w:rsidRPr="00737257">
              <w:rPr>
                <w:rFonts w:ascii="Arial" w:hAnsi="Arial" w:cs="Arial"/>
                <w:b/>
                <w:bCs/>
                <w:sz w:val="24"/>
              </w:rPr>
              <w:t>1,638,649,809</w:t>
            </w:r>
          </w:p>
        </w:tc>
      </w:tr>
      <w:tr w:rsidR="00911253" w:rsidRPr="00911253" w14:paraId="124DF95C" w14:textId="77777777" w:rsidTr="00C93C5E">
        <w:trPr>
          <w:trHeight w:val="315"/>
        </w:trPr>
        <w:tc>
          <w:tcPr>
            <w:tcW w:w="6600" w:type="dxa"/>
            <w:tcBorders>
              <w:bottom w:val="single" w:sz="4" w:space="0" w:color="auto"/>
            </w:tcBorders>
            <w:hideMark/>
          </w:tcPr>
          <w:p w14:paraId="0A9BBB13" w14:textId="77777777" w:rsidR="00911253" w:rsidRPr="00911253" w:rsidRDefault="00911253" w:rsidP="00911253">
            <w:pPr>
              <w:spacing w:after="0" w:line="240" w:lineRule="auto"/>
              <w:jc w:val="both"/>
              <w:rPr>
                <w:rFonts w:ascii="Arial" w:hAnsi="Arial" w:cs="Arial"/>
                <w:b/>
                <w:bCs/>
                <w:sz w:val="24"/>
              </w:rPr>
            </w:pPr>
            <w:r w:rsidRPr="00911253">
              <w:rPr>
                <w:rFonts w:ascii="Arial" w:hAnsi="Arial" w:cs="Arial"/>
                <w:b/>
                <w:bCs/>
                <w:sz w:val="24"/>
              </w:rPr>
              <w:t>Total de Ingresos de Libre Disposición:</w:t>
            </w:r>
          </w:p>
        </w:tc>
        <w:tc>
          <w:tcPr>
            <w:tcW w:w="2140" w:type="dxa"/>
            <w:tcBorders>
              <w:bottom w:val="single" w:sz="4" w:space="0" w:color="auto"/>
            </w:tcBorders>
            <w:noWrap/>
          </w:tcPr>
          <w:p w14:paraId="136484F9" w14:textId="19D4EB8D" w:rsidR="00911253" w:rsidRPr="00911253" w:rsidRDefault="00737257" w:rsidP="004328A1">
            <w:pPr>
              <w:spacing w:after="0" w:line="240" w:lineRule="auto"/>
              <w:jc w:val="right"/>
              <w:rPr>
                <w:rFonts w:ascii="Arial" w:hAnsi="Arial" w:cs="Arial"/>
                <w:b/>
                <w:bCs/>
                <w:sz w:val="24"/>
              </w:rPr>
            </w:pPr>
            <w:r w:rsidRPr="00737257">
              <w:rPr>
                <w:rFonts w:ascii="Arial" w:hAnsi="Arial" w:cs="Arial"/>
                <w:b/>
                <w:bCs/>
                <w:sz w:val="24"/>
              </w:rPr>
              <w:t>6,494,160,049</w:t>
            </w:r>
          </w:p>
        </w:tc>
      </w:tr>
      <w:tr w:rsidR="00911253" w:rsidRPr="00911253" w14:paraId="680CBF1E" w14:textId="77777777" w:rsidTr="00911253">
        <w:trPr>
          <w:trHeight w:val="300"/>
        </w:trPr>
        <w:tc>
          <w:tcPr>
            <w:tcW w:w="6600" w:type="dxa"/>
            <w:tcBorders>
              <w:left w:val="nil"/>
              <w:bottom w:val="nil"/>
              <w:right w:val="nil"/>
            </w:tcBorders>
            <w:noWrap/>
            <w:hideMark/>
          </w:tcPr>
          <w:p w14:paraId="5463FB0A" w14:textId="7F1405E7" w:rsidR="00911253" w:rsidRPr="00911253" w:rsidRDefault="00943A44" w:rsidP="00911253">
            <w:pPr>
              <w:spacing w:after="0" w:line="240" w:lineRule="auto"/>
              <w:jc w:val="both"/>
              <w:rPr>
                <w:rFonts w:ascii="Arial" w:hAnsi="Arial" w:cs="Arial"/>
                <w:sz w:val="24"/>
              </w:rPr>
            </w:pPr>
            <w:r>
              <w:rPr>
                <w:rFonts w:ascii="Arial" w:hAnsi="Arial" w:cs="Arial"/>
                <w:sz w:val="16"/>
              </w:rPr>
              <w:t>Fuente: Ingresos Estimados 2021.</w:t>
            </w:r>
          </w:p>
        </w:tc>
        <w:tc>
          <w:tcPr>
            <w:tcW w:w="2140" w:type="dxa"/>
            <w:tcBorders>
              <w:left w:val="nil"/>
              <w:bottom w:val="nil"/>
              <w:right w:val="nil"/>
            </w:tcBorders>
            <w:noWrap/>
            <w:hideMark/>
          </w:tcPr>
          <w:p w14:paraId="1AA28674" w14:textId="77777777" w:rsidR="00911253" w:rsidRPr="00911253" w:rsidRDefault="00911253" w:rsidP="00911253">
            <w:pPr>
              <w:spacing w:after="0" w:line="240" w:lineRule="auto"/>
              <w:jc w:val="both"/>
              <w:rPr>
                <w:rFonts w:ascii="Arial" w:hAnsi="Arial" w:cs="Arial"/>
                <w:sz w:val="24"/>
              </w:rPr>
            </w:pPr>
          </w:p>
        </w:tc>
      </w:tr>
    </w:tbl>
    <w:p w14:paraId="746034DB" w14:textId="77777777" w:rsidR="00765B68" w:rsidRDefault="00765B68" w:rsidP="00C041EB">
      <w:pPr>
        <w:spacing w:after="0" w:line="240" w:lineRule="auto"/>
        <w:jc w:val="both"/>
        <w:rPr>
          <w:rFonts w:ascii="Arial" w:hAnsi="Arial" w:cs="Arial"/>
          <w:sz w:val="24"/>
        </w:rPr>
      </w:pPr>
    </w:p>
    <w:p w14:paraId="4C0CDDD4" w14:textId="77777777" w:rsidR="002E0474" w:rsidRPr="009A323D" w:rsidRDefault="002E0474" w:rsidP="00C041EB">
      <w:pPr>
        <w:spacing w:after="0" w:line="240" w:lineRule="auto"/>
        <w:jc w:val="both"/>
        <w:rPr>
          <w:rFonts w:ascii="Arial" w:hAnsi="Arial" w:cs="Arial"/>
          <w:i/>
          <w:iCs/>
          <w:sz w:val="24"/>
        </w:rPr>
      </w:pPr>
      <w:r>
        <w:rPr>
          <w:rFonts w:ascii="Arial" w:hAnsi="Arial" w:cs="Arial"/>
          <w:sz w:val="24"/>
        </w:rPr>
        <w:t>Es pertinente precisar que la Ley de Disciplina Financiera de las Entidades Federativas y los Municipios señala en su artículo 6° que: “</w:t>
      </w:r>
      <w:r w:rsidRPr="009A323D">
        <w:rPr>
          <w:rFonts w:ascii="Arial" w:hAnsi="Arial" w:cs="Arial"/>
          <w:i/>
          <w:iCs/>
          <w:sz w:val="24"/>
        </w:rPr>
        <w:t>El gasto total propuesto por el Ejecutivo de la Entidad Federativa en el proyecto de Presupuesto de Egresos, aquel que apruebe la Legislatura local y el que se ejerza en el año fiscal, deberá contribuir a un Balance presupuestario sostenible…”</w:t>
      </w:r>
    </w:p>
    <w:p w14:paraId="24A6F87E" w14:textId="77777777" w:rsidR="002E0474" w:rsidRDefault="002E0474" w:rsidP="00C041EB">
      <w:pPr>
        <w:spacing w:after="0" w:line="240" w:lineRule="auto"/>
        <w:jc w:val="both"/>
        <w:rPr>
          <w:rFonts w:ascii="Arial" w:hAnsi="Arial" w:cs="Arial"/>
          <w:sz w:val="24"/>
        </w:rPr>
      </w:pPr>
    </w:p>
    <w:p w14:paraId="3497B185" w14:textId="771A64E2" w:rsidR="00CB5DFA" w:rsidRDefault="000005CE" w:rsidP="00C041EB">
      <w:pPr>
        <w:spacing w:after="0" w:line="240" w:lineRule="auto"/>
        <w:jc w:val="both"/>
        <w:rPr>
          <w:rFonts w:ascii="Arial" w:hAnsi="Arial" w:cs="Arial"/>
          <w:sz w:val="24"/>
        </w:rPr>
      </w:pPr>
      <w:r>
        <w:rPr>
          <w:rFonts w:ascii="Arial" w:hAnsi="Arial" w:cs="Arial"/>
          <w:sz w:val="24"/>
        </w:rPr>
        <w:t>D</w:t>
      </w:r>
      <w:r w:rsidR="002E0474">
        <w:rPr>
          <w:rFonts w:ascii="Arial" w:hAnsi="Arial" w:cs="Arial"/>
          <w:sz w:val="24"/>
        </w:rPr>
        <w:t xml:space="preserve">icho artículo establece en su fracción III que: </w:t>
      </w:r>
      <w:r w:rsidR="002E0474" w:rsidRPr="009A323D">
        <w:rPr>
          <w:rFonts w:ascii="Arial" w:hAnsi="Arial" w:cs="Arial"/>
          <w:i/>
          <w:iCs/>
          <w:sz w:val="24"/>
        </w:rPr>
        <w:t>“</w:t>
      </w:r>
      <w:r w:rsidR="006C3958" w:rsidRPr="009A323D">
        <w:rPr>
          <w:rFonts w:ascii="Arial" w:hAnsi="Arial" w:cs="Arial"/>
          <w:i/>
          <w:iCs/>
          <w:sz w:val="24"/>
        </w:rPr>
        <w:t>…</w:t>
      </w:r>
      <w:r w:rsidR="002E0474" w:rsidRPr="009A323D">
        <w:rPr>
          <w:rFonts w:ascii="Arial" w:hAnsi="Arial" w:cs="Arial"/>
          <w:i/>
          <w:iCs/>
          <w:sz w:val="24"/>
        </w:rPr>
        <w:t xml:space="preserve"> En caso de que la Legislatura local modifique la Ley de Ingresos y el Presupuesto de Egresos de tal manera que genere un Balance presupuestario de recursos disponibles negativo, deberá motivar su decisión sujetándose a las fracciones I y II de este artículo. A partir de la aprobación del Balance presupuestario de recursos disponibles negativo a que se refiere este párrafo…”</w:t>
      </w:r>
      <w:r w:rsidR="002E0474">
        <w:rPr>
          <w:rFonts w:ascii="Arial" w:hAnsi="Arial" w:cs="Arial"/>
          <w:sz w:val="24"/>
        </w:rPr>
        <w:t xml:space="preserve"> </w:t>
      </w:r>
    </w:p>
    <w:p w14:paraId="3A821A8D" w14:textId="77777777" w:rsidR="00561D52" w:rsidRDefault="00561D52" w:rsidP="00C041EB">
      <w:pPr>
        <w:spacing w:after="0" w:line="240" w:lineRule="auto"/>
        <w:jc w:val="both"/>
        <w:rPr>
          <w:rFonts w:ascii="Arial" w:hAnsi="Arial" w:cs="Arial"/>
          <w:sz w:val="24"/>
        </w:rPr>
      </w:pPr>
    </w:p>
    <w:p w14:paraId="2C4167E5" w14:textId="2B07E35B" w:rsidR="00561D52" w:rsidRDefault="00561D52" w:rsidP="00C041EB">
      <w:pPr>
        <w:spacing w:after="0" w:line="240" w:lineRule="auto"/>
        <w:jc w:val="both"/>
        <w:rPr>
          <w:rFonts w:ascii="Arial" w:hAnsi="Arial" w:cs="Arial"/>
          <w:sz w:val="24"/>
        </w:rPr>
      </w:pPr>
      <w:r w:rsidRPr="007B539B">
        <w:rPr>
          <w:rFonts w:ascii="Arial" w:hAnsi="Arial" w:cs="Arial"/>
          <w:sz w:val="24"/>
        </w:rPr>
        <w:t>En este contexto, el Proyecto que se somete a consideración de esta Honorable Soberanía contempla un Balance Presupuesta</w:t>
      </w:r>
      <w:r w:rsidR="00765B68">
        <w:rPr>
          <w:rFonts w:ascii="Arial" w:hAnsi="Arial" w:cs="Arial"/>
          <w:sz w:val="24"/>
        </w:rPr>
        <w:t xml:space="preserve">rio sostenible, toda vez que la estimación de ingresos </w:t>
      </w:r>
      <w:r w:rsidRPr="007B539B">
        <w:rPr>
          <w:rFonts w:ascii="Arial" w:hAnsi="Arial" w:cs="Arial"/>
          <w:sz w:val="24"/>
        </w:rPr>
        <w:t>a recibir y los recursos por er</w:t>
      </w:r>
      <w:r w:rsidR="00765B68">
        <w:rPr>
          <w:rFonts w:ascii="Arial" w:hAnsi="Arial" w:cs="Arial"/>
          <w:sz w:val="24"/>
        </w:rPr>
        <w:t>ogar en el ejercicio fiscal 2021</w:t>
      </w:r>
      <w:r w:rsidRPr="007B539B">
        <w:rPr>
          <w:rFonts w:ascii="Arial" w:hAnsi="Arial" w:cs="Arial"/>
          <w:sz w:val="24"/>
        </w:rPr>
        <w:t xml:space="preserve"> impor</w:t>
      </w:r>
      <w:r w:rsidR="0036226E">
        <w:rPr>
          <w:rFonts w:ascii="Arial" w:hAnsi="Arial" w:cs="Arial"/>
          <w:sz w:val="24"/>
        </w:rPr>
        <w:t xml:space="preserve">tan la misma cuantía, por tanto </w:t>
      </w:r>
      <w:r w:rsidRPr="007B539B">
        <w:rPr>
          <w:rFonts w:ascii="Arial" w:hAnsi="Arial" w:cs="Arial"/>
          <w:sz w:val="24"/>
        </w:rPr>
        <w:t>no se pre</w:t>
      </w:r>
      <w:r w:rsidR="00765B68">
        <w:rPr>
          <w:rFonts w:ascii="Arial" w:hAnsi="Arial" w:cs="Arial"/>
          <w:sz w:val="24"/>
        </w:rPr>
        <w:t xml:space="preserve">senta un Balance Presupuestario, ni un Balance Presupuestario </w:t>
      </w:r>
      <w:r w:rsidRPr="007B539B">
        <w:rPr>
          <w:rFonts w:ascii="Arial" w:hAnsi="Arial" w:cs="Arial"/>
          <w:sz w:val="24"/>
        </w:rPr>
        <w:t>de recursos disponibles negativo</w:t>
      </w:r>
      <w:r w:rsidR="00765B68">
        <w:rPr>
          <w:rFonts w:ascii="Arial" w:hAnsi="Arial" w:cs="Arial"/>
          <w:sz w:val="24"/>
        </w:rPr>
        <w:t>s</w:t>
      </w:r>
      <w:r w:rsidRPr="007B539B">
        <w:rPr>
          <w:rFonts w:ascii="Arial" w:hAnsi="Arial" w:cs="Arial"/>
          <w:sz w:val="24"/>
        </w:rPr>
        <w:t>.</w:t>
      </w:r>
    </w:p>
    <w:p w14:paraId="643B7968" w14:textId="77777777" w:rsidR="00561D52" w:rsidRDefault="00561D52" w:rsidP="00C041EB">
      <w:pPr>
        <w:spacing w:after="0" w:line="240" w:lineRule="auto"/>
        <w:jc w:val="both"/>
        <w:rPr>
          <w:rFonts w:ascii="Arial" w:hAnsi="Arial" w:cs="Arial"/>
          <w:sz w:val="24"/>
        </w:rPr>
      </w:pPr>
    </w:p>
    <w:p w14:paraId="58AD73FB" w14:textId="0A6ED105" w:rsidR="00561D52" w:rsidRPr="0094500D" w:rsidRDefault="00561D52" w:rsidP="00C041EB">
      <w:pPr>
        <w:spacing w:after="0" w:line="240" w:lineRule="auto"/>
        <w:jc w:val="both"/>
        <w:rPr>
          <w:rFonts w:ascii="Arial" w:hAnsi="Arial" w:cs="Arial"/>
          <w:sz w:val="24"/>
        </w:rPr>
      </w:pPr>
      <w:r w:rsidRPr="0094500D">
        <w:rPr>
          <w:rFonts w:ascii="Arial" w:hAnsi="Arial" w:cs="Arial"/>
          <w:sz w:val="24"/>
        </w:rPr>
        <w:lastRenderedPageBreak/>
        <w:t>El gasto total del Proyecto de Presupuesto de Egresos del Estado de Colim</w:t>
      </w:r>
      <w:r w:rsidR="00AE55FD" w:rsidRPr="0094500D">
        <w:rPr>
          <w:rFonts w:ascii="Arial" w:hAnsi="Arial" w:cs="Arial"/>
          <w:sz w:val="24"/>
        </w:rPr>
        <w:t>a, para el Ejercicio Fiscal 2021</w:t>
      </w:r>
      <w:r w:rsidRPr="0094500D">
        <w:rPr>
          <w:rFonts w:ascii="Arial" w:hAnsi="Arial" w:cs="Arial"/>
          <w:sz w:val="24"/>
        </w:rPr>
        <w:t xml:space="preserve"> que se somete al análisis y valoración de la Legislatura Estatal, asciende a la cantidad de </w:t>
      </w:r>
      <w:r w:rsidR="002C48F4" w:rsidRPr="0094500D">
        <w:rPr>
          <w:rFonts w:ascii="Arial" w:hAnsi="Arial" w:cs="Arial"/>
          <w:b/>
          <w:sz w:val="24"/>
        </w:rPr>
        <w:t>17,474</w:t>
      </w:r>
      <w:r w:rsidR="004328A1" w:rsidRPr="0094500D">
        <w:rPr>
          <w:rFonts w:ascii="Arial" w:hAnsi="Arial" w:cs="Arial"/>
          <w:b/>
          <w:sz w:val="24"/>
        </w:rPr>
        <w:t>,000,000.00</w:t>
      </w:r>
      <w:r w:rsidRPr="0094500D">
        <w:rPr>
          <w:rFonts w:ascii="Arial" w:hAnsi="Arial" w:cs="Arial"/>
          <w:b/>
          <w:sz w:val="24"/>
        </w:rPr>
        <w:t xml:space="preserve"> </w:t>
      </w:r>
      <w:r w:rsidRPr="0094500D">
        <w:rPr>
          <w:rFonts w:ascii="Arial" w:hAnsi="Arial" w:cs="Arial"/>
          <w:sz w:val="24"/>
        </w:rPr>
        <w:t>(</w:t>
      </w:r>
      <w:r w:rsidR="002C48F4" w:rsidRPr="0094500D">
        <w:rPr>
          <w:rFonts w:ascii="Arial" w:hAnsi="Arial" w:cs="Arial"/>
          <w:b/>
          <w:bCs/>
          <w:sz w:val="24"/>
        </w:rPr>
        <w:t xml:space="preserve">Diecisiete Mil Cuatrocientos Setenta y Cuatro </w:t>
      </w:r>
      <w:r w:rsidR="004328A1" w:rsidRPr="0094500D">
        <w:rPr>
          <w:rFonts w:ascii="Arial" w:hAnsi="Arial" w:cs="Arial"/>
          <w:b/>
          <w:bCs/>
          <w:sz w:val="24"/>
        </w:rPr>
        <w:t>Millones de Pesos 00/100 M.N.</w:t>
      </w:r>
      <w:r w:rsidRPr="0094500D">
        <w:rPr>
          <w:rFonts w:ascii="Arial" w:hAnsi="Arial" w:cs="Arial"/>
          <w:sz w:val="24"/>
        </w:rPr>
        <w:t>)</w:t>
      </w:r>
      <w:r w:rsidR="000C2418" w:rsidRPr="0094500D">
        <w:rPr>
          <w:rFonts w:ascii="Arial" w:hAnsi="Arial" w:cs="Arial"/>
          <w:sz w:val="24"/>
        </w:rPr>
        <w:t xml:space="preserve"> monto superior</w:t>
      </w:r>
      <w:r w:rsidR="00DC0544" w:rsidRPr="0094500D">
        <w:rPr>
          <w:rFonts w:ascii="Arial" w:hAnsi="Arial" w:cs="Arial"/>
          <w:sz w:val="24"/>
        </w:rPr>
        <w:t xml:space="preserve"> en </w:t>
      </w:r>
      <w:r w:rsidR="002C48F4" w:rsidRPr="0094500D">
        <w:rPr>
          <w:rFonts w:ascii="Arial" w:hAnsi="Arial" w:cs="Arial"/>
          <w:b/>
          <w:sz w:val="24"/>
        </w:rPr>
        <w:t>2.6</w:t>
      </w:r>
      <w:r w:rsidR="00DC0544" w:rsidRPr="0094500D">
        <w:rPr>
          <w:rFonts w:ascii="Arial" w:hAnsi="Arial" w:cs="Arial"/>
          <w:sz w:val="24"/>
        </w:rPr>
        <w:t xml:space="preserve"> </w:t>
      </w:r>
      <w:r w:rsidRPr="0094500D">
        <w:rPr>
          <w:rFonts w:ascii="Arial" w:hAnsi="Arial" w:cs="Arial"/>
          <w:sz w:val="24"/>
        </w:rPr>
        <w:t>por ciento al aprobad</w:t>
      </w:r>
      <w:r w:rsidR="00AE55FD" w:rsidRPr="0094500D">
        <w:rPr>
          <w:rFonts w:ascii="Arial" w:hAnsi="Arial" w:cs="Arial"/>
          <w:sz w:val="24"/>
        </w:rPr>
        <w:t>o para el Ejercicio Fiscal 2020</w:t>
      </w:r>
      <w:r w:rsidR="005E19D2" w:rsidRPr="0094500D">
        <w:rPr>
          <w:rFonts w:ascii="Arial" w:hAnsi="Arial" w:cs="Arial"/>
          <w:sz w:val="24"/>
        </w:rPr>
        <w:t>.</w:t>
      </w:r>
    </w:p>
    <w:p w14:paraId="29D8A4C1" w14:textId="77777777" w:rsidR="00765B68" w:rsidRDefault="00765B68" w:rsidP="00C041EB">
      <w:pPr>
        <w:spacing w:after="0" w:line="240" w:lineRule="auto"/>
        <w:jc w:val="both"/>
        <w:rPr>
          <w:rFonts w:ascii="Arial" w:hAnsi="Arial" w:cs="Arial"/>
          <w:sz w:val="24"/>
        </w:rPr>
      </w:pPr>
    </w:p>
    <w:p w14:paraId="11473EED" w14:textId="77777777" w:rsidR="009A59F2" w:rsidRPr="00555C3A" w:rsidRDefault="009A59F2" w:rsidP="00C041EB">
      <w:pPr>
        <w:spacing w:after="0" w:line="240" w:lineRule="auto"/>
        <w:jc w:val="both"/>
        <w:rPr>
          <w:rFonts w:ascii="Arial" w:hAnsi="Arial" w:cs="Arial"/>
          <w:b/>
          <w:sz w:val="24"/>
        </w:rPr>
      </w:pPr>
      <w:r w:rsidRPr="00555C3A">
        <w:rPr>
          <w:rFonts w:ascii="Arial" w:hAnsi="Arial" w:cs="Arial"/>
          <w:b/>
          <w:sz w:val="24"/>
        </w:rPr>
        <w:t>1.2</w:t>
      </w:r>
      <w:r w:rsidR="00645E6B" w:rsidRPr="00555C3A">
        <w:rPr>
          <w:rFonts w:ascii="Arial" w:hAnsi="Arial" w:cs="Arial"/>
          <w:b/>
          <w:sz w:val="24"/>
        </w:rPr>
        <w:t>.</w:t>
      </w:r>
      <w:r w:rsidRPr="00555C3A">
        <w:rPr>
          <w:rFonts w:ascii="Arial" w:hAnsi="Arial" w:cs="Arial"/>
          <w:b/>
          <w:sz w:val="24"/>
        </w:rPr>
        <w:t xml:space="preserve"> POLÍTICA DE GASTO</w:t>
      </w:r>
    </w:p>
    <w:p w14:paraId="7545BC4C" w14:textId="77777777" w:rsidR="009A59F2" w:rsidRPr="00555C3A" w:rsidRDefault="009A59F2" w:rsidP="00C041EB">
      <w:pPr>
        <w:spacing w:after="0" w:line="240" w:lineRule="auto"/>
        <w:jc w:val="both"/>
        <w:rPr>
          <w:rFonts w:ascii="Arial" w:hAnsi="Arial" w:cs="Arial"/>
          <w:b/>
          <w:sz w:val="24"/>
        </w:rPr>
      </w:pPr>
      <w:r w:rsidRPr="00555C3A">
        <w:rPr>
          <w:rFonts w:ascii="Arial" w:hAnsi="Arial" w:cs="Arial"/>
          <w:b/>
          <w:sz w:val="24"/>
        </w:rPr>
        <w:t>1.2.1</w:t>
      </w:r>
      <w:r w:rsidR="00645E6B" w:rsidRPr="00555C3A">
        <w:rPr>
          <w:rFonts w:ascii="Arial" w:hAnsi="Arial" w:cs="Arial"/>
          <w:b/>
          <w:sz w:val="24"/>
        </w:rPr>
        <w:t>.</w:t>
      </w:r>
      <w:r w:rsidRPr="00555C3A">
        <w:rPr>
          <w:rFonts w:ascii="Arial" w:hAnsi="Arial" w:cs="Arial"/>
          <w:b/>
          <w:sz w:val="24"/>
        </w:rPr>
        <w:t xml:space="preserve"> Visión del gasto público Estatal</w:t>
      </w:r>
    </w:p>
    <w:p w14:paraId="0F55A447" w14:textId="77777777" w:rsidR="009A59F2" w:rsidRDefault="009A59F2" w:rsidP="00C041EB">
      <w:pPr>
        <w:spacing w:after="0" w:line="240" w:lineRule="auto"/>
        <w:jc w:val="both"/>
        <w:rPr>
          <w:rFonts w:ascii="Arial" w:hAnsi="Arial" w:cs="Arial"/>
          <w:sz w:val="24"/>
        </w:rPr>
      </w:pPr>
    </w:p>
    <w:p w14:paraId="638BE439" w14:textId="6A17D6C0" w:rsidR="009A59F2" w:rsidRDefault="004B6B5E" w:rsidP="00C041EB">
      <w:pPr>
        <w:spacing w:after="0" w:line="240" w:lineRule="auto"/>
        <w:jc w:val="both"/>
        <w:rPr>
          <w:rFonts w:ascii="Arial" w:hAnsi="Arial" w:cs="Arial"/>
          <w:sz w:val="24"/>
        </w:rPr>
      </w:pPr>
      <w:r>
        <w:rPr>
          <w:rFonts w:ascii="Arial" w:hAnsi="Arial" w:cs="Arial"/>
          <w:sz w:val="24"/>
        </w:rPr>
        <w:t xml:space="preserve">Ante la difícil situación en la que nos encontramos en materia financiera debido a los escases de </w:t>
      </w:r>
      <w:r w:rsidR="009A59F2">
        <w:rPr>
          <w:rFonts w:ascii="Arial" w:hAnsi="Arial" w:cs="Arial"/>
          <w:sz w:val="24"/>
        </w:rPr>
        <w:t>recursos, mayor importancia cobra el aumentar la efectividad de su uso. En este tenor, en el presente Proyecto, en la asignación de los recursos se han dejado de lado criterios de asignación clientelar del gasto y la mala práctica incrementalista, la cual consistía en incrementar la misma proporción de recursos a todos los ejecutores año tras año.</w:t>
      </w:r>
    </w:p>
    <w:p w14:paraId="08BF53E6" w14:textId="77777777" w:rsidR="009A59F2" w:rsidRDefault="009A59F2" w:rsidP="00C041EB">
      <w:pPr>
        <w:spacing w:after="0" w:line="240" w:lineRule="auto"/>
        <w:jc w:val="both"/>
        <w:rPr>
          <w:rFonts w:ascii="Arial" w:hAnsi="Arial" w:cs="Arial"/>
          <w:sz w:val="24"/>
        </w:rPr>
      </w:pPr>
    </w:p>
    <w:p w14:paraId="2F025554" w14:textId="52EC5565" w:rsidR="009A59F2" w:rsidRDefault="00980966" w:rsidP="00C041EB">
      <w:pPr>
        <w:spacing w:after="0" w:line="240" w:lineRule="auto"/>
        <w:jc w:val="both"/>
        <w:rPr>
          <w:rFonts w:ascii="Arial" w:hAnsi="Arial" w:cs="Arial"/>
          <w:sz w:val="24"/>
        </w:rPr>
      </w:pPr>
      <w:r>
        <w:rPr>
          <w:rFonts w:ascii="Arial" w:hAnsi="Arial" w:cs="Arial"/>
          <w:sz w:val="24"/>
        </w:rPr>
        <w:t>Por lo anterior, se rompen inercias para dejar de perpetuar estructuras de gasto anteriores como si fueran válidas para todos los años</w:t>
      </w:r>
      <w:r w:rsidR="006A40D4">
        <w:rPr>
          <w:rFonts w:ascii="Arial" w:hAnsi="Arial" w:cs="Arial"/>
          <w:sz w:val="24"/>
        </w:rPr>
        <w:t>, acción que cobra relevancia y que nos permite actuar, por ejemplo, ante escenarios adversos como la crisis que ha provocado la pandemia derivada del virus SARS-CoV-2</w:t>
      </w:r>
      <w:r>
        <w:rPr>
          <w:rFonts w:ascii="Arial" w:hAnsi="Arial" w:cs="Arial"/>
          <w:sz w:val="24"/>
        </w:rPr>
        <w:t>. La articulación entre el presupuesto y la planificación, la elaboración del marco fiscal de mediano plazo</w:t>
      </w:r>
      <w:r w:rsidR="006A40D4">
        <w:rPr>
          <w:rFonts w:ascii="Arial" w:hAnsi="Arial" w:cs="Arial"/>
          <w:sz w:val="24"/>
        </w:rPr>
        <w:t xml:space="preserve"> de ingresos y gastos, permite</w:t>
      </w:r>
      <w:r>
        <w:rPr>
          <w:rFonts w:ascii="Arial" w:hAnsi="Arial" w:cs="Arial"/>
          <w:sz w:val="24"/>
        </w:rPr>
        <w:t xml:space="preserve"> una planificación financiera más allá del periodo anual.</w:t>
      </w:r>
    </w:p>
    <w:p w14:paraId="079048E4" w14:textId="77777777" w:rsidR="00980966" w:rsidRDefault="00980966" w:rsidP="00C041EB">
      <w:pPr>
        <w:spacing w:after="0" w:line="240" w:lineRule="auto"/>
        <w:jc w:val="both"/>
        <w:rPr>
          <w:rFonts w:ascii="Arial" w:hAnsi="Arial" w:cs="Arial"/>
          <w:sz w:val="24"/>
        </w:rPr>
      </w:pPr>
    </w:p>
    <w:p w14:paraId="45491058" w14:textId="21638B52" w:rsidR="00980966" w:rsidRDefault="00626B9C" w:rsidP="00C041EB">
      <w:pPr>
        <w:spacing w:after="0" w:line="240" w:lineRule="auto"/>
        <w:jc w:val="both"/>
        <w:rPr>
          <w:rFonts w:ascii="Arial" w:hAnsi="Arial" w:cs="Arial"/>
          <w:sz w:val="24"/>
        </w:rPr>
      </w:pPr>
      <w:r>
        <w:rPr>
          <w:rFonts w:ascii="Arial" w:hAnsi="Arial" w:cs="Arial"/>
          <w:sz w:val="24"/>
        </w:rPr>
        <w:t>Se retoma en la presupuestación las metodologías derivadas de la Gestión para Resultados</w:t>
      </w:r>
      <w:r w:rsidR="009166A0">
        <w:rPr>
          <w:rFonts w:ascii="Arial" w:hAnsi="Arial" w:cs="Arial"/>
          <w:sz w:val="24"/>
        </w:rPr>
        <w:t xml:space="preserve"> del Desarrollo (GpRD), como estrategia de gestión que centra sus esfuerzos en dirigir todos los recursos humanos, financieros, tecnológicos y naturales, sean estos internos o externos, hacia la consecución de resultados de de</w:t>
      </w:r>
      <w:r w:rsidR="006A40D4">
        <w:rPr>
          <w:rFonts w:ascii="Arial" w:hAnsi="Arial" w:cs="Arial"/>
          <w:sz w:val="24"/>
        </w:rPr>
        <w:t xml:space="preserve">sarrollo esperados, realizando esfuerzos mayúsculos para mantener un apego riguroso al PED. </w:t>
      </w:r>
    </w:p>
    <w:p w14:paraId="1F04DEAE" w14:textId="77777777" w:rsidR="009166A0" w:rsidRDefault="009166A0" w:rsidP="00C041EB">
      <w:pPr>
        <w:spacing w:after="0" w:line="240" w:lineRule="auto"/>
        <w:jc w:val="both"/>
        <w:rPr>
          <w:rFonts w:ascii="Arial" w:hAnsi="Arial" w:cs="Arial"/>
          <w:sz w:val="24"/>
        </w:rPr>
      </w:pPr>
    </w:p>
    <w:p w14:paraId="18DF8378" w14:textId="77777777" w:rsidR="009166A0" w:rsidRDefault="009166A0" w:rsidP="00C041EB">
      <w:pPr>
        <w:spacing w:after="0" w:line="240" w:lineRule="auto"/>
        <w:jc w:val="both"/>
        <w:rPr>
          <w:rFonts w:ascii="Arial" w:hAnsi="Arial" w:cs="Arial"/>
          <w:sz w:val="24"/>
        </w:rPr>
      </w:pPr>
      <w:r>
        <w:rPr>
          <w:rFonts w:ascii="Arial" w:hAnsi="Arial" w:cs="Arial"/>
          <w:sz w:val="24"/>
        </w:rPr>
        <w:t>El foco de atención ya no se encuentra en los insumos en sí (cuánto dinero se obtendrá o cuánto se puede gastar) sino en los resultados mesurables (qué se puede lograr con estos fondos) en todas las fases del proceso de desarrollo.</w:t>
      </w:r>
    </w:p>
    <w:p w14:paraId="642F6E9E" w14:textId="77777777" w:rsidR="00F67467" w:rsidRDefault="00F67467" w:rsidP="00C041EB">
      <w:pPr>
        <w:spacing w:after="0" w:line="240" w:lineRule="auto"/>
        <w:jc w:val="both"/>
        <w:rPr>
          <w:rFonts w:ascii="Arial" w:hAnsi="Arial" w:cs="Arial"/>
          <w:sz w:val="24"/>
        </w:rPr>
      </w:pPr>
    </w:p>
    <w:p w14:paraId="51C3464B" w14:textId="77777777" w:rsidR="009166A0" w:rsidRDefault="009166A0" w:rsidP="00C041EB">
      <w:pPr>
        <w:spacing w:after="0" w:line="240" w:lineRule="auto"/>
        <w:jc w:val="both"/>
        <w:rPr>
          <w:rFonts w:ascii="Arial" w:hAnsi="Arial" w:cs="Arial"/>
          <w:sz w:val="24"/>
        </w:rPr>
      </w:pPr>
      <w:r>
        <w:rPr>
          <w:rFonts w:ascii="Arial" w:hAnsi="Arial" w:cs="Arial"/>
          <w:sz w:val="24"/>
        </w:rPr>
        <w:t>De igual manera, en la perspectiva de ejecución del propio presupuesto consideramos postulados de la gestión financiera pública, entendida esta como el conjunto de elementos administrativos que hacen posible la captación de recursos y su aplicación para la concreción de objetivos y metas.</w:t>
      </w:r>
    </w:p>
    <w:p w14:paraId="4B6C91D3" w14:textId="77777777" w:rsidR="009166A0" w:rsidRDefault="009166A0" w:rsidP="00C041EB">
      <w:pPr>
        <w:spacing w:after="0" w:line="240" w:lineRule="auto"/>
        <w:jc w:val="both"/>
        <w:rPr>
          <w:rFonts w:ascii="Arial" w:hAnsi="Arial" w:cs="Arial"/>
          <w:sz w:val="24"/>
        </w:rPr>
      </w:pPr>
    </w:p>
    <w:p w14:paraId="01144781" w14:textId="73B8AA81" w:rsidR="006638C3" w:rsidRDefault="009166A0" w:rsidP="00C041EB">
      <w:pPr>
        <w:spacing w:after="0" w:line="240" w:lineRule="auto"/>
        <w:jc w:val="both"/>
        <w:rPr>
          <w:rFonts w:ascii="Arial" w:hAnsi="Arial" w:cs="Arial"/>
          <w:sz w:val="24"/>
        </w:rPr>
      </w:pPr>
      <w:r>
        <w:rPr>
          <w:rFonts w:ascii="Arial" w:hAnsi="Arial" w:cs="Arial"/>
          <w:sz w:val="24"/>
        </w:rPr>
        <w:lastRenderedPageBreak/>
        <w:t xml:space="preserve">El </w:t>
      </w:r>
      <w:r w:rsidR="006638C3">
        <w:rPr>
          <w:rFonts w:ascii="Arial" w:hAnsi="Arial" w:cs="Arial"/>
          <w:sz w:val="24"/>
        </w:rPr>
        <w:t>presente Proyecto de Presupuesto, se diseñó</w:t>
      </w:r>
      <w:r w:rsidR="00F67467">
        <w:rPr>
          <w:rFonts w:ascii="Arial" w:hAnsi="Arial" w:cs="Arial"/>
          <w:sz w:val="24"/>
        </w:rPr>
        <w:t>, además,</w:t>
      </w:r>
      <w:r w:rsidR="006638C3">
        <w:rPr>
          <w:rFonts w:ascii="Arial" w:hAnsi="Arial" w:cs="Arial"/>
          <w:sz w:val="24"/>
        </w:rPr>
        <w:t xml:space="preserve"> con un marco plurianual, a través de la inclu</w:t>
      </w:r>
      <w:r w:rsidR="00F67467">
        <w:rPr>
          <w:rFonts w:ascii="Arial" w:hAnsi="Arial" w:cs="Arial"/>
          <w:sz w:val="24"/>
        </w:rPr>
        <w:t>sión de un marco macroeconómico y</w:t>
      </w:r>
      <w:r w:rsidR="006638C3">
        <w:rPr>
          <w:rFonts w:ascii="Arial" w:hAnsi="Arial" w:cs="Arial"/>
          <w:sz w:val="24"/>
        </w:rPr>
        <w:t xml:space="preserve"> marco fiscal </w:t>
      </w:r>
      <w:r w:rsidR="00F67467">
        <w:rPr>
          <w:rFonts w:ascii="Arial" w:hAnsi="Arial" w:cs="Arial"/>
          <w:sz w:val="24"/>
        </w:rPr>
        <w:t xml:space="preserve">de mediano y largo plazo, tomando como base las estimaciones puntuales contenidas en los Criterios Generales de Política Económica 2021. </w:t>
      </w:r>
      <w:r w:rsidR="006638C3">
        <w:rPr>
          <w:rFonts w:ascii="Arial" w:hAnsi="Arial" w:cs="Arial"/>
          <w:sz w:val="24"/>
        </w:rPr>
        <w:t>Esta visión tiene el propósito de apuntalar un enfoque hacia el desarrollo sostenido</w:t>
      </w:r>
      <w:r w:rsidR="007C2FA0">
        <w:rPr>
          <w:rFonts w:ascii="Arial" w:hAnsi="Arial" w:cs="Arial"/>
          <w:sz w:val="24"/>
        </w:rPr>
        <w:t xml:space="preserve"> que genere progreso social y aumento de la ca</w:t>
      </w:r>
      <w:r w:rsidR="00DB5788">
        <w:rPr>
          <w:rFonts w:ascii="Arial" w:hAnsi="Arial" w:cs="Arial"/>
          <w:sz w:val="24"/>
        </w:rPr>
        <w:t>lidad de vida de los colimenses.</w:t>
      </w:r>
    </w:p>
    <w:p w14:paraId="0207D464" w14:textId="77777777" w:rsidR="00A642E2" w:rsidRDefault="00A642E2" w:rsidP="00C041EB">
      <w:pPr>
        <w:spacing w:after="0" w:line="240" w:lineRule="auto"/>
        <w:jc w:val="both"/>
        <w:rPr>
          <w:rFonts w:ascii="Arial" w:hAnsi="Arial" w:cs="Arial"/>
          <w:sz w:val="24"/>
        </w:rPr>
      </w:pPr>
    </w:p>
    <w:p w14:paraId="016BC079" w14:textId="4247A6A2" w:rsidR="00492827" w:rsidRPr="00492827" w:rsidRDefault="005F7F13" w:rsidP="00C041EB">
      <w:pPr>
        <w:spacing w:after="0" w:line="240" w:lineRule="auto"/>
        <w:jc w:val="both"/>
        <w:rPr>
          <w:rFonts w:ascii="Arial" w:hAnsi="Arial" w:cs="Arial"/>
          <w:sz w:val="24"/>
        </w:rPr>
      </w:pPr>
      <w:r>
        <w:rPr>
          <w:rFonts w:ascii="Arial" w:hAnsi="Arial" w:cs="Arial"/>
          <w:sz w:val="24"/>
        </w:rPr>
        <w:t xml:space="preserve">En este sentido, el Gobierno del Estado, </w:t>
      </w:r>
      <w:r w:rsidR="00F5570B" w:rsidRPr="00492827">
        <w:rPr>
          <w:rFonts w:ascii="Arial" w:hAnsi="Arial" w:cs="Arial"/>
          <w:sz w:val="24"/>
        </w:rPr>
        <w:t xml:space="preserve">tiene establecido como una prioridad, mantener finanzas públicas equilibradas para garantizar la paz social, </w:t>
      </w:r>
      <w:r w:rsidR="00DB5788">
        <w:rPr>
          <w:rFonts w:ascii="Arial" w:hAnsi="Arial" w:cs="Arial"/>
          <w:sz w:val="24"/>
        </w:rPr>
        <w:t xml:space="preserve">potencializar </w:t>
      </w:r>
      <w:r w:rsidR="00F5570B" w:rsidRPr="00492827">
        <w:rPr>
          <w:rFonts w:ascii="Arial" w:hAnsi="Arial" w:cs="Arial"/>
          <w:sz w:val="24"/>
        </w:rPr>
        <w:t>la prestación de servicios a la ciudadanía</w:t>
      </w:r>
      <w:r w:rsidR="00DB5788">
        <w:rPr>
          <w:rFonts w:ascii="Arial" w:hAnsi="Arial" w:cs="Arial"/>
          <w:sz w:val="24"/>
        </w:rPr>
        <w:t>, especialmente lo relacionado con la salud y la seguridad pública, y asegurar</w:t>
      </w:r>
      <w:r w:rsidR="00F5570B" w:rsidRPr="00492827">
        <w:rPr>
          <w:rFonts w:ascii="Arial" w:hAnsi="Arial" w:cs="Arial"/>
          <w:sz w:val="24"/>
        </w:rPr>
        <w:t xml:space="preserve"> la operatividad gubernamental</w:t>
      </w:r>
      <w:r w:rsidR="00492827" w:rsidRPr="00492827">
        <w:rPr>
          <w:rFonts w:ascii="Arial" w:hAnsi="Arial" w:cs="Arial"/>
          <w:sz w:val="24"/>
        </w:rPr>
        <w:t>, optimizando los recursos presupuestarios disponibles en un balance acorde con los principios constitucionales de eficiencia, eficacia, economía, transparencia y honradez.</w:t>
      </w:r>
    </w:p>
    <w:p w14:paraId="1DC38D27" w14:textId="77777777" w:rsidR="007C2FA0" w:rsidRDefault="007C2FA0" w:rsidP="00C041EB">
      <w:pPr>
        <w:spacing w:after="0" w:line="240" w:lineRule="auto"/>
        <w:jc w:val="both"/>
        <w:rPr>
          <w:rFonts w:ascii="Arial" w:hAnsi="Arial" w:cs="Arial"/>
          <w:sz w:val="24"/>
        </w:rPr>
      </w:pPr>
    </w:p>
    <w:p w14:paraId="720ADC4A" w14:textId="2E1A7093" w:rsidR="00A94FDC" w:rsidRDefault="00A94FDC" w:rsidP="00C041EB">
      <w:pPr>
        <w:spacing w:after="0" w:line="240" w:lineRule="auto"/>
        <w:jc w:val="both"/>
        <w:rPr>
          <w:rFonts w:ascii="Arial" w:hAnsi="Arial" w:cs="Arial"/>
          <w:sz w:val="24"/>
        </w:rPr>
      </w:pPr>
      <w:r>
        <w:rPr>
          <w:rFonts w:ascii="Arial" w:hAnsi="Arial" w:cs="Arial"/>
          <w:sz w:val="24"/>
        </w:rPr>
        <w:t>Se trabaja en elevar la calid</w:t>
      </w:r>
      <w:r w:rsidR="00EF1C4E">
        <w:rPr>
          <w:rFonts w:ascii="Arial" w:hAnsi="Arial" w:cs="Arial"/>
          <w:sz w:val="24"/>
        </w:rPr>
        <w:t xml:space="preserve">ad del gasto público mediante la </w:t>
      </w:r>
      <w:r w:rsidR="00224E07">
        <w:rPr>
          <w:rFonts w:ascii="Arial" w:hAnsi="Arial" w:cs="Arial"/>
          <w:sz w:val="24"/>
        </w:rPr>
        <w:t>permanente</w:t>
      </w:r>
      <w:r>
        <w:rPr>
          <w:rFonts w:ascii="Arial" w:hAnsi="Arial" w:cs="Arial"/>
          <w:sz w:val="24"/>
        </w:rPr>
        <w:t xml:space="preserve"> aplicación de las medidas de austeridad y racionalidad, además de disciplina del gasto operativo, lo cual contribuye a lograr una administración pública menos costosa, permitiendo con ello liberar y reasignar recursos dirigidos a financiar </w:t>
      </w:r>
      <w:r w:rsidR="005F7F13">
        <w:rPr>
          <w:rFonts w:ascii="Arial" w:hAnsi="Arial" w:cs="Arial"/>
          <w:sz w:val="24"/>
        </w:rPr>
        <w:t>acciones</w:t>
      </w:r>
      <w:r w:rsidR="00DB5788">
        <w:rPr>
          <w:rFonts w:ascii="Arial" w:hAnsi="Arial" w:cs="Arial"/>
          <w:sz w:val="24"/>
        </w:rPr>
        <w:t xml:space="preserve"> para la reactivación económica</w:t>
      </w:r>
      <w:r w:rsidR="00946670">
        <w:rPr>
          <w:rFonts w:ascii="Arial" w:hAnsi="Arial" w:cs="Arial"/>
          <w:sz w:val="24"/>
        </w:rPr>
        <w:t xml:space="preserve"> en la medida que lo permita la evolución de la pandemia</w:t>
      </w:r>
      <w:r>
        <w:rPr>
          <w:rFonts w:ascii="Arial" w:hAnsi="Arial" w:cs="Arial"/>
          <w:sz w:val="24"/>
        </w:rPr>
        <w:t>, así como</w:t>
      </w:r>
      <w:r w:rsidR="005F7F13">
        <w:rPr>
          <w:rFonts w:ascii="Arial" w:hAnsi="Arial" w:cs="Arial"/>
          <w:sz w:val="24"/>
        </w:rPr>
        <w:t xml:space="preserve"> para</w:t>
      </w:r>
      <w:r>
        <w:rPr>
          <w:rFonts w:ascii="Arial" w:hAnsi="Arial" w:cs="Arial"/>
          <w:sz w:val="24"/>
        </w:rPr>
        <w:t xml:space="preserve"> fortalecer los programas sociales para el apoyo a grupos vulnerables.</w:t>
      </w:r>
      <w:r w:rsidR="00EC75AE">
        <w:rPr>
          <w:rFonts w:ascii="Arial" w:hAnsi="Arial" w:cs="Arial"/>
          <w:sz w:val="24"/>
        </w:rPr>
        <w:t xml:space="preserve"> Procurando en todo momento mantener un </w:t>
      </w:r>
      <w:r w:rsidR="00224E07">
        <w:rPr>
          <w:rFonts w:ascii="Arial" w:hAnsi="Arial" w:cs="Arial"/>
          <w:sz w:val="24"/>
        </w:rPr>
        <w:t>balance presupuestario sostenible.</w:t>
      </w:r>
    </w:p>
    <w:p w14:paraId="25B1F749" w14:textId="77777777" w:rsidR="008717F2" w:rsidRDefault="008717F2" w:rsidP="00C041EB">
      <w:pPr>
        <w:spacing w:after="0" w:line="240" w:lineRule="auto"/>
        <w:jc w:val="both"/>
        <w:rPr>
          <w:rFonts w:ascii="Arial" w:hAnsi="Arial" w:cs="Arial"/>
          <w:sz w:val="24"/>
        </w:rPr>
      </w:pPr>
    </w:p>
    <w:p w14:paraId="29DDF62F" w14:textId="3ACA9B6F" w:rsidR="00224E07" w:rsidRDefault="00224E07" w:rsidP="001C4156">
      <w:pPr>
        <w:spacing w:after="0" w:line="240" w:lineRule="auto"/>
        <w:jc w:val="both"/>
        <w:rPr>
          <w:rFonts w:ascii="Arial" w:hAnsi="Arial" w:cs="Arial"/>
          <w:sz w:val="24"/>
        </w:rPr>
      </w:pPr>
      <w:r>
        <w:rPr>
          <w:rFonts w:ascii="Arial" w:hAnsi="Arial" w:cs="Arial"/>
          <w:sz w:val="24"/>
        </w:rPr>
        <w:t>En este sentido</w:t>
      </w:r>
      <w:r w:rsidR="00A103B6">
        <w:rPr>
          <w:rFonts w:ascii="Arial" w:hAnsi="Arial" w:cs="Arial"/>
          <w:sz w:val="24"/>
        </w:rPr>
        <w:t>,</w:t>
      </w:r>
      <w:r>
        <w:rPr>
          <w:rFonts w:ascii="Arial" w:hAnsi="Arial" w:cs="Arial"/>
          <w:sz w:val="24"/>
        </w:rPr>
        <w:t xml:space="preserve"> el Proyecto de Presupuesto de Egresos para el Ejercicio Fiscal 2021, considera un Balance Presupuestario Sostenible, responde a las necesidades de la realidad actual producto de la emergencia sanitaria y busca lo trascendente con la concreció</w:t>
      </w:r>
      <w:r w:rsidR="004C557B">
        <w:rPr>
          <w:rFonts w:ascii="Arial" w:hAnsi="Arial" w:cs="Arial"/>
          <w:sz w:val="24"/>
        </w:rPr>
        <w:t xml:space="preserve">n </w:t>
      </w:r>
      <w:r>
        <w:rPr>
          <w:rFonts w:ascii="Arial" w:hAnsi="Arial" w:cs="Arial"/>
          <w:sz w:val="24"/>
        </w:rPr>
        <w:t>de las metas que se plasmaron al inici</w:t>
      </w:r>
      <w:r w:rsidR="00B401D0">
        <w:rPr>
          <w:rFonts w:ascii="Arial" w:hAnsi="Arial" w:cs="Arial"/>
          <w:sz w:val="24"/>
        </w:rPr>
        <w:t xml:space="preserve">o de la presente administración. Puesto que se han asegurado asignaciones de recursos a los sectores </w:t>
      </w:r>
      <w:r w:rsidR="00F42581">
        <w:rPr>
          <w:rFonts w:ascii="Arial" w:hAnsi="Arial" w:cs="Arial"/>
          <w:sz w:val="24"/>
        </w:rPr>
        <w:t xml:space="preserve">que cobran </w:t>
      </w:r>
      <w:r w:rsidR="00B401D0">
        <w:rPr>
          <w:rFonts w:ascii="Arial" w:hAnsi="Arial" w:cs="Arial"/>
          <w:sz w:val="24"/>
        </w:rPr>
        <w:t>mayo</w:t>
      </w:r>
      <w:r w:rsidR="00F42581">
        <w:rPr>
          <w:rFonts w:ascii="Arial" w:hAnsi="Arial" w:cs="Arial"/>
          <w:sz w:val="24"/>
        </w:rPr>
        <w:t xml:space="preserve">r relevancia en estos momentos; </w:t>
      </w:r>
      <w:r w:rsidR="00B401D0">
        <w:rPr>
          <w:rFonts w:ascii="Arial" w:hAnsi="Arial" w:cs="Arial"/>
          <w:sz w:val="24"/>
        </w:rPr>
        <w:t>como lo es el sector salud, seguridad pública, educación, saneamiento financiero, desarrollo económico y desarrollo social.</w:t>
      </w:r>
    </w:p>
    <w:p w14:paraId="32089EB8" w14:textId="77777777" w:rsidR="00A94320" w:rsidRDefault="00A94320" w:rsidP="00C041EB">
      <w:pPr>
        <w:spacing w:after="0" w:line="240" w:lineRule="auto"/>
        <w:jc w:val="both"/>
        <w:rPr>
          <w:rFonts w:ascii="Arial" w:hAnsi="Arial" w:cs="Arial"/>
          <w:b/>
          <w:sz w:val="24"/>
        </w:rPr>
      </w:pPr>
    </w:p>
    <w:p w14:paraId="27E2580B" w14:textId="77777777" w:rsidR="00A642E2" w:rsidRPr="00555C3A" w:rsidRDefault="00645E6B" w:rsidP="00C041EB">
      <w:pPr>
        <w:spacing w:after="0" w:line="240" w:lineRule="auto"/>
        <w:jc w:val="both"/>
        <w:rPr>
          <w:rFonts w:ascii="Arial" w:hAnsi="Arial" w:cs="Arial"/>
          <w:b/>
          <w:sz w:val="24"/>
        </w:rPr>
      </w:pPr>
      <w:r w:rsidRPr="00555C3A">
        <w:rPr>
          <w:rFonts w:ascii="Arial" w:hAnsi="Arial" w:cs="Arial"/>
          <w:b/>
          <w:sz w:val="24"/>
        </w:rPr>
        <w:t>1</w:t>
      </w:r>
      <w:r w:rsidR="00A642E2" w:rsidRPr="00555C3A">
        <w:rPr>
          <w:rFonts w:ascii="Arial" w:hAnsi="Arial" w:cs="Arial"/>
          <w:b/>
          <w:sz w:val="24"/>
        </w:rPr>
        <w:t>.3</w:t>
      </w:r>
      <w:r w:rsidRPr="00555C3A">
        <w:rPr>
          <w:rFonts w:ascii="Arial" w:hAnsi="Arial" w:cs="Arial"/>
          <w:b/>
          <w:sz w:val="24"/>
        </w:rPr>
        <w:t>.</w:t>
      </w:r>
      <w:r w:rsidR="00A642E2" w:rsidRPr="00555C3A">
        <w:rPr>
          <w:rFonts w:ascii="Arial" w:hAnsi="Arial" w:cs="Arial"/>
          <w:b/>
          <w:sz w:val="24"/>
        </w:rPr>
        <w:t xml:space="preserve"> ENTORNO EXTERNO, INTERNO Y LOCAL</w:t>
      </w:r>
    </w:p>
    <w:p w14:paraId="31585525" w14:textId="77777777" w:rsidR="002E0474" w:rsidRPr="00555C3A" w:rsidRDefault="00645E6B" w:rsidP="00C041EB">
      <w:pPr>
        <w:spacing w:after="0" w:line="240" w:lineRule="auto"/>
        <w:jc w:val="both"/>
        <w:rPr>
          <w:rFonts w:ascii="Arial" w:hAnsi="Arial" w:cs="Arial"/>
          <w:b/>
          <w:sz w:val="24"/>
        </w:rPr>
      </w:pPr>
      <w:r w:rsidRPr="00555C3A">
        <w:rPr>
          <w:rFonts w:ascii="Arial" w:hAnsi="Arial" w:cs="Arial"/>
          <w:b/>
          <w:sz w:val="24"/>
        </w:rPr>
        <w:t>1</w:t>
      </w:r>
      <w:r w:rsidR="00A642E2" w:rsidRPr="00555C3A">
        <w:rPr>
          <w:rFonts w:ascii="Arial" w:hAnsi="Arial" w:cs="Arial"/>
          <w:b/>
          <w:sz w:val="24"/>
        </w:rPr>
        <w:t>.3.1</w:t>
      </w:r>
      <w:r w:rsidRPr="00555C3A">
        <w:rPr>
          <w:rFonts w:ascii="Arial" w:hAnsi="Arial" w:cs="Arial"/>
          <w:b/>
          <w:sz w:val="24"/>
        </w:rPr>
        <w:t>.</w:t>
      </w:r>
      <w:r w:rsidR="00A642E2" w:rsidRPr="00555C3A">
        <w:rPr>
          <w:rFonts w:ascii="Arial" w:hAnsi="Arial" w:cs="Arial"/>
          <w:b/>
          <w:sz w:val="24"/>
        </w:rPr>
        <w:t xml:space="preserve"> Entorno Externo</w:t>
      </w:r>
    </w:p>
    <w:p w14:paraId="1E8860F9" w14:textId="77777777" w:rsidR="0021318F" w:rsidRDefault="0021318F" w:rsidP="004C557B">
      <w:pPr>
        <w:spacing w:after="0" w:line="240" w:lineRule="auto"/>
        <w:jc w:val="both"/>
        <w:rPr>
          <w:rFonts w:ascii="Arial" w:hAnsi="Arial" w:cs="Arial"/>
          <w:sz w:val="24"/>
        </w:rPr>
      </w:pPr>
    </w:p>
    <w:p w14:paraId="711CD4FA" w14:textId="183CAC7D" w:rsidR="004C557B" w:rsidRPr="004C557B" w:rsidRDefault="00A642E2" w:rsidP="004C557B">
      <w:pPr>
        <w:spacing w:after="0" w:line="240" w:lineRule="auto"/>
        <w:jc w:val="both"/>
        <w:rPr>
          <w:rFonts w:ascii="Arial" w:hAnsi="Arial" w:cs="Arial"/>
          <w:sz w:val="24"/>
        </w:rPr>
      </w:pPr>
      <w:r>
        <w:rPr>
          <w:rFonts w:ascii="Arial" w:hAnsi="Arial" w:cs="Arial"/>
          <w:sz w:val="24"/>
        </w:rPr>
        <w:t xml:space="preserve">Tomando en consideración el análisis que se realiza en los Criterios </w:t>
      </w:r>
      <w:r w:rsidR="00777622">
        <w:rPr>
          <w:rFonts w:ascii="Arial" w:hAnsi="Arial" w:cs="Arial"/>
          <w:sz w:val="24"/>
        </w:rPr>
        <w:t>Generales de Política Económica, el entorno externo que se presenta es el siguiente:</w:t>
      </w:r>
      <w:r w:rsidR="00F42581">
        <w:rPr>
          <w:rFonts w:ascii="Arial" w:hAnsi="Arial" w:cs="Arial"/>
          <w:sz w:val="24"/>
        </w:rPr>
        <w:t xml:space="preserve"> </w:t>
      </w:r>
      <w:r w:rsidR="004C557B" w:rsidRPr="004C557B">
        <w:rPr>
          <w:rFonts w:ascii="Arial" w:hAnsi="Arial" w:cs="Arial"/>
          <w:sz w:val="24"/>
        </w:rPr>
        <w:t xml:space="preserve">durante 2019, la economía global, de acuerdo a lo esperado, experimentó una desaceleración global en forma sincronizada, asociada a la incertidumbre </w:t>
      </w:r>
      <w:r w:rsidR="004C557B" w:rsidRPr="004C557B">
        <w:rPr>
          <w:rFonts w:ascii="Arial" w:hAnsi="Arial" w:cs="Arial"/>
          <w:sz w:val="24"/>
        </w:rPr>
        <w:lastRenderedPageBreak/>
        <w:t>generada por las tensiones comerciales, principalmente entre las dos mayores economías del mundo, y también por los conflictos geopolíticos, como las negociaciones del Brexit y diversos eventos en Medio Oriente. A pesar de lo anterior, a finales de 2019 e inicios de 2020 el panorama internacional se tornó positivo tras la consecución del acuerdo comercial “Fase Uno” entre EEUU y China y la reducción de la incertidumbre.</w:t>
      </w:r>
    </w:p>
    <w:p w14:paraId="7A235EC5" w14:textId="77777777" w:rsidR="004C557B" w:rsidRPr="004C557B" w:rsidRDefault="004C557B" w:rsidP="004C557B">
      <w:pPr>
        <w:spacing w:after="0" w:line="240" w:lineRule="auto"/>
        <w:jc w:val="both"/>
        <w:rPr>
          <w:rFonts w:ascii="Arial" w:hAnsi="Arial" w:cs="Arial"/>
          <w:sz w:val="24"/>
        </w:rPr>
      </w:pPr>
    </w:p>
    <w:p w14:paraId="39F7B7C2" w14:textId="707B56A9" w:rsidR="004C557B" w:rsidRPr="004C557B" w:rsidRDefault="004C557B" w:rsidP="004C557B">
      <w:pPr>
        <w:spacing w:after="0" w:line="240" w:lineRule="auto"/>
        <w:jc w:val="both"/>
        <w:rPr>
          <w:rFonts w:ascii="Arial" w:hAnsi="Arial" w:cs="Arial"/>
          <w:sz w:val="24"/>
        </w:rPr>
      </w:pPr>
      <w:r w:rsidRPr="004C557B">
        <w:rPr>
          <w:rFonts w:ascii="Arial" w:hAnsi="Arial" w:cs="Arial"/>
          <w:sz w:val="24"/>
        </w:rPr>
        <w:t xml:space="preserve">Nuestro país no fue ajeno a esta tendencia, ello derivado de </w:t>
      </w:r>
      <w:r w:rsidR="00A337B2">
        <w:rPr>
          <w:rFonts w:ascii="Arial" w:hAnsi="Arial" w:cs="Arial"/>
          <w:sz w:val="24"/>
        </w:rPr>
        <w:t xml:space="preserve">la ratificación en ciernes del </w:t>
      </w:r>
      <w:r w:rsidRPr="004C557B">
        <w:rPr>
          <w:rFonts w:ascii="Arial" w:hAnsi="Arial" w:cs="Arial"/>
          <w:sz w:val="24"/>
        </w:rPr>
        <w:t xml:space="preserve">T-MEC, un nivel de riesgo país en su nivel más bajo desde septiembre de 2014 y precio promedio del petróleo superior a las </w:t>
      </w:r>
      <w:r w:rsidR="00584675" w:rsidRPr="004C557B">
        <w:rPr>
          <w:rFonts w:ascii="Arial" w:hAnsi="Arial" w:cs="Arial"/>
          <w:sz w:val="24"/>
        </w:rPr>
        <w:t>apreciaciones</w:t>
      </w:r>
      <w:r w:rsidRPr="004C557B">
        <w:rPr>
          <w:rFonts w:ascii="Arial" w:hAnsi="Arial" w:cs="Arial"/>
          <w:sz w:val="24"/>
        </w:rPr>
        <w:t xml:space="preserve"> utilizadas en las estimaciones de ingresos, con ello se vislumbraba un panorama económico muy positivo para 2020. </w:t>
      </w:r>
      <w:r w:rsidR="006A27C7">
        <w:rPr>
          <w:rFonts w:ascii="Arial" w:hAnsi="Arial" w:cs="Arial"/>
          <w:sz w:val="24"/>
        </w:rPr>
        <w:t xml:space="preserve">El </w:t>
      </w:r>
      <w:r w:rsidR="00C02009">
        <w:rPr>
          <w:rFonts w:ascii="Arial" w:hAnsi="Arial" w:cs="Arial"/>
          <w:sz w:val="24"/>
        </w:rPr>
        <w:t>FMI</w:t>
      </w:r>
      <w:r w:rsidRPr="004C557B">
        <w:rPr>
          <w:rFonts w:ascii="Arial" w:hAnsi="Arial" w:cs="Arial"/>
          <w:sz w:val="24"/>
        </w:rPr>
        <w:t>, proyectaba en su Panorama de la Economía Mundial de enero de 2020 que más de 160 de sus países miembros experimentarían un crecimiento en el ingreso per cápita durante ese año.</w:t>
      </w:r>
    </w:p>
    <w:p w14:paraId="6F51619E" w14:textId="77777777" w:rsidR="004C557B" w:rsidRPr="004C557B" w:rsidRDefault="004C557B" w:rsidP="004C557B">
      <w:pPr>
        <w:spacing w:after="0" w:line="240" w:lineRule="auto"/>
        <w:jc w:val="both"/>
        <w:rPr>
          <w:rFonts w:ascii="Arial" w:hAnsi="Arial" w:cs="Arial"/>
          <w:sz w:val="24"/>
        </w:rPr>
      </w:pPr>
    </w:p>
    <w:p w14:paraId="201AE9EE" w14:textId="77777777" w:rsidR="004C557B" w:rsidRPr="004C557B" w:rsidRDefault="004C557B" w:rsidP="004C557B">
      <w:pPr>
        <w:spacing w:after="0" w:line="240" w:lineRule="auto"/>
        <w:jc w:val="both"/>
        <w:rPr>
          <w:rFonts w:ascii="Arial" w:hAnsi="Arial" w:cs="Arial"/>
          <w:sz w:val="24"/>
        </w:rPr>
      </w:pPr>
      <w:r w:rsidRPr="004C557B">
        <w:rPr>
          <w:rFonts w:ascii="Arial" w:hAnsi="Arial" w:cs="Arial"/>
          <w:sz w:val="24"/>
        </w:rPr>
        <w:t>Empero, la irrupción de la pandemia del COVID-19 y la implementación de numerosas restricciones a la movilidad y a la realización de ciertas actividades que ahora se conocen como el Gran Confinamiento, marcaron la primera contracción económica global por diseño en la historia, al ser resultado de los esfuerzos por asegurar la atención medica de las personas contagiadas, en un entorno de poca información respecto al nuevo coronavirus y sus efectos sobre la salud y la economía, lo cual elevó velozmente la incertidumbre en los primeros meses del año. Como es de esperarse, lo anterior generó impactos profundos sobre la economía, los mercados financieros y las materias primas globales casi de inmediato.</w:t>
      </w:r>
    </w:p>
    <w:p w14:paraId="438D08EE" w14:textId="77777777" w:rsidR="004C557B" w:rsidRPr="004C557B" w:rsidRDefault="004C557B" w:rsidP="004C557B">
      <w:pPr>
        <w:spacing w:after="0" w:line="240" w:lineRule="auto"/>
        <w:jc w:val="both"/>
        <w:rPr>
          <w:rFonts w:ascii="Arial" w:hAnsi="Arial" w:cs="Arial"/>
          <w:sz w:val="24"/>
        </w:rPr>
      </w:pPr>
    </w:p>
    <w:p w14:paraId="149C7884" w14:textId="77777777" w:rsidR="004C557B" w:rsidRPr="004C557B" w:rsidRDefault="004C557B" w:rsidP="004C557B">
      <w:pPr>
        <w:spacing w:after="0" w:line="240" w:lineRule="auto"/>
        <w:jc w:val="both"/>
        <w:rPr>
          <w:rFonts w:ascii="Arial" w:hAnsi="Arial" w:cs="Arial"/>
          <w:sz w:val="24"/>
        </w:rPr>
      </w:pPr>
      <w:r w:rsidRPr="004C557B">
        <w:rPr>
          <w:rFonts w:ascii="Arial" w:hAnsi="Arial" w:cs="Arial"/>
          <w:sz w:val="24"/>
        </w:rPr>
        <w:t>De manera específica, el cierre de fronteras y el paro de actividades han traído consigo caídas en el comercio mundial y la actividad económica al interior de los países como no se había visto desde la Gran Depresión de 1930, cuando el PIB mundial se contrajo en 15 por ciento. El FMI estima en su reporte de perspectivas económicas de junio 2020 que la contracción de PIB mundial podría llegar a 4.9 por ciento.</w:t>
      </w:r>
    </w:p>
    <w:p w14:paraId="51C82290" w14:textId="77777777" w:rsidR="004C557B" w:rsidRPr="004C557B" w:rsidRDefault="004C557B" w:rsidP="004C557B">
      <w:pPr>
        <w:spacing w:after="0" w:line="240" w:lineRule="auto"/>
        <w:jc w:val="both"/>
        <w:rPr>
          <w:rFonts w:ascii="Arial" w:hAnsi="Arial" w:cs="Arial"/>
          <w:sz w:val="24"/>
        </w:rPr>
      </w:pPr>
    </w:p>
    <w:p w14:paraId="05E2DA83" w14:textId="3DCEA51E" w:rsidR="004C557B" w:rsidRPr="004C557B" w:rsidRDefault="004C557B" w:rsidP="004C557B">
      <w:pPr>
        <w:spacing w:after="0" w:line="240" w:lineRule="auto"/>
        <w:jc w:val="both"/>
        <w:rPr>
          <w:rFonts w:ascii="Arial" w:hAnsi="Arial" w:cs="Arial"/>
          <w:sz w:val="24"/>
        </w:rPr>
      </w:pPr>
      <w:r w:rsidRPr="004C557B">
        <w:rPr>
          <w:rFonts w:ascii="Arial" w:hAnsi="Arial" w:cs="Arial"/>
          <w:sz w:val="24"/>
        </w:rPr>
        <w:t xml:space="preserve">Respecto a los sectores productivos, el impacto ha sido diferenciado, el sector agropecuario ha estado menos expuesto a los efectos de las medidas de cierre, la producción de alimentos no ha cesado y los precios de estos productos han presentado bajas menores. Por el contrario, los sectores relacionados a los servicios que involucran la interacción entre personas han interrumpido sus actividades para evitar la propagación del virus. La industria manufacturera se vio afectada por el cierre de fábricas a nivel global, que limita la cadena de </w:t>
      </w:r>
      <w:r w:rsidRPr="004C557B">
        <w:rPr>
          <w:rFonts w:ascii="Arial" w:hAnsi="Arial" w:cs="Arial"/>
          <w:sz w:val="24"/>
        </w:rPr>
        <w:lastRenderedPageBreak/>
        <w:t>suministro particularmente para productos considerados no esenciales. El fortalecimiento de la globalización en las últimas décadas implicó una mayor interrelación entre los países a través de las cadenas de valor globales, por lo que las medidas para contener el COVID-19 han tenido un efecto negativo en el sector industrial.</w:t>
      </w:r>
    </w:p>
    <w:p w14:paraId="6AE59227" w14:textId="77777777" w:rsidR="004C557B" w:rsidRPr="004C557B" w:rsidRDefault="004C557B" w:rsidP="004C557B">
      <w:pPr>
        <w:spacing w:after="0" w:line="240" w:lineRule="auto"/>
        <w:jc w:val="both"/>
        <w:rPr>
          <w:rFonts w:ascii="Arial" w:hAnsi="Arial" w:cs="Arial"/>
          <w:sz w:val="24"/>
        </w:rPr>
      </w:pPr>
    </w:p>
    <w:p w14:paraId="0424D5B6" w14:textId="77777777" w:rsidR="004C557B" w:rsidRPr="004C557B" w:rsidRDefault="004C557B" w:rsidP="004C557B">
      <w:pPr>
        <w:spacing w:after="0" w:line="240" w:lineRule="auto"/>
        <w:jc w:val="both"/>
        <w:rPr>
          <w:rFonts w:ascii="Arial" w:hAnsi="Arial" w:cs="Arial"/>
          <w:sz w:val="24"/>
        </w:rPr>
      </w:pPr>
      <w:r w:rsidRPr="004C557B">
        <w:rPr>
          <w:rFonts w:ascii="Arial" w:hAnsi="Arial" w:cs="Arial"/>
          <w:sz w:val="24"/>
        </w:rPr>
        <w:t>Los efectos del COVID-19 en la economía global no se hicieron esperar, en cuanto a la actividad económica real, la pandemia del COVID-19 llevó a una desaceleración superior a la esperada, por lo que las estimaciones de crecimiento se deterioraron de manera importante. El FMI, en su reporte de expectativas económicas de junio, estimó una contracción en el crecimiento del PIB mundial para 2020 de 4.9 por ciento y una recuperación para 2021 de 5.4 por ciento.</w:t>
      </w:r>
    </w:p>
    <w:p w14:paraId="14275E31" w14:textId="77777777" w:rsidR="004C557B" w:rsidRPr="004C557B" w:rsidRDefault="004C557B" w:rsidP="004C557B">
      <w:pPr>
        <w:spacing w:after="0" w:line="240" w:lineRule="auto"/>
        <w:jc w:val="both"/>
        <w:rPr>
          <w:rFonts w:ascii="Arial" w:hAnsi="Arial" w:cs="Arial"/>
          <w:sz w:val="24"/>
        </w:rPr>
      </w:pPr>
    </w:p>
    <w:p w14:paraId="455544AF" w14:textId="2721A1C7" w:rsidR="004C557B" w:rsidRPr="004C557B" w:rsidRDefault="004C557B" w:rsidP="004C557B">
      <w:pPr>
        <w:spacing w:after="0" w:line="240" w:lineRule="auto"/>
        <w:jc w:val="both"/>
        <w:rPr>
          <w:rFonts w:ascii="Arial" w:hAnsi="Arial" w:cs="Arial"/>
          <w:sz w:val="24"/>
        </w:rPr>
      </w:pPr>
      <w:r w:rsidRPr="004C557B">
        <w:rPr>
          <w:rFonts w:ascii="Arial" w:hAnsi="Arial" w:cs="Arial"/>
          <w:sz w:val="24"/>
        </w:rPr>
        <w:t>A tasas trimestrales anualizadas, durante el primer trimestre en 2020, en EEUU el PIB registró una contracción de cinco por ciento, mientras que en la Zona del Euro la caída fue de 13.6 por ciento y en Japón de 2.5 por ciento. Con respect</w:t>
      </w:r>
      <w:r w:rsidR="008C39F3">
        <w:rPr>
          <w:rFonts w:ascii="Arial" w:hAnsi="Arial" w:cs="Arial"/>
          <w:sz w:val="24"/>
        </w:rPr>
        <w:t xml:space="preserve">o a las economías emergentes, el PIB de China </w:t>
      </w:r>
      <w:r w:rsidRPr="004C557B">
        <w:rPr>
          <w:rFonts w:ascii="Arial" w:hAnsi="Arial" w:cs="Arial"/>
          <w:sz w:val="24"/>
        </w:rPr>
        <w:t>registró una contracción de 34.4 por ciento. En términos generales, las economías tocaron su punto más bajo en abril.</w:t>
      </w:r>
    </w:p>
    <w:p w14:paraId="7338C0F7" w14:textId="77777777" w:rsidR="004C557B" w:rsidRPr="004C557B" w:rsidRDefault="004C557B" w:rsidP="004C557B">
      <w:pPr>
        <w:spacing w:after="0" w:line="240" w:lineRule="auto"/>
        <w:jc w:val="both"/>
        <w:rPr>
          <w:rFonts w:ascii="Arial" w:hAnsi="Arial" w:cs="Arial"/>
          <w:sz w:val="24"/>
        </w:rPr>
      </w:pPr>
    </w:p>
    <w:p w14:paraId="634FCA4D" w14:textId="77777777" w:rsidR="004C557B" w:rsidRPr="004C557B" w:rsidRDefault="004C557B" w:rsidP="004C557B">
      <w:pPr>
        <w:spacing w:after="0" w:line="240" w:lineRule="auto"/>
        <w:jc w:val="both"/>
        <w:rPr>
          <w:rFonts w:ascii="Arial" w:hAnsi="Arial" w:cs="Arial"/>
          <w:sz w:val="24"/>
        </w:rPr>
      </w:pPr>
      <w:r w:rsidRPr="004C557B">
        <w:rPr>
          <w:rFonts w:ascii="Arial" w:hAnsi="Arial" w:cs="Arial"/>
          <w:sz w:val="24"/>
        </w:rPr>
        <w:t>En los mercados financieros se observó un aumento en la demanda por los activos de seguros y la búsqueda de liquidez por parte de inversionistas. Con ello se dio una apreciación en las monedas de algunas economías avanzadas, un aumento de la demanda de títulos de deuda gubernamental de estos países en relación con el resto del mundo y una caída generalizada en los índices bursátiles. En particular, los Índices Morgan Stanley Capital International (MSCI) de las economías avanzadas y emergentes registraron su punto más crítico del 2020 el 23 de marzo.</w:t>
      </w:r>
    </w:p>
    <w:p w14:paraId="0710CE82" w14:textId="77777777" w:rsidR="004C557B" w:rsidRPr="004C557B" w:rsidRDefault="004C557B" w:rsidP="004C557B">
      <w:pPr>
        <w:spacing w:after="0" w:line="240" w:lineRule="auto"/>
        <w:jc w:val="both"/>
        <w:rPr>
          <w:rFonts w:ascii="Arial" w:hAnsi="Arial" w:cs="Arial"/>
          <w:sz w:val="24"/>
        </w:rPr>
      </w:pPr>
    </w:p>
    <w:p w14:paraId="2ACEFF3C" w14:textId="6C2B1FFF" w:rsidR="004C557B" w:rsidRPr="004C557B" w:rsidRDefault="004C557B" w:rsidP="004C557B">
      <w:pPr>
        <w:spacing w:after="0" w:line="240" w:lineRule="auto"/>
        <w:jc w:val="both"/>
        <w:rPr>
          <w:rFonts w:ascii="Arial" w:hAnsi="Arial" w:cs="Arial"/>
          <w:sz w:val="24"/>
        </w:rPr>
      </w:pPr>
      <w:r w:rsidRPr="004C557B">
        <w:rPr>
          <w:rFonts w:ascii="Arial" w:hAnsi="Arial" w:cs="Arial"/>
          <w:sz w:val="24"/>
        </w:rPr>
        <w:t xml:space="preserve">En este sentido, con la disminución de tasas de interés de economías avanzadas, las medidas de riesgo país para las economías emergentes aumentaron, en consecuencia, el Indicador de Bonos de Mercados Emergentes </w:t>
      </w:r>
      <w:r w:rsidR="006273D2" w:rsidRPr="004C557B">
        <w:rPr>
          <w:rFonts w:ascii="Arial" w:hAnsi="Arial" w:cs="Arial"/>
          <w:sz w:val="24"/>
        </w:rPr>
        <w:t xml:space="preserve">general </w:t>
      </w:r>
      <w:r w:rsidRPr="004C557B">
        <w:rPr>
          <w:rFonts w:ascii="Arial" w:hAnsi="Arial" w:cs="Arial"/>
          <w:sz w:val="24"/>
        </w:rPr>
        <w:t>(por sus siglas en inglés EMBI), para este grupo de economías registró un nivel máximo el 23 de marzo, de 661.8 puntos, lo que implicó una diferencia positiva de 384.4 puntos con relación al cierre de 2019.</w:t>
      </w:r>
    </w:p>
    <w:p w14:paraId="62226880" w14:textId="77777777" w:rsidR="004C557B" w:rsidRPr="004C557B" w:rsidRDefault="004C557B" w:rsidP="004C557B">
      <w:pPr>
        <w:spacing w:after="0" w:line="240" w:lineRule="auto"/>
        <w:jc w:val="both"/>
        <w:rPr>
          <w:rFonts w:ascii="Arial" w:hAnsi="Arial" w:cs="Arial"/>
          <w:sz w:val="24"/>
        </w:rPr>
      </w:pPr>
    </w:p>
    <w:p w14:paraId="5D0FF02F" w14:textId="05E6CCCA" w:rsidR="004C557B" w:rsidRPr="004C557B" w:rsidRDefault="004C557B" w:rsidP="004C557B">
      <w:pPr>
        <w:spacing w:after="0" w:line="240" w:lineRule="auto"/>
        <w:jc w:val="both"/>
        <w:rPr>
          <w:rFonts w:ascii="Arial" w:hAnsi="Arial" w:cs="Arial"/>
          <w:sz w:val="24"/>
        </w:rPr>
      </w:pPr>
      <w:r w:rsidRPr="004C557B">
        <w:rPr>
          <w:rFonts w:ascii="Arial" w:hAnsi="Arial" w:cs="Arial"/>
          <w:sz w:val="24"/>
        </w:rPr>
        <w:t xml:space="preserve">El flujo de capitales hacia economías emergentes cayó hasta su nivel más bajo del año durante el primer trimestre de 2020. La salida de capitales de las economías emergentes implico un deterioro de las condiciones de las economías </w:t>
      </w:r>
      <w:r w:rsidRPr="004C557B">
        <w:rPr>
          <w:rFonts w:ascii="Arial" w:hAnsi="Arial" w:cs="Arial"/>
          <w:sz w:val="24"/>
        </w:rPr>
        <w:lastRenderedPageBreak/>
        <w:t>internas, asimismo, los niveles de divisas extranjeras, derivado de la salida de capitales, redujeron el margen de maniobra de la política económica de algunos países emergentes, específicamente, sobre el control del tipo de cambio y una menor sostenibilidad de la deuda emitida en moneda extranjera.</w:t>
      </w:r>
    </w:p>
    <w:p w14:paraId="477E1450" w14:textId="77777777" w:rsidR="004C557B" w:rsidRPr="004C557B" w:rsidRDefault="004C557B" w:rsidP="004C557B">
      <w:pPr>
        <w:spacing w:after="0" w:line="240" w:lineRule="auto"/>
        <w:jc w:val="both"/>
        <w:rPr>
          <w:rFonts w:ascii="Arial" w:hAnsi="Arial" w:cs="Arial"/>
          <w:sz w:val="24"/>
        </w:rPr>
      </w:pPr>
    </w:p>
    <w:p w14:paraId="731E28BB" w14:textId="4ADE27B7" w:rsidR="00B1555D" w:rsidRDefault="004C557B" w:rsidP="004C557B">
      <w:pPr>
        <w:spacing w:after="0" w:line="240" w:lineRule="auto"/>
        <w:jc w:val="both"/>
        <w:rPr>
          <w:rFonts w:ascii="Arial" w:hAnsi="Arial" w:cs="Arial"/>
          <w:sz w:val="24"/>
        </w:rPr>
      </w:pPr>
      <w:r w:rsidRPr="004C557B">
        <w:rPr>
          <w:rFonts w:ascii="Arial" w:hAnsi="Arial" w:cs="Arial"/>
          <w:sz w:val="24"/>
        </w:rPr>
        <w:t>La caída de la actividad económica global también genero efectos sobre los mercados de materias primas, las restricciones a la movilidad implementadas para contener la pandemia, que se aplicaron inicialmente en China y después se replicaron en otros países, afectaron de forma profunda la demanda de hidrocarburos y consumibles. En particular los precios del petróleo comenzaron a descender desde finales de enero hasta llegar a un episodio de precios negativos el 20 de abril.</w:t>
      </w:r>
    </w:p>
    <w:p w14:paraId="47A66B7A" w14:textId="77777777" w:rsidR="004C557B" w:rsidRDefault="004C557B" w:rsidP="004C557B">
      <w:pPr>
        <w:spacing w:after="0" w:line="240" w:lineRule="auto"/>
        <w:jc w:val="both"/>
        <w:rPr>
          <w:rFonts w:ascii="Arial" w:hAnsi="Arial" w:cs="Arial"/>
          <w:sz w:val="24"/>
        </w:rPr>
      </w:pPr>
    </w:p>
    <w:p w14:paraId="5F47E5F4" w14:textId="6C9F7565" w:rsidR="00FF38C7" w:rsidRDefault="00FF38C7" w:rsidP="00FF38C7">
      <w:pPr>
        <w:spacing w:after="0" w:line="240" w:lineRule="auto"/>
        <w:jc w:val="both"/>
        <w:rPr>
          <w:rFonts w:ascii="Arial" w:hAnsi="Arial" w:cs="Arial"/>
          <w:sz w:val="24"/>
        </w:rPr>
      </w:pPr>
      <w:r>
        <w:rPr>
          <w:rFonts w:ascii="Arial" w:hAnsi="Arial" w:cs="Arial"/>
          <w:sz w:val="24"/>
        </w:rPr>
        <w:t xml:space="preserve">Los menores niveles de precios ejercieron una presión adicional sobre los países exportadores de crudo, especialmente aquellos que cuentan con una empresa exportadora nacional, como el nuestro, a través de distintos canales </w:t>
      </w:r>
      <w:r w:rsidRPr="00FF38C7">
        <w:rPr>
          <w:rFonts w:ascii="Arial" w:hAnsi="Arial" w:cs="Arial"/>
          <w:sz w:val="24"/>
        </w:rPr>
        <w:t>como caídas</w:t>
      </w:r>
      <w:r>
        <w:rPr>
          <w:rFonts w:ascii="Arial" w:hAnsi="Arial" w:cs="Arial"/>
          <w:sz w:val="24"/>
        </w:rPr>
        <w:t xml:space="preserve"> </w:t>
      </w:r>
      <w:r w:rsidRPr="00FF38C7">
        <w:rPr>
          <w:rFonts w:ascii="Arial" w:hAnsi="Arial" w:cs="Arial"/>
          <w:sz w:val="24"/>
        </w:rPr>
        <w:t>en la producción; deterioros de los balances fiscales, los términos de intercambio y la cuenta corriente; y</w:t>
      </w:r>
      <w:r>
        <w:rPr>
          <w:rFonts w:ascii="Arial" w:hAnsi="Arial" w:cs="Arial"/>
          <w:sz w:val="24"/>
        </w:rPr>
        <w:t xml:space="preserve"> </w:t>
      </w:r>
      <w:r w:rsidRPr="00FF38C7">
        <w:rPr>
          <w:rFonts w:ascii="Arial" w:hAnsi="Arial" w:cs="Arial"/>
          <w:sz w:val="24"/>
        </w:rPr>
        <w:t>expectativas más negativas que contribuyeron a una disminución generalizada de las calificaciones crediticias.</w:t>
      </w:r>
    </w:p>
    <w:p w14:paraId="644DADFC" w14:textId="77777777" w:rsidR="00FF38C7" w:rsidRDefault="00FF38C7" w:rsidP="004C557B">
      <w:pPr>
        <w:spacing w:after="0" w:line="240" w:lineRule="auto"/>
        <w:jc w:val="both"/>
        <w:rPr>
          <w:rFonts w:ascii="Arial" w:hAnsi="Arial" w:cs="Arial"/>
          <w:sz w:val="24"/>
        </w:rPr>
      </w:pPr>
    </w:p>
    <w:p w14:paraId="670D7662" w14:textId="77777777" w:rsidR="00B1555D" w:rsidRPr="00555C3A" w:rsidRDefault="00B1555D" w:rsidP="00B1555D">
      <w:pPr>
        <w:spacing w:after="0" w:line="240" w:lineRule="auto"/>
        <w:jc w:val="both"/>
        <w:rPr>
          <w:rFonts w:ascii="Arial" w:hAnsi="Arial" w:cs="Arial"/>
          <w:b/>
          <w:sz w:val="24"/>
        </w:rPr>
      </w:pPr>
      <w:r w:rsidRPr="00555C3A">
        <w:rPr>
          <w:rFonts w:ascii="Arial" w:hAnsi="Arial" w:cs="Arial"/>
          <w:b/>
          <w:sz w:val="24"/>
        </w:rPr>
        <w:t>1.3.2 Entorno Interno</w:t>
      </w:r>
    </w:p>
    <w:p w14:paraId="0A836F89" w14:textId="77777777" w:rsidR="00EF0F37" w:rsidRDefault="00EF0F37" w:rsidP="00C041EB">
      <w:pPr>
        <w:spacing w:after="0" w:line="240" w:lineRule="auto"/>
        <w:jc w:val="both"/>
        <w:rPr>
          <w:rFonts w:ascii="Arial" w:hAnsi="Arial" w:cs="Arial"/>
          <w:sz w:val="24"/>
        </w:rPr>
      </w:pPr>
    </w:p>
    <w:p w14:paraId="2060543C" w14:textId="27FD6D9B" w:rsidR="00272080" w:rsidRPr="001C4156" w:rsidRDefault="00FF38C7" w:rsidP="00C041EB">
      <w:pPr>
        <w:spacing w:after="0" w:line="240" w:lineRule="auto"/>
        <w:jc w:val="both"/>
        <w:rPr>
          <w:rFonts w:ascii="Arial" w:hAnsi="Arial" w:cs="Arial"/>
          <w:sz w:val="24"/>
        </w:rPr>
      </w:pPr>
      <w:r>
        <w:rPr>
          <w:rFonts w:ascii="Arial" w:hAnsi="Arial" w:cs="Arial"/>
          <w:sz w:val="24"/>
        </w:rPr>
        <w:t>En México, el brote de la pandemia del COVID-19 inició tarde c</w:t>
      </w:r>
      <w:r w:rsidR="006C6951">
        <w:rPr>
          <w:rFonts w:ascii="Arial" w:hAnsi="Arial" w:cs="Arial"/>
          <w:sz w:val="24"/>
        </w:rPr>
        <w:t xml:space="preserve">on respecto a la mayoría de </w:t>
      </w:r>
      <w:r>
        <w:rPr>
          <w:rFonts w:ascii="Arial" w:hAnsi="Arial" w:cs="Arial"/>
          <w:sz w:val="24"/>
        </w:rPr>
        <w:t xml:space="preserve">sus socios comerciales más cercanos. Al 18 de marzo, cuando el </w:t>
      </w:r>
      <w:r w:rsidR="00EF1C4E">
        <w:rPr>
          <w:rFonts w:ascii="Arial" w:hAnsi="Arial" w:cs="Arial"/>
          <w:sz w:val="24"/>
        </w:rPr>
        <w:t>número</w:t>
      </w:r>
      <w:r>
        <w:rPr>
          <w:rFonts w:ascii="Arial" w:hAnsi="Arial" w:cs="Arial"/>
          <w:sz w:val="24"/>
        </w:rPr>
        <w:t xml:space="preserve"> acumulado de casos en nuestro país rebasó los </w:t>
      </w:r>
      <w:r w:rsidR="001C4156">
        <w:rPr>
          <w:rFonts w:ascii="Arial" w:hAnsi="Arial" w:cs="Arial"/>
          <w:sz w:val="24"/>
        </w:rPr>
        <w:t>cien</w:t>
      </w:r>
      <w:r>
        <w:rPr>
          <w:rFonts w:ascii="Arial" w:hAnsi="Arial" w:cs="Arial"/>
          <w:sz w:val="24"/>
        </w:rPr>
        <w:t>, en EEUU la cifra llegaba a siete mil</w:t>
      </w:r>
      <w:r w:rsidR="00EF1C4E">
        <w:rPr>
          <w:rFonts w:ascii="Arial" w:hAnsi="Arial" w:cs="Arial"/>
          <w:sz w:val="24"/>
        </w:rPr>
        <w:t xml:space="preserve">, Europa contaba con 86 mil casos y Japón alcanzó los 877 casos, el cierre del mismo mes, los primeros efectos sobre la economía </w:t>
      </w:r>
      <w:r w:rsidR="00EF1C4E" w:rsidRPr="001C4156">
        <w:rPr>
          <w:rFonts w:ascii="Arial" w:hAnsi="Arial" w:cs="Arial"/>
          <w:sz w:val="24"/>
        </w:rPr>
        <w:t>mexicana se dejaron ver, particularmente en estados que dependen de la actividad turística</w:t>
      </w:r>
      <w:r w:rsidR="006B4254" w:rsidRPr="001C4156">
        <w:rPr>
          <w:rFonts w:ascii="Arial" w:hAnsi="Arial" w:cs="Arial"/>
          <w:sz w:val="24"/>
        </w:rPr>
        <w:t>. En línea con lo anterior, durante el bimestre marzo-abril los servicios de transporte, esparcimiento y alojamiento temporal y preparación de alimentos presentaron contracción con respecto a febrero de 14.8, 18.8, y 48.3 por ciento</w:t>
      </w:r>
      <w:r w:rsidR="00F45381" w:rsidRPr="001C4156">
        <w:rPr>
          <w:rFonts w:ascii="Arial" w:hAnsi="Arial" w:cs="Arial"/>
          <w:sz w:val="24"/>
        </w:rPr>
        <w:t>,</w:t>
      </w:r>
      <w:r w:rsidR="006B4254" w:rsidRPr="001C4156">
        <w:rPr>
          <w:rFonts w:ascii="Arial" w:hAnsi="Arial" w:cs="Arial"/>
          <w:sz w:val="24"/>
        </w:rPr>
        <w:t xml:space="preserve"> respectivamente.</w:t>
      </w:r>
    </w:p>
    <w:p w14:paraId="519F21AF" w14:textId="77777777" w:rsidR="00F45381" w:rsidRDefault="00F45381" w:rsidP="00C041EB">
      <w:pPr>
        <w:spacing w:after="0" w:line="240" w:lineRule="auto"/>
        <w:jc w:val="both"/>
        <w:rPr>
          <w:rFonts w:ascii="Arial" w:hAnsi="Arial" w:cs="Arial"/>
          <w:sz w:val="24"/>
        </w:rPr>
      </w:pPr>
    </w:p>
    <w:p w14:paraId="2F497CF9" w14:textId="24EEE90F" w:rsidR="00F45381" w:rsidRDefault="00F45381" w:rsidP="00F45381">
      <w:pPr>
        <w:spacing w:after="0" w:line="240" w:lineRule="auto"/>
        <w:jc w:val="both"/>
        <w:rPr>
          <w:rFonts w:ascii="Arial" w:hAnsi="Arial" w:cs="Arial"/>
          <w:sz w:val="24"/>
        </w:rPr>
      </w:pPr>
      <w:r w:rsidRPr="00F45381">
        <w:rPr>
          <w:rFonts w:ascii="Arial" w:hAnsi="Arial" w:cs="Arial"/>
          <w:sz w:val="24"/>
        </w:rPr>
        <w:t>Con el cierre de fronteras y de fábricas en todo el mundo, la producción manufacturera tuvo una interrupción de</w:t>
      </w:r>
      <w:r>
        <w:rPr>
          <w:rFonts w:ascii="Arial" w:hAnsi="Arial" w:cs="Arial"/>
          <w:sz w:val="24"/>
        </w:rPr>
        <w:t xml:space="preserve"> </w:t>
      </w:r>
      <w:r w:rsidRPr="00F45381">
        <w:rPr>
          <w:rFonts w:ascii="Arial" w:hAnsi="Arial" w:cs="Arial"/>
          <w:sz w:val="24"/>
        </w:rPr>
        <w:t>actividades importante que frenó la actividad económica en este sector, el cual c</w:t>
      </w:r>
      <w:r w:rsidR="00940262">
        <w:rPr>
          <w:rFonts w:ascii="Arial" w:hAnsi="Arial" w:cs="Arial"/>
          <w:sz w:val="24"/>
        </w:rPr>
        <w:t>ontribuye con el 16.7 por ciento</w:t>
      </w:r>
      <w:r w:rsidRPr="00F45381">
        <w:rPr>
          <w:rFonts w:ascii="Arial" w:hAnsi="Arial" w:cs="Arial"/>
          <w:sz w:val="24"/>
        </w:rPr>
        <w:t xml:space="preserve"> al PIB</w:t>
      </w:r>
      <w:r>
        <w:rPr>
          <w:rFonts w:ascii="Arial" w:hAnsi="Arial" w:cs="Arial"/>
          <w:sz w:val="24"/>
        </w:rPr>
        <w:t xml:space="preserve"> </w:t>
      </w:r>
      <w:r w:rsidRPr="00F45381">
        <w:rPr>
          <w:rFonts w:ascii="Arial" w:hAnsi="Arial" w:cs="Arial"/>
          <w:sz w:val="24"/>
        </w:rPr>
        <w:t xml:space="preserve">nacional. </w:t>
      </w:r>
    </w:p>
    <w:p w14:paraId="5244E4DE" w14:textId="77777777" w:rsidR="00F45381" w:rsidRDefault="00F45381" w:rsidP="00F45381">
      <w:pPr>
        <w:spacing w:after="0" w:line="240" w:lineRule="auto"/>
        <w:jc w:val="both"/>
        <w:rPr>
          <w:rFonts w:ascii="Arial" w:hAnsi="Arial" w:cs="Arial"/>
          <w:sz w:val="24"/>
        </w:rPr>
      </w:pPr>
    </w:p>
    <w:p w14:paraId="14333996" w14:textId="314C2C1B" w:rsidR="00EF1C4E" w:rsidRDefault="00F45381" w:rsidP="00F45381">
      <w:pPr>
        <w:spacing w:after="0" w:line="240" w:lineRule="auto"/>
        <w:jc w:val="both"/>
        <w:rPr>
          <w:rFonts w:ascii="Arial" w:hAnsi="Arial" w:cs="Arial"/>
          <w:sz w:val="24"/>
        </w:rPr>
      </w:pPr>
      <w:r w:rsidRPr="00F45381">
        <w:rPr>
          <w:rFonts w:ascii="Arial" w:hAnsi="Arial" w:cs="Arial"/>
          <w:sz w:val="24"/>
        </w:rPr>
        <w:t>En particular, el cierre de plantas automotrices en México que empezó el 23 de marzo y duró hasta el 31</w:t>
      </w:r>
      <w:r>
        <w:rPr>
          <w:rFonts w:ascii="Arial" w:hAnsi="Arial" w:cs="Arial"/>
          <w:sz w:val="24"/>
        </w:rPr>
        <w:t xml:space="preserve"> </w:t>
      </w:r>
      <w:r w:rsidRPr="00F45381">
        <w:rPr>
          <w:rFonts w:ascii="Arial" w:hAnsi="Arial" w:cs="Arial"/>
          <w:sz w:val="24"/>
        </w:rPr>
        <w:t xml:space="preserve">de mayo, junto a sus cadenas de producción en el </w:t>
      </w:r>
      <w:r w:rsidRPr="00F45381">
        <w:rPr>
          <w:rFonts w:ascii="Arial" w:hAnsi="Arial" w:cs="Arial"/>
          <w:sz w:val="24"/>
        </w:rPr>
        <w:lastRenderedPageBreak/>
        <w:t>mundo propició una disminución que no fue contrarrestada</w:t>
      </w:r>
      <w:r>
        <w:rPr>
          <w:rFonts w:ascii="Arial" w:hAnsi="Arial" w:cs="Arial"/>
          <w:sz w:val="24"/>
        </w:rPr>
        <w:t xml:space="preserve"> </w:t>
      </w:r>
      <w:r w:rsidRPr="00F45381">
        <w:rPr>
          <w:rFonts w:ascii="Arial" w:hAnsi="Arial" w:cs="Arial"/>
          <w:sz w:val="24"/>
        </w:rPr>
        <w:t>por otro sector de forma inmediata. En este contexto, merece la pena resaltar que los servicios profesionales,</w:t>
      </w:r>
      <w:r>
        <w:rPr>
          <w:rFonts w:ascii="Arial" w:hAnsi="Arial" w:cs="Arial"/>
          <w:sz w:val="24"/>
        </w:rPr>
        <w:t xml:space="preserve"> </w:t>
      </w:r>
      <w:r w:rsidRPr="00F45381">
        <w:rPr>
          <w:rFonts w:ascii="Arial" w:hAnsi="Arial" w:cs="Arial"/>
          <w:sz w:val="24"/>
        </w:rPr>
        <w:t>corporativos, de educación, gubernamentales y de salud se mantuvieron con diferentes formas de operación</w:t>
      </w:r>
      <w:r>
        <w:rPr>
          <w:rFonts w:ascii="Arial" w:hAnsi="Arial" w:cs="Arial"/>
          <w:sz w:val="24"/>
        </w:rPr>
        <w:t xml:space="preserve"> </w:t>
      </w:r>
      <w:r w:rsidRPr="00F45381">
        <w:rPr>
          <w:rFonts w:ascii="Arial" w:hAnsi="Arial" w:cs="Arial"/>
          <w:sz w:val="24"/>
        </w:rPr>
        <w:t>ante la contingencia sanitaria y el distanciamiento, fungiendo como contrapeso de numerosos subsectores</w:t>
      </w:r>
      <w:r>
        <w:rPr>
          <w:rFonts w:ascii="Arial" w:hAnsi="Arial" w:cs="Arial"/>
          <w:sz w:val="24"/>
        </w:rPr>
        <w:t xml:space="preserve"> </w:t>
      </w:r>
      <w:r w:rsidRPr="00F45381">
        <w:rPr>
          <w:rFonts w:ascii="Arial" w:hAnsi="Arial" w:cs="Arial"/>
          <w:sz w:val="24"/>
        </w:rPr>
        <w:t>donde se observaron caídas significativas durante el bimestre marzo-abril.</w:t>
      </w:r>
    </w:p>
    <w:p w14:paraId="0C34FAF3" w14:textId="77777777" w:rsidR="00EF1C4E" w:rsidRDefault="00EF1C4E" w:rsidP="00C041EB">
      <w:pPr>
        <w:spacing w:after="0" w:line="240" w:lineRule="auto"/>
        <w:jc w:val="both"/>
        <w:rPr>
          <w:rFonts w:ascii="Arial" w:hAnsi="Arial" w:cs="Arial"/>
          <w:sz w:val="24"/>
        </w:rPr>
      </w:pPr>
    </w:p>
    <w:p w14:paraId="7C6FBB0E" w14:textId="77777777" w:rsidR="00940262" w:rsidRDefault="00F45381" w:rsidP="00F45381">
      <w:pPr>
        <w:spacing w:after="0" w:line="240" w:lineRule="auto"/>
        <w:jc w:val="both"/>
        <w:rPr>
          <w:rFonts w:ascii="Arial" w:hAnsi="Arial" w:cs="Arial"/>
          <w:sz w:val="24"/>
        </w:rPr>
      </w:pPr>
      <w:r w:rsidRPr="00F45381">
        <w:rPr>
          <w:rFonts w:ascii="Arial" w:hAnsi="Arial" w:cs="Arial"/>
          <w:sz w:val="24"/>
        </w:rPr>
        <w:t>A medida que la enfermedad se fue esparciendo por el mundo durante el mes de marzo, los mercados financieros</w:t>
      </w:r>
      <w:r>
        <w:rPr>
          <w:rFonts w:ascii="Arial" w:hAnsi="Arial" w:cs="Arial"/>
          <w:sz w:val="24"/>
        </w:rPr>
        <w:t xml:space="preserve"> </w:t>
      </w:r>
      <w:r w:rsidRPr="00F45381">
        <w:rPr>
          <w:rFonts w:ascii="Arial" w:hAnsi="Arial" w:cs="Arial"/>
          <w:sz w:val="24"/>
        </w:rPr>
        <w:t xml:space="preserve">empezaron a descontar los efectos de la pandemia en el crecimiento de los países y </w:t>
      </w:r>
      <w:r>
        <w:rPr>
          <w:rFonts w:ascii="Arial" w:hAnsi="Arial" w:cs="Arial"/>
          <w:sz w:val="24"/>
        </w:rPr>
        <w:t xml:space="preserve">los precios de los activos. Así, </w:t>
      </w:r>
      <w:r w:rsidRPr="00F45381">
        <w:rPr>
          <w:rFonts w:ascii="Arial" w:hAnsi="Arial" w:cs="Arial"/>
          <w:sz w:val="24"/>
        </w:rPr>
        <w:t>en el mercado nacional se presentó un aumento significativo en la volatilidad y una salida abrupta de capitales al</w:t>
      </w:r>
      <w:r>
        <w:rPr>
          <w:rFonts w:ascii="Arial" w:hAnsi="Arial" w:cs="Arial"/>
          <w:sz w:val="24"/>
        </w:rPr>
        <w:t xml:space="preserve"> </w:t>
      </w:r>
      <w:r w:rsidRPr="00F45381">
        <w:rPr>
          <w:rFonts w:ascii="Arial" w:hAnsi="Arial" w:cs="Arial"/>
          <w:sz w:val="24"/>
        </w:rPr>
        <w:t>tiempo que el tipo de cambio, las tasas de interés y el riesgo país aumentaron en línea con la mayoría de las</w:t>
      </w:r>
      <w:r>
        <w:rPr>
          <w:rFonts w:ascii="Arial" w:hAnsi="Arial" w:cs="Arial"/>
          <w:sz w:val="24"/>
        </w:rPr>
        <w:t xml:space="preserve"> </w:t>
      </w:r>
      <w:r w:rsidRPr="00F45381">
        <w:rPr>
          <w:rFonts w:ascii="Arial" w:hAnsi="Arial" w:cs="Arial"/>
          <w:sz w:val="24"/>
        </w:rPr>
        <w:t xml:space="preserve">economías emergentes. </w:t>
      </w:r>
    </w:p>
    <w:p w14:paraId="60A75C76" w14:textId="77777777" w:rsidR="00940262" w:rsidRDefault="00940262" w:rsidP="00F45381">
      <w:pPr>
        <w:spacing w:after="0" w:line="240" w:lineRule="auto"/>
        <w:jc w:val="both"/>
        <w:rPr>
          <w:rFonts w:ascii="Arial" w:hAnsi="Arial" w:cs="Arial"/>
          <w:sz w:val="24"/>
        </w:rPr>
      </w:pPr>
    </w:p>
    <w:p w14:paraId="678BEC61" w14:textId="6567F824" w:rsidR="00EF1C4E" w:rsidRDefault="00F45381" w:rsidP="00F45381">
      <w:pPr>
        <w:spacing w:after="0" w:line="240" w:lineRule="auto"/>
        <w:jc w:val="both"/>
        <w:rPr>
          <w:rFonts w:ascii="Arial" w:hAnsi="Arial" w:cs="Arial"/>
          <w:sz w:val="24"/>
        </w:rPr>
      </w:pPr>
      <w:r w:rsidRPr="00F45381">
        <w:rPr>
          <w:rFonts w:ascii="Arial" w:hAnsi="Arial" w:cs="Arial"/>
          <w:sz w:val="24"/>
        </w:rPr>
        <w:t>La situación en los mercados empeoró el 8 de marzo cuando se presentó el rompimiento</w:t>
      </w:r>
      <w:r>
        <w:rPr>
          <w:rFonts w:ascii="Arial" w:hAnsi="Arial" w:cs="Arial"/>
          <w:sz w:val="24"/>
        </w:rPr>
        <w:t xml:space="preserve"> </w:t>
      </w:r>
      <w:r w:rsidRPr="00F45381">
        <w:rPr>
          <w:rFonts w:ascii="Arial" w:hAnsi="Arial" w:cs="Arial"/>
          <w:sz w:val="24"/>
        </w:rPr>
        <w:t>del acuerdo de la OPEP+, con lo que Arabia Saudita y Rusia decidieron inundar el mercado de crudo y comenzar</w:t>
      </w:r>
      <w:r>
        <w:rPr>
          <w:rFonts w:ascii="Arial" w:hAnsi="Arial" w:cs="Arial"/>
          <w:sz w:val="24"/>
        </w:rPr>
        <w:t xml:space="preserve"> </w:t>
      </w:r>
      <w:r w:rsidRPr="00F45381">
        <w:rPr>
          <w:rFonts w:ascii="Arial" w:hAnsi="Arial" w:cs="Arial"/>
          <w:sz w:val="24"/>
        </w:rPr>
        <w:t>una guerra de precios. Este rompimiento y un exceso de acumulación de inventarios provocaron que el 20 de</w:t>
      </w:r>
      <w:r>
        <w:rPr>
          <w:rFonts w:ascii="Arial" w:hAnsi="Arial" w:cs="Arial"/>
          <w:sz w:val="24"/>
        </w:rPr>
        <w:t xml:space="preserve"> </w:t>
      </w:r>
      <w:r w:rsidRPr="00F45381">
        <w:rPr>
          <w:rFonts w:ascii="Arial" w:hAnsi="Arial" w:cs="Arial"/>
          <w:sz w:val="24"/>
        </w:rPr>
        <w:t>abril, los precios de petróleo WTI y de la mezcla mexicana alcanzaran niveles negativos por primera vez en su</w:t>
      </w:r>
      <w:r>
        <w:rPr>
          <w:rFonts w:ascii="Arial" w:hAnsi="Arial" w:cs="Arial"/>
          <w:sz w:val="24"/>
        </w:rPr>
        <w:t xml:space="preserve"> </w:t>
      </w:r>
      <w:r w:rsidRPr="00F45381">
        <w:rPr>
          <w:rFonts w:ascii="Arial" w:hAnsi="Arial" w:cs="Arial"/>
          <w:sz w:val="24"/>
        </w:rPr>
        <w:t>historia al ubicarse en -37.63 y -2.37 dólares por barril, respectivamente.</w:t>
      </w:r>
    </w:p>
    <w:p w14:paraId="440B347B" w14:textId="77777777" w:rsidR="00F45381" w:rsidRDefault="00F45381" w:rsidP="00F45381">
      <w:pPr>
        <w:spacing w:after="0" w:line="240" w:lineRule="auto"/>
        <w:jc w:val="both"/>
        <w:rPr>
          <w:rFonts w:ascii="Arial" w:hAnsi="Arial" w:cs="Arial"/>
          <w:sz w:val="24"/>
        </w:rPr>
      </w:pPr>
    </w:p>
    <w:p w14:paraId="7CE92421" w14:textId="4CAE6CD8" w:rsidR="00F45381" w:rsidRDefault="00F45381" w:rsidP="00F45381">
      <w:pPr>
        <w:spacing w:after="0" w:line="240" w:lineRule="auto"/>
        <w:jc w:val="both"/>
        <w:rPr>
          <w:rFonts w:ascii="Arial" w:hAnsi="Arial" w:cs="Arial"/>
          <w:sz w:val="24"/>
        </w:rPr>
      </w:pPr>
      <w:r w:rsidRPr="00F45381">
        <w:rPr>
          <w:rFonts w:ascii="Arial" w:hAnsi="Arial" w:cs="Arial"/>
          <w:sz w:val="24"/>
        </w:rPr>
        <w:t>Durante la semana del 13 al 20 de marzo, se observó la mayor volatilidad en los mercados financieros globales</w:t>
      </w:r>
      <w:r>
        <w:rPr>
          <w:rFonts w:ascii="Arial" w:hAnsi="Arial" w:cs="Arial"/>
          <w:sz w:val="24"/>
        </w:rPr>
        <w:t xml:space="preserve"> </w:t>
      </w:r>
      <w:r w:rsidRPr="00F45381">
        <w:rPr>
          <w:rFonts w:ascii="Arial" w:hAnsi="Arial" w:cs="Arial"/>
          <w:sz w:val="24"/>
        </w:rPr>
        <w:t>desde la crisis financiera de 2008-</w:t>
      </w:r>
      <w:r>
        <w:rPr>
          <w:rFonts w:ascii="Arial" w:hAnsi="Arial" w:cs="Arial"/>
          <w:sz w:val="24"/>
        </w:rPr>
        <w:t>200</w:t>
      </w:r>
      <w:r w:rsidRPr="00F45381">
        <w:rPr>
          <w:rFonts w:ascii="Arial" w:hAnsi="Arial" w:cs="Arial"/>
          <w:sz w:val="24"/>
        </w:rPr>
        <w:t>9. El peso mexicano pasó de 21.92 pesos por dólar a 24.42, lo cual implicó una</w:t>
      </w:r>
      <w:r>
        <w:rPr>
          <w:rFonts w:ascii="Arial" w:hAnsi="Arial" w:cs="Arial"/>
          <w:sz w:val="24"/>
        </w:rPr>
        <w:t xml:space="preserve"> </w:t>
      </w:r>
      <w:r w:rsidR="00525BE3">
        <w:rPr>
          <w:rFonts w:ascii="Arial" w:hAnsi="Arial" w:cs="Arial"/>
          <w:sz w:val="24"/>
        </w:rPr>
        <w:t>depreciación semanal de 10.22 por ciento</w:t>
      </w:r>
      <w:r w:rsidRPr="00F45381">
        <w:rPr>
          <w:rFonts w:ascii="Arial" w:hAnsi="Arial" w:cs="Arial"/>
          <w:sz w:val="24"/>
        </w:rPr>
        <w:t>, y el 23 de marzo, el peso mexicano alcanzó un nivel de cierre histórico de 25.4</w:t>
      </w:r>
      <w:r>
        <w:rPr>
          <w:rFonts w:ascii="Arial" w:hAnsi="Arial" w:cs="Arial"/>
          <w:sz w:val="24"/>
        </w:rPr>
        <w:t xml:space="preserve"> </w:t>
      </w:r>
      <w:r w:rsidRPr="00F45381">
        <w:rPr>
          <w:rFonts w:ascii="Arial" w:hAnsi="Arial" w:cs="Arial"/>
          <w:sz w:val="24"/>
        </w:rPr>
        <w:t>pesos por dólar. Las medidas fiscales, monetarias y financieras que tomaron los países avanzados en respuesta a</w:t>
      </w:r>
      <w:r>
        <w:rPr>
          <w:rFonts w:ascii="Arial" w:hAnsi="Arial" w:cs="Arial"/>
          <w:sz w:val="24"/>
        </w:rPr>
        <w:t xml:space="preserve"> </w:t>
      </w:r>
      <w:r w:rsidRPr="00F45381">
        <w:rPr>
          <w:rFonts w:ascii="Arial" w:hAnsi="Arial" w:cs="Arial"/>
          <w:sz w:val="24"/>
        </w:rPr>
        <w:t>los desafortunados efectos de la pandemia sobre la población y la economía contribuyeron a una recuperación</w:t>
      </w:r>
      <w:r>
        <w:rPr>
          <w:rFonts w:ascii="Arial" w:hAnsi="Arial" w:cs="Arial"/>
          <w:sz w:val="24"/>
        </w:rPr>
        <w:t xml:space="preserve"> </w:t>
      </w:r>
      <w:r w:rsidRPr="00F45381">
        <w:rPr>
          <w:rFonts w:ascii="Arial" w:hAnsi="Arial" w:cs="Arial"/>
          <w:sz w:val="24"/>
        </w:rPr>
        <w:t>parcial del apetito por activos de riesgo; no obstante, hay un factor de incertidumbre y riesgo latente por la</w:t>
      </w:r>
      <w:r>
        <w:rPr>
          <w:rFonts w:ascii="Arial" w:hAnsi="Arial" w:cs="Arial"/>
          <w:sz w:val="24"/>
        </w:rPr>
        <w:t xml:space="preserve"> </w:t>
      </w:r>
      <w:r w:rsidRPr="00F45381">
        <w:rPr>
          <w:rFonts w:ascii="Arial" w:hAnsi="Arial" w:cs="Arial"/>
          <w:sz w:val="24"/>
        </w:rPr>
        <w:t>persistencia en los contagios y la posibilidad de una mayor afectación a la economía por un periodo mayor a lo</w:t>
      </w:r>
      <w:r>
        <w:rPr>
          <w:rFonts w:ascii="Arial" w:hAnsi="Arial" w:cs="Arial"/>
          <w:sz w:val="24"/>
        </w:rPr>
        <w:t xml:space="preserve"> </w:t>
      </w:r>
      <w:r w:rsidRPr="00F45381">
        <w:rPr>
          <w:rFonts w:ascii="Arial" w:hAnsi="Arial" w:cs="Arial"/>
          <w:sz w:val="24"/>
        </w:rPr>
        <w:t>esperado.</w:t>
      </w:r>
    </w:p>
    <w:p w14:paraId="7DF8369A" w14:textId="77777777" w:rsidR="00EF1C4E" w:rsidRDefault="00EF1C4E" w:rsidP="00C041EB">
      <w:pPr>
        <w:spacing w:after="0" w:line="240" w:lineRule="auto"/>
        <w:jc w:val="both"/>
        <w:rPr>
          <w:rFonts w:ascii="Arial" w:hAnsi="Arial" w:cs="Arial"/>
          <w:sz w:val="24"/>
        </w:rPr>
      </w:pPr>
    </w:p>
    <w:p w14:paraId="3653AB54" w14:textId="3FD86B64" w:rsidR="00EF1C4E" w:rsidRDefault="00E658BE" w:rsidP="00E658BE">
      <w:pPr>
        <w:spacing w:after="0" w:line="240" w:lineRule="auto"/>
        <w:jc w:val="both"/>
        <w:rPr>
          <w:rFonts w:ascii="Arial" w:hAnsi="Arial" w:cs="Arial"/>
          <w:sz w:val="24"/>
        </w:rPr>
      </w:pPr>
      <w:r w:rsidRPr="00E658BE">
        <w:rPr>
          <w:rFonts w:ascii="Arial" w:hAnsi="Arial" w:cs="Arial"/>
          <w:sz w:val="24"/>
        </w:rPr>
        <w:t>En este contexto, la implementación de las medidas de confinamiento en México a partir del 13 de marzo tuvo</w:t>
      </w:r>
      <w:r w:rsidR="00282F78">
        <w:rPr>
          <w:rFonts w:ascii="Arial" w:hAnsi="Arial" w:cs="Arial"/>
          <w:sz w:val="24"/>
        </w:rPr>
        <w:t xml:space="preserve"> </w:t>
      </w:r>
      <w:r w:rsidRPr="00E658BE">
        <w:rPr>
          <w:rFonts w:ascii="Arial" w:hAnsi="Arial" w:cs="Arial"/>
          <w:sz w:val="24"/>
        </w:rPr>
        <w:t>impactos rápidamente sobre la economía. En abril y mayo el Índice Global de Actividad Económica (IGAE)</w:t>
      </w:r>
      <w:r w:rsidR="00282F78">
        <w:rPr>
          <w:rFonts w:ascii="Arial" w:hAnsi="Arial" w:cs="Arial"/>
          <w:sz w:val="24"/>
        </w:rPr>
        <w:t xml:space="preserve"> </w:t>
      </w:r>
      <w:r w:rsidRPr="00E658BE">
        <w:rPr>
          <w:rFonts w:ascii="Arial" w:hAnsi="Arial" w:cs="Arial"/>
          <w:sz w:val="24"/>
        </w:rPr>
        <w:t>prese</w:t>
      </w:r>
      <w:r w:rsidR="00525BE3">
        <w:rPr>
          <w:rFonts w:ascii="Arial" w:hAnsi="Arial" w:cs="Arial"/>
          <w:sz w:val="24"/>
        </w:rPr>
        <w:t>ntó contracciones de 17.5 y 2.4 por ciento</w:t>
      </w:r>
      <w:r w:rsidRPr="00E658BE">
        <w:rPr>
          <w:rFonts w:ascii="Arial" w:hAnsi="Arial" w:cs="Arial"/>
          <w:sz w:val="24"/>
        </w:rPr>
        <w:t>, con datos ajustados por estacionalidad. Además, en abril se perdieron 12.5</w:t>
      </w:r>
      <w:r w:rsidR="00282F78">
        <w:rPr>
          <w:rFonts w:ascii="Arial" w:hAnsi="Arial" w:cs="Arial"/>
          <w:sz w:val="24"/>
        </w:rPr>
        <w:t xml:space="preserve"> </w:t>
      </w:r>
      <w:r w:rsidRPr="00E658BE">
        <w:rPr>
          <w:rFonts w:ascii="Arial" w:hAnsi="Arial" w:cs="Arial"/>
          <w:sz w:val="24"/>
        </w:rPr>
        <w:t xml:space="preserve">millones de empleos, 12.0 millones de los cuales dejaron </w:t>
      </w:r>
      <w:r w:rsidRPr="00E658BE">
        <w:rPr>
          <w:rFonts w:ascii="Arial" w:hAnsi="Arial" w:cs="Arial"/>
          <w:sz w:val="24"/>
        </w:rPr>
        <w:lastRenderedPageBreak/>
        <w:t>de participar en la fuerza laboral en ese mes y se ubicaron</w:t>
      </w:r>
      <w:r w:rsidR="00282F78">
        <w:rPr>
          <w:rFonts w:ascii="Arial" w:hAnsi="Arial" w:cs="Arial"/>
          <w:sz w:val="24"/>
        </w:rPr>
        <w:t xml:space="preserve"> </w:t>
      </w:r>
      <w:r w:rsidRPr="00E658BE">
        <w:rPr>
          <w:rFonts w:ascii="Arial" w:hAnsi="Arial" w:cs="Arial"/>
          <w:sz w:val="24"/>
        </w:rPr>
        <w:t>en la población no económicamente activa pero disponible. Asimismo, la población subocupada aumentó a 11</w:t>
      </w:r>
      <w:r w:rsidR="00282F78">
        <w:rPr>
          <w:rFonts w:ascii="Arial" w:hAnsi="Arial" w:cs="Arial"/>
          <w:sz w:val="24"/>
        </w:rPr>
        <w:t xml:space="preserve"> </w:t>
      </w:r>
      <w:r w:rsidRPr="00E658BE">
        <w:rPr>
          <w:rFonts w:ascii="Arial" w:hAnsi="Arial" w:cs="Arial"/>
          <w:sz w:val="24"/>
        </w:rPr>
        <w:t>millones en abril, lo cual representó el 25.4</w:t>
      </w:r>
      <w:r w:rsidR="00525BE3">
        <w:rPr>
          <w:rFonts w:ascii="Arial" w:hAnsi="Arial" w:cs="Arial"/>
          <w:sz w:val="24"/>
        </w:rPr>
        <w:t xml:space="preserve"> por ciento</w:t>
      </w:r>
      <w:r w:rsidRPr="00E658BE">
        <w:rPr>
          <w:rFonts w:ascii="Arial" w:hAnsi="Arial" w:cs="Arial"/>
          <w:sz w:val="24"/>
        </w:rPr>
        <w:t xml:space="preserve"> de la población ocupada.</w:t>
      </w:r>
    </w:p>
    <w:p w14:paraId="2897292F" w14:textId="77777777" w:rsidR="00633ACC" w:rsidRDefault="00633ACC" w:rsidP="00E658BE">
      <w:pPr>
        <w:spacing w:after="0" w:line="240" w:lineRule="auto"/>
        <w:jc w:val="both"/>
        <w:rPr>
          <w:rFonts w:ascii="Arial" w:hAnsi="Arial" w:cs="Arial"/>
          <w:sz w:val="24"/>
        </w:rPr>
      </w:pPr>
    </w:p>
    <w:p w14:paraId="4A13AEF0" w14:textId="1622C5ED" w:rsidR="00633ACC" w:rsidRDefault="00633ACC" w:rsidP="00633ACC">
      <w:pPr>
        <w:spacing w:after="0" w:line="240" w:lineRule="auto"/>
        <w:jc w:val="both"/>
        <w:rPr>
          <w:rFonts w:ascii="Arial" w:hAnsi="Arial" w:cs="Arial"/>
          <w:sz w:val="24"/>
        </w:rPr>
      </w:pPr>
      <w:r w:rsidRPr="00633ACC">
        <w:rPr>
          <w:rFonts w:ascii="Arial" w:hAnsi="Arial" w:cs="Arial"/>
          <w:sz w:val="24"/>
        </w:rPr>
        <w:t>No existen antecedentes para la situación que está enfrentando el mundo en 2020. El virus SARS-CoV-2, causante</w:t>
      </w:r>
      <w:r>
        <w:rPr>
          <w:rFonts w:ascii="Arial" w:hAnsi="Arial" w:cs="Arial"/>
          <w:sz w:val="24"/>
        </w:rPr>
        <w:t xml:space="preserve"> </w:t>
      </w:r>
      <w:r w:rsidRPr="00633ACC">
        <w:rPr>
          <w:rFonts w:ascii="Arial" w:hAnsi="Arial" w:cs="Arial"/>
          <w:sz w:val="24"/>
        </w:rPr>
        <w:t>de la enfermedad COVID-19, es nuevo y se ha aprendido de ambos conforme ha avanzado la pandemia. Por su</w:t>
      </w:r>
      <w:r>
        <w:rPr>
          <w:rFonts w:ascii="Arial" w:hAnsi="Arial" w:cs="Arial"/>
          <w:sz w:val="24"/>
        </w:rPr>
        <w:t xml:space="preserve"> </w:t>
      </w:r>
      <w:r w:rsidRPr="00633ACC">
        <w:rPr>
          <w:rFonts w:ascii="Arial" w:hAnsi="Arial" w:cs="Arial"/>
          <w:sz w:val="24"/>
        </w:rPr>
        <w:t>parte, el alcance global, la magnitud y la duración de las medidas de confinamiento y distanciamiento social</w:t>
      </w:r>
      <w:r>
        <w:rPr>
          <w:rFonts w:ascii="Arial" w:hAnsi="Arial" w:cs="Arial"/>
          <w:sz w:val="24"/>
        </w:rPr>
        <w:t xml:space="preserve"> </w:t>
      </w:r>
      <w:r w:rsidRPr="00633ACC">
        <w:rPr>
          <w:rFonts w:ascii="Arial" w:hAnsi="Arial" w:cs="Arial"/>
          <w:sz w:val="24"/>
        </w:rPr>
        <w:t>tomadas para mitigar la propagación de la enfermedad no tienen precedente, como tampoco lo tienen las</w:t>
      </w:r>
      <w:r>
        <w:rPr>
          <w:rFonts w:ascii="Arial" w:hAnsi="Arial" w:cs="Arial"/>
          <w:sz w:val="24"/>
        </w:rPr>
        <w:t xml:space="preserve"> </w:t>
      </w:r>
      <w:r w:rsidRPr="00633ACC">
        <w:rPr>
          <w:rFonts w:ascii="Arial" w:hAnsi="Arial" w:cs="Arial"/>
          <w:sz w:val="24"/>
        </w:rPr>
        <w:t>características de la contracción económica resultado de dichas acciones, ni la reactivación asociada a su</w:t>
      </w:r>
      <w:r>
        <w:rPr>
          <w:rFonts w:ascii="Arial" w:hAnsi="Arial" w:cs="Arial"/>
          <w:sz w:val="24"/>
        </w:rPr>
        <w:t xml:space="preserve"> f</w:t>
      </w:r>
      <w:r w:rsidRPr="00633ACC">
        <w:rPr>
          <w:rFonts w:ascii="Arial" w:hAnsi="Arial" w:cs="Arial"/>
          <w:sz w:val="24"/>
        </w:rPr>
        <w:t>lexibilización.</w:t>
      </w:r>
      <w:r w:rsidRPr="00633ACC">
        <w:rPr>
          <w:rFonts w:ascii="Arial" w:hAnsi="Arial" w:cs="Arial"/>
          <w:sz w:val="24"/>
        </w:rPr>
        <w:cr/>
      </w:r>
    </w:p>
    <w:p w14:paraId="4F0FE173" w14:textId="55012BB8" w:rsidR="00633ACC" w:rsidRDefault="00633ACC" w:rsidP="00633ACC">
      <w:pPr>
        <w:spacing w:after="0" w:line="240" w:lineRule="auto"/>
        <w:jc w:val="both"/>
        <w:rPr>
          <w:rFonts w:ascii="Arial" w:hAnsi="Arial" w:cs="Arial"/>
          <w:sz w:val="24"/>
        </w:rPr>
      </w:pPr>
      <w:r w:rsidRPr="00633ACC">
        <w:rPr>
          <w:rFonts w:ascii="Arial" w:hAnsi="Arial" w:cs="Arial"/>
          <w:sz w:val="24"/>
        </w:rPr>
        <w:t xml:space="preserve">En este contexto, las medidas tomadas por el Gobierno de México han </w:t>
      </w:r>
      <w:r w:rsidR="009B6944">
        <w:rPr>
          <w:rFonts w:ascii="Arial" w:hAnsi="Arial" w:cs="Arial"/>
          <w:sz w:val="24"/>
        </w:rPr>
        <w:t>considerado</w:t>
      </w:r>
      <w:r w:rsidRPr="00633ACC">
        <w:rPr>
          <w:rFonts w:ascii="Arial" w:hAnsi="Arial" w:cs="Arial"/>
          <w:sz w:val="24"/>
        </w:rPr>
        <w:t xml:space="preserve"> el elevado costo</w:t>
      </w:r>
      <w:r>
        <w:rPr>
          <w:rFonts w:ascii="Arial" w:hAnsi="Arial" w:cs="Arial"/>
          <w:sz w:val="24"/>
        </w:rPr>
        <w:t xml:space="preserve"> </w:t>
      </w:r>
      <w:r w:rsidRPr="00633ACC">
        <w:rPr>
          <w:rFonts w:ascii="Arial" w:hAnsi="Arial" w:cs="Arial"/>
          <w:sz w:val="24"/>
        </w:rPr>
        <w:t>financiero que representa la deuda pública ya existente, estimado en 718.0 m</w:t>
      </w:r>
      <w:r w:rsidR="002F1C58">
        <w:rPr>
          <w:rFonts w:ascii="Arial" w:hAnsi="Arial" w:cs="Arial"/>
          <w:sz w:val="24"/>
        </w:rPr>
        <w:t>iles de millones de pesos (m</w:t>
      </w:r>
      <w:r w:rsidRPr="00633ACC">
        <w:rPr>
          <w:rFonts w:ascii="Arial" w:hAnsi="Arial" w:cs="Arial"/>
          <w:sz w:val="24"/>
        </w:rPr>
        <w:t>mp</w:t>
      </w:r>
      <w:r w:rsidR="002F1C58">
        <w:rPr>
          <w:rFonts w:ascii="Arial" w:hAnsi="Arial" w:cs="Arial"/>
          <w:sz w:val="24"/>
        </w:rPr>
        <w:t>)</w:t>
      </w:r>
      <w:r w:rsidRPr="00633ACC">
        <w:rPr>
          <w:rFonts w:ascii="Arial" w:hAnsi="Arial" w:cs="Arial"/>
          <w:sz w:val="24"/>
        </w:rPr>
        <w:t xml:space="preserve"> o 3.2</w:t>
      </w:r>
      <w:r w:rsidR="00525BE3">
        <w:rPr>
          <w:rFonts w:ascii="Arial" w:hAnsi="Arial" w:cs="Arial"/>
          <w:sz w:val="24"/>
        </w:rPr>
        <w:t xml:space="preserve"> por ciento</w:t>
      </w:r>
      <w:r w:rsidRPr="00633ACC">
        <w:rPr>
          <w:rFonts w:ascii="Arial" w:hAnsi="Arial" w:cs="Arial"/>
          <w:sz w:val="24"/>
        </w:rPr>
        <w:t xml:space="preserve"> del PIB al cierre de 2020,</w:t>
      </w:r>
      <w:r>
        <w:rPr>
          <w:rFonts w:ascii="Arial" w:hAnsi="Arial" w:cs="Arial"/>
          <w:sz w:val="24"/>
        </w:rPr>
        <w:t xml:space="preserve"> </w:t>
      </w:r>
      <w:r w:rsidRPr="00633ACC">
        <w:rPr>
          <w:rFonts w:ascii="Arial" w:hAnsi="Arial" w:cs="Arial"/>
          <w:sz w:val="24"/>
        </w:rPr>
        <w:t>y que significa menores recursos para programas sociales e inversión en infraestructura, así como el aumento en</w:t>
      </w:r>
      <w:r>
        <w:rPr>
          <w:rFonts w:ascii="Arial" w:hAnsi="Arial" w:cs="Arial"/>
          <w:sz w:val="24"/>
        </w:rPr>
        <w:t xml:space="preserve"> </w:t>
      </w:r>
      <w:r w:rsidRPr="00633ACC">
        <w:rPr>
          <w:rFonts w:ascii="Arial" w:hAnsi="Arial" w:cs="Arial"/>
          <w:sz w:val="24"/>
        </w:rPr>
        <w:t>el mismo que significaría un incremento de la deuda: 11.6 mmp por cada punto adicional del PIB en deuda, la cual</w:t>
      </w:r>
      <w:r>
        <w:rPr>
          <w:rFonts w:ascii="Arial" w:hAnsi="Arial" w:cs="Arial"/>
          <w:sz w:val="24"/>
        </w:rPr>
        <w:t xml:space="preserve"> </w:t>
      </w:r>
      <w:r w:rsidRPr="00633ACC">
        <w:rPr>
          <w:rFonts w:ascii="Arial" w:hAnsi="Arial" w:cs="Arial"/>
          <w:sz w:val="24"/>
        </w:rPr>
        <w:t>ya se anticipaba crecería por la depreciación del peso, resultado de la volatilidad en los mercados financieros.</w:t>
      </w:r>
    </w:p>
    <w:p w14:paraId="42E0993F" w14:textId="77777777" w:rsidR="00EF1C4E" w:rsidRDefault="00EF1C4E" w:rsidP="00C041EB">
      <w:pPr>
        <w:spacing w:after="0" w:line="240" w:lineRule="auto"/>
        <w:jc w:val="both"/>
        <w:rPr>
          <w:rFonts w:ascii="Arial" w:hAnsi="Arial" w:cs="Arial"/>
          <w:sz w:val="24"/>
        </w:rPr>
      </w:pPr>
    </w:p>
    <w:p w14:paraId="4269CEC8" w14:textId="124B2257" w:rsidR="00633ACC" w:rsidRDefault="00633ACC" w:rsidP="00633ACC">
      <w:pPr>
        <w:spacing w:after="0" w:line="240" w:lineRule="auto"/>
        <w:jc w:val="both"/>
        <w:rPr>
          <w:rFonts w:ascii="Arial" w:hAnsi="Arial" w:cs="Arial"/>
          <w:sz w:val="24"/>
        </w:rPr>
      </w:pPr>
      <w:r>
        <w:rPr>
          <w:rFonts w:ascii="Arial" w:hAnsi="Arial" w:cs="Arial"/>
          <w:sz w:val="24"/>
        </w:rPr>
        <w:t>E</w:t>
      </w:r>
      <w:r w:rsidRPr="00633ACC">
        <w:rPr>
          <w:rFonts w:ascii="Arial" w:hAnsi="Arial" w:cs="Arial"/>
          <w:sz w:val="24"/>
        </w:rPr>
        <w:t>l paquete implementado por el Gobierno de México ha valorado el amplio abanico de herramientas</w:t>
      </w:r>
      <w:r>
        <w:rPr>
          <w:rFonts w:ascii="Arial" w:hAnsi="Arial" w:cs="Arial"/>
          <w:sz w:val="24"/>
        </w:rPr>
        <w:t xml:space="preserve"> </w:t>
      </w:r>
      <w:r w:rsidRPr="00633ACC">
        <w:rPr>
          <w:rFonts w:ascii="Arial" w:hAnsi="Arial" w:cs="Arial"/>
          <w:sz w:val="24"/>
        </w:rPr>
        <w:t>adicionales a las presupuestarias de que dispone el Gobierno de México para apoyar la liquidez de hogares y</w:t>
      </w:r>
      <w:r>
        <w:rPr>
          <w:rFonts w:ascii="Arial" w:hAnsi="Arial" w:cs="Arial"/>
          <w:sz w:val="24"/>
        </w:rPr>
        <w:t xml:space="preserve"> </w:t>
      </w:r>
      <w:r w:rsidRPr="00633ACC">
        <w:rPr>
          <w:rFonts w:ascii="Arial" w:hAnsi="Arial" w:cs="Arial"/>
          <w:sz w:val="24"/>
        </w:rPr>
        <w:t>empresas y apoyar la reactivación económica, como medidas regulatorias, crediticias y financieras, así como una</w:t>
      </w:r>
      <w:r>
        <w:rPr>
          <w:rFonts w:ascii="Arial" w:hAnsi="Arial" w:cs="Arial"/>
          <w:sz w:val="24"/>
        </w:rPr>
        <w:t xml:space="preserve"> </w:t>
      </w:r>
      <w:r w:rsidRPr="00633ACC">
        <w:rPr>
          <w:rFonts w:ascii="Arial" w:hAnsi="Arial" w:cs="Arial"/>
          <w:sz w:val="24"/>
        </w:rPr>
        <w:t>colaboración en curso con el sector privado para el desarrollo de infraestructura de conectividad y</w:t>
      </w:r>
      <w:r>
        <w:rPr>
          <w:rFonts w:ascii="Arial" w:hAnsi="Arial" w:cs="Arial"/>
          <w:sz w:val="24"/>
        </w:rPr>
        <w:t xml:space="preserve"> </w:t>
      </w:r>
      <w:r w:rsidRPr="00633ACC">
        <w:rPr>
          <w:rFonts w:ascii="Arial" w:hAnsi="Arial" w:cs="Arial"/>
          <w:sz w:val="24"/>
        </w:rPr>
        <w:t>medioambiental.</w:t>
      </w:r>
    </w:p>
    <w:p w14:paraId="55F4D315" w14:textId="77777777" w:rsidR="00DF1079" w:rsidRDefault="00DF1079" w:rsidP="00C041EB">
      <w:pPr>
        <w:spacing w:after="0" w:line="240" w:lineRule="auto"/>
        <w:jc w:val="both"/>
        <w:rPr>
          <w:rFonts w:ascii="Arial" w:hAnsi="Arial" w:cs="Arial"/>
          <w:b/>
          <w:sz w:val="24"/>
        </w:rPr>
      </w:pPr>
    </w:p>
    <w:p w14:paraId="1F45EBE4" w14:textId="77777777" w:rsidR="00DF1079" w:rsidRDefault="00272080" w:rsidP="00420E6D">
      <w:pPr>
        <w:spacing w:after="0" w:line="240" w:lineRule="auto"/>
        <w:jc w:val="both"/>
        <w:rPr>
          <w:rFonts w:ascii="Arial" w:hAnsi="Arial" w:cs="Arial"/>
          <w:b/>
          <w:sz w:val="24"/>
        </w:rPr>
      </w:pPr>
      <w:r w:rsidRPr="00555C3A">
        <w:rPr>
          <w:rFonts w:ascii="Arial" w:hAnsi="Arial" w:cs="Arial"/>
          <w:b/>
          <w:sz w:val="24"/>
        </w:rPr>
        <w:t>1.3.2.1 P</w:t>
      </w:r>
      <w:r w:rsidR="00633ACC">
        <w:rPr>
          <w:rFonts w:ascii="Arial" w:hAnsi="Arial" w:cs="Arial"/>
          <w:b/>
          <w:sz w:val="24"/>
        </w:rPr>
        <w:t>anorama económico Interno para 2021</w:t>
      </w:r>
    </w:p>
    <w:p w14:paraId="2C52BA8D" w14:textId="77777777" w:rsidR="00DF1079" w:rsidRDefault="00DF1079" w:rsidP="00420E6D">
      <w:pPr>
        <w:spacing w:after="0" w:line="240" w:lineRule="auto"/>
        <w:jc w:val="both"/>
        <w:rPr>
          <w:rFonts w:ascii="Arial" w:hAnsi="Arial" w:cs="Arial"/>
          <w:sz w:val="24"/>
        </w:rPr>
      </w:pPr>
    </w:p>
    <w:p w14:paraId="5B1BCB9B" w14:textId="58773BF4" w:rsidR="009B6944" w:rsidRDefault="00420E6D" w:rsidP="00420E6D">
      <w:pPr>
        <w:spacing w:after="0" w:line="240" w:lineRule="auto"/>
        <w:jc w:val="both"/>
        <w:rPr>
          <w:rFonts w:ascii="Arial" w:hAnsi="Arial" w:cs="Arial"/>
          <w:b/>
          <w:sz w:val="24"/>
        </w:rPr>
      </w:pPr>
      <w:r w:rsidRPr="00420E6D">
        <w:rPr>
          <w:rFonts w:ascii="Arial" w:hAnsi="Arial" w:cs="Arial"/>
          <w:sz w:val="24"/>
        </w:rPr>
        <w:t>Para el próximo año se estima un escenario base en el que la economía continúa la reactivación iniciada en la</w:t>
      </w:r>
      <w:r>
        <w:rPr>
          <w:rFonts w:ascii="Arial" w:hAnsi="Arial" w:cs="Arial"/>
          <w:sz w:val="24"/>
        </w:rPr>
        <w:t xml:space="preserve"> </w:t>
      </w:r>
      <w:r w:rsidRPr="00420E6D">
        <w:rPr>
          <w:rFonts w:ascii="Arial" w:hAnsi="Arial" w:cs="Arial"/>
          <w:sz w:val="24"/>
        </w:rPr>
        <w:t>segunda parte de 2020, a medida que las unidades económicas se adaptan al nuevo entorno y que la contención</w:t>
      </w:r>
      <w:r>
        <w:rPr>
          <w:rFonts w:ascii="Arial" w:hAnsi="Arial" w:cs="Arial"/>
          <w:sz w:val="24"/>
        </w:rPr>
        <w:t xml:space="preserve"> </w:t>
      </w:r>
      <w:r w:rsidRPr="00420E6D">
        <w:rPr>
          <w:rFonts w:ascii="Arial" w:hAnsi="Arial" w:cs="Arial"/>
          <w:sz w:val="24"/>
        </w:rPr>
        <w:t>de la enfermedad en México y en el exterior perm</w:t>
      </w:r>
      <w:r w:rsidR="004723D8">
        <w:rPr>
          <w:rFonts w:ascii="Arial" w:hAnsi="Arial" w:cs="Arial"/>
          <w:sz w:val="24"/>
        </w:rPr>
        <w:t>ita</w:t>
      </w:r>
      <w:r w:rsidRPr="00420E6D">
        <w:rPr>
          <w:rFonts w:ascii="Arial" w:hAnsi="Arial" w:cs="Arial"/>
          <w:sz w:val="24"/>
        </w:rPr>
        <w:t xml:space="preserve"> la remoción paulatina de las medidas de confinamiento y,</w:t>
      </w:r>
      <w:r>
        <w:rPr>
          <w:rFonts w:ascii="Arial" w:hAnsi="Arial" w:cs="Arial"/>
          <w:sz w:val="24"/>
        </w:rPr>
        <w:t xml:space="preserve"> </w:t>
      </w:r>
      <w:r w:rsidRPr="00420E6D">
        <w:rPr>
          <w:rFonts w:ascii="Arial" w:hAnsi="Arial" w:cs="Arial"/>
          <w:sz w:val="24"/>
        </w:rPr>
        <w:t>por tanto, una mayor utilización de la capacidad productiva instalada y un mayor dinamismo de la demanda</w:t>
      </w:r>
      <w:r>
        <w:rPr>
          <w:rFonts w:ascii="Arial" w:hAnsi="Arial" w:cs="Arial"/>
          <w:sz w:val="24"/>
        </w:rPr>
        <w:t xml:space="preserve"> </w:t>
      </w:r>
      <w:r w:rsidRPr="00420E6D">
        <w:rPr>
          <w:rFonts w:ascii="Arial" w:hAnsi="Arial" w:cs="Arial"/>
          <w:sz w:val="24"/>
        </w:rPr>
        <w:t>interna y externa. Se anticipa que esta última también se verá beneficiada por la entrada en vigor del T-MEC, a</w:t>
      </w:r>
      <w:r>
        <w:rPr>
          <w:rFonts w:ascii="Arial" w:hAnsi="Arial" w:cs="Arial"/>
          <w:sz w:val="24"/>
        </w:rPr>
        <w:t xml:space="preserve"> </w:t>
      </w:r>
      <w:r w:rsidRPr="00420E6D">
        <w:rPr>
          <w:rFonts w:ascii="Arial" w:hAnsi="Arial" w:cs="Arial"/>
          <w:sz w:val="24"/>
        </w:rPr>
        <w:t xml:space="preserve">través de un impulso al sector integrado a la economía global y a la inversión </w:t>
      </w:r>
      <w:r w:rsidRPr="00420E6D">
        <w:rPr>
          <w:rFonts w:ascii="Arial" w:hAnsi="Arial" w:cs="Arial"/>
          <w:sz w:val="24"/>
        </w:rPr>
        <w:lastRenderedPageBreak/>
        <w:t>estratégica en nuestro país,</w:t>
      </w:r>
      <w:r>
        <w:rPr>
          <w:rFonts w:ascii="Arial" w:hAnsi="Arial" w:cs="Arial"/>
          <w:sz w:val="24"/>
        </w:rPr>
        <w:t xml:space="preserve"> </w:t>
      </w:r>
      <w:r w:rsidRPr="00420E6D">
        <w:rPr>
          <w:rFonts w:ascii="Arial" w:hAnsi="Arial" w:cs="Arial"/>
          <w:sz w:val="24"/>
        </w:rPr>
        <w:t>apalancado en políticas activas de atracción de empresas y la mejora en el Estado de Derecho que significa la</w:t>
      </w:r>
      <w:r>
        <w:rPr>
          <w:rFonts w:ascii="Arial" w:hAnsi="Arial" w:cs="Arial"/>
          <w:sz w:val="24"/>
        </w:rPr>
        <w:t xml:space="preserve"> </w:t>
      </w:r>
      <w:r w:rsidRPr="00420E6D">
        <w:rPr>
          <w:rFonts w:ascii="Arial" w:hAnsi="Arial" w:cs="Arial"/>
          <w:sz w:val="24"/>
        </w:rPr>
        <w:t>Reforma Laboral.</w:t>
      </w:r>
      <w:r w:rsidRPr="00420E6D">
        <w:rPr>
          <w:rFonts w:ascii="Arial" w:hAnsi="Arial" w:cs="Arial"/>
          <w:b/>
          <w:sz w:val="24"/>
        </w:rPr>
        <w:cr/>
      </w:r>
    </w:p>
    <w:p w14:paraId="54959745" w14:textId="404B3657" w:rsidR="00F724C6" w:rsidRDefault="00420E6D" w:rsidP="00420E6D">
      <w:pPr>
        <w:spacing w:after="0" w:line="240" w:lineRule="auto"/>
        <w:jc w:val="both"/>
        <w:rPr>
          <w:rFonts w:ascii="Arial" w:hAnsi="Arial" w:cs="Arial"/>
          <w:sz w:val="24"/>
        </w:rPr>
      </w:pPr>
      <w:r w:rsidRPr="00420E6D">
        <w:rPr>
          <w:rFonts w:ascii="Arial" w:hAnsi="Arial" w:cs="Arial"/>
          <w:sz w:val="24"/>
        </w:rPr>
        <w:t>Vale la pena señalar que los analistas encuestados por Blue Chip Economic Indicators modificaron al alza su</w:t>
      </w:r>
      <w:r>
        <w:rPr>
          <w:rFonts w:ascii="Arial" w:hAnsi="Arial" w:cs="Arial"/>
          <w:sz w:val="24"/>
        </w:rPr>
        <w:t xml:space="preserve"> </w:t>
      </w:r>
      <w:r w:rsidRPr="00420E6D">
        <w:rPr>
          <w:rFonts w:ascii="Arial" w:hAnsi="Arial" w:cs="Arial"/>
          <w:sz w:val="24"/>
        </w:rPr>
        <w:t>expectativa de crecimiento de</w:t>
      </w:r>
      <w:r w:rsidR="00F724C6">
        <w:rPr>
          <w:rFonts w:ascii="Arial" w:hAnsi="Arial" w:cs="Arial"/>
          <w:sz w:val="24"/>
        </w:rPr>
        <w:t>l PIB de EEUU para 2021, de 2.0 por ciento en marzo a 3.8 por ciento</w:t>
      </w:r>
      <w:r w:rsidRPr="00420E6D">
        <w:rPr>
          <w:rFonts w:ascii="Arial" w:hAnsi="Arial" w:cs="Arial"/>
          <w:sz w:val="24"/>
        </w:rPr>
        <w:t xml:space="preserve"> en agosto. De acuerdo con la</w:t>
      </w:r>
      <w:r>
        <w:rPr>
          <w:rFonts w:ascii="Arial" w:hAnsi="Arial" w:cs="Arial"/>
          <w:sz w:val="24"/>
        </w:rPr>
        <w:t xml:space="preserve"> </w:t>
      </w:r>
      <w:r w:rsidRPr="00420E6D">
        <w:rPr>
          <w:rFonts w:ascii="Arial" w:hAnsi="Arial" w:cs="Arial"/>
          <w:sz w:val="24"/>
        </w:rPr>
        <w:t>misma encuesta, para la producción industrial de EEU</w:t>
      </w:r>
      <w:r w:rsidR="00F724C6">
        <w:rPr>
          <w:rFonts w:ascii="Arial" w:hAnsi="Arial" w:cs="Arial"/>
          <w:sz w:val="24"/>
        </w:rPr>
        <w:t>U se proyecta un aumento de 3.4 por ciento</w:t>
      </w:r>
      <w:r w:rsidRPr="00420E6D">
        <w:rPr>
          <w:rFonts w:ascii="Arial" w:hAnsi="Arial" w:cs="Arial"/>
          <w:sz w:val="24"/>
        </w:rPr>
        <w:t xml:space="preserve"> en 2021, mayor que el</w:t>
      </w:r>
      <w:r>
        <w:rPr>
          <w:rFonts w:ascii="Arial" w:hAnsi="Arial" w:cs="Arial"/>
          <w:sz w:val="24"/>
        </w:rPr>
        <w:t xml:space="preserve"> </w:t>
      </w:r>
      <w:r w:rsidRPr="00420E6D">
        <w:rPr>
          <w:rFonts w:ascii="Arial" w:hAnsi="Arial" w:cs="Arial"/>
          <w:sz w:val="24"/>
        </w:rPr>
        <w:t>crecim</w:t>
      </w:r>
      <w:r w:rsidR="00F724C6">
        <w:rPr>
          <w:rFonts w:ascii="Arial" w:hAnsi="Arial" w:cs="Arial"/>
          <w:sz w:val="24"/>
        </w:rPr>
        <w:t>iento previsto en marzo de 1.6 por ciento.</w:t>
      </w:r>
    </w:p>
    <w:p w14:paraId="0A4836D5" w14:textId="77777777" w:rsidR="00420E6D" w:rsidRPr="00420E6D" w:rsidRDefault="00420E6D" w:rsidP="00420E6D">
      <w:pPr>
        <w:spacing w:after="0" w:line="240" w:lineRule="auto"/>
        <w:jc w:val="both"/>
        <w:rPr>
          <w:rFonts w:ascii="Arial" w:hAnsi="Arial" w:cs="Arial"/>
          <w:sz w:val="24"/>
        </w:rPr>
      </w:pPr>
    </w:p>
    <w:p w14:paraId="50F6F1C5" w14:textId="2CA5F04E" w:rsidR="00057F3E" w:rsidRDefault="00420E6D" w:rsidP="00420E6D">
      <w:pPr>
        <w:spacing w:after="0" w:line="240" w:lineRule="auto"/>
        <w:jc w:val="both"/>
        <w:rPr>
          <w:rFonts w:ascii="Arial" w:hAnsi="Arial" w:cs="Arial"/>
          <w:sz w:val="24"/>
        </w:rPr>
      </w:pPr>
      <w:r w:rsidRPr="00420E6D">
        <w:rPr>
          <w:rFonts w:ascii="Arial" w:hAnsi="Arial" w:cs="Arial"/>
          <w:sz w:val="24"/>
        </w:rPr>
        <w:t>Además de lo anterior, se espera que la inversión pública y privada en infraestructura impulsen la generación de</w:t>
      </w:r>
      <w:r>
        <w:rPr>
          <w:rFonts w:ascii="Arial" w:hAnsi="Arial" w:cs="Arial"/>
          <w:sz w:val="24"/>
        </w:rPr>
        <w:t xml:space="preserve"> </w:t>
      </w:r>
      <w:r w:rsidRPr="00420E6D">
        <w:rPr>
          <w:rFonts w:ascii="Arial" w:hAnsi="Arial" w:cs="Arial"/>
          <w:sz w:val="24"/>
        </w:rPr>
        <w:t>empleos y tengan efectos de derrame sobre otros sectores; y el sector financiero continúe apoyando el flujo</w:t>
      </w:r>
      <w:r>
        <w:rPr>
          <w:rFonts w:ascii="Arial" w:hAnsi="Arial" w:cs="Arial"/>
          <w:sz w:val="24"/>
        </w:rPr>
        <w:t xml:space="preserve"> </w:t>
      </w:r>
      <w:r w:rsidRPr="00420E6D">
        <w:rPr>
          <w:rFonts w:ascii="Arial" w:hAnsi="Arial" w:cs="Arial"/>
          <w:sz w:val="24"/>
        </w:rPr>
        <w:t>adecuado de recursos hacia hogares, empresas y proyectos productivos, ayudado por una política monetaria</w:t>
      </w:r>
      <w:r>
        <w:rPr>
          <w:rFonts w:ascii="Arial" w:hAnsi="Arial" w:cs="Arial"/>
          <w:sz w:val="24"/>
        </w:rPr>
        <w:t xml:space="preserve"> </w:t>
      </w:r>
      <w:r w:rsidRPr="00420E6D">
        <w:rPr>
          <w:rFonts w:ascii="Arial" w:hAnsi="Arial" w:cs="Arial"/>
          <w:sz w:val="24"/>
        </w:rPr>
        <w:t>acomodaticia en México y en el exterior.</w:t>
      </w:r>
      <w:r w:rsidRPr="00420E6D">
        <w:rPr>
          <w:rFonts w:ascii="Arial" w:hAnsi="Arial" w:cs="Arial"/>
          <w:sz w:val="24"/>
        </w:rPr>
        <w:cr/>
      </w:r>
    </w:p>
    <w:p w14:paraId="75009CBA" w14:textId="499AEA09" w:rsidR="00057F3E" w:rsidRDefault="00057F3E" w:rsidP="00057F3E">
      <w:pPr>
        <w:spacing w:after="0" w:line="240" w:lineRule="auto"/>
        <w:jc w:val="both"/>
        <w:rPr>
          <w:rFonts w:ascii="Arial" w:hAnsi="Arial" w:cs="Arial"/>
          <w:sz w:val="24"/>
        </w:rPr>
      </w:pPr>
      <w:r w:rsidRPr="00057F3E">
        <w:rPr>
          <w:rFonts w:ascii="Arial" w:hAnsi="Arial" w:cs="Arial"/>
          <w:sz w:val="24"/>
        </w:rPr>
        <w:t>En el contexto antes descrito y ante la gradual disipación de los diversos choques externos e internos presentados</w:t>
      </w:r>
      <w:r>
        <w:rPr>
          <w:rFonts w:ascii="Arial" w:hAnsi="Arial" w:cs="Arial"/>
          <w:sz w:val="24"/>
        </w:rPr>
        <w:t xml:space="preserve"> </w:t>
      </w:r>
      <w:r w:rsidRPr="00057F3E">
        <w:rPr>
          <w:rFonts w:ascii="Arial" w:hAnsi="Arial" w:cs="Arial"/>
          <w:sz w:val="24"/>
        </w:rPr>
        <w:t>en la primera mitad del 2020, se espera que en 2021 en México haya una disminución en la brecha negativa del</w:t>
      </w:r>
      <w:r>
        <w:rPr>
          <w:rFonts w:ascii="Arial" w:hAnsi="Arial" w:cs="Arial"/>
          <w:sz w:val="24"/>
        </w:rPr>
        <w:t xml:space="preserve"> </w:t>
      </w:r>
      <w:r w:rsidRPr="00057F3E">
        <w:rPr>
          <w:rFonts w:ascii="Arial" w:hAnsi="Arial" w:cs="Arial"/>
          <w:sz w:val="24"/>
        </w:rPr>
        <w:t>nivel observado del PIB en 2020 con respecto a su nivel de tendencia o potencial y que el valor real del PIB de</w:t>
      </w:r>
      <w:r>
        <w:rPr>
          <w:rFonts w:ascii="Arial" w:hAnsi="Arial" w:cs="Arial"/>
          <w:sz w:val="24"/>
        </w:rPr>
        <w:t xml:space="preserve"> </w:t>
      </w:r>
      <w:r w:rsidRPr="00057F3E">
        <w:rPr>
          <w:rFonts w:ascii="Arial" w:hAnsi="Arial" w:cs="Arial"/>
          <w:sz w:val="24"/>
        </w:rPr>
        <w:t>México registre una exp</w:t>
      </w:r>
      <w:r w:rsidR="00525BE3">
        <w:rPr>
          <w:rFonts w:ascii="Arial" w:hAnsi="Arial" w:cs="Arial"/>
          <w:sz w:val="24"/>
        </w:rPr>
        <w:t>ansión anual de entre 3.6 y 5.6 por ciento</w:t>
      </w:r>
      <w:r w:rsidRPr="00057F3E">
        <w:rPr>
          <w:rFonts w:ascii="Arial" w:hAnsi="Arial" w:cs="Arial"/>
          <w:sz w:val="24"/>
        </w:rPr>
        <w:t>. Para efectos de las estimaciones de finanzas públicas, se</w:t>
      </w:r>
      <w:r>
        <w:rPr>
          <w:rFonts w:ascii="Arial" w:hAnsi="Arial" w:cs="Arial"/>
          <w:sz w:val="24"/>
        </w:rPr>
        <w:t xml:space="preserve"> </w:t>
      </w:r>
      <w:r w:rsidRPr="00057F3E">
        <w:rPr>
          <w:rFonts w:ascii="Arial" w:hAnsi="Arial" w:cs="Arial"/>
          <w:sz w:val="24"/>
        </w:rPr>
        <w:t>utiliza u</w:t>
      </w:r>
      <w:r w:rsidR="00525BE3">
        <w:rPr>
          <w:rFonts w:ascii="Arial" w:hAnsi="Arial" w:cs="Arial"/>
          <w:sz w:val="24"/>
        </w:rPr>
        <w:t>n crecimiento puntual de 4.6 por ciento</w:t>
      </w:r>
      <w:r>
        <w:rPr>
          <w:rFonts w:ascii="Arial" w:hAnsi="Arial" w:cs="Arial"/>
          <w:sz w:val="24"/>
        </w:rPr>
        <w:t>.</w:t>
      </w:r>
    </w:p>
    <w:p w14:paraId="3C11366D" w14:textId="77777777" w:rsidR="00057F3E" w:rsidRDefault="00057F3E" w:rsidP="00057F3E">
      <w:pPr>
        <w:spacing w:after="0" w:line="240" w:lineRule="auto"/>
        <w:jc w:val="both"/>
        <w:rPr>
          <w:rFonts w:ascii="Arial" w:hAnsi="Arial" w:cs="Arial"/>
          <w:sz w:val="24"/>
        </w:rPr>
      </w:pPr>
    </w:p>
    <w:p w14:paraId="7D467828" w14:textId="03711C23" w:rsidR="00057F3E" w:rsidRDefault="00057F3E" w:rsidP="00057F3E">
      <w:pPr>
        <w:spacing w:after="0" w:line="240" w:lineRule="auto"/>
        <w:jc w:val="both"/>
        <w:rPr>
          <w:rFonts w:ascii="Arial" w:hAnsi="Arial" w:cs="Arial"/>
          <w:sz w:val="24"/>
        </w:rPr>
      </w:pPr>
      <w:r w:rsidRPr="00057F3E">
        <w:rPr>
          <w:rFonts w:ascii="Arial" w:hAnsi="Arial" w:cs="Arial"/>
          <w:sz w:val="24"/>
        </w:rPr>
        <w:t>Las expectativas para el sector petrolero son de una recuperación moderada de los precios durante el siguiente</w:t>
      </w:r>
      <w:r>
        <w:rPr>
          <w:rFonts w:ascii="Arial" w:hAnsi="Arial" w:cs="Arial"/>
          <w:sz w:val="24"/>
        </w:rPr>
        <w:t xml:space="preserve"> </w:t>
      </w:r>
      <w:r w:rsidRPr="00057F3E">
        <w:rPr>
          <w:rFonts w:ascii="Arial" w:hAnsi="Arial" w:cs="Arial"/>
          <w:sz w:val="24"/>
        </w:rPr>
        <w:t>año, ya que se espera que la reactivación de la demanda sea cubierta en buena parte con inventarios que se han</w:t>
      </w:r>
      <w:r>
        <w:rPr>
          <w:rFonts w:ascii="Arial" w:hAnsi="Arial" w:cs="Arial"/>
          <w:sz w:val="24"/>
        </w:rPr>
        <w:t xml:space="preserve"> </w:t>
      </w:r>
      <w:r w:rsidRPr="00057F3E">
        <w:rPr>
          <w:rFonts w:ascii="Arial" w:hAnsi="Arial" w:cs="Arial"/>
          <w:sz w:val="24"/>
        </w:rPr>
        <w:t>acumulado durante estos meses. Así, para las proyecciones de finanzas públicas se propone un precio de 42.1</w:t>
      </w:r>
      <w:r>
        <w:rPr>
          <w:rFonts w:ascii="Arial" w:hAnsi="Arial" w:cs="Arial"/>
          <w:sz w:val="24"/>
        </w:rPr>
        <w:t xml:space="preserve"> </w:t>
      </w:r>
      <w:r w:rsidR="00F724C6">
        <w:rPr>
          <w:rFonts w:ascii="Arial" w:hAnsi="Arial" w:cs="Arial"/>
          <w:sz w:val="24"/>
        </w:rPr>
        <w:t>dólares por barril (</w:t>
      </w:r>
      <w:r w:rsidRPr="00057F3E">
        <w:rPr>
          <w:rFonts w:ascii="Arial" w:hAnsi="Arial" w:cs="Arial"/>
          <w:sz w:val="24"/>
        </w:rPr>
        <w:t>dpb</w:t>
      </w:r>
      <w:r w:rsidR="00F724C6">
        <w:rPr>
          <w:rFonts w:ascii="Arial" w:hAnsi="Arial" w:cs="Arial"/>
          <w:sz w:val="24"/>
        </w:rPr>
        <w:t>)</w:t>
      </w:r>
      <w:r w:rsidRPr="00057F3E">
        <w:rPr>
          <w:rFonts w:ascii="Arial" w:hAnsi="Arial" w:cs="Arial"/>
          <w:sz w:val="24"/>
        </w:rPr>
        <w:t>, nivel que está en línea con los precios observados recientemente y los futuros estimados por analistas para</w:t>
      </w:r>
      <w:r>
        <w:rPr>
          <w:rFonts w:ascii="Arial" w:hAnsi="Arial" w:cs="Arial"/>
          <w:sz w:val="24"/>
        </w:rPr>
        <w:t xml:space="preserve"> </w:t>
      </w:r>
      <w:r w:rsidRPr="00057F3E">
        <w:rPr>
          <w:rFonts w:ascii="Arial" w:hAnsi="Arial" w:cs="Arial"/>
          <w:sz w:val="24"/>
        </w:rPr>
        <w:t>el WTI y el Brent, y que es menor que el precio máximo de 44.6 dpb estimado con base en la fórmula establecida</w:t>
      </w:r>
      <w:r>
        <w:rPr>
          <w:rFonts w:ascii="Arial" w:hAnsi="Arial" w:cs="Arial"/>
          <w:sz w:val="24"/>
        </w:rPr>
        <w:t xml:space="preserve"> </w:t>
      </w:r>
      <w:r w:rsidRPr="00057F3E">
        <w:rPr>
          <w:rFonts w:ascii="Arial" w:hAnsi="Arial" w:cs="Arial"/>
          <w:sz w:val="24"/>
        </w:rPr>
        <w:t>en la LFPRH</w:t>
      </w:r>
      <w:r>
        <w:rPr>
          <w:rFonts w:ascii="Arial" w:hAnsi="Arial" w:cs="Arial"/>
          <w:sz w:val="24"/>
        </w:rPr>
        <w:t xml:space="preserve">. </w:t>
      </w:r>
      <w:r w:rsidRPr="00057F3E">
        <w:rPr>
          <w:rFonts w:ascii="Arial" w:hAnsi="Arial" w:cs="Arial"/>
          <w:sz w:val="24"/>
        </w:rPr>
        <w:t xml:space="preserve">Los cálculos para 2021 emplean una plataforma de producción de crudo de 1,857 </w:t>
      </w:r>
      <w:r w:rsidR="00470311">
        <w:rPr>
          <w:rFonts w:ascii="Arial" w:hAnsi="Arial" w:cs="Arial"/>
          <w:sz w:val="24"/>
        </w:rPr>
        <w:t>miles de barriles diarios (</w:t>
      </w:r>
      <w:r w:rsidRPr="00057F3E">
        <w:rPr>
          <w:rFonts w:ascii="Arial" w:hAnsi="Arial" w:cs="Arial"/>
          <w:sz w:val="24"/>
        </w:rPr>
        <w:t>mbd</w:t>
      </w:r>
      <w:r w:rsidR="00470311">
        <w:rPr>
          <w:rFonts w:ascii="Arial" w:hAnsi="Arial" w:cs="Arial"/>
          <w:sz w:val="24"/>
        </w:rPr>
        <w:t>)</w:t>
      </w:r>
      <w:r w:rsidRPr="00057F3E">
        <w:rPr>
          <w:rFonts w:ascii="Arial" w:hAnsi="Arial" w:cs="Arial"/>
          <w:sz w:val="24"/>
        </w:rPr>
        <w:t>, mayor que la</w:t>
      </w:r>
      <w:r>
        <w:rPr>
          <w:rFonts w:ascii="Arial" w:hAnsi="Arial" w:cs="Arial"/>
          <w:sz w:val="24"/>
        </w:rPr>
        <w:t xml:space="preserve"> </w:t>
      </w:r>
      <w:r w:rsidRPr="00057F3E">
        <w:rPr>
          <w:rFonts w:ascii="Arial" w:hAnsi="Arial" w:cs="Arial"/>
          <w:sz w:val="24"/>
        </w:rPr>
        <w:t>estimación de 1,744 mbd para el cierre de este año.</w:t>
      </w:r>
      <w:r w:rsidRPr="00057F3E">
        <w:rPr>
          <w:rFonts w:ascii="Arial" w:hAnsi="Arial" w:cs="Arial"/>
          <w:sz w:val="24"/>
        </w:rPr>
        <w:cr/>
      </w:r>
    </w:p>
    <w:p w14:paraId="2E59147D" w14:textId="55B9BB3F" w:rsidR="00057F3E" w:rsidRDefault="00057F3E" w:rsidP="00057F3E">
      <w:pPr>
        <w:spacing w:after="0" w:line="240" w:lineRule="auto"/>
        <w:jc w:val="both"/>
        <w:rPr>
          <w:rFonts w:ascii="Arial" w:hAnsi="Arial" w:cs="Arial"/>
          <w:sz w:val="24"/>
        </w:rPr>
      </w:pPr>
      <w:r w:rsidRPr="00057F3E">
        <w:rPr>
          <w:rFonts w:ascii="Arial" w:hAnsi="Arial" w:cs="Arial"/>
          <w:sz w:val="24"/>
        </w:rPr>
        <w:t>Las proyecciones utilizan una inflación anua</w:t>
      </w:r>
      <w:r w:rsidR="00205355">
        <w:rPr>
          <w:rFonts w:ascii="Arial" w:hAnsi="Arial" w:cs="Arial"/>
          <w:sz w:val="24"/>
        </w:rPr>
        <w:t>l para el cierre de 2021 de 3.0 por ciento</w:t>
      </w:r>
      <w:r w:rsidRPr="00057F3E">
        <w:rPr>
          <w:rFonts w:ascii="Arial" w:hAnsi="Arial" w:cs="Arial"/>
          <w:sz w:val="24"/>
        </w:rPr>
        <w:t>, en línea con el objetivo del Banco de</w:t>
      </w:r>
      <w:r>
        <w:rPr>
          <w:rFonts w:ascii="Arial" w:hAnsi="Arial" w:cs="Arial"/>
          <w:sz w:val="24"/>
        </w:rPr>
        <w:t xml:space="preserve"> </w:t>
      </w:r>
      <w:r w:rsidRPr="00057F3E">
        <w:rPr>
          <w:rFonts w:ascii="Arial" w:hAnsi="Arial" w:cs="Arial"/>
          <w:sz w:val="24"/>
        </w:rPr>
        <w:t>México y ligeramente superior su estimación para el cuarto trimestre, según lo publicado en su Informe Trimestral</w:t>
      </w:r>
      <w:r>
        <w:rPr>
          <w:rFonts w:ascii="Arial" w:hAnsi="Arial" w:cs="Arial"/>
          <w:sz w:val="24"/>
        </w:rPr>
        <w:t xml:space="preserve"> </w:t>
      </w:r>
      <w:r w:rsidRPr="00057F3E">
        <w:rPr>
          <w:rFonts w:ascii="Arial" w:hAnsi="Arial" w:cs="Arial"/>
          <w:sz w:val="24"/>
        </w:rPr>
        <w:t>abril-junio de 2020. Además, se usa un tipo de cambio nominal al cierre de 2021 de 21.9 pesos por dólar, que toma</w:t>
      </w:r>
      <w:r>
        <w:rPr>
          <w:rFonts w:ascii="Arial" w:hAnsi="Arial" w:cs="Arial"/>
          <w:sz w:val="24"/>
        </w:rPr>
        <w:t xml:space="preserve"> </w:t>
      </w:r>
      <w:r w:rsidRPr="00057F3E">
        <w:rPr>
          <w:rFonts w:ascii="Arial" w:hAnsi="Arial" w:cs="Arial"/>
          <w:sz w:val="24"/>
        </w:rPr>
        <w:t xml:space="preserve">en cuenta la mejoría en la dinámica de la </w:t>
      </w:r>
      <w:r w:rsidRPr="00057F3E">
        <w:rPr>
          <w:rFonts w:ascii="Arial" w:hAnsi="Arial" w:cs="Arial"/>
          <w:sz w:val="24"/>
        </w:rPr>
        <w:lastRenderedPageBreak/>
        <w:t>economía. Asimismo, se estima que durante 2021 la tasa de interés se</w:t>
      </w:r>
      <w:r>
        <w:rPr>
          <w:rFonts w:ascii="Arial" w:hAnsi="Arial" w:cs="Arial"/>
          <w:sz w:val="24"/>
        </w:rPr>
        <w:t xml:space="preserve"> </w:t>
      </w:r>
      <w:r w:rsidRPr="00057F3E">
        <w:rPr>
          <w:rFonts w:ascii="Arial" w:hAnsi="Arial" w:cs="Arial"/>
          <w:sz w:val="24"/>
        </w:rPr>
        <w:t xml:space="preserve">mantenga </w:t>
      </w:r>
      <w:r w:rsidR="00205355">
        <w:rPr>
          <w:rFonts w:ascii="Arial" w:hAnsi="Arial" w:cs="Arial"/>
          <w:sz w:val="24"/>
        </w:rPr>
        <w:t>en 4.0 por ciento</w:t>
      </w:r>
      <w:r w:rsidRPr="00057F3E">
        <w:rPr>
          <w:rFonts w:ascii="Arial" w:hAnsi="Arial" w:cs="Arial"/>
          <w:sz w:val="24"/>
        </w:rPr>
        <w:t>, reflejando estabilidad en la política monetaria para el próximo año. Finalmente, se estima que</w:t>
      </w:r>
      <w:r>
        <w:rPr>
          <w:rFonts w:ascii="Arial" w:hAnsi="Arial" w:cs="Arial"/>
          <w:sz w:val="24"/>
        </w:rPr>
        <w:t xml:space="preserve"> </w:t>
      </w:r>
      <w:r w:rsidRPr="00057F3E">
        <w:rPr>
          <w:rFonts w:ascii="Arial" w:hAnsi="Arial" w:cs="Arial"/>
          <w:sz w:val="24"/>
        </w:rPr>
        <w:t>la cuenta corriente de la balanza de pagos registre en 2021 un déficit</w:t>
      </w:r>
      <w:r w:rsidR="009D2A9B">
        <w:rPr>
          <w:rFonts w:ascii="Arial" w:hAnsi="Arial" w:cs="Arial"/>
          <w:sz w:val="24"/>
        </w:rPr>
        <w:t xml:space="preserve"> de 22.9 mmd, equivalente a 2.0 por ciento</w:t>
      </w:r>
      <w:r w:rsidRPr="00057F3E">
        <w:rPr>
          <w:rFonts w:ascii="Arial" w:hAnsi="Arial" w:cs="Arial"/>
          <w:sz w:val="24"/>
        </w:rPr>
        <w:t xml:space="preserve"> del PIB.</w:t>
      </w:r>
    </w:p>
    <w:p w14:paraId="516D1CE9" w14:textId="77777777" w:rsidR="00057F3E" w:rsidRDefault="00057F3E" w:rsidP="00057F3E">
      <w:pPr>
        <w:spacing w:after="0" w:line="240" w:lineRule="auto"/>
        <w:jc w:val="both"/>
        <w:rPr>
          <w:rFonts w:ascii="Arial" w:hAnsi="Arial" w:cs="Arial"/>
          <w:sz w:val="24"/>
        </w:rPr>
      </w:pPr>
    </w:p>
    <w:p w14:paraId="328903D3" w14:textId="46AC8622" w:rsidR="00057F3E" w:rsidRDefault="00057F3E" w:rsidP="00057F3E">
      <w:pPr>
        <w:spacing w:after="0" w:line="240" w:lineRule="auto"/>
        <w:jc w:val="both"/>
        <w:rPr>
          <w:rFonts w:ascii="Arial" w:hAnsi="Arial" w:cs="Arial"/>
          <w:sz w:val="24"/>
        </w:rPr>
      </w:pPr>
      <w:r w:rsidRPr="00057F3E">
        <w:rPr>
          <w:rFonts w:ascii="Arial" w:hAnsi="Arial" w:cs="Arial"/>
          <w:sz w:val="24"/>
        </w:rPr>
        <w:t>Al tiempo que se fortalece el gasto en las principales funciones que ayudan a la recuperación y al desarrollo de</w:t>
      </w:r>
      <w:r>
        <w:rPr>
          <w:rFonts w:ascii="Arial" w:hAnsi="Arial" w:cs="Arial"/>
          <w:sz w:val="24"/>
        </w:rPr>
        <w:t xml:space="preserve"> </w:t>
      </w:r>
      <w:r w:rsidRPr="00057F3E">
        <w:rPr>
          <w:rFonts w:ascii="Arial" w:hAnsi="Arial" w:cs="Arial"/>
          <w:sz w:val="24"/>
        </w:rPr>
        <w:t>largo plazo, se plantean un ligero superávit primario de 6.2 mmp y una reducción e</w:t>
      </w:r>
      <w:r w:rsidR="009D2A9B">
        <w:rPr>
          <w:rFonts w:ascii="Arial" w:hAnsi="Arial" w:cs="Arial"/>
          <w:sz w:val="24"/>
        </w:rPr>
        <w:t xml:space="preserve">n los RFSP del -4.7 </w:t>
      </w:r>
      <w:r w:rsidR="00205355">
        <w:rPr>
          <w:rFonts w:ascii="Arial" w:hAnsi="Arial" w:cs="Arial"/>
          <w:sz w:val="24"/>
        </w:rPr>
        <w:t xml:space="preserve">por ciento </w:t>
      </w:r>
      <w:r w:rsidRPr="00057F3E">
        <w:rPr>
          <w:rFonts w:ascii="Arial" w:hAnsi="Arial" w:cs="Arial"/>
          <w:sz w:val="24"/>
        </w:rPr>
        <w:t>del PIB</w:t>
      </w:r>
      <w:r>
        <w:rPr>
          <w:rFonts w:ascii="Arial" w:hAnsi="Arial" w:cs="Arial"/>
          <w:sz w:val="24"/>
        </w:rPr>
        <w:t xml:space="preserve"> </w:t>
      </w:r>
      <w:r w:rsidRPr="00057F3E">
        <w:rPr>
          <w:rFonts w:ascii="Arial" w:hAnsi="Arial" w:cs="Arial"/>
          <w:sz w:val="24"/>
        </w:rPr>
        <w:t>estimad</w:t>
      </w:r>
      <w:r w:rsidR="00205355">
        <w:rPr>
          <w:rFonts w:ascii="Arial" w:hAnsi="Arial" w:cs="Arial"/>
          <w:sz w:val="24"/>
        </w:rPr>
        <w:t>o para el cierre de 2020 a -3.4 por ciento</w:t>
      </w:r>
      <w:r w:rsidRPr="00057F3E">
        <w:rPr>
          <w:rFonts w:ascii="Arial" w:hAnsi="Arial" w:cs="Arial"/>
          <w:sz w:val="24"/>
        </w:rPr>
        <w:t xml:space="preserve"> en 2021. Lo anterior permite dis</w:t>
      </w:r>
      <w:r w:rsidR="00205355">
        <w:rPr>
          <w:rFonts w:ascii="Arial" w:hAnsi="Arial" w:cs="Arial"/>
          <w:sz w:val="24"/>
        </w:rPr>
        <w:t>minuir el SHRFSP en 2021 a 53.7 por ciento</w:t>
      </w:r>
      <w:r w:rsidRPr="00057F3E">
        <w:rPr>
          <w:rFonts w:ascii="Arial" w:hAnsi="Arial" w:cs="Arial"/>
          <w:sz w:val="24"/>
        </w:rPr>
        <w:t xml:space="preserve"> del PIB</w:t>
      </w:r>
      <w:r>
        <w:rPr>
          <w:rFonts w:ascii="Arial" w:hAnsi="Arial" w:cs="Arial"/>
          <w:sz w:val="24"/>
        </w:rPr>
        <w:t xml:space="preserve"> </w:t>
      </w:r>
      <w:r w:rsidRPr="00057F3E">
        <w:rPr>
          <w:rFonts w:ascii="Arial" w:hAnsi="Arial" w:cs="Arial"/>
          <w:sz w:val="24"/>
        </w:rPr>
        <w:t>–con base en las proyecciones de las principales variables macroeconómicas– y colocarlo en una senda</w:t>
      </w:r>
      <w:r>
        <w:rPr>
          <w:rFonts w:ascii="Arial" w:hAnsi="Arial" w:cs="Arial"/>
          <w:sz w:val="24"/>
        </w:rPr>
        <w:t xml:space="preserve"> </w:t>
      </w:r>
      <w:r w:rsidRPr="00057F3E">
        <w:rPr>
          <w:rFonts w:ascii="Arial" w:hAnsi="Arial" w:cs="Arial"/>
          <w:sz w:val="24"/>
        </w:rPr>
        <w:t>decreciente a partir de entonces, en cumplimiento de lo establecido por el artículo 17 de la LFPRH y el 11B de su</w:t>
      </w:r>
      <w:r>
        <w:rPr>
          <w:rFonts w:ascii="Arial" w:hAnsi="Arial" w:cs="Arial"/>
          <w:sz w:val="24"/>
        </w:rPr>
        <w:t xml:space="preserve"> </w:t>
      </w:r>
      <w:r w:rsidRPr="00057F3E">
        <w:rPr>
          <w:rFonts w:ascii="Arial" w:hAnsi="Arial" w:cs="Arial"/>
          <w:sz w:val="24"/>
        </w:rPr>
        <w:t>Reglamento.</w:t>
      </w:r>
      <w:r w:rsidRPr="00057F3E">
        <w:rPr>
          <w:rFonts w:ascii="Arial" w:hAnsi="Arial" w:cs="Arial"/>
          <w:sz w:val="24"/>
        </w:rPr>
        <w:cr/>
      </w:r>
    </w:p>
    <w:p w14:paraId="267CDF77" w14:textId="6CD4A4D3" w:rsidR="00057F3E" w:rsidRDefault="00057F3E" w:rsidP="00057F3E">
      <w:pPr>
        <w:spacing w:after="0" w:line="240" w:lineRule="auto"/>
        <w:jc w:val="both"/>
        <w:rPr>
          <w:rFonts w:ascii="Arial" w:hAnsi="Arial" w:cs="Arial"/>
          <w:sz w:val="24"/>
        </w:rPr>
      </w:pPr>
      <w:r w:rsidRPr="00057F3E">
        <w:rPr>
          <w:rFonts w:ascii="Arial" w:hAnsi="Arial" w:cs="Arial"/>
          <w:sz w:val="24"/>
        </w:rPr>
        <w:t>La recuperación estimada para 2021 en los ingresos presupuestarios ordinarios permite al mismo tiempo reducir</w:t>
      </w:r>
      <w:r>
        <w:rPr>
          <w:rFonts w:ascii="Arial" w:hAnsi="Arial" w:cs="Arial"/>
          <w:sz w:val="24"/>
        </w:rPr>
        <w:t xml:space="preserve"> </w:t>
      </w:r>
      <w:r w:rsidRPr="00057F3E">
        <w:rPr>
          <w:rFonts w:ascii="Arial" w:hAnsi="Arial" w:cs="Arial"/>
          <w:sz w:val="24"/>
        </w:rPr>
        <w:t>los RFSP extraordinarios de 2020 sin afectar el proceso de reactivación de la economía, y disminuir la deuda para</w:t>
      </w:r>
      <w:r>
        <w:rPr>
          <w:rFonts w:ascii="Arial" w:hAnsi="Arial" w:cs="Arial"/>
          <w:sz w:val="24"/>
        </w:rPr>
        <w:t xml:space="preserve"> </w:t>
      </w:r>
      <w:r w:rsidRPr="00057F3E">
        <w:rPr>
          <w:rFonts w:ascii="Arial" w:hAnsi="Arial" w:cs="Arial"/>
          <w:sz w:val="24"/>
        </w:rPr>
        <w:t>evitar comprometer los recursos de generaciones futuras.</w:t>
      </w:r>
    </w:p>
    <w:p w14:paraId="5BD89CD2" w14:textId="77777777" w:rsidR="00057F3E" w:rsidRDefault="00057F3E" w:rsidP="00057F3E">
      <w:pPr>
        <w:spacing w:after="0" w:line="240" w:lineRule="auto"/>
        <w:jc w:val="both"/>
        <w:rPr>
          <w:rFonts w:ascii="Arial" w:hAnsi="Arial" w:cs="Arial"/>
          <w:sz w:val="24"/>
        </w:rPr>
      </w:pPr>
    </w:p>
    <w:p w14:paraId="3A553471" w14:textId="68E279A6" w:rsidR="004A74A2" w:rsidRDefault="00057F3E" w:rsidP="00057F3E">
      <w:pPr>
        <w:spacing w:after="0" w:line="240" w:lineRule="auto"/>
        <w:jc w:val="both"/>
        <w:rPr>
          <w:rFonts w:ascii="Arial" w:hAnsi="Arial" w:cs="Arial"/>
          <w:sz w:val="24"/>
        </w:rPr>
      </w:pPr>
      <w:r w:rsidRPr="00057F3E">
        <w:rPr>
          <w:rFonts w:ascii="Arial" w:hAnsi="Arial" w:cs="Arial"/>
          <w:sz w:val="24"/>
        </w:rPr>
        <w:t>Para asegurar la disponibilidad de recursos que se requieren en la etapa de reactivación, se propone una meta</w:t>
      </w:r>
      <w:r>
        <w:rPr>
          <w:rFonts w:ascii="Arial" w:hAnsi="Arial" w:cs="Arial"/>
          <w:sz w:val="24"/>
        </w:rPr>
        <w:t xml:space="preserve"> </w:t>
      </w:r>
      <w:r w:rsidRPr="00057F3E">
        <w:rPr>
          <w:rFonts w:ascii="Arial" w:hAnsi="Arial" w:cs="Arial"/>
          <w:sz w:val="24"/>
        </w:rPr>
        <w:t>de balance público sin in</w:t>
      </w:r>
      <w:r w:rsidR="009D2A9B">
        <w:rPr>
          <w:rFonts w:ascii="Arial" w:hAnsi="Arial" w:cs="Arial"/>
          <w:sz w:val="24"/>
        </w:rPr>
        <w:t>cluir la inversión de hasta 2.2 por ciento</w:t>
      </w:r>
      <w:r w:rsidRPr="00057F3E">
        <w:rPr>
          <w:rFonts w:ascii="Arial" w:hAnsi="Arial" w:cs="Arial"/>
          <w:sz w:val="24"/>
        </w:rPr>
        <w:t xml:space="preserve"> del PIB del Gobierno Federal y de las Empresas</w:t>
      </w:r>
      <w:r>
        <w:rPr>
          <w:rFonts w:ascii="Arial" w:hAnsi="Arial" w:cs="Arial"/>
          <w:sz w:val="24"/>
        </w:rPr>
        <w:t xml:space="preserve"> </w:t>
      </w:r>
      <w:r w:rsidRPr="00057F3E">
        <w:rPr>
          <w:rFonts w:ascii="Arial" w:hAnsi="Arial" w:cs="Arial"/>
          <w:sz w:val="24"/>
        </w:rPr>
        <w:t>Productivas del Estado –monto que se mantiene constante en términos reales respecto al aprobado en 2020– de</w:t>
      </w:r>
      <w:r>
        <w:rPr>
          <w:rFonts w:ascii="Arial" w:hAnsi="Arial" w:cs="Arial"/>
          <w:sz w:val="24"/>
        </w:rPr>
        <w:t xml:space="preserve"> </w:t>
      </w:r>
      <w:r w:rsidR="009D2A9B">
        <w:rPr>
          <w:rFonts w:ascii="Arial" w:hAnsi="Arial" w:cs="Arial"/>
          <w:sz w:val="24"/>
        </w:rPr>
        <w:t>-0.7 por ciento</w:t>
      </w:r>
      <w:r w:rsidRPr="00057F3E">
        <w:rPr>
          <w:rFonts w:ascii="Arial" w:hAnsi="Arial" w:cs="Arial"/>
          <w:sz w:val="24"/>
        </w:rPr>
        <w:t xml:space="preserve"> del PIB. El planteamiento está sustentado en la proyección de una disminución en 2021 de los ingresos</w:t>
      </w:r>
      <w:r>
        <w:rPr>
          <w:rFonts w:ascii="Arial" w:hAnsi="Arial" w:cs="Arial"/>
          <w:sz w:val="24"/>
        </w:rPr>
        <w:t xml:space="preserve"> </w:t>
      </w:r>
      <w:r w:rsidRPr="00057F3E">
        <w:rPr>
          <w:rFonts w:ascii="Arial" w:hAnsi="Arial" w:cs="Arial"/>
          <w:sz w:val="24"/>
        </w:rPr>
        <w:t>tributarios respecto</w:t>
      </w:r>
      <w:r w:rsidR="009D2A9B">
        <w:rPr>
          <w:rFonts w:ascii="Arial" w:hAnsi="Arial" w:cs="Arial"/>
          <w:sz w:val="24"/>
        </w:rPr>
        <w:t xml:space="preserve"> a los aprobados en 2020 de 2.6 por ciento</w:t>
      </w:r>
      <w:r w:rsidRPr="00057F3E">
        <w:rPr>
          <w:rFonts w:ascii="Arial" w:hAnsi="Arial" w:cs="Arial"/>
          <w:sz w:val="24"/>
        </w:rPr>
        <w:t xml:space="preserve"> real, originada a su vez en la brecha estimada del producto</w:t>
      </w:r>
      <w:r>
        <w:rPr>
          <w:rFonts w:ascii="Arial" w:hAnsi="Arial" w:cs="Arial"/>
          <w:sz w:val="24"/>
        </w:rPr>
        <w:t xml:space="preserve"> </w:t>
      </w:r>
      <w:r w:rsidRPr="00057F3E">
        <w:rPr>
          <w:rFonts w:ascii="Arial" w:hAnsi="Arial" w:cs="Arial"/>
          <w:sz w:val="24"/>
        </w:rPr>
        <w:t>respecto a su potencial</w:t>
      </w:r>
      <w:r>
        <w:rPr>
          <w:rFonts w:ascii="Arial" w:hAnsi="Arial" w:cs="Arial"/>
          <w:sz w:val="24"/>
        </w:rPr>
        <w:t xml:space="preserve"> </w:t>
      </w:r>
      <w:r w:rsidRPr="00057F3E">
        <w:rPr>
          <w:rFonts w:ascii="Arial" w:hAnsi="Arial" w:cs="Arial"/>
          <w:sz w:val="24"/>
        </w:rPr>
        <w:t>Considerando la inversión mencionada, el balance público pro</w:t>
      </w:r>
      <w:r w:rsidR="009D2A9B">
        <w:rPr>
          <w:rFonts w:ascii="Arial" w:hAnsi="Arial" w:cs="Arial"/>
          <w:sz w:val="24"/>
        </w:rPr>
        <w:t>puesto es de -2.9 por ciento</w:t>
      </w:r>
      <w:r w:rsidRPr="00057F3E">
        <w:rPr>
          <w:rFonts w:ascii="Arial" w:hAnsi="Arial" w:cs="Arial"/>
          <w:sz w:val="24"/>
        </w:rPr>
        <w:t xml:space="preserve"> del PIB, cifra igual que la</w:t>
      </w:r>
      <w:r>
        <w:rPr>
          <w:rFonts w:ascii="Arial" w:hAnsi="Arial" w:cs="Arial"/>
          <w:sz w:val="24"/>
        </w:rPr>
        <w:t xml:space="preserve"> </w:t>
      </w:r>
      <w:r w:rsidRPr="00057F3E">
        <w:rPr>
          <w:rFonts w:ascii="Arial" w:hAnsi="Arial" w:cs="Arial"/>
          <w:sz w:val="24"/>
        </w:rPr>
        <w:t>estimada para el cierre de 2020.</w:t>
      </w:r>
    </w:p>
    <w:p w14:paraId="5D292478" w14:textId="77777777" w:rsidR="004A74A2" w:rsidRDefault="004A74A2" w:rsidP="00057F3E">
      <w:pPr>
        <w:spacing w:after="0" w:line="240" w:lineRule="auto"/>
        <w:jc w:val="both"/>
        <w:rPr>
          <w:rFonts w:ascii="Arial" w:hAnsi="Arial" w:cs="Arial"/>
          <w:sz w:val="24"/>
        </w:rPr>
      </w:pPr>
    </w:p>
    <w:p w14:paraId="780B2927" w14:textId="5553F628" w:rsidR="004A74A2" w:rsidRDefault="004A74A2" w:rsidP="004A74A2">
      <w:pPr>
        <w:spacing w:after="0" w:line="240" w:lineRule="auto"/>
        <w:jc w:val="both"/>
        <w:rPr>
          <w:rFonts w:ascii="Arial" w:hAnsi="Arial" w:cs="Arial"/>
          <w:sz w:val="24"/>
        </w:rPr>
      </w:pPr>
      <w:r w:rsidRPr="004A74A2">
        <w:rPr>
          <w:rFonts w:ascii="Arial" w:hAnsi="Arial" w:cs="Arial"/>
          <w:sz w:val="24"/>
        </w:rPr>
        <w:t>Se prevé una trayectoria descendiente durante el resto de la administración para el balance solicitado hasta</w:t>
      </w:r>
      <w:r>
        <w:rPr>
          <w:rFonts w:ascii="Arial" w:hAnsi="Arial" w:cs="Arial"/>
          <w:sz w:val="24"/>
        </w:rPr>
        <w:t xml:space="preserve"> </w:t>
      </w:r>
      <w:r w:rsidRPr="004A74A2">
        <w:rPr>
          <w:rFonts w:ascii="Arial" w:hAnsi="Arial" w:cs="Arial"/>
          <w:sz w:val="24"/>
        </w:rPr>
        <w:t>regresarlo al equilibrio, d</w:t>
      </w:r>
      <w:r w:rsidR="002B0FB0">
        <w:rPr>
          <w:rFonts w:ascii="Arial" w:hAnsi="Arial" w:cs="Arial"/>
          <w:sz w:val="24"/>
        </w:rPr>
        <w:t xml:space="preserve">e conformidad con el compromiso </w:t>
      </w:r>
      <w:r w:rsidRPr="004A74A2">
        <w:rPr>
          <w:rFonts w:ascii="Arial" w:hAnsi="Arial" w:cs="Arial"/>
          <w:sz w:val="24"/>
        </w:rPr>
        <w:t>de usar prudentemente el</w:t>
      </w:r>
      <w:r>
        <w:rPr>
          <w:rFonts w:ascii="Arial" w:hAnsi="Arial" w:cs="Arial"/>
          <w:sz w:val="24"/>
        </w:rPr>
        <w:t xml:space="preserve"> </w:t>
      </w:r>
      <w:r w:rsidRPr="004A74A2">
        <w:rPr>
          <w:rFonts w:ascii="Arial" w:hAnsi="Arial" w:cs="Arial"/>
          <w:sz w:val="24"/>
        </w:rPr>
        <w:t>crédito público. La disminución se verá apoyada con la eventual normalización de la actividad económica</w:t>
      </w:r>
      <w:r>
        <w:rPr>
          <w:rFonts w:ascii="Arial" w:hAnsi="Arial" w:cs="Arial"/>
          <w:sz w:val="24"/>
        </w:rPr>
        <w:t xml:space="preserve"> </w:t>
      </w:r>
      <w:r w:rsidRPr="004A74A2">
        <w:rPr>
          <w:rFonts w:ascii="Arial" w:hAnsi="Arial" w:cs="Arial"/>
          <w:sz w:val="24"/>
        </w:rPr>
        <w:t>asociada a la disponibilidad de una vacuna contra el COVID-19, las mejores condiciones en el sector petrolero, el</w:t>
      </w:r>
      <w:r>
        <w:rPr>
          <w:rFonts w:ascii="Arial" w:hAnsi="Arial" w:cs="Arial"/>
          <w:sz w:val="24"/>
        </w:rPr>
        <w:t xml:space="preserve"> </w:t>
      </w:r>
      <w:r w:rsidRPr="004A74A2">
        <w:rPr>
          <w:rFonts w:ascii="Arial" w:hAnsi="Arial" w:cs="Arial"/>
          <w:sz w:val="24"/>
        </w:rPr>
        <w:t>impulso que brindará el T-MEC al comercio y la inversión, los beneficios de corto y largo plazo del desarrollo de</w:t>
      </w:r>
      <w:r>
        <w:rPr>
          <w:rFonts w:ascii="Arial" w:hAnsi="Arial" w:cs="Arial"/>
          <w:sz w:val="24"/>
        </w:rPr>
        <w:t xml:space="preserve"> </w:t>
      </w:r>
      <w:r w:rsidRPr="004A74A2">
        <w:rPr>
          <w:rFonts w:ascii="Arial" w:hAnsi="Arial" w:cs="Arial"/>
          <w:sz w:val="24"/>
        </w:rPr>
        <w:t>infraestructura y la profundización del sector financiero, ejemplificada por el crecimiento en el ahorro que se</w:t>
      </w:r>
      <w:r>
        <w:rPr>
          <w:rFonts w:ascii="Arial" w:hAnsi="Arial" w:cs="Arial"/>
          <w:sz w:val="24"/>
        </w:rPr>
        <w:t xml:space="preserve"> </w:t>
      </w:r>
      <w:r w:rsidRPr="004A74A2">
        <w:rPr>
          <w:rFonts w:ascii="Arial" w:hAnsi="Arial" w:cs="Arial"/>
          <w:sz w:val="24"/>
        </w:rPr>
        <w:t>espera genere la Reforma de Pensiones.</w:t>
      </w:r>
      <w:r w:rsidRPr="004A74A2">
        <w:rPr>
          <w:rFonts w:ascii="Arial" w:hAnsi="Arial" w:cs="Arial"/>
          <w:sz w:val="24"/>
        </w:rPr>
        <w:cr/>
      </w:r>
    </w:p>
    <w:p w14:paraId="523C94FC" w14:textId="4CD5A653" w:rsidR="004A74A2" w:rsidRDefault="004A74A2" w:rsidP="004A74A2">
      <w:pPr>
        <w:spacing w:after="0" w:line="240" w:lineRule="auto"/>
        <w:jc w:val="both"/>
        <w:rPr>
          <w:rFonts w:ascii="Arial" w:hAnsi="Arial" w:cs="Arial"/>
          <w:sz w:val="24"/>
        </w:rPr>
      </w:pPr>
      <w:r w:rsidRPr="004A74A2">
        <w:rPr>
          <w:rFonts w:ascii="Arial" w:hAnsi="Arial" w:cs="Arial"/>
          <w:sz w:val="24"/>
        </w:rPr>
        <w:lastRenderedPageBreak/>
        <w:t>Considerando las metas de los RFSP, del balance público y de las empresas productivas del Estado, se estima un</w:t>
      </w:r>
      <w:r>
        <w:rPr>
          <w:rFonts w:ascii="Arial" w:hAnsi="Arial" w:cs="Arial"/>
          <w:sz w:val="24"/>
        </w:rPr>
        <w:t xml:space="preserve"> </w:t>
      </w:r>
      <w:r w:rsidRPr="004A74A2">
        <w:rPr>
          <w:rFonts w:ascii="Arial" w:hAnsi="Arial" w:cs="Arial"/>
          <w:sz w:val="24"/>
        </w:rPr>
        <w:t>déficit en el balance del Go</w:t>
      </w:r>
      <w:r w:rsidR="00525BE3">
        <w:rPr>
          <w:rFonts w:ascii="Arial" w:hAnsi="Arial" w:cs="Arial"/>
          <w:sz w:val="24"/>
        </w:rPr>
        <w:t>bierno Federal para 2021 de 2.8 por ciento</w:t>
      </w:r>
      <w:r w:rsidRPr="004A74A2">
        <w:rPr>
          <w:rFonts w:ascii="Arial" w:hAnsi="Arial" w:cs="Arial"/>
          <w:sz w:val="24"/>
        </w:rPr>
        <w:t xml:space="preserve"> del PIB.</w:t>
      </w:r>
    </w:p>
    <w:p w14:paraId="74E1833B" w14:textId="77777777" w:rsidR="009E33D2" w:rsidRDefault="009E33D2" w:rsidP="00C041EB">
      <w:pPr>
        <w:spacing w:after="0" w:line="240" w:lineRule="auto"/>
        <w:jc w:val="both"/>
        <w:rPr>
          <w:rFonts w:ascii="Arial" w:hAnsi="Arial" w:cs="Arial"/>
          <w:sz w:val="24"/>
        </w:rPr>
      </w:pPr>
    </w:p>
    <w:tbl>
      <w:tblPr>
        <w:tblStyle w:val="Tablaconcuadrcula"/>
        <w:tblW w:w="0" w:type="auto"/>
        <w:tblLook w:val="04A0" w:firstRow="1" w:lastRow="0" w:firstColumn="1" w:lastColumn="0" w:noHBand="0" w:noVBand="1"/>
      </w:tblPr>
      <w:tblGrid>
        <w:gridCol w:w="6091"/>
        <w:gridCol w:w="1559"/>
        <w:gridCol w:w="844"/>
      </w:tblGrid>
      <w:tr w:rsidR="009E33D2" w14:paraId="7B1E7AE0" w14:textId="77777777" w:rsidTr="0026481B">
        <w:tc>
          <w:tcPr>
            <w:tcW w:w="6091" w:type="dxa"/>
            <w:shd w:val="clear" w:color="auto" w:fill="DBDBDB" w:themeFill="accent3" w:themeFillTint="66"/>
            <w:vAlign w:val="center"/>
          </w:tcPr>
          <w:p w14:paraId="0A745E74" w14:textId="7300407E" w:rsidR="009E33D2" w:rsidRPr="00734B2C" w:rsidRDefault="004A74A2" w:rsidP="00734B2C">
            <w:pPr>
              <w:spacing w:after="0" w:line="240" w:lineRule="auto"/>
              <w:jc w:val="center"/>
              <w:rPr>
                <w:rFonts w:ascii="Arial" w:hAnsi="Arial" w:cs="Arial"/>
                <w:b/>
                <w:sz w:val="24"/>
              </w:rPr>
            </w:pPr>
            <w:r>
              <w:rPr>
                <w:rFonts w:ascii="Arial" w:hAnsi="Arial" w:cs="Arial"/>
                <w:b/>
                <w:sz w:val="28"/>
              </w:rPr>
              <w:t>Balance Público, 2021</w:t>
            </w:r>
          </w:p>
        </w:tc>
        <w:tc>
          <w:tcPr>
            <w:tcW w:w="1559" w:type="dxa"/>
            <w:shd w:val="clear" w:color="auto" w:fill="DBDBDB" w:themeFill="accent3" w:themeFillTint="66"/>
            <w:vAlign w:val="center"/>
          </w:tcPr>
          <w:p w14:paraId="2D5850E6" w14:textId="77777777" w:rsidR="009E33D2" w:rsidRPr="00734B2C" w:rsidRDefault="009E33D2" w:rsidP="00734B2C">
            <w:pPr>
              <w:spacing w:after="0" w:line="240" w:lineRule="auto"/>
              <w:jc w:val="center"/>
              <w:rPr>
                <w:rFonts w:ascii="Arial" w:hAnsi="Arial" w:cs="Arial"/>
                <w:b/>
                <w:sz w:val="24"/>
              </w:rPr>
            </w:pPr>
            <w:r w:rsidRPr="00734B2C">
              <w:rPr>
                <w:rFonts w:ascii="Arial" w:hAnsi="Arial" w:cs="Arial"/>
                <w:b/>
                <w:sz w:val="24"/>
              </w:rPr>
              <w:t>Millones de Pesos</w:t>
            </w:r>
          </w:p>
        </w:tc>
        <w:tc>
          <w:tcPr>
            <w:tcW w:w="844" w:type="dxa"/>
            <w:shd w:val="clear" w:color="auto" w:fill="DBDBDB" w:themeFill="accent3" w:themeFillTint="66"/>
            <w:vAlign w:val="center"/>
          </w:tcPr>
          <w:p w14:paraId="30244958" w14:textId="77777777" w:rsidR="009E33D2" w:rsidRPr="00734B2C" w:rsidRDefault="009E33D2" w:rsidP="00734B2C">
            <w:pPr>
              <w:spacing w:after="0" w:line="240" w:lineRule="auto"/>
              <w:jc w:val="center"/>
              <w:rPr>
                <w:rFonts w:ascii="Arial" w:hAnsi="Arial" w:cs="Arial"/>
                <w:b/>
                <w:sz w:val="24"/>
              </w:rPr>
            </w:pPr>
            <w:r w:rsidRPr="00734B2C">
              <w:rPr>
                <w:rFonts w:ascii="Arial" w:hAnsi="Arial" w:cs="Arial"/>
                <w:b/>
                <w:sz w:val="24"/>
              </w:rPr>
              <w:t>% del PIB</w:t>
            </w:r>
          </w:p>
        </w:tc>
      </w:tr>
      <w:tr w:rsidR="009E33D2" w14:paraId="35FC668B" w14:textId="77777777" w:rsidTr="00734B2C">
        <w:tc>
          <w:tcPr>
            <w:tcW w:w="6091" w:type="dxa"/>
          </w:tcPr>
          <w:p w14:paraId="5B5CCF45" w14:textId="3FD7DE89" w:rsidR="009E33D2" w:rsidRPr="00543328" w:rsidRDefault="00734B2C" w:rsidP="00C041EB">
            <w:pPr>
              <w:spacing w:after="0" w:line="240" w:lineRule="auto"/>
              <w:jc w:val="both"/>
              <w:rPr>
                <w:rFonts w:ascii="Arial" w:hAnsi="Arial" w:cs="Arial"/>
              </w:rPr>
            </w:pPr>
            <w:r w:rsidRPr="00543328">
              <w:rPr>
                <w:rFonts w:ascii="Arial" w:hAnsi="Arial" w:cs="Arial"/>
              </w:rPr>
              <w:t>Requerimientos Financieros del Sector Público (RFSP)</w:t>
            </w:r>
          </w:p>
        </w:tc>
        <w:tc>
          <w:tcPr>
            <w:tcW w:w="1559" w:type="dxa"/>
          </w:tcPr>
          <w:p w14:paraId="1288797D" w14:textId="3A4805BD" w:rsidR="009E33D2" w:rsidRPr="00543328" w:rsidRDefault="009E4385" w:rsidP="00AC28FE">
            <w:pPr>
              <w:spacing w:after="0" w:line="240" w:lineRule="auto"/>
              <w:jc w:val="right"/>
              <w:rPr>
                <w:rFonts w:ascii="Arial" w:hAnsi="Arial" w:cs="Arial"/>
              </w:rPr>
            </w:pPr>
            <w:r>
              <w:rPr>
                <w:rFonts w:ascii="Arial" w:hAnsi="Arial" w:cs="Arial"/>
              </w:rPr>
              <w:t>-842,406.3</w:t>
            </w:r>
          </w:p>
        </w:tc>
        <w:tc>
          <w:tcPr>
            <w:tcW w:w="844" w:type="dxa"/>
          </w:tcPr>
          <w:p w14:paraId="18A967B6" w14:textId="7BC1F75B" w:rsidR="009E33D2" w:rsidRPr="00543328" w:rsidRDefault="0058787C" w:rsidP="00AC28FE">
            <w:pPr>
              <w:spacing w:after="0" w:line="240" w:lineRule="auto"/>
              <w:jc w:val="right"/>
              <w:rPr>
                <w:rFonts w:ascii="Arial" w:hAnsi="Arial" w:cs="Arial"/>
              </w:rPr>
            </w:pPr>
            <w:r>
              <w:rPr>
                <w:rFonts w:ascii="Arial" w:hAnsi="Arial" w:cs="Arial"/>
              </w:rPr>
              <w:t>-3.4</w:t>
            </w:r>
          </w:p>
        </w:tc>
      </w:tr>
      <w:tr w:rsidR="00D4197D" w14:paraId="7F2B29A3" w14:textId="77777777" w:rsidTr="00734B2C">
        <w:tc>
          <w:tcPr>
            <w:tcW w:w="6091" w:type="dxa"/>
          </w:tcPr>
          <w:p w14:paraId="3A0A147C" w14:textId="76BF9681" w:rsidR="00D4197D" w:rsidRPr="00543328" w:rsidRDefault="009E4385" w:rsidP="00C041EB">
            <w:pPr>
              <w:spacing w:after="0" w:line="240" w:lineRule="auto"/>
              <w:jc w:val="both"/>
              <w:rPr>
                <w:rFonts w:ascii="Arial" w:hAnsi="Arial" w:cs="Arial"/>
              </w:rPr>
            </w:pPr>
            <w:r>
              <w:rPr>
                <w:rFonts w:ascii="Arial" w:hAnsi="Arial" w:cs="Arial"/>
              </w:rPr>
              <w:t>Balance público</w:t>
            </w:r>
          </w:p>
        </w:tc>
        <w:tc>
          <w:tcPr>
            <w:tcW w:w="1559" w:type="dxa"/>
          </w:tcPr>
          <w:p w14:paraId="2FC09A89" w14:textId="661521F9" w:rsidR="00D4197D" w:rsidRPr="00543328" w:rsidRDefault="009E4385" w:rsidP="00AC28FE">
            <w:pPr>
              <w:spacing w:after="0" w:line="240" w:lineRule="auto"/>
              <w:jc w:val="right"/>
              <w:rPr>
                <w:rFonts w:ascii="Arial" w:hAnsi="Arial" w:cs="Arial"/>
              </w:rPr>
            </w:pPr>
            <w:r>
              <w:rPr>
                <w:rFonts w:ascii="Arial" w:hAnsi="Arial" w:cs="Arial"/>
              </w:rPr>
              <w:t>-718,193.4</w:t>
            </w:r>
          </w:p>
        </w:tc>
        <w:tc>
          <w:tcPr>
            <w:tcW w:w="844" w:type="dxa"/>
          </w:tcPr>
          <w:p w14:paraId="0AF54A2C" w14:textId="5B3B6946" w:rsidR="00D4197D" w:rsidRPr="00543328" w:rsidRDefault="0058787C" w:rsidP="00AC28FE">
            <w:pPr>
              <w:spacing w:after="0" w:line="240" w:lineRule="auto"/>
              <w:jc w:val="right"/>
              <w:rPr>
                <w:rFonts w:ascii="Arial" w:hAnsi="Arial" w:cs="Arial"/>
              </w:rPr>
            </w:pPr>
            <w:r>
              <w:rPr>
                <w:rFonts w:ascii="Arial" w:hAnsi="Arial" w:cs="Arial"/>
              </w:rPr>
              <w:t>-2.9</w:t>
            </w:r>
          </w:p>
        </w:tc>
      </w:tr>
      <w:tr w:rsidR="00734B2C" w14:paraId="384565E6" w14:textId="77777777" w:rsidTr="00734B2C">
        <w:tc>
          <w:tcPr>
            <w:tcW w:w="6091" w:type="dxa"/>
          </w:tcPr>
          <w:p w14:paraId="3EDFF229" w14:textId="7B8B2DA8" w:rsidR="00734B2C" w:rsidRDefault="009E4385" w:rsidP="00C041EB">
            <w:pPr>
              <w:spacing w:after="0" w:line="240" w:lineRule="auto"/>
              <w:jc w:val="both"/>
              <w:rPr>
                <w:rFonts w:ascii="Arial" w:hAnsi="Arial" w:cs="Arial"/>
              </w:rPr>
            </w:pPr>
            <w:r>
              <w:rPr>
                <w:rFonts w:ascii="Arial" w:hAnsi="Arial" w:cs="Arial"/>
              </w:rPr>
              <w:t>Balance p</w:t>
            </w:r>
            <w:r w:rsidR="00D4197D">
              <w:rPr>
                <w:rFonts w:ascii="Arial" w:hAnsi="Arial" w:cs="Arial"/>
              </w:rPr>
              <w:t>úblico</w:t>
            </w:r>
            <w:r>
              <w:rPr>
                <w:rFonts w:ascii="Arial" w:hAnsi="Arial" w:cs="Arial"/>
              </w:rPr>
              <w:t xml:space="preserve"> sin inversión 1/</w:t>
            </w:r>
          </w:p>
        </w:tc>
        <w:tc>
          <w:tcPr>
            <w:tcW w:w="1559" w:type="dxa"/>
          </w:tcPr>
          <w:p w14:paraId="3059F579" w14:textId="382BD879" w:rsidR="00734B2C" w:rsidRPr="00734B2C" w:rsidRDefault="009E4385" w:rsidP="00AC28FE">
            <w:pPr>
              <w:spacing w:after="0" w:line="240" w:lineRule="auto"/>
              <w:jc w:val="right"/>
              <w:rPr>
                <w:rFonts w:ascii="Arial" w:hAnsi="Arial" w:cs="Arial"/>
              </w:rPr>
            </w:pPr>
            <w:r>
              <w:rPr>
                <w:rFonts w:ascii="Arial" w:hAnsi="Arial" w:cs="Arial"/>
              </w:rPr>
              <w:t>-175,084.7</w:t>
            </w:r>
          </w:p>
        </w:tc>
        <w:tc>
          <w:tcPr>
            <w:tcW w:w="844" w:type="dxa"/>
          </w:tcPr>
          <w:p w14:paraId="062AEFFD" w14:textId="11428F27" w:rsidR="00734B2C" w:rsidRPr="00734B2C" w:rsidRDefault="0058787C" w:rsidP="00AC28FE">
            <w:pPr>
              <w:spacing w:after="0" w:line="240" w:lineRule="auto"/>
              <w:jc w:val="right"/>
              <w:rPr>
                <w:rFonts w:ascii="Arial" w:hAnsi="Arial" w:cs="Arial"/>
              </w:rPr>
            </w:pPr>
            <w:r>
              <w:rPr>
                <w:rFonts w:ascii="Arial" w:hAnsi="Arial" w:cs="Arial"/>
              </w:rPr>
              <w:t>-0.7</w:t>
            </w:r>
          </w:p>
        </w:tc>
      </w:tr>
      <w:tr w:rsidR="00734B2C" w14:paraId="67271CDC" w14:textId="77777777" w:rsidTr="00734B2C">
        <w:tc>
          <w:tcPr>
            <w:tcW w:w="6091" w:type="dxa"/>
          </w:tcPr>
          <w:p w14:paraId="5962E9BE" w14:textId="77777777" w:rsidR="00734B2C" w:rsidRPr="00543328" w:rsidRDefault="00734B2C" w:rsidP="00734B2C">
            <w:pPr>
              <w:pStyle w:val="Prrafodelista"/>
              <w:numPr>
                <w:ilvl w:val="0"/>
                <w:numId w:val="5"/>
              </w:numPr>
              <w:spacing w:after="0" w:line="240" w:lineRule="auto"/>
              <w:jc w:val="both"/>
              <w:rPr>
                <w:rFonts w:ascii="Arial" w:hAnsi="Arial" w:cs="Arial"/>
                <w:i/>
              </w:rPr>
            </w:pPr>
            <w:r w:rsidRPr="00543328">
              <w:rPr>
                <w:rFonts w:ascii="Arial" w:hAnsi="Arial" w:cs="Arial"/>
                <w:i/>
              </w:rPr>
              <w:t>Presupuestario</w:t>
            </w:r>
          </w:p>
        </w:tc>
        <w:tc>
          <w:tcPr>
            <w:tcW w:w="1559" w:type="dxa"/>
          </w:tcPr>
          <w:p w14:paraId="42ADF8E9" w14:textId="39BB1C84" w:rsidR="00734B2C" w:rsidRPr="00543328" w:rsidRDefault="009E4385" w:rsidP="00AC28FE">
            <w:pPr>
              <w:spacing w:after="0" w:line="240" w:lineRule="auto"/>
              <w:jc w:val="right"/>
              <w:rPr>
                <w:rFonts w:ascii="Arial" w:hAnsi="Arial" w:cs="Arial"/>
                <w:i/>
              </w:rPr>
            </w:pPr>
            <w:r>
              <w:rPr>
                <w:rFonts w:ascii="Arial" w:hAnsi="Arial" w:cs="Arial"/>
                <w:i/>
              </w:rPr>
              <w:t>-718,193.4</w:t>
            </w:r>
          </w:p>
        </w:tc>
        <w:tc>
          <w:tcPr>
            <w:tcW w:w="844" w:type="dxa"/>
          </w:tcPr>
          <w:p w14:paraId="2732E926" w14:textId="417A9426" w:rsidR="00734B2C" w:rsidRPr="00543328" w:rsidRDefault="0058787C" w:rsidP="00AC28FE">
            <w:pPr>
              <w:spacing w:after="0" w:line="240" w:lineRule="auto"/>
              <w:jc w:val="right"/>
              <w:rPr>
                <w:rFonts w:ascii="Arial" w:hAnsi="Arial" w:cs="Arial"/>
                <w:i/>
              </w:rPr>
            </w:pPr>
            <w:r>
              <w:rPr>
                <w:rFonts w:ascii="Arial" w:hAnsi="Arial" w:cs="Arial"/>
                <w:i/>
              </w:rPr>
              <w:t>-2.9</w:t>
            </w:r>
          </w:p>
        </w:tc>
      </w:tr>
      <w:tr w:rsidR="00734B2C" w14:paraId="25274EFE" w14:textId="77777777" w:rsidTr="00734B2C">
        <w:tc>
          <w:tcPr>
            <w:tcW w:w="6091" w:type="dxa"/>
          </w:tcPr>
          <w:p w14:paraId="628B1DC1" w14:textId="77777777" w:rsidR="00734B2C" w:rsidRPr="00543328" w:rsidRDefault="00734B2C" w:rsidP="00734B2C">
            <w:pPr>
              <w:pStyle w:val="Prrafodelista"/>
              <w:numPr>
                <w:ilvl w:val="0"/>
                <w:numId w:val="7"/>
              </w:numPr>
              <w:spacing w:after="0" w:line="240" w:lineRule="auto"/>
              <w:jc w:val="both"/>
              <w:rPr>
                <w:rFonts w:ascii="Arial" w:hAnsi="Arial" w:cs="Arial"/>
                <w:i/>
              </w:rPr>
            </w:pPr>
            <w:r w:rsidRPr="00543328">
              <w:rPr>
                <w:rFonts w:ascii="Arial" w:hAnsi="Arial" w:cs="Arial"/>
                <w:i/>
              </w:rPr>
              <w:t>Gobierno Federal</w:t>
            </w:r>
          </w:p>
        </w:tc>
        <w:tc>
          <w:tcPr>
            <w:tcW w:w="1559" w:type="dxa"/>
          </w:tcPr>
          <w:p w14:paraId="0E015C4B" w14:textId="2469D2E0" w:rsidR="00734B2C" w:rsidRPr="00543328" w:rsidRDefault="009E4385" w:rsidP="00AC28FE">
            <w:pPr>
              <w:spacing w:after="0" w:line="240" w:lineRule="auto"/>
              <w:jc w:val="right"/>
              <w:rPr>
                <w:rFonts w:ascii="Arial" w:hAnsi="Arial" w:cs="Arial"/>
                <w:i/>
              </w:rPr>
            </w:pPr>
            <w:r>
              <w:rPr>
                <w:rFonts w:ascii="Arial" w:hAnsi="Arial" w:cs="Arial"/>
                <w:i/>
              </w:rPr>
              <w:t>-699,125.7</w:t>
            </w:r>
          </w:p>
        </w:tc>
        <w:tc>
          <w:tcPr>
            <w:tcW w:w="844" w:type="dxa"/>
          </w:tcPr>
          <w:p w14:paraId="653E614A" w14:textId="16924C80" w:rsidR="00734B2C" w:rsidRPr="00543328" w:rsidRDefault="0058787C" w:rsidP="00AC28FE">
            <w:pPr>
              <w:spacing w:after="0" w:line="240" w:lineRule="auto"/>
              <w:jc w:val="right"/>
              <w:rPr>
                <w:rFonts w:ascii="Arial" w:hAnsi="Arial" w:cs="Arial"/>
                <w:i/>
              </w:rPr>
            </w:pPr>
            <w:r>
              <w:rPr>
                <w:rFonts w:ascii="Arial" w:hAnsi="Arial" w:cs="Arial"/>
                <w:i/>
              </w:rPr>
              <w:t>-2.8</w:t>
            </w:r>
          </w:p>
        </w:tc>
      </w:tr>
      <w:tr w:rsidR="00734B2C" w14:paraId="234E7971" w14:textId="77777777" w:rsidTr="00734B2C">
        <w:tc>
          <w:tcPr>
            <w:tcW w:w="6091" w:type="dxa"/>
          </w:tcPr>
          <w:p w14:paraId="700E2A75" w14:textId="77777777" w:rsidR="00734B2C" w:rsidRPr="00543328" w:rsidRDefault="00734B2C" w:rsidP="00734B2C">
            <w:pPr>
              <w:pStyle w:val="Prrafodelista"/>
              <w:numPr>
                <w:ilvl w:val="0"/>
                <w:numId w:val="7"/>
              </w:numPr>
              <w:spacing w:after="0" w:line="240" w:lineRule="auto"/>
              <w:jc w:val="both"/>
              <w:rPr>
                <w:rFonts w:ascii="Arial" w:hAnsi="Arial" w:cs="Arial"/>
                <w:i/>
              </w:rPr>
            </w:pPr>
            <w:r w:rsidRPr="00543328">
              <w:rPr>
                <w:rFonts w:ascii="Arial" w:hAnsi="Arial" w:cs="Arial"/>
                <w:i/>
              </w:rPr>
              <w:t>Organismos y empresas</w:t>
            </w:r>
          </w:p>
        </w:tc>
        <w:tc>
          <w:tcPr>
            <w:tcW w:w="1559" w:type="dxa"/>
          </w:tcPr>
          <w:p w14:paraId="6A7FAF94" w14:textId="6EC4A809" w:rsidR="00734B2C" w:rsidRPr="00543328" w:rsidRDefault="009E4385" w:rsidP="00AC28FE">
            <w:pPr>
              <w:spacing w:after="0" w:line="240" w:lineRule="auto"/>
              <w:jc w:val="right"/>
              <w:rPr>
                <w:rFonts w:ascii="Arial" w:hAnsi="Arial" w:cs="Arial"/>
                <w:i/>
              </w:rPr>
            </w:pPr>
            <w:r>
              <w:rPr>
                <w:rFonts w:ascii="Arial" w:hAnsi="Arial" w:cs="Arial"/>
                <w:i/>
              </w:rPr>
              <w:t>-19,067.7</w:t>
            </w:r>
          </w:p>
        </w:tc>
        <w:tc>
          <w:tcPr>
            <w:tcW w:w="844" w:type="dxa"/>
          </w:tcPr>
          <w:p w14:paraId="3F7FC251" w14:textId="058D840C" w:rsidR="00734B2C" w:rsidRPr="00543328" w:rsidRDefault="0058787C" w:rsidP="00AC28FE">
            <w:pPr>
              <w:spacing w:after="0" w:line="240" w:lineRule="auto"/>
              <w:jc w:val="right"/>
              <w:rPr>
                <w:rFonts w:ascii="Arial" w:hAnsi="Arial" w:cs="Arial"/>
                <w:i/>
              </w:rPr>
            </w:pPr>
            <w:r>
              <w:rPr>
                <w:rFonts w:ascii="Arial" w:hAnsi="Arial" w:cs="Arial"/>
                <w:i/>
              </w:rPr>
              <w:t>-0.1</w:t>
            </w:r>
          </w:p>
        </w:tc>
      </w:tr>
      <w:tr w:rsidR="00734B2C" w14:paraId="30186EEA" w14:textId="77777777" w:rsidTr="00734B2C">
        <w:tc>
          <w:tcPr>
            <w:tcW w:w="6091" w:type="dxa"/>
          </w:tcPr>
          <w:p w14:paraId="149599A1" w14:textId="77777777" w:rsidR="00734B2C" w:rsidRPr="00543328" w:rsidRDefault="00B2574D" w:rsidP="00B2574D">
            <w:pPr>
              <w:pStyle w:val="Prrafodelista"/>
              <w:numPr>
                <w:ilvl w:val="0"/>
                <w:numId w:val="8"/>
              </w:numPr>
              <w:spacing w:after="0" w:line="240" w:lineRule="auto"/>
              <w:jc w:val="both"/>
              <w:rPr>
                <w:rFonts w:ascii="Arial" w:hAnsi="Arial" w:cs="Arial"/>
                <w:i/>
              </w:rPr>
            </w:pPr>
            <w:r w:rsidRPr="00543328">
              <w:rPr>
                <w:rFonts w:ascii="Arial" w:hAnsi="Arial" w:cs="Arial"/>
                <w:i/>
              </w:rPr>
              <w:t>Entidades de control directo</w:t>
            </w:r>
          </w:p>
        </w:tc>
        <w:tc>
          <w:tcPr>
            <w:tcW w:w="1559" w:type="dxa"/>
          </w:tcPr>
          <w:p w14:paraId="4A336418" w14:textId="572CD059" w:rsidR="00734B2C" w:rsidRPr="00543328" w:rsidRDefault="009E4385" w:rsidP="00AC28FE">
            <w:pPr>
              <w:spacing w:after="0" w:line="240" w:lineRule="auto"/>
              <w:jc w:val="right"/>
              <w:rPr>
                <w:rFonts w:ascii="Arial" w:hAnsi="Arial" w:cs="Arial"/>
                <w:i/>
              </w:rPr>
            </w:pPr>
            <w:r>
              <w:rPr>
                <w:rFonts w:ascii="Arial" w:hAnsi="Arial" w:cs="Arial"/>
                <w:i/>
              </w:rPr>
              <w:t>45,119</w:t>
            </w:r>
            <w:r w:rsidR="00B70861">
              <w:rPr>
                <w:rFonts w:ascii="Arial" w:hAnsi="Arial" w:cs="Arial"/>
                <w:i/>
              </w:rPr>
              <w:t>.3</w:t>
            </w:r>
          </w:p>
        </w:tc>
        <w:tc>
          <w:tcPr>
            <w:tcW w:w="844" w:type="dxa"/>
          </w:tcPr>
          <w:p w14:paraId="3093C5CF" w14:textId="210F8705" w:rsidR="00734B2C" w:rsidRPr="00543328" w:rsidRDefault="0058787C" w:rsidP="00AC28FE">
            <w:pPr>
              <w:spacing w:after="0" w:line="240" w:lineRule="auto"/>
              <w:jc w:val="right"/>
              <w:rPr>
                <w:rFonts w:ascii="Arial" w:hAnsi="Arial" w:cs="Arial"/>
                <w:i/>
              </w:rPr>
            </w:pPr>
            <w:r>
              <w:rPr>
                <w:rFonts w:ascii="Arial" w:hAnsi="Arial" w:cs="Arial"/>
                <w:i/>
              </w:rPr>
              <w:t>0.2</w:t>
            </w:r>
          </w:p>
        </w:tc>
      </w:tr>
      <w:tr w:rsidR="00734B2C" w14:paraId="4C2F2E67" w14:textId="77777777" w:rsidTr="00734B2C">
        <w:tc>
          <w:tcPr>
            <w:tcW w:w="6091" w:type="dxa"/>
          </w:tcPr>
          <w:p w14:paraId="3463E33F" w14:textId="77777777" w:rsidR="00734B2C" w:rsidRPr="00543328" w:rsidRDefault="00B2574D" w:rsidP="00B2574D">
            <w:pPr>
              <w:pStyle w:val="Prrafodelista"/>
              <w:numPr>
                <w:ilvl w:val="0"/>
                <w:numId w:val="9"/>
              </w:numPr>
              <w:spacing w:after="0" w:line="240" w:lineRule="auto"/>
              <w:jc w:val="both"/>
              <w:rPr>
                <w:rFonts w:ascii="Arial" w:hAnsi="Arial" w:cs="Arial"/>
                <w:i/>
              </w:rPr>
            </w:pPr>
            <w:r w:rsidRPr="00543328">
              <w:rPr>
                <w:rFonts w:ascii="Arial" w:hAnsi="Arial" w:cs="Arial"/>
                <w:i/>
              </w:rPr>
              <w:t>IMSS</w:t>
            </w:r>
          </w:p>
        </w:tc>
        <w:tc>
          <w:tcPr>
            <w:tcW w:w="1559" w:type="dxa"/>
          </w:tcPr>
          <w:p w14:paraId="7711B25D" w14:textId="1B74CB02" w:rsidR="00734B2C" w:rsidRPr="00543328" w:rsidRDefault="0058787C" w:rsidP="00AC28FE">
            <w:pPr>
              <w:spacing w:after="0" w:line="240" w:lineRule="auto"/>
              <w:jc w:val="right"/>
              <w:rPr>
                <w:rFonts w:ascii="Arial" w:hAnsi="Arial" w:cs="Arial"/>
                <w:i/>
              </w:rPr>
            </w:pPr>
            <w:r>
              <w:rPr>
                <w:rFonts w:ascii="Arial" w:hAnsi="Arial" w:cs="Arial"/>
                <w:i/>
              </w:rPr>
              <w:t>35,340.2</w:t>
            </w:r>
          </w:p>
        </w:tc>
        <w:tc>
          <w:tcPr>
            <w:tcW w:w="844" w:type="dxa"/>
          </w:tcPr>
          <w:p w14:paraId="7CF488C0" w14:textId="6BBB894E" w:rsidR="00734B2C" w:rsidRPr="00543328" w:rsidRDefault="0058787C" w:rsidP="00AC28FE">
            <w:pPr>
              <w:spacing w:after="0" w:line="240" w:lineRule="auto"/>
              <w:jc w:val="right"/>
              <w:rPr>
                <w:rFonts w:ascii="Arial" w:hAnsi="Arial" w:cs="Arial"/>
                <w:i/>
              </w:rPr>
            </w:pPr>
            <w:r>
              <w:rPr>
                <w:rFonts w:ascii="Arial" w:hAnsi="Arial" w:cs="Arial"/>
                <w:i/>
              </w:rPr>
              <w:t>0.1</w:t>
            </w:r>
          </w:p>
        </w:tc>
      </w:tr>
      <w:tr w:rsidR="00734B2C" w14:paraId="11E75B52" w14:textId="77777777" w:rsidTr="00734B2C">
        <w:tc>
          <w:tcPr>
            <w:tcW w:w="6091" w:type="dxa"/>
          </w:tcPr>
          <w:p w14:paraId="4913FA9C" w14:textId="77777777" w:rsidR="00734B2C" w:rsidRPr="00543328" w:rsidRDefault="00B2574D" w:rsidP="00B2574D">
            <w:pPr>
              <w:pStyle w:val="Prrafodelista"/>
              <w:numPr>
                <w:ilvl w:val="0"/>
                <w:numId w:val="9"/>
              </w:numPr>
              <w:spacing w:after="0" w:line="240" w:lineRule="auto"/>
              <w:jc w:val="both"/>
              <w:rPr>
                <w:rFonts w:ascii="Arial" w:hAnsi="Arial" w:cs="Arial"/>
                <w:i/>
              </w:rPr>
            </w:pPr>
            <w:r w:rsidRPr="00543328">
              <w:rPr>
                <w:rFonts w:ascii="Arial" w:hAnsi="Arial" w:cs="Arial"/>
                <w:i/>
              </w:rPr>
              <w:t>ISSSTE</w:t>
            </w:r>
          </w:p>
        </w:tc>
        <w:tc>
          <w:tcPr>
            <w:tcW w:w="1559" w:type="dxa"/>
          </w:tcPr>
          <w:p w14:paraId="1E8220AB" w14:textId="05FD30C8" w:rsidR="00734B2C" w:rsidRPr="00543328" w:rsidRDefault="0058787C" w:rsidP="00AC28FE">
            <w:pPr>
              <w:spacing w:after="0" w:line="240" w:lineRule="auto"/>
              <w:jc w:val="right"/>
              <w:rPr>
                <w:rFonts w:ascii="Arial" w:hAnsi="Arial" w:cs="Arial"/>
                <w:i/>
              </w:rPr>
            </w:pPr>
            <w:r>
              <w:rPr>
                <w:rFonts w:ascii="Arial" w:hAnsi="Arial" w:cs="Arial"/>
                <w:i/>
              </w:rPr>
              <w:t>9,779.1</w:t>
            </w:r>
          </w:p>
        </w:tc>
        <w:tc>
          <w:tcPr>
            <w:tcW w:w="844" w:type="dxa"/>
          </w:tcPr>
          <w:p w14:paraId="012C0C7A" w14:textId="148F61E9" w:rsidR="00734B2C" w:rsidRPr="00543328" w:rsidRDefault="0058787C" w:rsidP="00AC28FE">
            <w:pPr>
              <w:spacing w:after="0" w:line="240" w:lineRule="auto"/>
              <w:jc w:val="right"/>
              <w:rPr>
                <w:rFonts w:ascii="Arial" w:hAnsi="Arial" w:cs="Arial"/>
                <w:i/>
              </w:rPr>
            </w:pPr>
            <w:r>
              <w:rPr>
                <w:rFonts w:ascii="Arial" w:hAnsi="Arial" w:cs="Arial"/>
                <w:i/>
              </w:rPr>
              <w:t>0.0</w:t>
            </w:r>
          </w:p>
        </w:tc>
      </w:tr>
      <w:tr w:rsidR="00734B2C" w14:paraId="28C788D1" w14:textId="77777777" w:rsidTr="00734B2C">
        <w:tc>
          <w:tcPr>
            <w:tcW w:w="6091" w:type="dxa"/>
          </w:tcPr>
          <w:p w14:paraId="73A718B4" w14:textId="77777777" w:rsidR="00734B2C" w:rsidRPr="00543328" w:rsidRDefault="00B2574D" w:rsidP="00B2574D">
            <w:pPr>
              <w:pStyle w:val="Prrafodelista"/>
              <w:numPr>
                <w:ilvl w:val="0"/>
                <w:numId w:val="8"/>
              </w:numPr>
              <w:spacing w:after="0" w:line="240" w:lineRule="auto"/>
              <w:jc w:val="both"/>
              <w:rPr>
                <w:rFonts w:ascii="Arial" w:hAnsi="Arial" w:cs="Arial"/>
                <w:i/>
              </w:rPr>
            </w:pPr>
            <w:r w:rsidRPr="00543328">
              <w:rPr>
                <w:rFonts w:ascii="Arial" w:hAnsi="Arial" w:cs="Arial"/>
                <w:i/>
              </w:rPr>
              <w:t>Empresas productivas del Estado</w:t>
            </w:r>
          </w:p>
        </w:tc>
        <w:tc>
          <w:tcPr>
            <w:tcW w:w="1559" w:type="dxa"/>
          </w:tcPr>
          <w:p w14:paraId="6C6B9468" w14:textId="4FF453AE" w:rsidR="00734B2C" w:rsidRPr="00543328" w:rsidRDefault="0058787C" w:rsidP="00AC28FE">
            <w:pPr>
              <w:spacing w:after="0" w:line="240" w:lineRule="auto"/>
              <w:jc w:val="right"/>
              <w:rPr>
                <w:rFonts w:ascii="Arial" w:hAnsi="Arial" w:cs="Arial"/>
                <w:i/>
              </w:rPr>
            </w:pPr>
            <w:r>
              <w:rPr>
                <w:rFonts w:ascii="Arial" w:hAnsi="Arial" w:cs="Arial"/>
                <w:i/>
              </w:rPr>
              <w:t>-64,187.0</w:t>
            </w:r>
          </w:p>
        </w:tc>
        <w:tc>
          <w:tcPr>
            <w:tcW w:w="844" w:type="dxa"/>
          </w:tcPr>
          <w:p w14:paraId="7629484C" w14:textId="5BABE2C3" w:rsidR="00734B2C" w:rsidRPr="00543328" w:rsidRDefault="0058787C" w:rsidP="00AC28FE">
            <w:pPr>
              <w:spacing w:after="0" w:line="240" w:lineRule="auto"/>
              <w:jc w:val="right"/>
              <w:rPr>
                <w:rFonts w:ascii="Arial" w:hAnsi="Arial" w:cs="Arial"/>
                <w:i/>
              </w:rPr>
            </w:pPr>
            <w:r>
              <w:rPr>
                <w:rFonts w:ascii="Arial" w:hAnsi="Arial" w:cs="Arial"/>
                <w:i/>
              </w:rPr>
              <w:t>-0.3</w:t>
            </w:r>
          </w:p>
        </w:tc>
      </w:tr>
      <w:tr w:rsidR="00734B2C" w14:paraId="10A8CCF5" w14:textId="77777777" w:rsidTr="00734B2C">
        <w:tc>
          <w:tcPr>
            <w:tcW w:w="6091" w:type="dxa"/>
          </w:tcPr>
          <w:p w14:paraId="09D8817C" w14:textId="77777777" w:rsidR="00B2574D" w:rsidRPr="00543328" w:rsidRDefault="00B2574D" w:rsidP="00B2574D">
            <w:pPr>
              <w:pStyle w:val="Prrafodelista"/>
              <w:numPr>
                <w:ilvl w:val="0"/>
                <w:numId w:val="11"/>
              </w:numPr>
              <w:spacing w:after="0" w:line="240" w:lineRule="auto"/>
              <w:jc w:val="both"/>
              <w:rPr>
                <w:rFonts w:ascii="Arial" w:hAnsi="Arial" w:cs="Arial"/>
                <w:i/>
              </w:rPr>
            </w:pPr>
            <w:r w:rsidRPr="00543328">
              <w:rPr>
                <w:rFonts w:ascii="Arial" w:hAnsi="Arial" w:cs="Arial"/>
                <w:i/>
              </w:rPr>
              <w:t>Pemex</w:t>
            </w:r>
          </w:p>
        </w:tc>
        <w:tc>
          <w:tcPr>
            <w:tcW w:w="1559" w:type="dxa"/>
          </w:tcPr>
          <w:p w14:paraId="51EC376E" w14:textId="2A11E7FF" w:rsidR="00734B2C" w:rsidRPr="00543328" w:rsidRDefault="0058787C" w:rsidP="00AC28FE">
            <w:pPr>
              <w:spacing w:after="0" w:line="240" w:lineRule="auto"/>
              <w:jc w:val="right"/>
              <w:rPr>
                <w:rFonts w:ascii="Arial" w:hAnsi="Arial" w:cs="Arial"/>
                <w:i/>
              </w:rPr>
            </w:pPr>
            <w:r>
              <w:rPr>
                <w:rFonts w:ascii="Arial" w:hAnsi="Arial" w:cs="Arial"/>
                <w:i/>
              </w:rPr>
              <w:t>-92,687.0</w:t>
            </w:r>
          </w:p>
        </w:tc>
        <w:tc>
          <w:tcPr>
            <w:tcW w:w="844" w:type="dxa"/>
          </w:tcPr>
          <w:p w14:paraId="6E175871" w14:textId="6C2738BD" w:rsidR="00734B2C" w:rsidRPr="00543328" w:rsidRDefault="0058787C" w:rsidP="00AC28FE">
            <w:pPr>
              <w:spacing w:after="0" w:line="240" w:lineRule="auto"/>
              <w:jc w:val="right"/>
              <w:rPr>
                <w:rFonts w:ascii="Arial" w:hAnsi="Arial" w:cs="Arial"/>
                <w:i/>
              </w:rPr>
            </w:pPr>
            <w:r>
              <w:rPr>
                <w:rFonts w:ascii="Arial" w:hAnsi="Arial" w:cs="Arial"/>
                <w:i/>
              </w:rPr>
              <w:t>-0.4</w:t>
            </w:r>
          </w:p>
        </w:tc>
      </w:tr>
      <w:tr w:rsidR="00734B2C" w14:paraId="395CF73F" w14:textId="77777777" w:rsidTr="00734B2C">
        <w:tc>
          <w:tcPr>
            <w:tcW w:w="6091" w:type="dxa"/>
          </w:tcPr>
          <w:p w14:paraId="36CB87AE" w14:textId="77777777" w:rsidR="00734B2C" w:rsidRPr="00543328" w:rsidRDefault="00B2574D" w:rsidP="00B2574D">
            <w:pPr>
              <w:pStyle w:val="Prrafodelista"/>
              <w:numPr>
                <w:ilvl w:val="0"/>
                <w:numId w:val="11"/>
              </w:numPr>
              <w:spacing w:after="0" w:line="240" w:lineRule="auto"/>
              <w:jc w:val="both"/>
              <w:rPr>
                <w:rFonts w:ascii="Arial" w:hAnsi="Arial" w:cs="Arial"/>
                <w:i/>
              </w:rPr>
            </w:pPr>
            <w:r w:rsidRPr="00543328">
              <w:rPr>
                <w:rFonts w:ascii="Arial" w:hAnsi="Arial" w:cs="Arial"/>
                <w:i/>
              </w:rPr>
              <w:t>CFE</w:t>
            </w:r>
          </w:p>
        </w:tc>
        <w:tc>
          <w:tcPr>
            <w:tcW w:w="1559" w:type="dxa"/>
          </w:tcPr>
          <w:p w14:paraId="3920EC49" w14:textId="0BFDE7FF" w:rsidR="00734B2C" w:rsidRPr="00543328" w:rsidRDefault="0058787C" w:rsidP="00AC28FE">
            <w:pPr>
              <w:spacing w:after="0" w:line="240" w:lineRule="auto"/>
              <w:jc w:val="right"/>
              <w:rPr>
                <w:rFonts w:ascii="Arial" w:hAnsi="Arial" w:cs="Arial"/>
                <w:i/>
              </w:rPr>
            </w:pPr>
            <w:r>
              <w:rPr>
                <w:rFonts w:ascii="Arial" w:hAnsi="Arial" w:cs="Arial"/>
                <w:i/>
              </w:rPr>
              <w:t>28,500.0</w:t>
            </w:r>
          </w:p>
        </w:tc>
        <w:tc>
          <w:tcPr>
            <w:tcW w:w="844" w:type="dxa"/>
          </w:tcPr>
          <w:p w14:paraId="3F1590B3" w14:textId="37B8AC10" w:rsidR="00734B2C" w:rsidRPr="00543328" w:rsidRDefault="0058787C" w:rsidP="00AC28FE">
            <w:pPr>
              <w:spacing w:after="0" w:line="240" w:lineRule="auto"/>
              <w:jc w:val="right"/>
              <w:rPr>
                <w:rFonts w:ascii="Arial" w:hAnsi="Arial" w:cs="Arial"/>
                <w:i/>
              </w:rPr>
            </w:pPr>
            <w:r>
              <w:rPr>
                <w:rFonts w:ascii="Arial" w:hAnsi="Arial" w:cs="Arial"/>
                <w:i/>
              </w:rPr>
              <w:t>0.1</w:t>
            </w:r>
          </w:p>
        </w:tc>
      </w:tr>
      <w:tr w:rsidR="00734B2C" w14:paraId="489CF944" w14:textId="77777777" w:rsidTr="00734B2C">
        <w:tc>
          <w:tcPr>
            <w:tcW w:w="6091" w:type="dxa"/>
          </w:tcPr>
          <w:p w14:paraId="3E860C05" w14:textId="77777777" w:rsidR="00734B2C" w:rsidRPr="00B2574D" w:rsidRDefault="00B2574D" w:rsidP="00B2574D">
            <w:pPr>
              <w:pStyle w:val="Prrafodelista"/>
              <w:numPr>
                <w:ilvl w:val="0"/>
                <w:numId w:val="5"/>
              </w:numPr>
              <w:spacing w:after="0" w:line="240" w:lineRule="auto"/>
              <w:jc w:val="both"/>
              <w:rPr>
                <w:rFonts w:ascii="Arial" w:hAnsi="Arial" w:cs="Arial"/>
              </w:rPr>
            </w:pPr>
            <w:r>
              <w:rPr>
                <w:rFonts w:ascii="Arial" w:hAnsi="Arial" w:cs="Arial"/>
              </w:rPr>
              <w:t>No presupuestario</w:t>
            </w:r>
          </w:p>
        </w:tc>
        <w:tc>
          <w:tcPr>
            <w:tcW w:w="1559" w:type="dxa"/>
          </w:tcPr>
          <w:p w14:paraId="3787F761" w14:textId="26B9EA9E" w:rsidR="00734B2C" w:rsidRPr="00734B2C" w:rsidRDefault="0058787C" w:rsidP="00AC28FE">
            <w:pPr>
              <w:spacing w:after="0" w:line="240" w:lineRule="auto"/>
              <w:jc w:val="right"/>
              <w:rPr>
                <w:rFonts w:ascii="Arial" w:hAnsi="Arial" w:cs="Arial"/>
              </w:rPr>
            </w:pPr>
            <w:r>
              <w:rPr>
                <w:rFonts w:ascii="Arial" w:hAnsi="Arial" w:cs="Arial"/>
              </w:rPr>
              <w:t>0.0</w:t>
            </w:r>
          </w:p>
        </w:tc>
        <w:tc>
          <w:tcPr>
            <w:tcW w:w="844" w:type="dxa"/>
          </w:tcPr>
          <w:p w14:paraId="762A1CBA" w14:textId="42ADAFF6" w:rsidR="00734B2C" w:rsidRPr="00734B2C" w:rsidRDefault="0058787C" w:rsidP="00AC28FE">
            <w:pPr>
              <w:spacing w:after="0" w:line="240" w:lineRule="auto"/>
              <w:jc w:val="right"/>
              <w:rPr>
                <w:rFonts w:ascii="Arial" w:hAnsi="Arial" w:cs="Arial"/>
              </w:rPr>
            </w:pPr>
            <w:r>
              <w:rPr>
                <w:rFonts w:ascii="Arial" w:hAnsi="Arial" w:cs="Arial"/>
              </w:rPr>
              <w:t>0.0</w:t>
            </w:r>
          </w:p>
        </w:tc>
      </w:tr>
      <w:tr w:rsidR="00734B2C" w14:paraId="2AF283E3" w14:textId="77777777" w:rsidTr="00C27229">
        <w:tc>
          <w:tcPr>
            <w:tcW w:w="6091" w:type="dxa"/>
            <w:tcBorders>
              <w:bottom w:val="single" w:sz="4" w:space="0" w:color="auto"/>
            </w:tcBorders>
          </w:tcPr>
          <w:p w14:paraId="574EB56B" w14:textId="77777777" w:rsidR="00734B2C" w:rsidRDefault="00B2574D" w:rsidP="00C041EB">
            <w:pPr>
              <w:spacing w:after="0" w:line="240" w:lineRule="auto"/>
              <w:jc w:val="both"/>
              <w:rPr>
                <w:rFonts w:ascii="Arial" w:hAnsi="Arial" w:cs="Arial"/>
              </w:rPr>
            </w:pPr>
            <w:r>
              <w:rPr>
                <w:rFonts w:ascii="Arial" w:hAnsi="Arial" w:cs="Arial"/>
              </w:rPr>
              <w:t>IV. Balance primario (III + costo financiero)</w:t>
            </w:r>
          </w:p>
        </w:tc>
        <w:tc>
          <w:tcPr>
            <w:tcW w:w="1559" w:type="dxa"/>
            <w:tcBorders>
              <w:bottom w:val="single" w:sz="4" w:space="0" w:color="auto"/>
            </w:tcBorders>
          </w:tcPr>
          <w:p w14:paraId="0192A86F" w14:textId="22A70044" w:rsidR="00734B2C" w:rsidRPr="00734B2C" w:rsidRDefault="0058787C" w:rsidP="00AC28FE">
            <w:pPr>
              <w:spacing w:after="0" w:line="240" w:lineRule="auto"/>
              <w:jc w:val="right"/>
              <w:rPr>
                <w:rFonts w:ascii="Arial" w:hAnsi="Arial" w:cs="Arial"/>
              </w:rPr>
            </w:pPr>
            <w:r>
              <w:rPr>
                <w:rFonts w:ascii="Arial" w:hAnsi="Arial" w:cs="Arial"/>
              </w:rPr>
              <w:t>6,205.1</w:t>
            </w:r>
          </w:p>
        </w:tc>
        <w:tc>
          <w:tcPr>
            <w:tcW w:w="844" w:type="dxa"/>
            <w:tcBorders>
              <w:bottom w:val="single" w:sz="4" w:space="0" w:color="auto"/>
            </w:tcBorders>
          </w:tcPr>
          <w:p w14:paraId="725466A4" w14:textId="1C445B84" w:rsidR="00734B2C" w:rsidRPr="00734B2C" w:rsidRDefault="0058787C" w:rsidP="00AC28FE">
            <w:pPr>
              <w:spacing w:after="0" w:line="240" w:lineRule="auto"/>
              <w:jc w:val="right"/>
              <w:rPr>
                <w:rFonts w:ascii="Arial" w:hAnsi="Arial" w:cs="Arial"/>
              </w:rPr>
            </w:pPr>
            <w:r>
              <w:rPr>
                <w:rFonts w:ascii="Arial" w:hAnsi="Arial" w:cs="Arial"/>
              </w:rPr>
              <w:t>0.0</w:t>
            </w:r>
          </w:p>
        </w:tc>
      </w:tr>
      <w:tr w:rsidR="00EB1C69" w14:paraId="53BA6E0D" w14:textId="77777777" w:rsidTr="00C27229">
        <w:tc>
          <w:tcPr>
            <w:tcW w:w="8494" w:type="dxa"/>
            <w:gridSpan w:val="3"/>
            <w:tcBorders>
              <w:top w:val="nil"/>
              <w:left w:val="nil"/>
              <w:bottom w:val="nil"/>
              <w:right w:val="nil"/>
            </w:tcBorders>
          </w:tcPr>
          <w:p w14:paraId="259156C4" w14:textId="16B3C339" w:rsidR="00EB1C69" w:rsidRPr="00C27229" w:rsidRDefault="00EB1C69" w:rsidP="00060232">
            <w:pPr>
              <w:spacing w:after="0" w:line="240" w:lineRule="auto"/>
              <w:jc w:val="both"/>
              <w:rPr>
                <w:rFonts w:ascii="Arial" w:hAnsi="Arial" w:cs="Arial"/>
                <w:sz w:val="14"/>
              </w:rPr>
            </w:pPr>
            <w:r w:rsidRPr="00C27229">
              <w:rPr>
                <w:rFonts w:ascii="Arial" w:hAnsi="Arial" w:cs="Arial"/>
                <w:sz w:val="14"/>
              </w:rPr>
              <w:t xml:space="preserve">1/ </w:t>
            </w:r>
            <w:r w:rsidR="00060232">
              <w:rPr>
                <w:rFonts w:ascii="Arial" w:hAnsi="Arial" w:cs="Arial"/>
                <w:sz w:val="14"/>
              </w:rPr>
              <w:t xml:space="preserve">Excluye hasta el 2.2 por ciento del PIB de la </w:t>
            </w:r>
            <w:r w:rsidR="00595E78">
              <w:rPr>
                <w:rFonts w:ascii="Arial" w:hAnsi="Arial" w:cs="Arial"/>
                <w:sz w:val="14"/>
              </w:rPr>
              <w:t>inversión física del Gobierno Federal y las Empresas Productivas del Estado, de acuerdo con el artículo 1 de la ILIF 2021.</w:t>
            </w:r>
          </w:p>
        </w:tc>
      </w:tr>
      <w:tr w:rsidR="00EB1C69" w14:paraId="3C1D8E7C" w14:textId="77777777" w:rsidTr="00C27229">
        <w:tc>
          <w:tcPr>
            <w:tcW w:w="8494" w:type="dxa"/>
            <w:gridSpan w:val="3"/>
            <w:tcBorders>
              <w:top w:val="nil"/>
              <w:left w:val="nil"/>
              <w:bottom w:val="nil"/>
              <w:right w:val="nil"/>
            </w:tcBorders>
          </w:tcPr>
          <w:p w14:paraId="145280A2" w14:textId="53C956E5" w:rsidR="00C27229" w:rsidRPr="00C27229" w:rsidRDefault="00C27229" w:rsidP="00C041EB">
            <w:pPr>
              <w:spacing w:after="0" w:line="240" w:lineRule="auto"/>
              <w:jc w:val="both"/>
              <w:rPr>
                <w:rFonts w:ascii="Arial" w:hAnsi="Arial" w:cs="Arial"/>
                <w:sz w:val="14"/>
              </w:rPr>
            </w:pPr>
            <w:r w:rsidRPr="00C27229">
              <w:rPr>
                <w:rFonts w:ascii="Arial" w:hAnsi="Arial" w:cs="Arial"/>
                <w:sz w:val="14"/>
              </w:rPr>
              <w:t>Fuente: Criterios</w:t>
            </w:r>
            <w:r w:rsidR="001D7AE2">
              <w:rPr>
                <w:rFonts w:ascii="Arial" w:hAnsi="Arial" w:cs="Arial"/>
                <w:sz w:val="14"/>
              </w:rPr>
              <w:t xml:space="preserve"> Generales</w:t>
            </w:r>
            <w:r w:rsidR="00E973B8">
              <w:rPr>
                <w:rFonts w:ascii="Arial" w:hAnsi="Arial" w:cs="Arial"/>
                <w:sz w:val="14"/>
              </w:rPr>
              <w:t xml:space="preserve"> de Política Económica 2021</w:t>
            </w:r>
            <w:r w:rsidRPr="00C27229">
              <w:rPr>
                <w:rFonts w:ascii="Arial" w:hAnsi="Arial" w:cs="Arial"/>
                <w:sz w:val="14"/>
              </w:rPr>
              <w:t>, SHCP.</w:t>
            </w:r>
          </w:p>
        </w:tc>
      </w:tr>
    </w:tbl>
    <w:p w14:paraId="54EFF766" w14:textId="77777777" w:rsidR="009E33D2" w:rsidRDefault="009E33D2" w:rsidP="00C041EB">
      <w:pPr>
        <w:spacing w:after="0" w:line="240" w:lineRule="auto"/>
        <w:jc w:val="both"/>
        <w:rPr>
          <w:rFonts w:ascii="Arial" w:hAnsi="Arial" w:cs="Arial"/>
          <w:sz w:val="24"/>
        </w:rPr>
      </w:pPr>
    </w:p>
    <w:p w14:paraId="14F2E16B" w14:textId="7D8B41BA" w:rsidR="00977324" w:rsidRDefault="00C27229" w:rsidP="00C041EB">
      <w:pPr>
        <w:spacing w:after="0" w:line="240" w:lineRule="auto"/>
        <w:jc w:val="both"/>
        <w:rPr>
          <w:rFonts w:ascii="Arial" w:hAnsi="Arial" w:cs="Arial"/>
          <w:sz w:val="24"/>
        </w:rPr>
      </w:pPr>
      <w:r>
        <w:rPr>
          <w:rFonts w:ascii="Arial" w:hAnsi="Arial" w:cs="Arial"/>
          <w:sz w:val="24"/>
        </w:rPr>
        <w:t xml:space="preserve">Los RFSP </w:t>
      </w:r>
      <w:r w:rsidR="009815D7">
        <w:rPr>
          <w:rFonts w:ascii="Arial" w:hAnsi="Arial" w:cs="Arial"/>
          <w:sz w:val="24"/>
        </w:rPr>
        <w:t>fuera de presupuesto se estiman en 0.5 por ciento del PIB, mismos que obedecen a lo siguiente:</w:t>
      </w:r>
    </w:p>
    <w:p w14:paraId="44BE85C9" w14:textId="77777777" w:rsidR="00C27229" w:rsidRDefault="00C27229" w:rsidP="00C041EB">
      <w:pPr>
        <w:spacing w:after="0" w:line="240" w:lineRule="auto"/>
        <w:jc w:val="both"/>
        <w:rPr>
          <w:rFonts w:ascii="Arial" w:hAnsi="Arial" w:cs="Arial"/>
          <w:sz w:val="24"/>
        </w:rPr>
      </w:pPr>
    </w:p>
    <w:p w14:paraId="6BB6CB93" w14:textId="655D708C" w:rsidR="004A1AC8" w:rsidRDefault="009815D7" w:rsidP="009815D7">
      <w:pPr>
        <w:pStyle w:val="Prrafodelista"/>
        <w:numPr>
          <w:ilvl w:val="0"/>
          <w:numId w:val="35"/>
        </w:numPr>
        <w:spacing w:after="0" w:line="240" w:lineRule="auto"/>
        <w:jc w:val="both"/>
        <w:rPr>
          <w:rFonts w:ascii="Arial" w:hAnsi="Arial" w:cs="Arial"/>
          <w:sz w:val="24"/>
        </w:rPr>
      </w:pPr>
      <w:r>
        <w:rPr>
          <w:rFonts w:ascii="Arial" w:hAnsi="Arial" w:cs="Arial"/>
          <w:sz w:val="24"/>
        </w:rPr>
        <w:t>Los requerimientos financieros del IPAB correspondientes al componente inflacionario de los intereses de la deuda de 0.1 por ciento del PIB, dada la estrategia de mantener la deuda del Instituto en términos reales.</w:t>
      </w:r>
    </w:p>
    <w:p w14:paraId="2AE9C5FE" w14:textId="0F7DD349" w:rsidR="009815D7" w:rsidRDefault="009815D7" w:rsidP="009815D7">
      <w:pPr>
        <w:pStyle w:val="Prrafodelista"/>
        <w:numPr>
          <w:ilvl w:val="0"/>
          <w:numId w:val="35"/>
        </w:numPr>
        <w:spacing w:after="0" w:line="240" w:lineRule="auto"/>
        <w:jc w:val="both"/>
        <w:rPr>
          <w:rFonts w:ascii="Arial" w:hAnsi="Arial" w:cs="Arial"/>
          <w:sz w:val="24"/>
        </w:rPr>
      </w:pPr>
      <w:r w:rsidRPr="009815D7">
        <w:rPr>
          <w:rFonts w:ascii="Arial" w:hAnsi="Arial" w:cs="Arial"/>
          <w:sz w:val="24"/>
        </w:rPr>
        <w:t>Los apoyos a l</w:t>
      </w:r>
      <w:r>
        <w:rPr>
          <w:rFonts w:ascii="Arial" w:hAnsi="Arial" w:cs="Arial"/>
          <w:sz w:val="24"/>
        </w:rPr>
        <w:t>os programas de deudores de 0.0 por ciento</w:t>
      </w:r>
      <w:r w:rsidRPr="009815D7">
        <w:rPr>
          <w:rFonts w:ascii="Arial" w:hAnsi="Arial" w:cs="Arial"/>
          <w:sz w:val="24"/>
        </w:rPr>
        <w:t xml:space="preserve"> del PIB, de acuerdo con el programa de pagos de los fideicomisos.</w:t>
      </w:r>
    </w:p>
    <w:p w14:paraId="691F5E53" w14:textId="580196FD" w:rsidR="009815D7" w:rsidRDefault="009815D7" w:rsidP="009815D7">
      <w:pPr>
        <w:pStyle w:val="Prrafodelista"/>
        <w:numPr>
          <w:ilvl w:val="0"/>
          <w:numId w:val="35"/>
        </w:numPr>
        <w:spacing w:after="0" w:line="240" w:lineRule="auto"/>
        <w:jc w:val="both"/>
        <w:rPr>
          <w:rFonts w:ascii="Arial" w:hAnsi="Arial" w:cs="Arial"/>
          <w:sz w:val="24"/>
        </w:rPr>
      </w:pPr>
      <w:r w:rsidRPr="009815D7">
        <w:rPr>
          <w:rFonts w:ascii="Arial" w:hAnsi="Arial" w:cs="Arial"/>
          <w:sz w:val="24"/>
        </w:rPr>
        <w:t>Las adecuaciones de registros presupuestarios que prevén los ajustes derivados del componente inflacionario de la deuda indexada a la inflación, los ingresos derivados de operaciones de financiamiento, así como ajustes por los ingresos derivados de la venta neta de activos financieros y por la adquisición neta de pasivos dist</w:t>
      </w:r>
      <w:r>
        <w:rPr>
          <w:rFonts w:ascii="Arial" w:hAnsi="Arial" w:cs="Arial"/>
          <w:sz w:val="24"/>
        </w:rPr>
        <w:t>intos a la deuda pública de 0.4 por ciento</w:t>
      </w:r>
      <w:r w:rsidRPr="009815D7">
        <w:rPr>
          <w:rFonts w:ascii="Arial" w:hAnsi="Arial" w:cs="Arial"/>
          <w:sz w:val="24"/>
        </w:rPr>
        <w:t xml:space="preserve"> del PIB.</w:t>
      </w:r>
    </w:p>
    <w:p w14:paraId="3FFF2E71" w14:textId="7D3DF974" w:rsidR="009815D7" w:rsidRDefault="009815D7" w:rsidP="009815D7">
      <w:pPr>
        <w:pStyle w:val="Prrafodelista"/>
        <w:numPr>
          <w:ilvl w:val="0"/>
          <w:numId w:val="35"/>
        </w:numPr>
        <w:spacing w:after="0" w:line="240" w:lineRule="auto"/>
        <w:jc w:val="both"/>
        <w:rPr>
          <w:rFonts w:ascii="Arial" w:hAnsi="Arial" w:cs="Arial"/>
          <w:sz w:val="24"/>
        </w:rPr>
      </w:pPr>
      <w:r w:rsidRPr="009815D7">
        <w:rPr>
          <w:rFonts w:ascii="Arial" w:hAnsi="Arial" w:cs="Arial"/>
          <w:sz w:val="24"/>
        </w:rPr>
        <w:t>Las necesidades de financiamiento para la inversión financiada (Pidir</w:t>
      </w:r>
      <w:r w:rsidR="008820D2">
        <w:rPr>
          <w:rFonts w:ascii="Arial" w:hAnsi="Arial" w:cs="Arial"/>
          <w:sz w:val="24"/>
        </w:rPr>
        <w:t>egas) se prevé se ubique en 0.0 por ciento</w:t>
      </w:r>
      <w:r w:rsidRPr="009815D7">
        <w:rPr>
          <w:rFonts w:ascii="Arial" w:hAnsi="Arial" w:cs="Arial"/>
          <w:sz w:val="24"/>
        </w:rPr>
        <w:t xml:space="preserve"> del PIB, dado que los recursos para nueva inversión serán igual a la amortización de </w:t>
      </w:r>
      <w:r w:rsidRPr="009815D7">
        <w:rPr>
          <w:rFonts w:ascii="Arial" w:hAnsi="Arial" w:cs="Arial"/>
          <w:sz w:val="24"/>
        </w:rPr>
        <w:lastRenderedPageBreak/>
        <w:t>obligaciones. Con ello la CFE podrá contar con recur</w:t>
      </w:r>
      <w:r w:rsidR="008820D2">
        <w:rPr>
          <w:rFonts w:ascii="Arial" w:hAnsi="Arial" w:cs="Arial"/>
          <w:sz w:val="24"/>
        </w:rPr>
        <w:t>sos para nueva inversión de 0.1 por ciento</w:t>
      </w:r>
      <w:r w:rsidRPr="009815D7">
        <w:rPr>
          <w:rFonts w:ascii="Arial" w:hAnsi="Arial" w:cs="Arial"/>
          <w:sz w:val="24"/>
        </w:rPr>
        <w:t xml:space="preserve"> del PIB.</w:t>
      </w:r>
    </w:p>
    <w:p w14:paraId="65A2365D" w14:textId="51BDB05F" w:rsidR="009815D7" w:rsidRPr="009815D7" w:rsidRDefault="008820D2" w:rsidP="008820D2">
      <w:pPr>
        <w:pStyle w:val="Prrafodelista"/>
        <w:numPr>
          <w:ilvl w:val="0"/>
          <w:numId w:val="35"/>
        </w:numPr>
        <w:spacing w:after="0" w:line="240" w:lineRule="auto"/>
        <w:jc w:val="both"/>
        <w:rPr>
          <w:rFonts w:ascii="Arial" w:hAnsi="Arial" w:cs="Arial"/>
          <w:sz w:val="24"/>
        </w:rPr>
      </w:pPr>
      <w:r w:rsidRPr="008820D2">
        <w:rPr>
          <w:rFonts w:ascii="Arial" w:hAnsi="Arial" w:cs="Arial"/>
          <w:sz w:val="24"/>
        </w:rPr>
        <w:t>La intermediación financiera de banca de desarrollo y fondos de fomento, definida como el resultado de operación que considera la constitución neta de reservas crediticias</w:t>
      </w:r>
      <w:r>
        <w:rPr>
          <w:rFonts w:ascii="Arial" w:hAnsi="Arial" w:cs="Arial"/>
          <w:sz w:val="24"/>
        </w:rPr>
        <w:t xml:space="preserve"> preventivas, se estima en -0.1 por ciento</w:t>
      </w:r>
      <w:r w:rsidRPr="008820D2">
        <w:rPr>
          <w:rFonts w:ascii="Arial" w:hAnsi="Arial" w:cs="Arial"/>
          <w:sz w:val="24"/>
        </w:rPr>
        <w:t xml:space="preserve"> del PIB.</w:t>
      </w:r>
    </w:p>
    <w:p w14:paraId="4D97E02F" w14:textId="77777777" w:rsidR="008820D2" w:rsidRDefault="008820D2" w:rsidP="00EA3B2A">
      <w:pPr>
        <w:spacing w:after="0" w:line="240" w:lineRule="auto"/>
        <w:jc w:val="both"/>
        <w:rPr>
          <w:rFonts w:ascii="Arial" w:hAnsi="Arial" w:cs="Arial"/>
          <w:sz w:val="24"/>
        </w:rPr>
      </w:pPr>
    </w:p>
    <w:p w14:paraId="5EACB9F1" w14:textId="4051AB0E" w:rsidR="00EA3B2A" w:rsidRDefault="004A1AC8" w:rsidP="00EA3B2A">
      <w:pPr>
        <w:spacing w:after="0" w:line="240" w:lineRule="auto"/>
        <w:jc w:val="both"/>
        <w:rPr>
          <w:rFonts w:ascii="Arial" w:hAnsi="Arial" w:cs="Arial"/>
          <w:sz w:val="24"/>
        </w:rPr>
      </w:pPr>
      <w:r>
        <w:rPr>
          <w:rFonts w:ascii="Arial" w:hAnsi="Arial" w:cs="Arial"/>
          <w:sz w:val="24"/>
        </w:rPr>
        <w:t>En lo que refiere al marco macroeconómico para 2</w:t>
      </w:r>
      <w:r w:rsidR="008820D2">
        <w:rPr>
          <w:rFonts w:ascii="Arial" w:hAnsi="Arial" w:cs="Arial"/>
          <w:sz w:val="24"/>
        </w:rPr>
        <w:t>021</w:t>
      </w:r>
      <w:r w:rsidR="00A210AA">
        <w:rPr>
          <w:rFonts w:ascii="Arial" w:hAnsi="Arial" w:cs="Arial"/>
          <w:sz w:val="24"/>
        </w:rPr>
        <w:t xml:space="preserve"> y sus principales variables, se estima el siguiente comportamiento:</w:t>
      </w:r>
    </w:p>
    <w:p w14:paraId="23662FFD" w14:textId="77777777" w:rsidR="004A1AC8" w:rsidRPr="00EA3B2A" w:rsidRDefault="004A1AC8" w:rsidP="00EA3B2A">
      <w:pPr>
        <w:spacing w:after="0" w:line="240" w:lineRule="auto"/>
        <w:jc w:val="both"/>
        <w:rPr>
          <w:rFonts w:ascii="Arial" w:hAnsi="Arial" w:cs="Arial"/>
          <w:sz w:val="24"/>
        </w:rPr>
      </w:pPr>
    </w:p>
    <w:tbl>
      <w:tblPr>
        <w:tblStyle w:val="Tablaconcuadrcula"/>
        <w:tblW w:w="0" w:type="auto"/>
        <w:jc w:val="center"/>
        <w:tblLook w:val="04A0" w:firstRow="1" w:lastRow="0" w:firstColumn="1" w:lastColumn="0" w:noHBand="0" w:noVBand="1"/>
      </w:tblPr>
      <w:tblGrid>
        <w:gridCol w:w="4550"/>
        <w:gridCol w:w="1350"/>
        <w:gridCol w:w="1297"/>
        <w:gridCol w:w="1297"/>
      </w:tblGrid>
      <w:tr w:rsidR="004A1AC8" w14:paraId="4EB10917" w14:textId="77777777" w:rsidTr="00215E0B">
        <w:trPr>
          <w:jc w:val="center"/>
        </w:trPr>
        <w:tc>
          <w:tcPr>
            <w:tcW w:w="4550" w:type="dxa"/>
            <w:shd w:val="clear" w:color="auto" w:fill="DBDBDB" w:themeFill="accent3" w:themeFillTint="66"/>
          </w:tcPr>
          <w:p w14:paraId="224BC3CB" w14:textId="77777777" w:rsidR="004A1AC8" w:rsidRPr="001D7AE2" w:rsidRDefault="004A1AC8" w:rsidP="00C041EB">
            <w:pPr>
              <w:spacing w:after="0" w:line="240" w:lineRule="auto"/>
              <w:jc w:val="both"/>
              <w:rPr>
                <w:rFonts w:ascii="Arial" w:hAnsi="Arial" w:cs="Arial"/>
                <w:b/>
                <w:sz w:val="24"/>
              </w:rPr>
            </w:pPr>
            <w:r w:rsidRPr="001D7AE2">
              <w:rPr>
                <w:rFonts w:ascii="Arial" w:hAnsi="Arial" w:cs="Arial"/>
                <w:b/>
                <w:sz w:val="24"/>
              </w:rPr>
              <w:t>Principales Variables del marco Macroeconómico</w:t>
            </w:r>
          </w:p>
        </w:tc>
        <w:tc>
          <w:tcPr>
            <w:tcW w:w="1350" w:type="dxa"/>
            <w:shd w:val="clear" w:color="auto" w:fill="DBDBDB" w:themeFill="accent3" w:themeFillTint="66"/>
          </w:tcPr>
          <w:p w14:paraId="4FA31624" w14:textId="00934DB3" w:rsidR="004A1AC8" w:rsidRPr="001D7AE2" w:rsidRDefault="008820D2" w:rsidP="00C041EB">
            <w:pPr>
              <w:spacing w:after="0" w:line="240" w:lineRule="auto"/>
              <w:jc w:val="both"/>
              <w:rPr>
                <w:rFonts w:ascii="Arial" w:hAnsi="Arial" w:cs="Arial"/>
                <w:b/>
                <w:sz w:val="24"/>
              </w:rPr>
            </w:pPr>
            <w:r>
              <w:rPr>
                <w:rFonts w:ascii="Arial" w:hAnsi="Arial" w:cs="Arial"/>
                <w:b/>
                <w:sz w:val="24"/>
              </w:rPr>
              <w:t>Aprobado 2020</w:t>
            </w:r>
          </w:p>
        </w:tc>
        <w:tc>
          <w:tcPr>
            <w:tcW w:w="1297" w:type="dxa"/>
            <w:shd w:val="clear" w:color="auto" w:fill="DBDBDB" w:themeFill="accent3" w:themeFillTint="66"/>
          </w:tcPr>
          <w:p w14:paraId="3E954349" w14:textId="7F13B02F" w:rsidR="004A1AC8" w:rsidRPr="001D7AE2" w:rsidRDefault="008820D2" w:rsidP="00C041EB">
            <w:pPr>
              <w:spacing w:after="0" w:line="240" w:lineRule="auto"/>
              <w:jc w:val="both"/>
              <w:rPr>
                <w:rFonts w:ascii="Arial" w:hAnsi="Arial" w:cs="Arial"/>
                <w:b/>
                <w:sz w:val="24"/>
              </w:rPr>
            </w:pPr>
            <w:r>
              <w:rPr>
                <w:rFonts w:ascii="Arial" w:hAnsi="Arial" w:cs="Arial"/>
                <w:b/>
                <w:sz w:val="24"/>
              </w:rPr>
              <w:t>Estimado 2020</w:t>
            </w:r>
          </w:p>
        </w:tc>
        <w:tc>
          <w:tcPr>
            <w:tcW w:w="1297" w:type="dxa"/>
            <w:shd w:val="clear" w:color="auto" w:fill="DBDBDB" w:themeFill="accent3" w:themeFillTint="66"/>
          </w:tcPr>
          <w:p w14:paraId="7F432A0C" w14:textId="0BBE2520" w:rsidR="004A1AC8" w:rsidRPr="001D7AE2" w:rsidRDefault="008820D2" w:rsidP="00C041EB">
            <w:pPr>
              <w:spacing w:after="0" w:line="240" w:lineRule="auto"/>
              <w:jc w:val="both"/>
              <w:rPr>
                <w:rFonts w:ascii="Arial" w:hAnsi="Arial" w:cs="Arial"/>
                <w:b/>
                <w:sz w:val="24"/>
              </w:rPr>
            </w:pPr>
            <w:r>
              <w:rPr>
                <w:rFonts w:ascii="Arial" w:hAnsi="Arial" w:cs="Arial"/>
                <w:b/>
                <w:sz w:val="24"/>
              </w:rPr>
              <w:t>Estimado 2021</w:t>
            </w:r>
          </w:p>
        </w:tc>
      </w:tr>
      <w:tr w:rsidR="00AE164A" w14:paraId="787D9EAA" w14:textId="77777777" w:rsidTr="0033287E">
        <w:trPr>
          <w:jc w:val="center"/>
        </w:trPr>
        <w:tc>
          <w:tcPr>
            <w:tcW w:w="4550" w:type="dxa"/>
          </w:tcPr>
          <w:p w14:paraId="78B6A592" w14:textId="77777777" w:rsidR="00AE164A" w:rsidRPr="00A210AA" w:rsidRDefault="00AE164A" w:rsidP="00C041EB">
            <w:pPr>
              <w:spacing w:after="0" w:line="240" w:lineRule="auto"/>
              <w:jc w:val="both"/>
              <w:rPr>
                <w:rFonts w:ascii="Arial" w:hAnsi="Arial" w:cs="Arial"/>
                <w:b/>
                <w:bCs/>
              </w:rPr>
            </w:pPr>
            <w:r w:rsidRPr="00A210AA">
              <w:rPr>
                <w:rFonts w:ascii="Arial" w:hAnsi="Arial" w:cs="Arial"/>
                <w:b/>
                <w:bCs/>
              </w:rPr>
              <w:t>Producto Interno Bruto</w:t>
            </w:r>
          </w:p>
        </w:tc>
        <w:tc>
          <w:tcPr>
            <w:tcW w:w="3944" w:type="dxa"/>
            <w:gridSpan w:val="3"/>
          </w:tcPr>
          <w:p w14:paraId="587E1878" w14:textId="77777777" w:rsidR="00AE164A" w:rsidRPr="001D7AE2" w:rsidRDefault="00AE164A" w:rsidP="00C041EB">
            <w:pPr>
              <w:spacing w:after="0" w:line="240" w:lineRule="auto"/>
              <w:jc w:val="both"/>
              <w:rPr>
                <w:rFonts w:ascii="Arial" w:hAnsi="Arial" w:cs="Arial"/>
              </w:rPr>
            </w:pPr>
          </w:p>
        </w:tc>
      </w:tr>
      <w:tr w:rsidR="004A1AC8" w14:paraId="79C7853F" w14:textId="77777777" w:rsidTr="00215E0B">
        <w:trPr>
          <w:jc w:val="center"/>
        </w:trPr>
        <w:tc>
          <w:tcPr>
            <w:tcW w:w="4550" w:type="dxa"/>
          </w:tcPr>
          <w:p w14:paraId="063CCF41" w14:textId="77777777" w:rsidR="004A1AC8" w:rsidRPr="00045F26" w:rsidRDefault="004A1AC8" w:rsidP="004A1AC8">
            <w:pPr>
              <w:spacing w:after="0" w:line="240" w:lineRule="auto"/>
              <w:jc w:val="both"/>
              <w:rPr>
                <w:rFonts w:ascii="Arial" w:hAnsi="Arial" w:cs="Arial"/>
                <w:i/>
              </w:rPr>
            </w:pPr>
            <w:r w:rsidRPr="00045F26">
              <w:rPr>
                <w:rFonts w:ascii="Arial" w:hAnsi="Arial" w:cs="Arial"/>
                <w:i/>
              </w:rPr>
              <w:t xml:space="preserve">   Rango de crecimiento % real</w:t>
            </w:r>
          </w:p>
        </w:tc>
        <w:tc>
          <w:tcPr>
            <w:tcW w:w="1350" w:type="dxa"/>
          </w:tcPr>
          <w:p w14:paraId="65E7AEE0" w14:textId="64B82877" w:rsidR="004A1AC8" w:rsidRPr="00045F26" w:rsidRDefault="008820D2" w:rsidP="001D7AE2">
            <w:pPr>
              <w:spacing w:after="0" w:line="240" w:lineRule="auto"/>
              <w:jc w:val="right"/>
              <w:rPr>
                <w:rFonts w:ascii="Arial" w:hAnsi="Arial" w:cs="Arial"/>
                <w:i/>
              </w:rPr>
            </w:pPr>
            <w:r>
              <w:rPr>
                <w:rFonts w:ascii="Arial" w:hAnsi="Arial" w:cs="Arial"/>
                <w:i/>
              </w:rPr>
              <w:t>1.5,</w:t>
            </w:r>
            <w:r w:rsidR="004A1AC8" w:rsidRPr="00045F26">
              <w:rPr>
                <w:rFonts w:ascii="Arial" w:hAnsi="Arial" w:cs="Arial"/>
                <w:i/>
              </w:rPr>
              <w:t>2.5</w:t>
            </w:r>
          </w:p>
        </w:tc>
        <w:tc>
          <w:tcPr>
            <w:tcW w:w="1297" w:type="dxa"/>
          </w:tcPr>
          <w:p w14:paraId="042CC569" w14:textId="5D25B74D" w:rsidR="004A1AC8" w:rsidRPr="00045F26" w:rsidRDefault="008820D2" w:rsidP="001D7AE2">
            <w:pPr>
              <w:spacing w:after="0" w:line="240" w:lineRule="auto"/>
              <w:jc w:val="right"/>
              <w:rPr>
                <w:rFonts w:ascii="Arial" w:hAnsi="Arial" w:cs="Arial"/>
                <w:i/>
              </w:rPr>
            </w:pPr>
            <w:r>
              <w:rPr>
                <w:rFonts w:ascii="Arial" w:hAnsi="Arial" w:cs="Arial"/>
                <w:i/>
              </w:rPr>
              <w:t>-10.6, -7.0</w:t>
            </w:r>
          </w:p>
        </w:tc>
        <w:tc>
          <w:tcPr>
            <w:tcW w:w="1297" w:type="dxa"/>
          </w:tcPr>
          <w:p w14:paraId="449DEE30" w14:textId="423A8BC0" w:rsidR="004A1AC8" w:rsidRPr="00045F26" w:rsidRDefault="008820D2" w:rsidP="001D7AE2">
            <w:pPr>
              <w:spacing w:after="0" w:line="240" w:lineRule="auto"/>
              <w:jc w:val="right"/>
              <w:rPr>
                <w:rFonts w:ascii="Arial" w:hAnsi="Arial" w:cs="Arial"/>
                <w:i/>
              </w:rPr>
            </w:pPr>
            <w:r>
              <w:rPr>
                <w:rFonts w:ascii="Arial" w:hAnsi="Arial" w:cs="Arial"/>
                <w:i/>
              </w:rPr>
              <w:t>3.6,5.6</w:t>
            </w:r>
          </w:p>
        </w:tc>
      </w:tr>
      <w:tr w:rsidR="004A1AC8" w14:paraId="71FF5BDE" w14:textId="77777777" w:rsidTr="008820D2">
        <w:trPr>
          <w:jc w:val="center"/>
        </w:trPr>
        <w:tc>
          <w:tcPr>
            <w:tcW w:w="4550" w:type="dxa"/>
          </w:tcPr>
          <w:p w14:paraId="764FAB9C" w14:textId="77777777" w:rsidR="004A1AC8" w:rsidRPr="00045F26" w:rsidRDefault="00BD47C2" w:rsidP="00BD47C2">
            <w:pPr>
              <w:spacing w:after="0" w:line="240" w:lineRule="auto"/>
              <w:ind w:left="164"/>
              <w:jc w:val="both"/>
              <w:rPr>
                <w:rFonts w:ascii="Arial" w:hAnsi="Arial" w:cs="Arial"/>
                <w:i/>
              </w:rPr>
            </w:pPr>
            <w:r w:rsidRPr="00045F26">
              <w:rPr>
                <w:rFonts w:ascii="Arial" w:hAnsi="Arial" w:cs="Arial"/>
                <w:i/>
              </w:rPr>
              <w:t>Nominal (miles de millones de pesos,    puntual</w:t>
            </w:r>
            <w:r w:rsidR="001D7AE2" w:rsidRPr="00045F26">
              <w:rPr>
                <w:rFonts w:ascii="Arial" w:hAnsi="Arial" w:cs="Arial"/>
                <w:i/>
              </w:rPr>
              <w:t>)</w:t>
            </w:r>
            <w:r w:rsidR="001D7AE2" w:rsidRPr="00045F26">
              <w:rPr>
                <w:rFonts w:ascii="Arial" w:hAnsi="Arial" w:cs="Arial"/>
                <w:i/>
                <w:vertAlign w:val="superscript"/>
              </w:rPr>
              <w:t>*/</w:t>
            </w:r>
          </w:p>
        </w:tc>
        <w:tc>
          <w:tcPr>
            <w:tcW w:w="1350" w:type="dxa"/>
            <w:vAlign w:val="center"/>
          </w:tcPr>
          <w:p w14:paraId="697764E6" w14:textId="20454285" w:rsidR="00BD47C2" w:rsidRPr="00045F26" w:rsidRDefault="008820D2" w:rsidP="008820D2">
            <w:pPr>
              <w:spacing w:after="0" w:line="240" w:lineRule="auto"/>
              <w:jc w:val="right"/>
              <w:rPr>
                <w:rFonts w:ascii="Arial" w:hAnsi="Arial" w:cs="Arial"/>
                <w:i/>
              </w:rPr>
            </w:pPr>
            <w:r>
              <w:rPr>
                <w:rFonts w:ascii="Arial" w:hAnsi="Arial" w:cs="Arial"/>
                <w:i/>
              </w:rPr>
              <w:t>26,254.1</w:t>
            </w:r>
          </w:p>
        </w:tc>
        <w:tc>
          <w:tcPr>
            <w:tcW w:w="1297" w:type="dxa"/>
            <w:vAlign w:val="center"/>
          </w:tcPr>
          <w:p w14:paraId="2466B4AE" w14:textId="3B859B5B" w:rsidR="004A1AC8" w:rsidRPr="00045F26" w:rsidRDefault="008820D2" w:rsidP="008820D2">
            <w:pPr>
              <w:spacing w:after="0" w:line="240" w:lineRule="auto"/>
              <w:jc w:val="right"/>
              <w:rPr>
                <w:rFonts w:ascii="Arial" w:hAnsi="Arial" w:cs="Arial"/>
                <w:i/>
              </w:rPr>
            </w:pPr>
            <w:r>
              <w:rPr>
                <w:rFonts w:ascii="Arial" w:hAnsi="Arial" w:cs="Arial"/>
                <w:i/>
              </w:rPr>
              <w:t>23,094.2</w:t>
            </w:r>
          </w:p>
        </w:tc>
        <w:tc>
          <w:tcPr>
            <w:tcW w:w="1297" w:type="dxa"/>
            <w:vAlign w:val="center"/>
          </w:tcPr>
          <w:p w14:paraId="132E4AFC" w14:textId="56C1A6DF" w:rsidR="004A1AC8" w:rsidRPr="00045F26" w:rsidRDefault="008820D2" w:rsidP="008820D2">
            <w:pPr>
              <w:spacing w:after="0" w:line="240" w:lineRule="auto"/>
              <w:jc w:val="right"/>
              <w:rPr>
                <w:rFonts w:ascii="Arial" w:hAnsi="Arial" w:cs="Arial"/>
                <w:i/>
              </w:rPr>
            </w:pPr>
            <w:r>
              <w:rPr>
                <w:rFonts w:ascii="Arial" w:hAnsi="Arial" w:cs="Arial"/>
                <w:i/>
              </w:rPr>
              <w:t>24,983.9</w:t>
            </w:r>
          </w:p>
        </w:tc>
      </w:tr>
      <w:tr w:rsidR="008820D2" w14:paraId="1CE0737D" w14:textId="77777777" w:rsidTr="008820D2">
        <w:trPr>
          <w:jc w:val="center"/>
        </w:trPr>
        <w:tc>
          <w:tcPr>
            <w:tcW w:w="4550" w:type="dxa"/>
          </w:tcPr>
          <w:p w14:paraId="79E86809" w14:textId="5B2CF476" w:rsidR="008820D2" w:rsidRPr="00045F26" w:rsidRDefault="008820D2" w:rsidP="00BD47C2">
            <w:pPr>
              <w:spacing w:after="0" w:line="240" w:lineRule="auto"/>
              <w:ind w:left="164"/>
              <w:jc w:val="both"/>
              <w:rPr>
                <w:rFonts w:ascii="Arial" w:hAnsi="Arial" w:cs="Arial"/>
                <w:i/>
              </w:rPr>
            </w:pPr>
            <w:r>
              <w:rPr>
                <w:rFonts w:ascii="Arial" w:hAnsi="Arial" w:cs="Arial"/>
                <w:i/>
              </w:rPr>
              <w:t>Deflactor del PIB (variación anual, % promedio)</w:t>
            </w:r>
          </w:p>
        </w:tc>
        <w:tc>
          <w:tcPr>
            <w:tcW w:w="1350" w:type="dxa"/>
            <w:vAlign w:val="center"/>
          </w:tcPr>
          <w:p w14:paraId="63EC0B84" w14:textId="66AB407C" w:rsidR="008820D2" w:rsidRDefault="008820D2" w:rsidP="008820D2">
            <w:pPr>
              <w:spacing w:after="0" w:line="240" w:lineRule="auto"/>
              <w:jc w:val="right"/>
              <w:rPr>
                <w:rFonts w:ascii="Arial" w:hAnsi="Arial" w:cs="Arial"/>
                <w:i/>
              </w:rPr>
            </w:pPr>
            <w:r>
              <w:rPr>
                <w:rFonts w:ascii="Arial" w:hAnsi="Arial" w:cs="Arial"/>
                <w:i/>
              </w:rPr>
              <w:t>3.6</w:t>
            </w:r>
          </w:p>
        </w:tc>
        <w:tc>
          <w:tcPr>
            <w:tcW w:w="1297" w:type="dxa"/>
            <w:vAlign w:val="center"/>
          </w:tcPr>
          <w:p w14:paraId="7182B6AB" w14:textId="52D5CB48" w:rsidR="008820D2" w:rsidRDefault="008820D2" w:rsidP="008820D2">
            <w:pPr>
              <w:spacing w:after="0" w:line="240" w:lineRule="auto"/>
              <w:jc w:val="right"/>
              <w:rPr>
                <w:rFonts w:ascii="Arial" w:hAnsi="Arial" w:cs="Arial"/>
                <w:i/>
              </w:rPr>
            </w:pPr>
            <w:r>
              <w:rPr>
                <w:rFonts w:ascii="Arial" w:hAnsi="Arial" w:cs="Arial"/>
                <w:i/>
              </w:rPr>
              <w:t>3.6</w:t>
            </w:r>
          </w:p>
        </w:tc>
        <w:tc>
          <w:tcPr>
            <w:tcW w:w="1297" w:type="dxa"/>
            <w:vAlign w:val="center"/>
          </w:tcPr>
          <w:p w14:paraId="3EA6B7A8" w14:textId="6EE47B1F" w:rsidR="008820D2" w:rsidRDefault="008820D2" w:rsidP="008820D2">
            <w:pPr>
              <w:spacing w:after="0" w:line="240" w:lineRule="auto"/>
              <w:jc w:val="right"/>
              <w:rPr>
                <w:rFonts w:ascii="Arial" w:hAnsi="Arial" w:cs="Arial"/>
                <w:i/>
              </w:rPr>
            </w:pPr>
            <w:r>
              <w:rPr>
                <w:rFonts w:ascii="Arial" w:hAnsi="Arial" w:cs="Arial"/>
                <w:i/>
              </w:rPr>
              <w:t>3.4</w:t>
            </w:r>
          </w:p>
        </w:tc>
      </w:tr>
      <w:tr w:rsidR="00AE164A" w14:paraId="21AA1FE6" w14:textId="77777777" w:rsidTr="0033287E">
        <w:trPr>
          <w:jc w:val="center"/>
        </w:trPr>
        <w:tc>
          <w:tcPr>
            <w:tcW w:w="4550" w:type="dxa"/>
          </w:tcPr>
          <w:p w14:paraId="6C7447EF" w14:textId="77777777" w:rsidR="00AE164A" w:rsidRPr="00A210AA" w:rsidRDefault="00AE164A" w:rsidP="004A1AC8">
            <w:pPr>
              <w:spacing w:after="0" w:line="240" w:lineRule="auto"/>
              <w:jc w:val="both"/>
              <w:rPr>
                <w:rFonts w:ascii="Arial" w:hAnsi="Arial" w:cs="Arial"/>
                <w:b/>
                <w:bCs/>
              </w:rPr>
            </w:pPr>
            <w:r w:rsidRPr="00A210AA">
              <w:rPr>
                <w:rFonts w:ascii="Arial" w:hAnsi="Arial" w:cs="Arial"/>
                <w:b/>
                <w:bCs/>
              </w:rPr>
              <w:t>Inflación</w:t>
            </w:r>
          </w:p>
        </w:tc>
        <w:tc>
          <w:tcPr>
            <w:tcW w:w="3944" w:type="dxa"/>
            <w:gridSpan w:val="3"/>
          </w:tcPr>
          <w:p w14:paraId="1E403E7E" w14:textId="77777777" w:rsidR="00AE164A" w:rsidRPr="001D7AE2" w:rsidRDefault="00AE164A" w:rsidP="001D7AE2">
            <w:pPr>
              <w:spacing w:after="0" w:line="240" w:lineRule="auto"/>
              <w:jc w:val="right"/>
              <w:rPr>
                <w:rFonts w:ascii="Arial" w:hAnsi="Arial" w:cs="Arial"/>
              </w:rPr>
            </w:pPr>
          </w:p>
        </w:tc>
      </w:tr>
      <w:tr w:rsidR="004A1AC8" w14:paraId="421E6374" w14:textId="77777777" w:rsidTr="00215E0B">
        <w:trPr>
          <w:jc w:val="center"/>
        </w:trPr>
        <w:tc>
          <w:tcPr>
            <w:tcW w:w="4550" w:type="dxa"/>
          </w:tcPr>
          <w:p w14:paraId="16966FE8" w14:textId="77777777" w:rsidR="004A1AC8" w:rsidRPr="00045F26" w:rsidRDefault="009F605C" w:rsidP="004A1AC8">
            <w:pPr>
              <w:spacing w:after="0" w:line="240" w:lineRule="auto"/>
              <w:jc w:val="both"/>
              <w:rPr>
                <w:rFonts w:ascii="Arial" w:hAnsi="Arial" w:cs="Arial"/>
                <w:i/>
              </w:rPr>
            </w:pPr>
            <w:r w:rsidRPr="00045F26">
              <w:rPr>
                <w:rFonts w:ascii="Arial" w:hAnsi="Arial" w:cs="Arial"/>
                <w:i/>
              </w:rPr>
              <w:t xml:space="preserve">   </w:t>
            </w:r>
            <w:r w:rsidR="003D5174" w:rsidRPr="00045F26">
              <w:rPr>
                <w:rFonts w:ascii="Arial" w:hAnsi="Arial" w:cs="Arial"/>
                <w:i/>
              </w:rPr>
              <w:t>Dic./ dic.</w:t>
            </w:r>
          </w:p>
        </w:tc>
        <w:tc>
          <w:tcPr>
            <w:tcW w:w="1350" w:type="dxa"/>
          </w:tcPr>
          <w:p w14:paraId="244FD759" w14:textId="100EBAE3" w:rsidR="004A1AC8" w:rsidRPr="00045F26" w:rsidRDefault="008820D2" w:rsidP="001D7AE2">
            <w:pPr>
              <w:spacing w:after="0" w:line="240" w:lineRule="auto"/>
              <w:jc w:val="right"/>
              <w:rPr>
                <w:rFonts w:ascii="Arial" w:hAnsi="Arial" w:cs="Arial"/>
                <w:i/>
              </w:rPr>
            </w:pPr>
            <w:r>
              <w:rPr>
                <w:rFonts w:ascii="Arial" w:hAnsi="Arial" w:cs="Arial"/>
                <w:i/>
              </w:rPr>
              <w:t>3.0</w:t>
            </w:r>
          </w:p>
        </w:tc>
        <w:tc>
          <w:tcPr>
            <w:tcW w:w="1297" w:type="dxa"/>
          </w:tcPr>
          <w:p w14:paraId="2605306C" w14:textId="2A4C9EB3" w:rsidR="004A1AC8" w:rsidRPr="00045F26" w:rsidRDefault="008820D2" w:rsidP="001D7AE2">
            <w:pPr>
              <w:spacing w:after="0" w:line="240" w:lineRule="auto"/>
              <w:jc w:val="right"/>
              <w:rPr>
                <w:rFonts w:ascii="Arial" w:hAnsi="Arial" w:cs="Arial"/>
                <w:i/>
              </w:rPr>
            </w:pPr>
            <w:r>
              <w:rPr>
                <w:rFonts w:ascii="Arial" w:hAnsi="Arial" w:cs="Arial"/>
                <w:i/>
              </w:rPr>
              <w:t>3.5</w:t>
            </w:r>
          </w:p>
        </w:tc>
        <w:tc>
          <w:tcPr>
            <w:tcW w:w="1297" w:type="dxa"/>
          </w:tcPr>
          <w:p w14:paraId="301F76D4" w14:textId="77777777" w:rsidR="004A1AC8" w:rsidRPr="00045F26" w:rsidRDefault="003D5174" w:rsidP="001D7AE2">
            <w:pPr>
              <w:spacing w:after="0" w:line="240" w:lineRule="auto"/>
              <w:jc w:val="right"/>
              <w:rPr>
                <w:rFonts w:ascii="Arial" w:hAnsi="Arial" w:cs="Arial"/>
                <w:i/>
              </w:rPr>
            </w:pPr>
            <w:r w:rsidRPr="00045F26">
              <w:rPr>
                <w:rFonts w:ascii="Arial" w:hAnsi="Arial" w:cs="Arial"/>
                <w:i/>
              </w:rPr>
              <w:t>3.0</w:t>
            </w:r>
          </w:p>
        </w:tc>
      </w:tr>
      <w:tr w:rsidR="00AE164A" w14:paraId="0FB5C678" w14:textId="77777777" w:rsidTr="0033287E">
        <w:trPr>
          <w:jc w:val="center"/>
        </w:trPr>
        <w:tc>
          <w:tcPr>
            <w:tcW w:w="4550" w:type="dxa"/>
          </w:tcPr>
          <w:p w14:paraId="22DA3B13" w14:textId="77777777" w:rsidR="00AE164A" w:rsidRPr="00A210AA" w:rsidRDefault="00AE164A" w:rsidP="004A1AC8">
            <w:pPr>
              <w:spacing w:after="0" w:line="240" w:lineRule="auto"/>
              <w:jc w:val="both"/>
              <w:rPr>
                <w:rFonts w:ascii="Arial" w:hAnsi="Arial" w:cs="Arial"/>
                <w:b/>
                <w:bCs/>
              </w:rPr>
            </w:pPr>
            <w:r w:rsidRPr="00A210AA">
              <w:rPr>
                <w:rFonts w:ascii="Arial" w:hAnsi="Arial" w:cs="Arial"/>
                <w:b/>
                <w:bCs/>
              </w:rPr>
              <w:t>Tipo de cambio nominal (pesos por dólar)</w:t>
            </w:r>
          </w:p>
        </w:tc>
        <w:tc>
          <w:tcPr>
            <w:tcW w:w="3944" w:type="dxa"/>
            <w:gridSpan w:val="3"/>
          </w:tcPr>
          <w:p w14:paraId="29572867" w14:textId="77777777" w:rsidR="00AE164A" w:rsidRPr="001D7AE2" w:rsidRDefault="00AE164A" w:rsidP="001D7AE2">
            <w:pPr>
              <w:spacing w:after="0" w:line="240" w:lineRule="auto"/>
              <w:jc w:val="right"/>
              <w:rPr>
                <w:rFonts w:ascii="Arial" w:hAnsi="Arial" w:cs="Arial"/>
              </w:rPr>
            </w:pPr>
          </w:p>
        </w:tc>
      </w:tr>
      <w:tr w:rsidR="004A1AC8" w14:paraId="31B18494" w14:textId="77777777" w:rsidTr="00215E0B">
        <w:trPr>
          <w:jc w:val="center"/>
        </w:trPr>
        <w:tc>
          <w:tcPr>
            <w:tcW w:w="4550" w:type="dxa"/>
          </w:tcPr>
          <w:p w14:paraId="4B8BB545" w14:textId="77777777" w:rsidR="004A1AC8" w:rsidRPr="00045F26" w:rsidRDefault="009F605C" w:rsidP="004A1AC8">
            <w:pPr>
              <w:spacing w:after="0" w:line="240" w:lineRule="auto"/>
              <w:jc w:val="both"/>
              <w:rPr>
                <w:rFonts w:ascii="Arial" w:hAnsi="Arial" w:cs="Arial"/>
                <w:i/>
              </w:rPr>
            </w:pPr>
            <w:r w:rsidRPr="00045F26">
              <w:rPr>
                <w:rFonts w:ascii="Arial" w:hAnsi="Arial" w:cs="Arial"/>
                <w:i/>
              </w:rPr>
              <w:t xml:space="preserve">   </w:t>
            </w:r>
            <w:r w:rsidR="003D5174" w:rsidRPr="00045F26">
              <w:rPr>
                <w:rFonts w:ascii="Arial" w:hAnsi="Arial" w:cs="Arial"/>
                <w:i/>
              </w:rPr>
              <w:t>Fin de periodo</w:t>
            </w:r>
          </w:p>
        </w:tc>
        <w:tc>
          <w:tcPr>
            <w:tcW w:w="1350" w:type="dxa"/>
          </w:tcPr>
          <w:p w14:paraId="49B60370" w14:textId="77777777" w:rsidR="004A1AC8" w:rsidRPr="00045F26" w:rsidRDefault="003D5174" w:rsidP="001D7AE2">
            <w:pPr>
              <w:spacing w:after="0" w:line="240" w:lineRule="auto"/>
              <w:jc w:val="right"/>
              <w:rPr>
                <w:rFonts w:ascii="Arial" w:hAnsi="Arial" w:cs="Arial"/>
                <w:i/>
              </w:rPr>
            </w:pPr>
            <w:r w:rsidRPr="00045F26">
              <w:rPr>
                <w:rFonts w:ascii="Arial" w:hAnsi="Arial" w:cs="Arial"/>
                <w:i/>
              </w:rPr>
              <w:t>20.0</w:t>
            </w:r>
          </w:p>
        </w:tc>
        <w:tc>
          <w:tcPr>
            <w:tcW w:w="1297" w:type="dxa"/>
          </w:tcPr>
          <w:p w14:paraId="66AEC4B0" w14:textId="2A749366" w:rsidR="004A1AC8" w:rsidRPr="00045F26" w:rsidRDefault="00AE164A" w:rsidP="001D7AE2">
            <w:pPr>
              <w:spacing w:after="0" w:line="240" w:lineRule="auto"/>
              <w:jc w:val="right"/>
              <w:rPr>
                <w:rFonts w:ascii="Arial" w:hAnsi="Arial" w:cs="Arial"/>
                <w:i/>
              </w:rPr>
            </w:pPr>
            <w:r>
              <w:rPr>
                <w:rFonts w:ascii="Arial" w:hAnsi="Arial" w:cs="Arial"/>
                <w:i/>
              </w:rPr>
              <w:t>22.3</w:t>
            </w:r>
          </w:p>
        </w:tc>
        <w:tc>
          <w:tcPr>
            <w:tcW w:w="1297" w:type="dxa"/>
          </w:tcPr>
          <w:p w14:paraId="59BC8E72" w14:textId="339ED215" w:rsidR="004A1AC8" w:rsidRPr="00045F26" w:rsidRDefault="00AE164A" w:rsidP="001D7AE2">
            <w:pPr>
              <w:spacing w:after="0" w:line="240" w:lineRule="auto"/>
              <w:jc w:val="right"/>
              <w:rPr>
                <w:rFonts w:ascii="Arial" w:hAnsi="Arial" w:cs="Arial"/>
                <w:i/>
              </w:rPr>
            </w:pPr>
            <w:r>
              <w:rPr>
                <w:rFonts w:ascii="Arial" w:hAnsi="Arial" w:cs="Arial"/>
                <w:i/>
              </w:rPr>
              <w:t>21.9</w:t>
            </w:r>
          </w:p>
        </w:tc>
      </w:tr>
      <w:tr w:rsidR="003D5174" w14:paraId="47982C52" w14:textId="77777777" w:rsidTr="00215E0B">
        <w:trPr>
          <w:jc w:val="center"/>
        </w:trPr>
        <w:tc>
          <w:tcPr>
            <w:tcW w:w="4550" w:type="dxa"/>
          </w:tcPr>
          <w:p w14:paraId="02380174" w14:textId="77777777" w:rsidR="003D5174" w:rsidRPr="00045F26" w:rsidRDefault="009F605C" w:rsidP="004A1AC8">
            <w:pPr>
              <w:spacing w:after="0" w:line="240" w:lineRule="auto"/>
              <w:jc w:val="both"/>
              <w:rPr>
                <w:rFonts w:ascii="Arial" w:hAnsi="Arial" w:cs="Arial"/>
                <w:i/>
              </w:rPr>
            </w:pPr>
            <w:r w:rsidRPr="00045F26">
              <w:rPr>
                <w:rFonts w:ascii="Arial" w:hAnsi="Arial" w:cs="Arial"/>
                <w:i/>
              </w:rPr>
              <w:t xml:space="preserve">   </w:t>
            </w:r>
            <w:r w:rsidR="003D5174" w:rsidRPr="00045F26">
              <w:rPr>
                <w:rFonts w:ascii="Arial" w:hAnsi="Arial" w:cs="Arial"/>
                <w:i/>
              </w:rPr>
              <w:t>Promedio</w:t>
            </w:r>
          </w:p>
        </w:tc>
        <w:tc>
          <w:tcPr>
            <w:tcW w:w="1350" w:type="dxa"/>
          </w:tcPr>
          <w:p w14:paraId="399C70E5" w14:textId="60F50445" w:rsidR="003D5174" w:rsidRPr="00045F26" w:rsidRDefault="00AE164A" w:rsidP="001D7AE2">
            <w:pPr>
              <w:spacing w:after="0" w:line="240" w:lineRule="auto"/>
              <w:jc w:val="right"/>
              <w:rPr>
                <w:rFonts w:ascii="Arial" w:hAnsi="Arial" w:cs="Arial"/>
                <w:i/>
              </w:rPr>
            </w:pPr>
            <w:r>
              <w:rPr>
                <w:rFonts w:ascii="Arial" w:hAnsi="Arial" w:cs="Arial"/>
                <w:i/>
              </w:rPr>
              <w:t>29.9</w:t>
            </w:r>
          </w:p>
        </w:tc>
        <w:tc>
          <w:tcPr>
            <w:tcW w:w="1297" w:type="dxa"/>
          </w:tcPr>
          <w:p w14:paraId="41A3CC0C" w14:textId="3413816F" w:rsidR="003D5174" w:rsidRPr="00045F26" w:rsidRDefault="00AE164A" w:rsidP="001D7AE2">
            <w:pPr>
              <w:spacing w:after="0" w:line="240" w:lineRule="auto"/>
              <w:jc w:val="right"/>
              <w:rPr>
                <w:rFonts w:ascii="Arial" w:hAnsi="Arial" w:cs="Arial"/>
                <w:i/>
              </w:rPr>
            </w:pPr>
            <w:r>
              <w:rPr>
                <w:rFonts w:ascii="Arial" w:hAnsi="Arial" w:cs="Arial"/>
                <w:i/>
              </w:rPr>
              <w:t>22.0</w:t>
            </w:r>
          </w:p>
        </w:tc>
        <w:tc>
          <w:tcPr>
            <w:tcW w:w="1297" w:type="dxa"/>
          </w:tcPr>
          <w:p w14:paraId="43D7C472" w14:textId="4741F3E6" w:rsidR="003D5174" w:rsidRPr="00045F26" w:rsidRDefault="00AE164A" w:rsidP="001D7AE2">
            <w:pPr>
              <w:spacing w:after="0" w:line="240" w:lineRule="auto"/>
              <w:jc w:val="right"/>
              <w:rPr>
                <w:rFonts w:ascii="Arial" w:hAnsi="Arial" w:cs="Arial"/>
                <w:i/>
              </w:rPr>
            </w:pPr>
            <w:r>
              <w:rPr>
                <w:rFonts w:ascii="Arial" w:hAnsi="Arial" w:cs="Arial"/>
                <w:i/>
              </w:rPr>
              <w:t>22.1</w:t>
            </w:r>
          </w:p>
        </w:tc>
      </w:tr>
      <w:tr w:rsidR="00AE164A" w14:paraId="0E9BF3DD" w14:textId="77777777" w:rsidTr="0033287E">
        <w:trPr>
          <w:jc w:val="center"/>
        </w:trPr>
        <w:tc>
          <w:tcPr>
            <w:tcW w:w="4550" w:type="dxa"/>
          </w:tcPr>
          <w:p w14:paraId="33E916A3" w14:textId="77777777" w:rsidR="00AE164A" w:rsidRPr="00A210AA" w:rsidRDefault="00AE164A" w:rsidP="004A1AC8">
            <w:pPr>
              <w:spacing w:after="0" w:line="240" w:lineRule="auto"/>
              <w:jc w:val="both"/>
              <w:rPr>
                <w:rFonts w:ascii="Arial" w:hAnsi="Arial" w:cs="Arial"/>
                <w:b/>
                <w:bCs/>
              </w:rPr>
            </w:pPr>
            <w:r w:rsidRPr="00A210AA">
              <w:rPr>
                <w:rFonts w:ascii="Arial" w:hAnsi="Arial" w:cs="Arial"/>
                <w:b/>
                <w:bCs/>
              </w:rPr>
              <w:t>Tasa de interés (Cetes 28 días, %)</w:t>
            </w:r>
          </w:p>
        </w:tc>
        <w:tc>
          <w:tcPr>
            <w:tcW w:w="3944" w:type="dxa"/>
            <w:gridSpan w:val="3"/>
          </w:tcPr>
          <w:p w14:paraId="0C5E096B" w14:textId="77777777" w:rsidR="00AE164A" w:rsidRPr="001D7AE2" w:rsidRDefault="00AE164A" w:rsidP="001D7AE2">
            <w:pPr>
              <w:spacing w:after="0" w:line="240" w:lineRule="auto"/>
              <w:jc w:val="right"/>
              <w:rPr>
                <w:rFonts w:ascii="Arial" w:hAnsi="Arial" w:cs="Arial"/>
              </w:rPr>
            </w:pPr>
          </w:p>
        </w:tc>
      </w:tr>
      <w:tr w:rsidR="003D5174" w14:paraId="105D8551" w14:textId="77777777" w:rsidTr="00215E0B">
        <w:trPr>
          <w:jc w:val="center"/>
        </w:trPr>
        <w:tc>
          <w:tcPr>
            <w:tcW w:w="4550" w:type="dxa"/>
          </w:tcPr>
          <w:p w14:paraId="0FE71C49" w14:textId="77777777" w:rsidR="003D5174" w:rsidRPr="00045F26" w:rsidRDefault="009F605C" w:rsidP="004A1AC8">
            <w:pPr>
              <w:spacing w:after="0" w:line="240" w:lineRule="auto"/>
              <w:jc w:val="both"/>
              <w:rPr>
                <w:rFonts w:ascii="Arial" w:hAnsi="Arial" w:cs="Arial"/>
                <w:i/>
              </w:rPr>
            </w:pPr>
            <w:r w:rsidRPr="00045F26">
              <w:rPr>
                <w:rFonts w:ascii="Arial" w:hAnsi="Arial" w:cs="Arial"/>
                <w:i/>
              </w:rPr>
              <w:t xml:space="preserve">   </w:t>
            </w:r>
            <w:r w:rsidR="003D5174" w:rsidRPr="00045F26">
              <w:rPr>
                <w:rFonts w:ascii="Arial" w:hAnsi="Arial" w:cs="Arial"/>
                <w:i/>
              </w:rPr>
              <w:t>Nominal fin de periodo</w:t>
            </w:r>
          </w:p>
        </w:tc>
        <w:tc>
          <w:tcPr>
            <w:tcW w:w="1350" w:type="dxa"/>
          </w:tcPr>
          <w:p w14:paraId="3034DC6F" w14:textId="2DFB9CE6" w:rsidR="003D5174" w:rsidRPr="00045F26" w:rsidRDefault="00AE164A" w:rsidP="001D7AE2">
            <w:pPr>
              <w:spacing w:after="0" w:line="240" w:lineRule="auto"/>
              <w:jc w:val="right"/>
              <w:rPr>
                <w:rFonts w:ascii="Arial" w:hAnsi="Arial" w:cs="Arial"/>
                <w:i/>
              </w:rPr>
            </w:pPr>
            <w:r>
              <w:rPr>
                <w:rFonts w:ascii="Arial" w:hAnsi="Arial" w:cs="Arial"/>
                <w:i/>
              </w:rPr>
              <w:t>7.1</w:t>
            </w:r>
          </w:p>
        </w:tc>
        <w:tc>
          <w:tcPr>
            <w:tcW w:w="1297" w:type="dxa"/>
          </w:tcPr>
          <w:p w14:paraId="76F965D6" w14:textId="3B2594A2" w:rsidR="003D5174" w:rsidRPr="00045F26" w:rsidRDefault="00AE164A" w:rsidP="001D7AE2">
            <w:pPr>
              <w:spacing w:after="0" w:line="240" w:lineRule="auto"/>
              <w:jc w:val="right"/>
              <w:rPr>
                <w:rFonts w:ascii="Arial" w:hAnsi="Arial" w:cs="Arial"/>
                <w:i/>
              </w:rPr>
            </w:pPr>
            <w:r>
              <w:rPr>
                <w:rFonts w:ascii="Arial" w:hAnsi="Arial" w:cs="Arial"/>
                <w:i/>
              </w:rPr>
              <w:t>4.0</w:t>
            </w:r>
          </w:p>
        </w:tc>
        <w:tc>
          <w:tcPr>
            <w:tcW w:w="1297" w:type="dxa"/>
          </w:tcPr>
          <w:p w14:paraId="58C4C8F0" w14:textId="69FF0025" w:rsidR="003D5174" w:rsidRPr="00045F26" w:rsidRDefault="00AE164A" w:rsidP="001D7AE2">
            <w:pPr>
              <w:spacing w:after="0" w:line="240" w:lineRule="auto"/>
              <w:jc w:val="right"/>
              <w:rPr>
                <w:rFonts w:ascii="Arial" w:hAnsi="Arial" w:cs="Arial"/>
                <w:i/>
              </w:rPr>
            </w:pPr>
            <w:r>
              <w:rPr>
                <w:rFonts w:ascii="Arial" w:hAnsi="Arial" w:cs="Arial"/>
                <w:i/>
              </w:rPr>
              <w:t>4.0</w:t>
            </w:r>
          </w:p>
        </w:tc>
      </w:tr>
      <w:tr w:rsidR="003D5174" w14:paraId="02516B09" w14:textId="77777777" w:rsidTr="00215E0B">
        <w:trPr>
          <w:jc w:val="center"/>
        </w:trPr>
        <w:tc>
          <w:tcPr>
            <w:tcW w:w="4550" w:type="dxa"/>
          </w:tcPr>
          <w:p w14:paraId="6ED03E01" w14:textId="77777777" w:rsidR="003D5174" w:rsidRPr="00045F26" w:rsidRDefault="009F605C" w:rsidP="004A1AC8">
            <w:pPr>
              <w:spacing w:after="0" w:line="240" w:lineRule="auto"/>
              <w:jc w:val="both"/>
              <w:rPr>
                <w:rFonts w:ascii="Arial" w:hAnsi="Arial" w:cs="Arial"/>
                <w:i/>
              </w:rPr>
            </w:pPr>
            <w:r w:rsidRPr="00045F26">
              <w:rPr>
                <w:rFonts w:ascii="Arial" w:hAnsi="Arial" w:cs="Arial"/>
                <w:i/>
              </w:rPr>
              <w:t xml:space="preserve">   </w:t>
            </w:r>
            <w:r w:rsidR="003D5174" w:rsidRPr="00045F26">
              <w:rPr>
                <w:rFonts w:ascii="Arial" w:hAnsi="Arial" w:cs="Arial"/>
                <w:i/>
              </w:rPr>
              <w:t>Nominal promedio</w:t>
            </w:r>
          </w:p>
        </w:tc>
        <w:tc>
          <w:tcPr>
            <w:tcW w:w="1350" w:type="dxa"/>
          </w:tcPr>
          <w:p w14:paraId="45E79470" w14:textId="3E8825D8" w:rsidR="003D5174" w:rsidRPr="00045F26" w:rsidRDefault="00AE164A" w:rsidP="001D7AE2">
            <w:pPr>
              <w:spacing w:after="0" w:line="240" w:lineRule="auto"/>
              <w:jc w:val="right"/>
              <w:rPr>
                <w:rFonts w:ascii="Arial" w:hAnsi="Arial" w:cs="Arial"/>
                <w:i/>
              </w:rPr>
            </w:pPr>
            <w:r>
              <w:rPr>
                <w:rFonts w:ascii="Arial" w:hAnsi="Arial" w:cs="Arial"/>
                <w:i/>
              </w:rPr>
              <w:t>7.4</w:t>
            </w:r>
          </w:p>
        </w:tc>
        <w:tc>
          <w:tcPr>
            <w:tcW w:w="1297" w:type="dxa"/>
          </w:tcPr>
          <w:p w14:paraId="60367210" w14:textId="117A5665" w:rsidR="003D5174" w:rsidRPr="00045F26" w:rsidRDefault="00AE164A" w:rsidP="001D7AE2">
            <w:pPr>
              <w:spacing w:after="0" w:line="240" w:lineRule="auto"/>
              <w:jc w:val="right"/>
              <w:rPr>
                <w:rFonts w:ascii="Arial" w:hAnsi="Arial" w:cs="Arial"/>
                <w:i/>
              </w:rPr>
            </w:pPr>
            <w:r>
              <w:rPr>
                <w:rFonts w:ascii="Arial" w:hAnsi="Arial" w:cs="Arial"/>
                <w:i/>
              </w:rPr>
              <w:t>5.3</w:t>
            </w:r>
          </w:p>
        </w:tc>
        <w:tc>
          <w:tcPr>
            <w:tcW w:w="1297" w:type="dxa"/>
          </w:tcPr>
          <w:p w14:paraId="23C2C6CD" w14:textId="2C4B1B2B" w:rsidR="003D5174" w:rsidRPr="00045F26" w:rsidRDefault="00AE164A" w:rsidP="001D7AE2">
            <w:pPr>
              <w:spacing w:after="0" w:line="240" w:lineRule="auto"/>
              <w:jc w:val="right"/>
              <w:rPr>
                <w:rFonts w:ascii="Arial" w:hAnsi="Arial" w:cs="Arial"/>
                <w:i/>
              </w:rPr>
            </w:pPr>
            <w:r>
              <w:rPr>
                <w:rFonts w:ascii="Arial" w:hAnsi="Arial" w:cs="Arial"/>
                <w:i/>
              </w:rPr>
              <w:t>4.0</w:t>
            </w:r>
          </w:p>
        </w:tc>
      </w:tr>
      <w:tr w:rsidR="003D5174" w14:paraId="429F60E2" w14:textId="77777777" w:rsidTr="00215E0B">
        <w:trPr>
          <w:jc w:val="center"/>
        </w:trPr>
        <w:tc>
          <w:tcPr>
            <w:tcW w:w="4550" w:type="dxa"/>
          </w:tcPr>
          <w:p w14:paraId="0883F377" w14:textId="77777777" w:rsidR="003D5174" w:rsidRPr="00045F26" w:rsidRDefault="009F605C" w:rsidP="004A1AC8">
            <w:pPr>
              <w:spacing w:after="0" w:line="240" w:lineRule="auto"/>
              <w:jc w:val="both"/>
              <w:rPr>
                <w:rFonts w:ascii="Arial" w:hAnsi="Arial" w:cs="Arial"/>
                <w:i/>
              </w:rPr>
            </w:pPr>
            <w:r w:rsidRPr="00045F26">
              <w:rPr>
                <w:rFonts w:ascii="Arial" w:hAnsi="Arial" w:cs="Arial"/>
                <w:i/>
              </w:rPr>
              <w:t xml:space="preserve">   </w:t>
            </w:r>
            <w:r w:rsidR="003D5174" w:rsidRPr="00045F26">
              <w:rPr>
                <w:rFonts w:ascii="Arial" w:hAnsi="Arial" w:cs="Arial"/>
                <w:i/>
              </w:rPr>
              <w:t>Real acumulada</w:t>
            </w:r>
          </w:p>
        </w:tc>
        <w:tc>
          <w:tcPr>
            <w:tcW w:w="1350" w:type="dxa"/>
          </w:tcPr>
          <w:p w14:paraId="491FE2BD" w14:textId="65D0071B" w:rsidR="003D5174" w:rsidRPr="00045F26" w:rsidRDefault="00AE164A" w:rsidP="001D7AE2">
            <w:pPr>
              <w:spacing w:after="0" w:line="240" w:lineRule="auto"/>
              <w:jc w:val="right"/>
              <w:rPr>
                <w:rFonts w:ascii="Arial" w:hAnsi="Arial" w:cs="Arial"/>
                <w:i/>
              </w:rPr>
            </w:pPr>
            <w:r>
              <w:rPr>
                <w:rFonts w:ascii="Arial" w:hAnsi="Arial" w:cs="Arial"/>
                <w:i/>
              </w:rPr>
              <w:t>4.5</w:t>
            </w:r>
          </w:p>
        </w:tc>
        <w:tc>
          <w:tcPr>
            <w:tcW w:w="1297" w:type="dxa"/>
          </w:tcPr>
          <w:p w14:paraId="674A5A92" w14:textId="4BC7388D" w:rsidR="003D5174" w:rsidRPr="00045F26" w:rsidRDefault="00AE164A" w:rsidP="001D7AE2">
            <w:pPr>
              <w:spacing w:after="0" w:line="240" w:lineRule="auto"/>
              <w:jc w:val="right"/>
              <w:rPr>
                <w:rFonts w:ascii="Arial" w:hAnsi="Arial" w:cs="Arial"/>
                <w:i/>
              </w:rPr>
            </w:pPr>
            <w:r>
              <w:rPr>
                <w:rFonts w:ascii="Arial" w:hAnsi="Arial" w:cs="Arial"/>
                <w:i/>
              </w:rPr>
              <w:t>1.9</w:t>
            </w:r>
          </w:p>
        </w:tc>
        <w:tc>
          <w:tcPr>
            <w:tcW w:w="1297" w:type="dxa"/>
          </w:tcPr>
          <w:p w14:paraId="2A816F81" w14:textId="2BAE839D" w:rsidR="003D5174" w:rsidRPr="00045F26" w:rsidRDefault="00AE164A" w:rsidP="001D7AE2">
            <w:pPr>
              <w:spacing w:after="0" w:line="240" w:lineRule="auto"/>
              <w:jc w:val="right"/>
              <w:rPr>
                <w:rFonts w:ascii="Arial" w:hAnsi="Arial" w:cs="Arial"/>
                <w:i/>
              </w:rPr>
            </w:pPr>
            <w:r>
              <w:rPr>
                <w:rFonts w:ascii="Arial" w:hAnsi="Arial" w:cs="Arial"/>
                <w:i/>
              </w:rPr>
              <w:t>1.0</w:t>
            </w:r>
          </w:p>
        </w:tc>
      </w:tr>
      <w:tr w:rsidR="00AE164A" w14:paraId="19EF29AB" w14:textId="77777777" w:rsidTr="0033287E">
        <w:trPr>
          <w:jc w:val="center"/>
        </w:trPr>
        <w:tc>
          <w:tcPr>
            <w:tcW w:w="4550" w:type="dxa"/>
          </w:tcPr>
          <w:p w14:paraId="7754A0B4" w14:textId="77777777" w:rsidR="00AE164A" w:rsidRPr="00A210AA" w:rsidRDefault="00AE164A" w:rsidP="004A1AC8">
            <w:pPr>
              <w:spacing w:after="0" w:line="240" w:lineRule="auto"/>
              <w:jc w:val="both"/>
              <w:rPr>
                <w:rFonts w:ascii="Arial" w:hAnsi="Arial" w:cs="Arial"/>
                <w:b/>
                <w:bCs/>
              </w:rPr>
            </w:pPr>
            <w:r w:rsidRPr="00A210AA">
              <w:rPr>
                <w:rFonts w:ascii="Arial" w:hAnsi="Arial" w:cs="Arial"/>
                <w:b/>
                <w:bCs/>
              </w:rPr>
              <w:t>Cuenta Corriente</w:t>
            </w:r>
          </w:p>
        </w:tc>
        <w:tc>
          <w:tcPr>
            <w:tcW w:w="3944" w:type="dxa"/>
            <w:gridSpan w:val="3"/>
          </w:tcPr>
          <w:p w14:paraId="4B0F02E7" w14:textId="77777777" w:rsidR="00AE164A" w:rsidRPr="001D7AE2" w:rsidRDefault="00AE164A" w:rsidP="001D7AE2">
            <w:pPr>
              <w:spacing w:after="0" w:line="240" w:lineRule="auto"/>
              <w:jc w:val="right"/>
              <w:rPr>
                <w:rFonts w:ascii="Arial" w:hAnsi="Arial" w:cs="Arial"/>
              </w:rPr>
            </w:pPr>
          </w:p>
        </w:tc>
      </w:tr>
      <w:tr w:rsidR="009F605C" w14:paraId="110F43CA" w14:textId="77777777" w:rsidTr="00215E0B">
        <w:trPr>
          <w:jc w:val="center"/>
        </w:trPr>
        <w:tc>
          <w:tcPr>
            <w:tcW w:w="4550" w:type="dxa"/>
          </w:tcPr>
          <w:p w14:paraId="071E3F1F" w14:textId="77777777" w:rsidR="009F605C" w:rsidRPr="00045F26" w:rsidRDefault="009F605C" w:rsidP="004A1AC8">
            <w:pPr>
              <w:spacing w:after="0" w:line="240" w:lineRule="auto"/>
              <w:jc w:val="both"/>
              <w:rPr>
                <w:rFonts w:ascii="Arial" w:hAnsi="Arial" w:cs="Arial"/>
                <w:i/>
              </w:rPr>
            </w:pPr>
            <w:r w:rsidRPr="00045F26">
              <w:rPr>
                <w:rFonts w:ascii="Arial" w:hAnsi="Arial" w:cs="Arial"/>
                <w:i/>
              </w:rPr>
              <w:t xml:space="preserve">   Millones de dólares</w:t>
            </w:r>
          </w:p>
        </w:tc>
        <w:tc>
          <w:tcPr>
            <w:tcW w:w="1350" w:type="dxa"/>
          </w:tcPr>
          <w:p w14:paraId="2E682C01" w14:textId="47F0426D" w:rsidR="009F605C" w:rsidRPr="00045F26" w:rsidRDefault="00AE164A" w:rsidP="001D7AE2">
            <w:pPr>
              <w:spacing w:after="0" w:line="240" w:lineRule="auto"/>
              <w:jc w:val="right"/>
              <w:rPr>
                <w:rFonts w:ascii="Arial" w:hAnsi="Arial" w:cs="Arial"/>
                <w:i/>
              </w:rPr>
            </w:pPr>
            <w:r>
              <w:rPr>
                <w:rFonts w:ascii="Arial" w:hAnsi="Arial" w:cs="Arial"/>
                <w:i/>
              </w:rPr>
              <w:t>-23,272</w:t>
            </w:r>
          </w:p>
        </w:tc>
        <w:tc>
          <w:tcPr>
            <w:tcW w:w="1297" w:type="dxa"/>
          </w:tcPr>
          <w:p w14:paraId="6D6CEE7D" w14:textId="61D658F7" w:rsidR="009F605C" w:rsidRPr="00045F26" w:rsidRDefault="00AE164A" w:rsidP="001D7AE2">
            <w:pPr>
              <w:spacing w:after="0" w:line="240" w:lineRule="auto"/>
              <w:jc w:val="right"/>
              <w:rPr>
                <w:rFonts w:ascii="Arial" w:hAnsi="Arial" w:cs="Arial"/>
                <w:i/>
              </w:rPr>
            </w:pPr>
            <w:r>
              <w:rPr>
                <w:rFonts w:ascii="Arial" w:hAnsi="Arial" w:cs="Arial"/>
                <w:i/>
              </w:rPr>
              <w:t>-6,739</w:t>
            </w:r>
          </w:p>
        </w:tc>
        <w:tc>
          <w:tcPr>
            <w:tcW w:w="1297" w:type="dxa"/>
          </w:tcPr>
          <w:p w14:paraId="0706203C" w14:textId="1CCC82A4" w:rsidR="009F605C" w:rsidRPr="00045F26" w:rsidRDefault="00AE164A" w:rsidP="001D7AE2">
            <w:pPr>
              <w:spacing w:after="0" w:line="240" w:lineRule="auto"/>
              <w:jc w:val="right"/>
              <w:rPr>
                <w:rFonts w:ascii="Arial" w:hAnsi="Arial" w:cs="Arial"/>
                <w:i/>
              </w:rPr>
            </w:pPr>
            <w:r>
              <w:rPr>
                <w:rFonts w:ascii="Arial" w:hAnsi="Arial" w:cs="Arial"/>
                <w:i/>
              </w:rPr>
              <w:t>-22,842</w:t>
            </w:r>
          </w:p>
        </w:tc>
      </w:tr>
      <w:tr w:rsidR="009F605C" w14:paraId="03E69B28" w14:textId="77777777" w:rsidTr="00215E0B">
        <w:trPr>
          <w:jc w:val="center"/>
        </w:trPr>
        <w:tc>
          <w:tcPr>
            <w:tcW w:w="4550" w:type="dxa"/>
          </w:tcPr>
          <w:p w14:paraId="11A85362" w14:textId="77777777" w:rsidR="009F605C" w:rsidRPr="00045F26" w:rsidRDefault="009F605C" w:rsidP="004A1AC8">
            <w:pPr>
              <w:spacing w:after="0" w:line="240" w:lineRule="auto"/>
              <w:jc w:val="both"/>
              <w:rPr>
                <w:rFonts w:ascii="Arial" w:hAnsi="Arial" w:cs="Arial"/>
                <w:i/>
              </w:rPr>
            </w:pPr>
            <w:r w:rsidRPr="00045F26">
              <w:rPr>
                <w:rFonts w:ascii="Arial" w:hAnsi="Arial" w:cs="Arial"/>
                <w:i/>
              </w:rPr>
              <w:t xml:space="preserve">   % del PIB</w:t>
            </w:r>
          </w:p>
        </w:tc>
        <w:tc>
          <w:tcPr>
            <w:tcW w:w="1350" w:type="dxa"/>
          </w:tcPr>
          <w:p w14:paraId="01939685" w14:textId="1D40C4F8" w:rsidR="009F605C" w:rsidRPr="00045F26" w:rsidRDefault="00AE164A" w:rsidP="001D7AE2">
            <w:pPr>
              <w:spacing w:after="0" w:line="240" w:lineRule="auto"/>
              <w:jc w:val="right"/>
              <w:rPr>
                <w:rFonts w:ascii="Arial" w:hAnsi="Arial" w:cs="Arial"/>
                <w:i/>
              </w:rPr>
            </w:pPr>
            <w:r>
              <w:rPr>
                <w:rFonts w:ascii="Arial" w:hAnsi="Arial" w:cs="Arial"/>
                <w:i/>
              </w:rPr>
              <w:t>-1.8</w:t>
            </w:r>
          </w:p>
        </w:tc>
        <w:tc>
          <w:tcPr>
            <w:tcW w:w="1297" w:type="dxa"/>
          </w:tcPr>
          <w:p w14:paraId="16021D79" w14:textId="022F4822" w:rsidR="009F605C" w:rsidRPr="00045F26" w:rsidRDefault="00AE164A" w:rsidP="001D7AE2">
            <w:pPr>
              <w:spacing w:after="0" w:line="240" w:lineRule="auto"/>
              <w:jc w:val="right"/>
              <w:rPr>
                <w:rFonts w:ascii="Arial" w:hAnsi="Arial" w:cs="Arial"/>
                <w:i/>
              </w:rPr>
            </w:pPr>
            <w:r>
              <w:rPr>
                <w:rFonts w:ascii="Arial" w:hAnsi="Arial" w:cs="Arial"/>
                <w:i/>
              </w:rPr>
              <w:t>-0.6</w:t>
            </w:r>
          </w:p>
        </w:tc>
        <w:tc>
          <w:tcPr>
            <w:tcW w:w="1297" w:type="dxa"/>
          </w:tcPr>
          <w:p w14:paraId="6A31646D" w14:textId="6BBC614F" w:rsidR="009F605C" w:rsidRPr="00045F26" w:rsidRDefault="00AE164A" w:rsidP="001D7AE2">
            <w:pPr>
              <w:spacing w:after="0" w:line="240" w:lineRule="auto"/>
              <w:jc w:val="right"/>
              <w:rPr>
                <w:rFonts w:ascii="Arial" w:hAnsi="Arial" w:cs="Arial"/>
                <w:i/>
              </w:rPr>
            </w:pPr>
            <w:r>
              <w:rPr>
                <w:rFonts w:ascii="Arial" w:hAnsi="Arial" w:cs="Arial"/>
                <w:i/>
              </w:rPr>
              <w:t>-2.0</w:t>
            </w:r>
          </w:p>
        </w:tc>
      </w:tr>
      <w:tr w:rsidR="00AE164A" w14:paraId="07872FE6" w14:textId="77777777" w:rsidTr="0033287E">
        <w:trPr>
          <w:jc w:val="center"/>
        </w:trPr>
        <w:tc>
          <w:tcPr>
            <w:tcW w:w="4550" w:type="dxa"/>
          </w:tcPr>
          <w:p w14:paraId="40DAF864" w14:textId="77777777" w:rsidR="00AE164A" w:rsidRPr="00A210AA" w:rsidRDefault="00AE164A" w:rsidP="004A1AC8">
            <w:pPr>
              <w:spacing w:after="0" w:line="240" w:lineRule="auto"/>
              <w:jc w:val="both"/>
              <w:rPr>
                <w:rFonts w:ascii="Arial" w:hAnsi="Arial" w:cs="Arial"/>
                <w:b/>
                <w:bCs/>
              </w:rPr>
            </w:pPr>
            <w:r w:rsidRPr="00A210AA">
              <w:rPr>
                <w:rFonts w:ascii="Arial" w:hAnsi="Arial" w:cs="Arial"/>
                <w:b/>
                <w:bCs/>
              </w:rPr>
              <w:t>Petróleo (canasta mexicana)</w:t>
            </w:r>
          </w:p>
        </w:tc>
        <w:tc>
          <w:tcPr>
            <w:tcW w:w="3944" w:type="dxa"/>
            <w:gridSpan w:val="3"/>
          </w:tcPr>
          <w:p w14:paraId="249BC953" w14:textId="77777777" w:rsidR="00AE164A" w:rsidRPr="001D7AE2" w:rsidRDefault="00AE164A" w:rsidP="001D7AE2">
            <w:pPr>
              <w:spacing w:after="0" w:line="240" w:lineRule="auto"/>
              <w:jc w:val="right"/>
              <w:rPr>
                <w:rFonts w:ascii="Arial" w:hAnsi="Arial" w:cs="Arial"/>
              </w:rPr>
            </w:pPr>
          </w:p>
        </w:tc>
      </w:tr>
      <w:tr w:rsidR="009F605C" w14:paraId="048027FC" w14:textId="77777777" w:rsidTr="00215E0B">
        <w:trPr>
          <w:jc w:val="center"/>
        </w:trPr>
        <w:tc>
          <w:tcPr>
            <w:tcW w:w="4550" w:type="dxa"/>
          </w:tcPr>
          <w:p w14:paraId="68454D9D" w14:textId="77777777" w:rsidR="009F605C" w:rsidRPr="00045F26" w:rsidRDefault="009F605C" w:rsidP="004A1AC8">
            <w:pPr>
              <w:spacing w:after="0" w:line="240" w:lineRule="auto"/>
              <w:jc w:val="both"/>
              <w:rPr>
                <w:rFonts w:ascii="Arial" w:hAnsi="Arial" w:cs="Arial"/>
                <w:i/>
              </w:rPr>
            </w:pPr>
            <w:r w:rsidRPr="00045F26">
              <w:rPr>
                <w:rFonts w:ascii="Arial" w:hAnsi="Arial" w:cs="Arial"/>
                <w:i/>
              </w:rPr>
              <w:t xml:space="preserve">   Precio promedio (dólares / barril)</w:t>
            </w:r>
          </w:p>
        </w:tc>
        <w:tc>
          <w:tcPr>
            <w:tcW w:w="1350" w:type="dxa"/>
          </w:tcPr>
          <w:p w14:paraId="45BF6FAE" w14:textId="492662A4" w:rsidR="009F605C" w:rsidRPr="00045F26" w:rsidRDefault="00AE164A" w:rsidP="001D7AE2">
            <w:pPr>
              <w:spacing w:after="0" w:line="240" w:lineRule="auto"/>
              <w:jc w:val="right"/>
              <w:rPr>
                <w:rFonts w:ascii="Arial" w:hAnsi="Arial" w:cs="Arial"/>
                <w:i/>
              </w:rPr>
            </w:pPr>
            <w:r>
              <w:rPr>
                <w:rFonts w:ascii="Arial" w:hAnsi="Arial" w:cs="Arial"/>
                <w:i/>
              </w:rPr>
              <w:t>49.0</w:t>
            </w:r>
          </w:p>
        </w:tc>
        <w:tc>
          <w:tcPr>
            <w:tcW w:w="1297" w:type="dxa"/>
          </w:tcPr>
          <w:p w14:paraId="5C2C3269" w14:textId="26BB0681" w:rsidR="009F605C" w:rsidRPr="00045F26" w:rsidRDefault="00AE164A" w:rsidP="001D7AE2">
            <w:pPr>
              <w:spacing w:after="0" w:line="240" w:lineRule="auto"/>
              <w:jc w:val="right"/>
              <w:rPr>
                <w:rFonts w:ascii="Arial" w:hAnsi="Arial" w:cs="Arial"/>
                <w:i/>
              </w:rPr>
            </w:pPr>
            <w:r>
              <w:rPr>
                <w:rFonts w:ascii="Arial" w:hAnsi="Arial" w:cs="Arial"/>
                <w:i/>
              </w:rPr>
              <w:t>34.6</w:t>
            </w:r>
          </w:p>
        </w:tc>
        <w:tc>
          <w:tcPr>
            <w:tcW w:w="1297" w:type="dxa"/>
          </w:tcPr>
          <w:p w14:paraId="2696DBEF" w14:textId="3093B25A" w:rsidR="009F605C" w:rsidRPr="00045F26" w:rsidRDefault="00AE164A" w:rsidP="001D7AE2">
            <w:pPr>
              <w:spacing w:after="0" w:line="240" w:lineRule="auto"/>
              <w:jc w:val="right"/>
              <w:rPr>
                <w:rFonts w:ascii="Arial" w:hAnsi="Arial" w:cs="Arial"/>
                <w:i/>
              </w:rPr>
            </w:pPr>
            <w:r>
              <w:rPr>
                <w:rFonts w:ascii="Arial" w:hAnsi="Arial" w:cs="Arial"/>
                <w:i/>
              </w:rPr>
              <w:t>42.1</w:t>
            </w:r>
          </w:p>
        </w:tc>
      </w:tr>
      <w:tr w:rsidR="009F605C" w14:paraId="4FB08178" w14:textId="77777777" w:rsidTr="00AE164A">
        <w:trPr>
          <w:jc w:val="center"/>
        </w:trPr>
        <w:tc>
          <w:tcPr>
            <w:tcW w:w="4550" w:type="dxa"/>
          </w:tcPr>
          <w:p w14:paraId="438A9EF3" w14:textId="77777777" w:rsidR="009F605C" w:rsidRPr="00045F26" w:rsidRDefault="009F605C" w:rsidP="001D7AE2">
            <w:pPr>
              <w:spacing w:after="0" w:line="240" w:lineRule="auto"/>
              <w:ind w:left="164" w:hanging="142"/>
              <w:jc w:val="both"/>
              <w:rPr>
                <w:rFonts w:ascii="Arial" w:hAnsi="Arial" w:cs="Arial"/>
                <w:i/>
              </w:rPr>
            </w:pPr>
            <w:r w:rsidRPr="00045F26">
              <w:rPr>
                <w:rFonts w:ascii="Arial" w:hAnsi="Arial" w:cs="Arial"/>
                <w:i/>
              </w:rPr>
              <w:t xml:space="preserve">   Plataforma de producción crudo total (mbd)</w:t>
            </w:r>
          </w:p>
        </w:tc>
        <w:tc>
          <w:tcPr>
            <w:tcW w:w="1350" w:type="dxa"/>
            <w:vAlign w:val="center"/>
          </w:tcPr>
          <w:p w14:paraId="3800B728" w14:textId="082650B0" w:rsidR="009F605C" w:rsidRPr="00045F26" w:rsidRDefault="00AE164A" w:rsidP="00AE164A">
            <w:pPr>
              <w:spacing w:after="0" w:line="240" w:lineRule="auto"/>
              <w:jc w:val="right"/>
              <w:rPr>
                <w:rFonts w:ascii="Arial" w:hAnsi="Arial" w:cs="Arial"/>
                <w:i/>
              </w:rPr>
            </w:pPr>
            <w:r>
              <w:rPr>
                <w:rFonts w:ascii="Arial" w:hAnsi="Arial" w:cs="Arial"/>
                <w:i/>
              </w:rPr>
              <w:t>1,951</w:t>
            </w:r>
          </w:p>
        </w:tc>
        <w:tc>
          <w:tcPr>
            <w:tcW w:w="1297" w:type="dxa"/>
            <w:vAlign w:val="center"/>
          </w:tcPr>
          <w:p w14:paraId="0E7F3C12" w14:textId="5927104D" w:rsidR="009F605C" w:rsidRPr="00045F26" w:rsidRDefault="00AE164A" w:rsidP="00AE164A">
            <w:pPr>
              <w:spacing w:after="0" w:line="240" w:lineRule="auto"/>
              <w:jc w:val="right"/>
              <w:rPr>
                <w:rFonts w:ascii="Arial" w:hAnsi="Arial" w:cs="Arial"/>
                <w:i/>
              </w:rPr>
            </w:pPr>
            <w:r>
              <w:rPr>
                <w:rFonts w:ascii="Arial" w:hAnsi="Arial" w:cs="Arial"/>
                <w:i/>
              </w:rPr>
              <w:t>1,744</w:t>
            </w:r>
          </w:p>
        </w:tc>
        <w:tc>
          <w:tcPr>
            <w:tcW w:w="1297" w:type="dxa"/>
            <w:vAlign w:val="center"/>
          </w:tcPr>
          <w:p w14:paraId="42303D67" w14:textId="2F2FB62B" w:rsidR="009F605C" w:rsidRPr="00045F26" w:rsidRDefault="00AE164A" w:rsidP="00AE164A">
            <w:pPr>
              <w:spacing w:after="0" w:line="240" w:lineRule="auto"/>
              <w:jc w:val="right"/>
              <w:rPr>
                <w:rFonts w:ascii="Arial" w:hAnsi="Arial" w:cs="Arial"/>
                <w:i/>
              </w:rPr>
            </w:pPr>
            <w:r>
              <w:rPr>
                <w:rFonts w:ascii="Arial" w:hAnsi="Arial" w:cs="Arial"/>
                <w:i/>
              </w:rPr>
              <w:t>1,857</w:t>
            </w:r>
          </w:p>
        </w:tc>
      </w:tr>
      <w:tr w:rsidR="00AE164A" w14:paraId="0B91421E" w14:textId="77777777" w:rsidTr="0033287E">
        <w:trPr>
          <w:jc w:val="center"/>
        </w:trPr>
        <w:tc>
          <w:tcPr>
            <w:tcW w:w="4550" w:type="dxa"/>
          </w:tcPr>
          <w:p w14:paraId="4163A565" w14:textId="77777777" w:rsidR="00AE164A" w:rsidRPr="00C873FA" w:rsidRDefault="00AE164A" w:rsidP="004A1AC8">
            <w:pPr>
              <w:spacing w:after="0" w:line="240" w:lineRule="auto"/>
              <w:jc w:val="both"/>
              <w:rPr>
                <w:rFonts w:ascii="Arial" w:hAnsi="Arial" w:cs="Arial"/>
                <w:b/>
                <w:bCs/>
              </w:rPr>
            </w:pPr>
            <w:r w:rsidRPr="00C873FA">
              <w:rPr>
                <w:rFonts w:ascii="Arial" w:hAnsi="Arial" w:cs="Arial"/>
                <w:b/>
                <w:bCs/>
              </w:rPr>
              <w:t>Gas natural</w:t>
            </w:r>
          </w:p>
        </w:tc>
        <w:tc>
          <w:tcPr>
            <w:tcW w:w="3944" w:type="dxa"/>
            <w:gridSpan w:val="3"/>
          </w:tcPr>
          <w:p w14:paraId="0824EC7E" w14:textId="77777777" w:rsidR="00AE164A" w:rsidRPr="001D7AE2" w:rsidRDefault="00AE164A" w:rsidP="001D7AE2">
            <w:pPr>
              <w:spacing w:after="0" w:line="240" w:lineRule="auto"/>
              <w:jc w:val="right"/>
              <w:rPr>
                <w:rFonts w:ascii="Arial" w:hAnsi="Arial" w:cs="Arial"/>
              </w:rPr>
            </w:pPr>
          </w:p>
        </w:tc>
      </w:tr>
      <w:tr w:rsidR="009F605C" w14:paraId="235E623B" w14:textId="77777777" w:rsidTr="00215E0B">
        <w:trPr>
          <w:jc w:val="center"/>
        </w:trPr>
        <w:tc>
          <w:tcPr>
            <w:tcW w:w="4550" w:type="dxa"/>
            <w:tcBorders>
              <w:bottom w:val="single" w:sz="4" w:space="0" w:color="auto"/>
            </w:tcBorders>
          </w:tcPr>
          <w:p w14:paraId="5EA2300B" w14:textId="77777777" w:rsidR="009F605C" w:rsidRPr="00045F26" w:rsidRDefault="009F605C" w:rsidP="004A1AC8">
            <w:pPr>
              <w:spacing w:after="0" w:line="240" w:lineRule="auto"/>
              <w:jc w:val="both"/>
              <w:rPr>
                <w:rFonts w:ascii="Arial" w:hAnsi="Arial" w:cs="Arial"/>
                <w:i/>
              </w:rPr>
            </w:pPr>
            <w:r w:rsidRPr="00045F26">
              <w:rPr>
                <w:rFonts w:ascii="Arial" w:hAnsi="Arial" w:cs="Arial"/>
                <w:i/>
              </w:rPr>
              <w:t xml:space="preserve">   Precio promedio (dólares/ MMBtu)</w:t>
            </w:r>
          </w:p>
        </w:tc>
        <w:tc>
          <w:tcPr>
            <w:tcW w:w="1350" w:type="dxa"/>
            <w:tcBorders>
              <w:bottom w:val="single" w:sz="4" w:space="0" w:color="auto"/>
            </w:tcBorders>
          </w:tcPr>
          <w:p w14:paraId="0F1A0A37" w14:textId="5522A172" w:rsidR="009F605C" w:rsidRPr="00045F26" w:rsidRDefault="00AE164A" w:rsidP="001D7AE2">
            <w:pPr>
              <w:spacing w:after="0" w:line="240" w:lineRule="auto"/>
              <w:jc w:val="right"/>
              <w:rPr>
                <w:rFonts w:ascii="Arial" w:hAnsi="Arial" w:cs="Arial"/>
                <w:i/>
              </w:rPr>
            </w:pPr>
            <w:r>
              <w:rPr>
                <w:rFonts w:ascii="Arial" w:hAnsi="Arial" w:cs="Arial"/>
                <w:i/>
              </w:rPr>
              <w:t>2.4</w:t>
            </w:r>
          </w:p>
        </w:tc>
        <w:tc>
          <w:tcPr>
            <w:tcW w:w="1297" w:type="dxa"/>
            <w:tcBorders>
              <w:bottom w:val="single" w:sz="4" w:space="0" w:color="auto"/>
            </w:tcBorders>
          </w:tcPr>
          <w:p w14:paraId="750688E3" w14:textId="702CF7E2" w:rsidR="009F605C" w:rsidRPr="00045F26" w:rsidRDefault="00AE164A" w:rsidP="001D7AE2">
            <w:pPr>
              <w:spacing w:after="0" w:line="240" w:lineRule="auto"/>
              <w:jc w:val="right"/>
              <w:rPr>
                <w:rFonts w:ascii="Arial" w:hAnsi="Arial" w:cs="Arial"/>
                <w:i/>
              </w:rPr>
            </w:pPr>
            <w:r>
              <w:rPr>
                <w:rFonts w:ascii="Arial" w:hAnsi="Arial" w:cs="Arial"/>
                <w:i/>
              </w:rPr>
              <w:t>2.0</w:t>
            </w:r>
          </w:p>
        </w:tc>
        <w:tc>
          <w:tcPr>
            <w:tcW w:w="1297" w:type="dxa"/>
            <w:tcBorders>
              <w:bottom w:val="single" w:sz="4" w:space="0" w:color="auto"/>
            </w:tcBorders>
          </w:tcPr>
          <w:p w14:paraId="16BE736A" w14:textId="7E041F5B" w:rsidR="009F605C" w:rsidRPr="00045F26" w:rsidRDefault="00AE164A" w:rsidP="001D7AE2">
            <w:pPr>
              <w:spacing w:after="0" w:line="240" w:lineRule="auto"/>
              <w:jc w:val="right"/>
              <w:rPr>
                <w:rFonts w:ascii="Arial" w:hAnsi="Arial" w:cs="Arial"/>
                <w:i/>
              </w:rPr>
            </w:pPr>
            <w:r>
              <w:rPr>
                <w:rFonts w:ascii="Arial" w:hAnsi="Arial" w:cs="Arial"/>
                <w:i/>
              </w:rPr>
              <w:t>2.7</w:t>
            </w:r>
          </w:p>
        </w:tc>
      </w:tr>
      <w:tr w:rsidR="001D7AE2" w14:paraId="1A3BDACB" w14:textId="77777777" w:rsidTr="00215E0B">
        <w:trPr>
          <w:jc w:val="center"/>
        </w:trPr>
        <w:tc>
          <w:tcPr>
            <w:tcW w:w="8494" w:type="dxa"/>
            <w:gridSpan w:val="4"/>
            <w:tcBorders>
              <w:left w:val="nil"/>
              <w:bottom w:val="nil"/>
              <w:right w:val="nil"/>
            </w:tcBorders>
          </w:tcPr>
          <w:p w14:paraId="76EB382A" w14:textId="77777777" w:rsidR="001D7AE2" w:rsidRPr="001D7AE2" w:rsidRDefault="001D7AE2" w:rsidP="001D7AE2">
            <w:pPr>
              <w:spacing w:after="0" w:line="240" w:lineRule="auto"/>
              <w:rPr>
                <w:rFonts w:ascii="Arial" w:hAnsi="Arial" w:cs="Arial"/>
                <w:sz w:val="14"/>
                <w:szCs w:val="16"/>
              </w:rPr>
            </w:pPr>
            <w:r w:rsidRPr="001D7AE2">
              <w:rPr>
                <w:rFonts w:ascii="Arial" w:hAnsi="Arial" w:cs="Arial"/>
                <w:sz w:val="14"/>
                <w:szCs w:val="16"/>
              </w:rPr>
              <w:t>*/ Corresponde al escenario de crecimiento puntual planteado para las estimaciones de finanzas públicas.</w:t>
            </w:r>
          </w:p>
          <w:p w14:paraId="38D68F15" w14:textId="6E177564" w:rsidR="001D7AE2" w:rsidRPr="001D7AE2" w:rsidRDefault="001D7AE2" w:rsidP="001D7AE2">
            <w:pPr>
              <w:spacing w:after="0" w:line="240" w:lineRule="auto"/>
              <w:rPr>
                <w:rFonts w:ascii="Arial" w:hAnsi="Arial" w:cs="Arial"/>
              </w:rPr>
            </w:pPr>
            <w:r w:rsidRPr="001D7AE2">
              <w:rPr>
                <w:rFonts w:ascii="Arial" w:hAnsi="Arial" w:cs="Arial"/>
                <w:sz w:val="14"/>
                <w:szCs w:val="16"/>
              </w:rPr>
              <w:t>Fuente: Criterios Generales de Política Económica</w:t>
            </w:r>
            <w:r w:rsidR="00E973B8">
              <w:rPr>
                <w:rFonts w:ascii="Arial" w:hAnsi="Arial" w:cs="Arial"/>
                <w:sz w:val="14"/>
                <w:szCs w:val="16"/>
              </w:rPr>
              <w:t xml:space="preserve"> 2021</w:t>
            </w:r>
            <w:r w:rsidRPr="001D7AE2">
              <w:rPr>
                <w:rFonts w:ascii="Arial" w:hAnsi="Arial" w:cs="Arial"/>
                <w:sz w:val="14"/>
                <w:szCs w:val="16"/>
              </w:rPr>
              <w:t>, SHCP.</w:t>
            </w:r>
          </w:p>
        </w:tc>
      </w:tr>
    </w:tbl>
    <w:p w14:paraId="05456023" w14:textId="77777777" w:rsidR="00645E6B" w:rsidRDefault="00645E6B" w:rsidP="00C041EB">
      <w:pPr>
        <w:spacing w:after="0" w:line="240" w:lineRule="auto"/>
        <w:jc w:val="both"/>
        <w:rPr>
          <w:rFonts w:ascii="Arial" w:hAnsi="Arial" w:cs="Arial"/>
          <w:sz w:val="24"/>
        </w:rPr>
      </w:pPr>
    </w:p>
    <w:p w14:paraId="6032C313" w14:textId="36CE584C" w:rsidR="006354BF" w:rsidRPr="002B7131" w:rsidRDefault="006354BF" w:rsidP="00C041EB">
      <w:pPr>
        <w:spacing w:after="0" w:line="240" w:lineRule="auto"/>
        <w:jc w:val="both"/>
        <w:rPr>
          <w:rFonts w:ascii="Arial" w:hAnsi="Arial" w:cs="Arial"/>
          <w:sz w:val="24"/>
        </w:rPr>
      </w:pPr>
      <w:r w:rsidRPr="006354BF">
        <w:rPr>
          <w:rFonts w:ascii="Arial" w:hAnsi="Arial" w:cs="Arial"/>
          <w:sz w:val="24"/>
        </w:rPr>
        <w:t>El entorno macroeconómico previsto para 2021 se encuentra sujeto a diversos riesgos tanto al alza como a la baja. Entre los primeros destacan el descubrimiento de una vac</w:t>
      </w:r>
      <w:r>
        <w:rPr>
          <w:rFonts w:ascii="Arial" w:hAnsi="Arial" w:cs="Arial"/>
          <w:sz w:val="24"/>
        </w:rPr>
        <w:t>una para el COVID-19 que permita</w:t>
      </w:r>
      <w:r w:rsidRPr="006354BF">
        <w:rPr>
          <w:rFonts w:ascii="Arial" w:hAnsi="Arial" w:cs="Arial"/>
          <w:sz w:val="24"/>
        </w:rPr>
        <w:t xml:space="preserve"> una reapertura </w:t>
      </w:r>
      <w:r w:rsidRPr="006354BF">
        <w:rPr>
          <w:rFonts w:ascii="Arial" w:hAnsi="Arial" w:cs="Arial"/>
          <w:sz w:val="24"/>
        </w:rPr>
        <w:lastRenderedPageBreak/>
        <w:t>amplia temprano en el año, así como una mayor inversión resultado de la disipación en la incertidumbre en los mercados financieros, por mayor relocalización de empresas para aprovechar las ventajas comparativas del T-MEC o ante mayores disminuciones en las tasas de interés domésticas. Entre los segundos resalta una reactivación interna más lenta que la anticipada y una recuperación menor que la esperada para EEUU, por incertidumbre asociada a su próximo proceso electoral o por escalamiento en las tensiones comercia</w:t>
      </w:r>
      <w:r>
        <w:rPr>
          <w:rFonts w:ascii="Arial" w:hAnsi="Arial" w:cs="Arial"/>
          <w:sz w:val="24"/>
        </w:rPr>
        <w:t>les y geopolíticas con China.</w:t>
      </w:r>
    </w:p>
    <w:p w14:paraId="07BC693A" w14:textId="77777777" w:rsidR="0082773A" w:rsidRDefault="0082773A" w:rsidP="000F15DD">
      <w:pPr>
        <w:spacing w:after="0" w:line="240" w:lineRule="auto"/>
        <w:jc w:val="both"/>
        <w:rPr>
          <w:rFonts w:ascii="Arial" w:hAnsi="Arial" w:cs="Arial"/>
          <w:sz w:val="24"/>
        </w:rPr>
      </w:pPr>
    </w:p>
    <w:p w14:paraId="621D8799" w14:textId="72D6DC9E" w:rsidR="005A05BF" w:rsidRDefault="00B80242" w:rsidP="000F15DD">
      <w:pPr>
        <w:spacing w:after="0" w:line="240" w:lineRule="auto"/>
        <w:jc w:val="both"/>
        <w:rPr>
          <w:rFonts w:ascii="Arial" w:hAnsi="Arial" w:cs="Arial"/>
          <w:sz w:val="24"/>
        </w:rPr>
      </w:pPr>
      <w:r>
        <w:rPr>
          <w:rFonts w:ascii="Arial" w:hAnsi="Arial" w:cs="Arial"/>
          <w:sz w:val="24"/>
        </w:rPr>
        <w:t>Dicho panorama</w:t>
      </w:r>
      <w:r w:rsidR="005A05BF">
        <w:rPr>
          <w:rFonts w:ascii="Arial" w:hAnsi="Arial" w:cs="Arial"/>
          <w:sz w:val="24"/>
        </w:rPr>
        <w:t>, por consecuencia</w:t>
      </w:r>
      <w:r w:rsidR="00BE5941">
        <w:rPr>
          <w:rFonts w:ascii="Arial" w:hAnsi="Arial" w:cs="Arial"/>
          <w:sz w:val="24"/>
        </w:rPr>
        <w:t>,</w:t>
      </w:r>
      <w:r>
        <w:rPr>
          <w:rFonts w:ascii="Arial" w:hAnsi="Arial" w:cs="Arial"/>
          <w:sz w:val="24"/>
        </w:rPr>
        <w:t xml:space="preserve"> tendrá</w:t>
      </w:r>
      <w:r w:rsidR="005A05BF">
        <w:rPr>
          <w:rFonts w:ascii="Arial" w:hAnsi="Arial" w:cs="Arial"/>
          <w:sz w:val="24"/>
        </w:rPr>
        <w:t xml:space="preserve"> influencias desde diferentes ámbitos sobre la economía colimense</w:t>
      </w:r>
      <w:r w:rsidR="00814557">
        <w:rPr>
          <w:rFonts w:ascii="Arial" w:hAnsi="Arial" w:cs="Arial"/>
          <w:sz w:val="24"/>
        </w:rPr>
        <w:t xml:space="preserve">, la cual, </w:t>
      </w:r>
      <w:r w:rsidR="005A05BF">
        <w:rPr>
          <w:rFonts w:ascii="Arial" w:hAnsi="Arial" w:cs="Arial"/>
          <w:sz w:val="24"/>
        </w:rPr>
        <w:t xml:space="preserve">con los datos más recientes </w:t>
      </w:r>
      <w:r w:rsidR="000C2247">
        <w:rPr>
          <w:rFonts w:ascii="Arial" w:hAnsi="Arial" w:cs="Arial"/>
          <w:sz w:val="24"/>
        </w:rPr>
        <w:t>al 1er trimestre de 2020, el crecimiento ha sido de 2.7 por ciento respecto al mismo trimestre de 2019</w:t>
      </w:r>
      <w:r>
        <w:rPr>
          <w:rFonts w:ascii="Arial" w:hAnsi="Arial" w:cs="Arial"/>
          <w:sz w:val="24"/>
        </w:rPr>
        <w:t>,</w:t>
      </w:r>
      <w:r w:rsidR="000C2247">
        <w:rPr>
          <w:rFonts w:ascii="Arial" w:hAnsi="Arial" w:cs="Arial"/>
          <w:sz w:val="24"/>
        </w:rPr>
        <w:t xml:space="preserve"> y de manera anual</w:t>
      </w:r>
      <w:r>
        <w:rPr>
          <w:rFonts w:ascii="Arial" w:hAnsi="Arial" w:cs="Arial"/>
          <w:sz w:val="24"/>
        </w:rPr>
        <w:t>, en 2018</w:t>
      </w:r>
      <w:r w:rsidR="000C2247">
        <w:rPr>
          <w:rFonts w:ascii="Arial" w:hAnsi="Arial" w:cs="Arial"/>
          <w:sz w:val="24"/>
        </w:rPr>
        <w:t>, ha mostrado una variación</w:t>
      </w:r>
      <w:r w:rsidR="002B7131">
        <w:rPr>
          <w:rFonts w:ascii="Arial" w:hAnsi="Arial" w:cs="Arial"/>
          <w:sz w:val="24"/>
        </w:rPr>
        <w:t xml:space="preserve"> de 2.4</w:t>
      </w:r>
      <w:r w:rsidR="00814557">
        <w:rPr>
          <w:rFonts w:ascii="Arial" w:hAnsi="Arial" w:cs="Arial"/>
          <w:sz w:val="24"/>
        </w:rPr>
        <w:t xml:space="preserve"> por cien</w:t>
      </w:r>
      <w:r>
        <w:rPr>
          <w:rFonts w:ascii="Arial" w:hAnsi="Arial" w:cs="Arial"/>
          <w:sz w:val="24"/>
        </w:rPr>
        <w:t>to en su Producto Interno Bruto</w:t>
      </w:r>
      <w:r w:rsidR="000C2247">
        <w:rPr>
          <w:rFonts w:ascii="Arial" w:hAnsi="Arial" w:cs="Arial"/>
          <w:sz w:val="24"/>
        </w:rPr>
        <w:t xml:space="preserve">. </w:t>
      </w:r>
    </w:p>
    <w:p w14:paraId="21E7D4E5" w14:textId="77777777" w:rsidR="00814557" w:rsidRPr="00BE5941" w:rsidRDefault="00814557" w:rsidP="000F15DD">
      <w:pPr>
        <w:spacing w:after="0" w:line="240" w:lineRule="auto"/>
        <w:jc w:val="both"/>
        <w:rPr>
          <w:rFonts w:ascii="Arial" w:hAnsi="Arial" w:cs="Arial"/>
          <w:b/>
          <w:bCs/>
          <w:sz w:val="24"/>
        </w:rPr>
      </w:pPr>
    </w:p>
    <w:p w14:paraId="55DF26A3" w14:textId="77777777" w:rsidR="00814557" w:rsidRPr="00BE5941" w:rsidRDefault="00814557" w:rsidP="00814557">
      <w:pPr>
        <w:spacing w:after="0" w:line="240" w:lineRule="auto"/>
        <w:jc w:val="both"/>
        <w:rPr>
          <w:rFonts w:ascii="Arial" w:hAnsi="Arial" w:cs="Arial"/>
          <w:b/>
          <w:bCs/>
          <w:sz w:val="24"/>
        </w:rPr>
      </w:pPr>
      <w:r w:rsidRPr="00BE5941">
        <w:rPr>
          <w:rFonts w:ascii="Arial" w:hAnsi="Arial" w:cs="Arial"/>
          <w:b/>
          <w:bCs/>
          <w:sz w:val="24"/>
        </w:rPr>
        <w:t>1.3.3 Entorno Local</w:t>
      </w:r>
      <w:r w:rsidRPr="00BE5941">
        <w:rPr>
          <w:rFonts w:ascii="Arial" w:hAnsi="Arial" w:cs="Arial"/>
          <w:b/>
          <w:bCs/>
          <w:sz w:val="24"/>
        </w:rPr>
        <w:tab/>
      </w:r>
    </w:p>
    <w:p w14:paraId="26928560" w14:textId="764152DD" w:rsidR="00BA2E73" w:rsidRDefault="00BA2E73" w:rsidP="00BA2E73">
      <w:pPr>
        <w:spacing w:after="0" w:line="240" w:lineRule="auto"/>
        <w:jc w:val="both"/>
        <w:rPr>
          <w:rFonts w:ascii="Arial" w:hAnsi="Arial" w:cs="Arial"/>
          <w:sz w:val="24"/>
        </w:rPr>
      </w:pPr>
    </w:p>
    <w:p w14:paraId="5E137FED" w14:textId="4C0E59C2" w:rsidR="00BA2E73" w:rsidRDefault="00BA2E73" w:rsidP="00BA2E73">
      <w:pPr>
        <w:spacing w:after="0" w:line="240" w:lineRule="auto"/>
        <w:jc w:val="both"/>
        <w:rPr>
          <w:rFonts w:ascii="Arial" w:hAnsi="Arial" w:cs="Arial"/>
          <w:sz w:val="24"/>
        </w:rPr>
      </w:pPr>
      <w:r w:rsidRPr="00BA2E73">
        <w:rPr>
          <w:rFonts w:ascii="Arial" w:hAnsi="Arial" w:cs="Arial"/>
          <w:sz w:val="24"/>
        </w:rPr>
        <w:t>La economía Colimense, de acuerdo a los últimos datos del Ins</w:t>
      </w:r>
      <w:r>
        <w:rPr>
          <w:rFonts w:ascii="Arial" w:hAnsi="Arial" w:cs="Arial"/>
          <w:sz w:val="24"/>
        </w:rPr>
        <w:t xml:space="preserve">tituto Nacional de Estadística </w:t>
      </w:r>
      <w:r w:rsidRPr="00BA2E73">
        <w:rPr>
          <w:rFonts w:ascii="Arial" w:hAnsi="Arial" w:cs="Arial"/>
          <w:sz w:val="24"/>
        </w:rPr>
        <w:t>y Geografía (INEGI), mantiene un ritmo de crecimiento constante y sostenido, el estado presenta un Producto Interno Bruto (PI</w:t>
      </w:r>
      <w:r>
        <w:rPr>
          <w:rFonts w:ascii="Arial" w:hAnsi="Arial" w:cs="Arial"/>
          <w:sz w:val="24"/>
        </w:rPr>
        <w:t>B) de 132,943 millones de pesos</w:t>
      </w:r>
      <w:r>
        <w:rPr>
          <w:rStyle w:val="Refdenotaalpie"/>
          <w:rFonts w:ascii="Arial" w:hAnsi="Arial" w:cs="Arial"/>
          <w:sz w:val="24"/>
        </w:rPr>
        <w:footnoteReference w:id="1"/>
      </w:r>
      <w:r w:rsidRPr="00BA2E73">
        <w:rPr>
          <w:rFonts w:ascii="Arial" w:hAnsi="Arial" w:cs="Arial"/>
          <w:sz w:val="24"/>
        </w:rPr>
        <w:t>, posicionándose a nivel nacional en el lugar 31 en cuanto a participación porcentual re</w:t>
      </w:r>
      <w:r w:rsidR="00DB7C8A">
        <w:rPr>
          <w:rFonts w:ascii="Arial" w:hAnsi="Arial" w:cs="Arial"/>
          <w:sz w:val="24"/>
        </w:rPr>
        <w:t>specto al total del PIB mexicano</w:t>
      </w:r>
      <w:r w:rsidRPr="00BA2E73">
        <w:rPr>
          <w:rFonts w:ascii="Arial" w:hAnsi="Arial" w:cs="Arial"/>
          <w:sz w:val="24"/>
        </w:rPr>
        <w:t>, aportando un 0.60 por ciento, superando al estado de Tlaxcala quien presenta una par</w:t>
      </w:r>
      <w:r w:rsidR="00DB7C8A">
        <w:rPr>
          <w:rFonts w:ascii="Arial" w:hAnsi="Arial" w:cs="Arial"/>
          <w:sz w:val="24"/>
        </w:rPr>
        <w:t>ticipación de 0.57 por ciento del</w:t>
      </w:r>
      <w:r w:rsidRPr="00BA2E73">
        <w:rPr>
          <w:rFonts w:ascii="Arial" w:hAnsi="Arial" w:cs="Arial"/>
          <w:sz w:val="24"/>
        </w:rPr>
        <w:t xml:space="preserve"> total nacional. Respecto al 2017, nuestro estado aportó 9,731 millones de pesos más al PIB nacional.</w:t>
      </w:r>
    </w:p>
    <w:p w14:paraId="116A74B7" w14:textId="77777777" w:rsidR="00BA2E73" w:rsidRDefault="00BA2E73" w:rsidP="00BA2E73">
      <w:pPr>
        <w:spacing w:after="0" w:line="240" w:lineRule="auto"/>
        <w:jc w:val="both"/>
        <w:rPr>
          <w:rFonts w:ascii="Arial" w:hAnsi="Arial" w:cs="Arial"/>
          <w:sz w:val="24"/>
        </w:rPr>
      </w:pPr>
    </w:p>
    <w:p w14:paraId="2D1F8EF3" w14:textId="043A7EE5" w:rsidR="00BA2E73" w:rsidRDefault="00BA2E73" w:rsidP="00BA2E73">
      <w:pPr>
        <w:spacing w:after="0" w:line="240" w:lineRule="auto"/>
        <w:jc w:val="both"/>
        <w:rPr>
          <w:rFonts w:ascii="Arial" w:hAnsi="Arial" w:cs="Arial"/>
          <w:sz w:val="24"/>
        </w:rPr>
      </w:pPr>
      <w:r w:rsidRPr="00BA2E73">
        <w:rPr>
          <w:rFonts w:ascii="Arial" w:hAnsi="Arial" w:cs="Arial"/>
          <w:sz w:val="24"/>
        </w:rPr>
        <w:t>De acuerdo a las cifras más recientes del Indicador Trimestral de la Actividad Económica Estatal (ITAEE), al primer trimestre de 2020, la economía</w:t>
      </w:r>
      <w:r>
        <w:rPr>
          <w:rFonts w:ascii="Arial" w:hAnsi="Arial" w:cs="Arial"/>
          <w:sz w:val="24"/>
        </w:rPr>
        <w:t xml:space="preserve"> colimense ha crecido en un 2.7</w:t>
      </w:r>
      <w:r>
        <w:rPr>
          <w:rStyle w:val="Refdenotaalpie"/>
          <w:rFonts w:ascii="Arial" w:hAnsi="Arial" w:cs="Arial"/>
          <w:sz w:val="24"/>
        </w:rPr>
        <w:footnoteReference w:id="2"/>
      </w:r>
      <w:r w:rsidRPr="00BA2E73">
        <w:rPr>
          <w:rFonts w:ascii="Arial" w:hAnsi="Arial" w:cs="Arial"/>
          <w:sz w:val="24"/>
        </w:rPr>
        <w:t xml:space="preserve"> por ciento respecto al mismo trimestre de</w:t>
      </w:r>
      <w:r w:rsidR="00E52DE8">
        <w:rPr>
          <w:rFonts w:ascii="Arial" w:hAnsi="Arial" w:cs="Arial"/>
          <w:sz w:val="24"/>
        </w:rPr>
        <w:t xml:space="preserve"> 2019, y en este sentido Colima, gracias a una economía diversificada, </w:t>
      </w:r>
      <w:r w:rsidRPr="00BA2E73">
        <w:rPr>
          <w:rFonts w:ascii="Arial" w:hAnsi="Arial" w:cs="Arial"/>
          <w:sz w:val="24"/>
        </w:rPr>
        <w:t>se posiciona como la segunda entidad, con mayor crecimiento económico, solo después del estado de Tabasco.</w:t>
      </w:r>
      <w:r w:rsidR="009615B1">
        <w:rPr>
          <w:rFonts w:ascii="Arial" w:hAnsi="Arial" w:cs="Arial"/>
          <w:sz w:val="24"/>
        </w:rPr>
        <w:t xml:space="preserve"> La economía de nuestro estado, a pesar de las medidas de contención implementadas con el fin de contener la propagación del virus SARS-CoV-2, ha mostrado solidez y resistencia.</w:t>
      </w:r>
    </w:p>
    <w:p w14:paraId="3B353B8E" w14:textId="77777777" w:rsidR="009615B1" w:rsidRDefault="009615B1" w:rsidP="00BA2E73">
      <w:pPr>
        <w:spacing w:after="0" w:line="240" w:lineRule="auto"/>
        <w:jc w:val="both"/>
        <w:rPr>
          <w:rFonts w:ascii="Arial" w:hAnsi="Arial" w:cs="Arial"/>
          <w:sz w:val="24"/>
        </w:rPr>
      </w:pPr>
    </w:p>
    <w:p w14:paraId="09FA79B9" w14:textId="0E8BE011" w:rsidR="00264DA5" w:rsidRDefault="009615B1" w:rsidP="00BA2E73">
      <w:pPr>
        <w:spacing w:after="0" w:line="240" w:lineRule="auto"/>
        <w:jc w:val="both"/>
        <w:rPr>
          <w:rFonts w:ascii="Arial" w:hAnsi="Arial" w:cs="Arial"/>
          <w:sz w:val="24"/>
        </w:rPr>
      </w:pPr>
      <w:r>
        <w:rPr>
          <w:rFonts w:ascii="Arial" w:hAnsi="Arial" w:cs="Arial"/>
          <w:sz w:val="24"/>
        </w:rPr>
        <w:t xml:space="preserve">El 18 de marzo de 2020, fue publicado en el Periódico Oficial “El Estado de Colima” la Declaratoria de Emergencia por la Presencia del COVID-19 (Coronavirus) en el Estado de Colima. En la cual se dictaron las medidas a </w:t>
      </w:r>
      <w:r>
        <w:rPr>
          <w:rFonts w:ascii="Arial" w:hAnsi="Arial" w:cs="Arial"/>
          <w:sz w:val="24"/>
        </w:rPr>
        <w:lastRenderedPageBreak/>
        <w:t>implementar para la prevención, mitigación, seguridad, detección y atención de la propagación del virus, entre las cuales destacaban: el aislamiento social, la suspensión o restricción de actividades públicas y privadas, la</w:t>
      </w:r>
      <w:r w:rsidR="00DB7C8A">
        <w:rPr>
          <w:rFonts w:ascii="Arial" w:hAnsi="Arial" w:cs="Arial"/>
          <w:sz w:val="24"/>
        </w:rPr>
        <w:t xml:space="preserve"> prohibición de la</w:t>
      </w:r>
      <w:r>
        <w:rPr>
          <w:rFonts w:ascii="Arial" w:hAnsi="Arial" w:cs="Arial"/>
          <w:sz w:val="24"/>
        </w:rPr>
        <w:t xml:space="preserve"> congregación de personas, clausura de locales comerciales, centros de espectáculo, locales de fiesta, bares, restaurantes, centros laborales, empresas, negocios, así como las clases presenciales, acciones que claramente </w:t>
      </w:r>
      <w:r w:rsidR="00264DA5">
        <w:rPr>
          <w:rFonts w:ascii="Arial" w:hAnsi="Arial" w:cs="Arial"/>
          <w:sz w:val="24"/>
        </w:rPr>
        <w:t>afectarían negativamente sobre la actividad económica del estado en el corto plazo.</w:t>
      </w:r>
    </w:p>
    <w:p w14:paraId="7EAEA155" w14:textId="77777777" w:rsidR="00264DA5" w:rsidRDefault="00264DA5" w:rsidP="00BA2E73">
      <w:pPr>
        <w:spacing w:after="0" w:line="240" w:lineRule="auto"/>
        <w:jc w:val="both"/>
        <w:rPr>
          <w:rFonts w:ascii="Arial" w:hAnsi="Arial" w:cs="Arial"/>
          <w:sz w:val="24"/>
        </w:rPr>
      </w:pPr>
    </w:p>
    <w:p w14:paraId="31BF9129" w14:textId="77777777" w:rsidR="00264DA5" w:rsidRDefault="00264DA5" w:rsidP="00BA2E73">
      <w:pPr>
        <w:spacing w:after="0" w:line="240" w:lineRule="auto"/>
        <w:jc w:val="both"/>
        <w:rPr>
          <w:rFonts w:ascii="Arial" w:hAnsi="Arial" w:cs="Arial"/>
          <w:sz w:val="24"/>
        </w:rPr>
      </w:pPr>
      <w:r>
        <w:rPr>
          <w:rFonts w:ascii="Arial" w:hAnsi="Arial" w:cs="Arial"/>
          <w:sz w:val="24"/>
        </w:rPr>
        <w:t>En atención a la necesidad de dar soporte a la economía del estado, el Gobierno del Estado de Colima implementó una estrategia de apoyo ante las acciones preventivas por el COVID-19:</w:t>
      </w:r>
    </w:p>
    <w:p w14:paraId="6D75D145" w14:textId="77777777" w:rsidR="00264DA5" w:rsidRDefault="00264DA5" w:rsidP="00BA2E73">
      <w:pPr>
        <w:spacing w:after="0" w:line="240" w:lineRule="auto"/>
        <w:jc w:val="both"/>
        <w:rPr>
          <w:rFonts w:ascii="Arial" w:hAnsi="Arial" w:cs="Arial"/>
          <w:sz w:val="24"/>
        </w:rPr>
      </w:pPr>
    </w:p>
    <w:p w14:paraId="5322D588" w14:textId="254B1018" w:rsidR="009615B1" w:rsidRDefault="00264DA5" w:rsidP="00264DA5">
      <w:pPr>
        <w:pStyle w:val="Prrafodelista"/>
        <w:numPr>
          <w:ilvl w:val="0"/>
          <w:numId w:val="36"/>
        </w:numPr>
        <w:spacing w:after="0" w:line="240" w:lineRule="auto"/>
        <w:jc w:val="both"/>
        <w:rPr>
          <w:rFonts w:ascii="Arial" w:hAnsi="Arial" w:cs="Arial"/>
          <w:sz w:val="24"/>
        </w:rPr>
      </w:pPr>
      <w:r w:rsidRPr="002A2208">
        <w:rPr>
          <w:rFonts w:ascii="Arial" w:hAnsi="Arial" w:cs="Arial"/>
          <w:sz w:val="24"/>
        </w:rPr>
        <w:t>Beneficios fiscales</w:t>
      </w:r>
      <w:r>
        <w:rPr>
          <w:rFonts w:ascii="Arial" w:hAnsi="Arial" w:cs="Arial"/>
          <w:sz w:val="24"/>
        </w:rPr>
        <w:t>. En los que en algunos casos se exenta temporalmente y en otros se aplaza el pago de impuestos para personas y empresas.</w:t>
      </w:r>
    </w:p>
    <w:p w14:paraId="5EC07DEB" w14:textId="13554EFD" w:rsidR="00264DA5" w:rsidRDefault="00264DA5" w:rsidP="00264DA5">
      <w:pPr>
        <w:pStyle w:val="Prrafodelista"/>
        <w:numPr>
          <w:ilvl w:val="0"/>
          <w:numId w:val="36"/>
        </w:numPr>
        <w:spacing w:after="0" w:line="240" w:lineRule="auto"/>
        <w:jc w:val="both"/>
        <w:rPr>
          <w:rFonts w:ascii="Arial" w:hAnsi="Arial" w:cs="Arial"/>
          <w:sz w:val="24"/>
        </w:rPr>
      </w:pPr>
      <w:r w:rsidRPr="002A2208">
        <w:rPr>
          <w:rFonts w:ascii="Arial" w:hAnsi="Arial" w:cs="Arial"/>
          <w:sz w:val="24"/>
        </w:rPr>
        <w:t>Programa Emergente de Atención Alimentaria.</w:t>
      </w:r>
      <w:r w:rsidRPr="00264DA5">
        <w:rPr>
          <w:rFonts w:ascii="Arial" w:hAnsi="Arial" w:cs="Arial"/>
          <w:b/>
          <w:sz w:val="24"/>
        </w:rPr>
        <w:t xml:space="preserve"> </w:t>
      </w:r>
      <w:r>
        <w:rPr>
          <w:rFonts w:ascii="Arial" w:hAnsi="Arial" w:cs="Arial"/>
          <w:sz w:val="24"/>
        </w:rPr>
        <w:t>Se garantiza el alimento a quienes vivían al día y por la pandemia no tienen ingresos.</w:t>
      </w:r>
    </w:p>
    <w:p w14:paraId="4AC3F03D" w14:textId="44D1B395" w:rsidR="00264DA5" w:rsidRDefault="00264DA5" w:rsidP="00264DA5">
      <w:pPr>
        <w:pStyle w:val="Prrafodelista"/>
        <w:numPr>
          <w:ilvl w:val="0"/>
          <w:numId w:val="36"/>
        </w:numPr>
        <w:spacing w:after="0" w:line="240" w:lineRule="auto"/>
        <w:jc w:val="both"/>
        <w:rPr>
          <w:rFonts w:ascii="Arial" w:hAnsi="Arial" w:cs="Arial"/>
          <w:sz w:val="24"/>
        </w:rPr>
      </w:pPr>
      <w:r w:rsidRPr="002A2208">
        <w:rPr>
          <w:rFonts w:ascii="Arial" w:hAnsi="Arial" w:cs="Arial"/>
          <w:sz w:val="24"/>
        </w:rPr>
        <w:t>Campo Sano y Productivo</w:t>
      </w:r>
      <w:r>
        <w:rPr>
          <w:rFonts w:ascii="Arial" w:hAnsi="Arial" w:cs="Arial"/>
          <w:b/>
          <w:sz w:val="24"/>
        </w:rPr>
        <w:t>.</w:t>
      </w:r>
      <w:r>
        <w:rPr>
          <w:rFonts w:ascii="Arial" w:hAnsi="Arial" w:cs="Arial"/>
          <w:sz w:val="24"/>
        </w:rPr>
        <w:t xml:space="preserve"> Aplicación de protocolos sanitarios especiales para que el campo no deje de producir y se respalde a jornaleros. </w:t>
      </w:r>
    </w:p>
    <w:p w14:paraId="3BE339FD" w14:textId="3E6B5242" w:rsidR="00264DA5" w:rsidRDefault="00264DA5" w:rsidP="00264DA5">
      <w:pPr>
        <w:pStyle w:val="Prrafodelista"/>
        <w:numPr>
          <w:ilvl w:val="0"/>
          <w:numId w:val="36"/>
        </w:numPr>
        <w:spacing w:after="0" w:line="240" w:lineRule="auto"/>
        <w:jc w:val="both"/>
        <w:rPr>
          <w:rFonts w:ascii="Arial" w:hAnsi="Arial" w:cs="Arial"/>
          <w:sz w:val="24"/>
        </w:rPr>
      </w:pPr>
      <w:r w:rsidRPr="002A2208">
        <w:rPr>
          <w:rFonts w:ascii="Arial" w:hAnsi="Arial" w:cs="Arial"/>
          <w:sz w:val="24"/>
        </w:rPr>
        <w:t>Financiamiento a Empresas</w:t>
      </w:r>
      <w:r>
        <w:rPr>
          <w:rFonts w:ascii="Arial" w:hAnsi="Arial" w:cs="Arial"/>
          <w:b/>
          <w:sz w:val="24"/>
        </w:rPr>
        <w:t>.</w:t>
      </w:r>
      <w:r>
        <w:rPr>
          <w:rFonts w:ascii="Arial" w:hAnsi="Arial" w:cs="Arial"/>
          <w:sz w:val="24"/>
        </w:rPr>
        <w:t xml:space="preserve"> Un programa de nuevos créditos y reestructura de los ya existentes. </w:t>
      </w:r>
    </w:p>
    <w:p w14:paraId="686DE1B4" w14:textId="77777777" w:rsidR="00797807" w:rsidRDefault="00797807" w:rsidP="00B01593">
      <w:pPr>
        <w:spacing w:after="0" w:line="240" w:lineRule="auto"/>
        <w:jc w:val="both"/>
        <w:rPr>
          <w:rFonts w:ascii="Arial" w:hAnsi="Arial" w:cs="Arial"/>
          <w:sz w:val="24"/>
        </w:rPr>
      </w:pPr>
    </w:p>
    <w:p w14:paraId="19920EED" w14:textId="1E1D4194" w:rsidR="00BA2E73" w:rsidRDefault="00B01593" w:rsidP="00BA2E73">
      <w:pPr>
        <w:spacing w:after="0" w:line="240" w:lineRule="auto"/>
        <w:jc w:val="both"/>
        <w:rPr>
          <w:rFonts w:ascii="Arial" w:hAnsi="Arial" w:cs="Arial"/>
          <w:sz w:val="24"/>
        </w:rPr>
      </w:pPr>
      <w:r>
        <w:rPr>
          <w:rFonts w:ascii="Arial" w:hAnsi="Arial" w:cs="Arial"/>
          <w:sz w:val="24"/>
        </w:rPr>
        <w:t xml:space="preserve">Dichas </w:t>
      </w:r>
      <w:r w:rsidR="00797807">
        <w:rPr>
          <w:rFonts w:ascii="Arial" w:hAnsi="Arial" w:cs="Arial"/>
          <w:sz w:val="24"/>
        </w:rPr>
        <w:t>medidas</w:t>
      </w:r>
      <w:r w:rsidR="00DB7C8A">
        <w:rPr>
          <w:rFonts w:ascii="Arial" w:hAnsi="Arial" w:cs="Arial"/>
          <w:sz w:val="24"/>
        </w:rPr>
        <w:t xml:space="preserve"> de contención se implementaron</w:t>
      </w:r>
      <w:r w:rsidR="00797807">
        <w:rPr>
          <w:rFonts w:ascii="Arial" w:hAnsi="Arial" w:cs="Arial"/>
          <w:sz w:val="24"/>
        </w:rPr>
        <w:t xml:space="preserve"> priorizando en todo momento la salud y el bienestar de los colimenses, y siguen vigentes para aminorar los impactos negativos de la pandemia sobre la economía de nuestro estado</w:t>
      </w:r>
      <w:r w:rsidR="0094500D">
        <w:rPr>
          <w:rFonts w:ascii="Arial" w:hAnsi="Arial" w:cs="Arial"/>
          <w:sz w:val="24"/>
        </w:rPr>
        <w:t>, que al 28</w:t>
      </w:r>
      <w:r w:rsidR="00DD1344">
        <w:rPr>
          <w:rFonts w:ascii="Arial" w:hAnsi="Arial" w:cs="Arial"/>
          <w:sz w:val="24"/>
        </w:rPr>
        <w:t xml:space="preserve"> de octubre de </w:t>
      </w:r>
      <w:r w:rsidR="0094500D">
        <w:rPr>
          <w:rFonts w:ascii="Arial" w:hAnsi="Arial" w:cs="Arial"/>
          <w:sz w:val="24"/>
        </w:rPr>
        <w:t>2020, existen registros de 6,144</w:t>
      </w:r>
      <w:r w:rsidR="00DD1344">
        <w:rPr>
          <w:rFonts w:ascii="Arial" w:hAnsi="Arial" w:cs="Arial"/>
          <w:sz w:val="24"/>
        </w:rPr>
        <w:t xml:space="preserve"> casos positivos </w:t>
      </w:r>
      <w:r w:rsidR="0094500D">
        <w:rPr>
          <w:rFonts w:ascii="Arial" w:hAnsi="Arial" w:cs="Arial"/>
          <w:sz w:val="24"/>
        </w:rPr>
        <w:t>acumulados, de los cuales, 4,375 se han recuperado;</w:t>
      </w:r>
      <w:r w:rsidR="00DD1344">
        <w:rPr>
          <w:rFonts w:ascii="Arial" w:hAnsi="Arial" w:cs="Arial"/>
          <w:sz w:val="24"/>
        </w:rPr>
        <w:t xml:space="preserve"> 504 son activos</w:t>
      </w:r>
      <w:r w:rsidR="0094500D">
        <w:rPr>
          <w:rFonts w:ascii="Arial" w:hAnsi="Arial" w:cs="Arial"/>
          <w:sz w:val="24"/>
        </w:rPr>
        <w:t>; y 734</w:t>
      </w:r>
      <w:r w:rsidR="00DD1344">
        <w:rPr>
          <w:rFonts w:ascii="Arial" w:hAnsi="Arial" w:cs="Arial"/>
          <w:sz w:val="24"/>
        </w:rPr>
        <w:t xml:space="preserve"> </w:t>
      </w:r>
      <w:r w:rsidR="0094500D">
        <w:rPr>
          <w:rFonts w:ascii="Arial" w:hAnsi="Arial" w:cs="Arial"/>
          <w:sz w:val="24"/>
        </w:rPr>
        <w:t>han muerto</w:t>
      </w:r>
      <w:r w:rsidR="00DD1344">
        <w:rPr>
          <w:rFonts w:ascii="Arial" w:hAnsi="Arial" w:cs="Arial"/>
          <w:sz w:val="24"/>
        </w:rPr>
        <w:t xml:space="preserve">. La mayoría de los casos positivos se han presentado en los municipios de Manzanillo, Colima, </w:t>
      </w:r>
      <w:r w:rsidR="0094500D">
        <w:rPr>
          <w:rFonts w:ascii="Arial" w:hAnsi="Arial" w:cs="Arial"/>
          <w:sz w:val="24"/>
        </w:rPr>
        <w:t>Tecomán y Villa de Álvarez</w:t>
      </w:r>
      <w:r w:rsidR="00DD1344">
        <w:rPr>
          <w:rFonts w:ascii="Arial" w:hAnsi="Arial" w:cs="Arial"/>
          <w:sz w:val="24"/>
        </w:rPr>
        <w:t xml:space="preserve">, los cuales son los que </w:t>
      </w:r>
      <w:r w:rsidR="00D96C36">
        <w:rPr>
          <w:rFonts w:ascii="Arial" w:hAnsi="Arial" w:cs="Arial"/>
          <w:sz w:val="24"/>
        </w:rPr>
        <w:t>concentran</w:t>
      </w:r>
      <w:r w:rsidR="00DD1344">
        <w:rPr>
          <w:rFonts w:ascii="Arial" w:hAnsi="Arial" w:cs="Arial"/>
          <w:sz w:val="24"/>
        </w:rPr>
        <w:t xml:space="preserve"> la mayor actividad económica</w:t>
      </w:r>
      <w:r w:rsidR="00D96C36">
        <w:rPr>
          <w:rFonts w:ascii="Arial" w:hAnsi="Arial" w:cs="Arial"/>
          <w:sz w:val="24"/>
        </w:rPr>
        <w:t xml:space="preserve"> y poblacional</w:t>
      </w:r>
      <w:r w:rsidR="00DD1344">
        <w:rPr>
          <w:rFonts w:ascii="Arial" w:hAnsi="Arial" w:cs="Arial"/>
          <w:sz w:val="24"/>
        </w:rPr>
        <w:t>.</w:t>
      </w:r>
    </w:p>
    <w:p w14:paraId="18989F87" w14:textId="77777777" w:rsidR="00DD1344" w:rsidRPr="00BA2E73" w:rsidRDefault="00DD1344" w:rsidP="00BA2E73">
      <w:pPr>
        <w:spacing w:after="0" w:line="240" w:lineRule="auto"/>
        <w:jc w:val="both"/>
        <w:rPr>
          <w:rFonts w:ascii="Arial" w:hAnsi="Arial" w:cs="Arial"/>
          <w:sz w:val="24"/>
        </w:rPr>
      </w:pPr>
    </w:p>
    <w:p w14:paraId="07E206C5" w14:textId="08263F98" w:rsidR="002D17DD" w:rsidRDefault="00DB7C8A" w:rsidP="00BA2E73">
      <w:pPr>
        <w:spacing w:after="0" w:line="240" w:lineRule="auto"/>
        <w:jc w:val="both"/>
        <w:rPr>
          <w:rFonts w:ascii="Arial" w:hAnsi="Arial" w:cs="Arial"/>
          <w:sz w:val="24"/>
        </w:rPr>
      </w:pPr>
      <w:r>
        <w:rPr>
          <w:rFonts w:ascii="Arial" w:hAnsi="Arial" w:cs="Arial"/>
          <w:sz w:val="24"/>
        </w:rPr>
        <w:t>Todavía sin cuantificar</w:t>
      </w:r>
      <w:r w:rsidR="00B01A6C">
        <w:rPr>
          <w:rFonts w:ascii="Arial" w:hAnsi="Arial" w:cs="Arial"/>
          <w:sz w:val="24"/>
        </w:rPr>
        <w:t xml:space="preserve"> los efectos </w:t>
      </w:r>
      <w:r>
        <w:rPr>
          <w:rFonts w:ascii="Arial" w:hAnsi="Arial" w:cs="Arial"/>
          <w:sz w:val="24"/>
        </w:rPr>
        <w:t xml:space="preserve">económicos </w:t>
      </w:r>
      <w:r w:rsidR="00B01A6C">
        <w:rPr>
          <w:rFonts w:ascii="Arial" w:hAnsi="Arial" w:cs="Arial"/>
          <w:sz w:val="24"/>
        </w:rPr>
        <w:t>derivados de la Pandemia del COVID-19</w:t>
      </w:r>
      <w:r w:rsidR="00EF673D">
        <w:rPr>
          <w:rFonts w:ascii="Arial" w:hAnsi="Arial" w:cs="Arial"/>
          <w:sz w:val="24"/>
        </w:rPr>
        <w:t xml:space="preserve">, </w:t>
      </w:r>
      <w:r w:rsidR="00BA2E73" w:rsidRPr="00BA2E73">
        <w:rPr>
          <w:rFonts w:ascii="Arial" w:hAnsi="Arial" w:cs="Arial"/>
          <w:sz w:val="24"/>
        </w:rPr>
        <w:t>el estado de Colima mantiene una tendencia de crecimiento económico sostenido, se estima que nuestro estado ha crecido</w:t>
      </w:r>
      <w:r w:rsidR="001A48E1">
        <w:rPr>
          <w:rFonts w:ascii="Arial" w:hAnsi="Arial" w:cs="Arial"/>
          <w:sz w:val="24"/>
        </w:rPr>
        <w:t>,</w:t>
      </w:r>
      <w:r w:rsidR="00BA2E73" w:rsidRPr="00BA2E73">
        <w:rPr>
          <w:rFonts w:ascii="Arial" w:hAnsi="Arial" w:cs="Arial"/>
          <w:sz w:val="24"/>
        </w:rPr>
        <w:t xml:space="preserve"> del periodo comprendido del 2003 al 2018</w:t>
      </w:r>
      <w:r w:rsidR="001A48E1">
        <w:rPr>
          <w:rFonts w:ascii="Arial" w:hAnsi="Arial" w:cs="Arial"/>
          <w:sz w:val="24"/>
        </w:rPr>
        <w:t>,</w:t>
      </w:r>
      <w:r w:rsidR="00BA2E73" w:rsidRPr="00BA2E73">
        <w:rPr>
          <w:rFonts w:ascii="Arial" w:hAnsi="Arial" w:cs="Arial"/>
          <w:sz w:val="24"/>
        </w:rPr>
        <w:t xml:space="preserve"> a una tasa promedio anual de 2.9 por ciento, mientras que a nivel nacional, en el mismo periodo, se ha registrado un crecimiento prom</w:t>
      </w:r>
      <w:r w:rsidR="00A63B55">
        <w:rPr>
          <w:rFonts w:ascii="Arial" w:hAnsi="Arial" w:cs="Arial"/>
          <w:sz w:val="24"/>
        </w:rPr>
        <w:t>edio anual de 2.3 por ciento.</w:t>
      </w:r>
    </w:p>
    <w:p w14:paraId="0BD2A0C5" w14:textId="77777777" w:rsidR="00BA2E73" w:rsidRDefault="00BA2E73" w:rsidP="00BA2E73">
      <w:pPr>
        <w:spacing w:after="0" w:line="240" w:lineRule="auto"/>
        <w:jc w:val="both"/>
        <w:rPr>
          <w:rFonts w:ascii="Arial" w:hAnsi="Arial" w:cs="Arial"/>
          <w:sz w:val="24"/>
        </w:rPr>
      </w:pPr>
    </w:p>
    <w:p w14:paraId="4E2D7B0F" w14:textId="4E95986F" w:rsidR="00E47972" w:rsidRDefault="00E52DE8" w:rsidP="00E47972">
      <w:pPr>
        <w:spacing w:after="0" w:line="240" w:lineRule="auto"/>
        <w:jc w:val="center"/>
        <w:rPr>
          <w:rFonts w:ascii="Arial" w:hAnsi="Arial" w:cs="Arial"/>
          <w:sz w:val="24"/>
        </w:rPr>
      </w:pPr>
      <w:r w:rsidRPr="002A2208">
        <w:rPr>
          <w:rFonts w:ascii="Arial" w:hAnsi="Arial" w:cs="Arial"/>
          <w:noProof/>
          <w:sz w:val="24"/>
        </w:rPr>
        <w:lastRenderedPageBreak/>
        <w:drawing>
          <wp:inline distT="0" distB="0" distL="0" distR="0" wp14:anchorId="29515B7B" wp14:editId="5D704D31">
            <wp:extent cx="5400040" cy="3018712"/>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3018712"/>
                    </a:xfrm>
                    <a:prstGeom prst="rect">
                      <a:avLst/>
                    </a:prstGeom>
                    <a:noFill/>
                    <a:ln>
                      <a:noFill/>
                    </a:ln>
                  </pic:spPr>
                </pic:pic>
              </a:graphicData>
            </a:graphic>
          </wp:inline>
        </w:drawing>
      </w:r>
    </w:p>
    <w:p w14:paraId="4D170C89" w14:textId="77777777" w:rsidR="00B76E94" w:rsidRDefault="00B76E94" w:rsidP="000F15DD">
      <w:pPr>
        <w:spacing w:after="0" w:line="240" w:lineRule="auto"/>
        <w:jc w:val="both"/>
        <w:rPr>
          <w:rFonts w:ascii="Arial" w:hAnsi="Arial" w:cs="Arial"/>
          <w:sz w:val="24"/>
        </w:rPr>
      </w:pPr>
    </w:p>
    <w:p w14:paraId="661C6BFD" w14:textId="122B65CF" w:rsidR="00A058AD" w:rsidRDefault="00BA2E73" w:rsidP="00B76E94">
      <w:pPr>
        <w:spacing w:after="0" w:line="240" w:lineRule="auto"/>
        <w:jc w:val="both"/>
        <w:rPr>
          <w:rFonts w:ascii="Arial" w:hAnsi="Arial" w:cs="Arial"/>
          <w:sz w:val="24"/>
        </w:rPr>
      </w:pPr>
      <w:r w:rsidRPr="00BA2E73">
        <w:rPr>
          <w:rFonts w:ascii="Arial" w:hAnsi="Arial" w:cs="Arial"/>
          <w:sz w:val="24"/>
        </w:rPr>
        <w:t>Lo anterior demuestra que la economía colimense ha superado, a partir de 201</w:t>
      </w:r>
      <w:r w:rsidR="00A203E7">
        <w:rPr>
          <w:rFonts w:ascii="Arial" w:hAnsi="Arial" w:cs="Arial"/>
          <w:sz w:val="24"/>
        </w:rPr>
        <w:t>6</w:t>
      </w:r>
      <w:r w:rsidRPr="00BA2E73">
        <w:rPr>
          <w:rFonts w:ascii="Arial" w:hAnsi="Arial" w:cs="Arial"/>
          <w:sz w:val="24"/>
        </w:rPr>
        <w:t>, el ritmo de crec</w:t>
      </w:r>
      <w:r w:rsidR="00A203E7">
        <w:rPr>
          <w:rFonts w:ascii="Arial" w:hAnsi="Arial" w:cs="Arial"/>
          <w:sz w:val="24"/>
        </w:rPr>
        <w:t>imiento de la economía nacional. C</w:t>
      </w:r>
      <w:r w:rsidRPr="00BA2E73">
        <w:rPr>
          <w:rFonts w:ascii="Arial" w:hAnsi="Arial" w:cs="Arial"/>
          <w:sz w:val="24"/>
        </w:rPr>
        <w:t>omo se observa gráficamente en los años 2016, 2017 y 2018, el crecimiento de la economía colimense fue de 2.8, 3.5 y 2.4 por ciento respectivamente, mientras que a nivel nacional las variaciones fueron de 2.4, 2.0 y 2.2 por ciento. La mayor divergencia se presentó en 2017 cuando nuestro estado creció en 1.5 puntos porcentuales por encima del agregado nacional.</w:t>
      </w:r>
    </w:p>
    <w:p w14:paraId="030112FC" w14:textId="77777777" w:rsidR="00BA2E73" w:rsidRDefault="00BA2E73" w:rsidP="00B76E94">
      <w:pPr>
        <w:spacing w:after="0" w:line="240" w:lineRule="auto"/>
        <w:jc w:val="both"/>
        <w:rPr>
          <w:rFonts w:ascii="Arial" w:hAnsi="Arial" w:cs="Arial"/>
          <w:sz w:val="24"/>
        </w:rPr>
      </w:pPr>
    </w:p>
    <w:p w14:paraId="6B67C4D7" w14:textId="1FA7CD0E" w:rsidR="00A058AD" w:rsidRDefault="00BA2E73" w:rsidP="00B76E94">
      <w:pPr>
        <w:spacing w:after="0" w:line="240" w:lineRule="auto"/>
        <w:jc w:val="both"/>
        <w:rPr>
          <w:rFonts w:ascii="Arial" w:hAnsi="Arial" w:cs="Arial"/>
          <w:sz w:val="24"/>
        </w:rPr>
      </w:pPr>
      <w:r w:rsidRPr="00BA2E73">
        <w:rPr>
          <w:rFonts w:ascii="Arial" w:hAnsi="Arial" w:cs="Arial"/>
          <w:sz w:val="24"/>
        </w:rPr>
        <w:t>Dichas cifras, en gran medida, reflejan la actividad que realizan 39,545 empresas registradas dentro del estado en 2020, que en términos porcentuales representan 0.72 por ciento del total de unidades económicas que existen en todo el país, en cuanto a posición, nuestro estado se</w:t>
      </w:r>
      <w:r>
        <w:rPr>
          <w:rFonts w:ascii="Arial" w:hAnsi="Arial" w:cs="Arial"/>
          <w:sz w:val="24"/>
        </w:rPr>
        <w:t xml:space="preserve"> </w:t>
      </w:r>
      <w:r w:rsidRPr="00BA2E73">
        <w:rPr>
          <w:rFonts w:ascii="Arial" w:hAnsi="Arial" w:cs="Arial"/>
          <w:sz w:val="24"/>
        </w:rPr>
        <w:t>ubica en el penúltimo lugar, solo superando a Baja California Sur quien cuenta con 36,332 unidades económicas registradas. Lo anterior con cifras del Directorio Estadístico Nacional de Unidades Económicas (DENUE).</w:t>
      </w:r>
    </w:p>
    <w:p w14:paraId="037250BB" w14:textId="77777777" w:rsidR="00BA2E73" w:rsidRDefault="00BA2E73" w:rsidP="00B76E94">
      <w:pPr>
        <w:spacing w:after="0" w:line="240" w:lineRule="auto"/>
        <w:jc w:val="both"/>
        <w:rPr>
          <w:rFonts w:ascii="Arial" w:hAnsi="Arial" w:cs="Arial"/>
          <w:sz w:val="24"/>
        </w:rPr>
      </w:pPr>
    </w:p>
    <w:p w14:paraId="538FC3B7" w14:textId="1B7211CC" w:rsidR="00BA2E73" w:rsidRDefault="00BA2E73" w:rsidP="00B76E94">
      <w:pPr>
        <w:spacing w:after="0" w:line="240" w:lineRule="auto"/>
        <w:jc w:val="both"/>
        <w:rPr>
          <w:rFonts w:ascii="Arial" w:hAnsi="Arial" w:cs="Arial"/>
          <w:sz w:val="24"/>
        </w:rPr>
      </w:pPr>
      <w:r w:rsidRPr="00BA2E73">
        <w:rPr>
          <w:rFonts w:ascii="Arial" w:hAnsi="Arial" w:cs="Arial"/>
          <w:sz w:val="24"/>
        </w:rPr>
        <w:t>En este sentido según el último Censo Económico del INEGI (2019), en el estado existían 33,566 unidades económicas, las cuales tuvieron una Producción Bruta Total (PBT) de 80,519.13 Millo</w:t>
      </w:r>
      <w:r w:rsidR="00850E98">
        <w:rPr>
          <w:rFonts w:ascii="Arial" w:hAnsi="Arial" w:cs="Arial"/>
          <w:sz w:val="24"/>
        </w:rPr>
        <w:t>nes de Pesos (MDP), respecto a</w:t>
      </w:r>
      <w:r w:rsidRPr="00BA2E73">
        <w:rPr>
          <w:rFonts w:ascii="Arial" w:hAnsi="Arial" w:cs="Arial"/>
          <w:sz w:val="24"/>
        </w:rPr>
        <w:t>l Ce</w:t>
      </w:r>
      <w:r w:rsidR="00850E98">
        <w:rPr>
          <w:rFonts w:ascii="Arial" w:hAnsi="Arial" w:cs="Arial"/>
          <w:sz w:val="24"/>
        </w:rPr>
        <w:t>n</w:t>
      </w:r>
      <w:r w:rsidRPr="00BA2E73">
        <w:rPr>
          <w:rFonts w:ascii="Arial" w:hAnsi="Arial" w:cs="Arial"/>
          <w:sz w:val="24"/>
        </w:rPr>
        <w:t xml:space="preserve">so Económico 2014, se ha tenido una variación de casi el 100 por ciento, es decir en cinco años se ha casi duplicado la PBT de las  Unidades Económicas ubicadas en Colima. Según la demografía económica, la esperanza de vida de </w:t>
      </w:r>
      <w:r w:rsidR="007B66A3">
        <w:rPr>
          <w:rFonts w:ascii="Arial" w:hAnsi="Arial" w:cs="Arial"/>
          <w:sz w:val="24"/>
        </w:rPr>
        <w:lastRenderedPageBreak/>
        <w:t xml:space="preserve">los negocios en Colima es de, en promedio, </w:t>
      </w:r>
      <w:r w:rsidRPr="00BA2E73">
        <w:rPr>
          <w:rFonts w:ascii="Arial" w:hAnsi="Arial" w:cs="Arial"/>
          <w:sz w:val="24"/>
        </w:rPr>
        <w:t>7.5 años</w:t>
      </w:r>
      <w:r w:rsidR="007B66A3">
        <w:rPr>
          <w:rFonts w:ascii="Arial" w:hAnsi="Arial" w:cs="Arial"/>
          <w:sz w:val="24"/>
        </w:rPr>
        <w:t>;</w:t>
      </w:r>
      <w:r w:rsidRPr="00BA2E73">
        <w:rPr>
          <w:rFonts w:ascii="Arial" w:hAnsi="Arial" w:cs="Arial"/>
          <w:sz w:val="24"/>
        </w:rPr>
        <w:t xml:space="preserve"> los negocios del estado de Yucatán con 9.1 años de vida </w:t>
      </w:r>
      <w:r w:rsidR="007B66A3">
        <w:rPr>
          <w:rFonts w:ascii="Arial" w:hAnsi="Arial" w:cs="Arial"/>
          <w:sz w:val="24"/>
        </w:rPr>
        <w:t xml:space="preserve">en promedio </w:t>
      </w:r>
      <w:r w:rsidRPr="00BA2E73">
        <w:rPr>
          <w:rFonts w:ascii="Arial" w:hAnsi="Arial" w:cs="Arial"/>
          <w:sz w:val="24"/>
        </w:rPr>
        <w:t>representan la mayor en el país.</w:t>
      </w:r>
    </w:p>
    <w:p w14:paraId="53FB09A9" w14:textId="77777777" w:rsidR="00BA2E73" w:rsidRDefault="00BA2E73" w:rsidP="00B76E94">
      <w:pPr>
        <w:spacing w:after="0" w:line="240" w:lineRule="auto"/>
        <w:jc w:val="both"/>
        <w:rPr>
          <w:rFonts w:ascii="Arial" w:hAnsi="Arial" w:cs="Arial"/>
          <w:sz w:val="24"/>
        </w:rPr>
      </w:pPr>
    </w:p>
    <w:p w14:paraId="60AE8DCE" w14:textId="3F969AEC" w:rsidR="00BA2E73" w:rsidRDefault="00BA2E73" w:rsidP="00B76E94">
      <w:pPr>
        <w:spacing w:after="0" w:line="240" w:lineRule="auto"/>
        <w:jc w:val="both"/>
        <w:rPr>
          <w:rFonts w:ascii="Arial" w:hAnsi="Arial" w:cs="Arial"/>
          <w:sz w:val="24"/>
        </w:rPr>
      </w:pPr>
      <w:r w:rsidRPr="00BA2E73">
        <w:rPr>
          <w:rFonts w:ascii="Arial" w:hAnsi="Arial" w:cs="Arial"/>
          <w:sz w:val="24"/>
        </w:rPr>
        <w:t>Por otro lado, al fraccionar el PIB del estado de Colima por actividad económica para su análisis, se observa lo siguiente:</w:t>
      </w:r>
    </w:p>
    <w:p w14:paraId="0FC23903" w14:textId="77777777" w:rsidR="00BA2E73" w:rsidRDefault="00BA2E73" w:rsidP="00B76E94">
      <w:pPr>
        <w:spacing w:after="0" w:line="240" w:lineRule="auto"/>
        <w:jc w:val="both"/>
        <w:rPr>
          <w:rFonts w:ascii="Arial" w:hAnsi="Arial" w:cs="Arial"/>
          <w:sz w:val="24"/>
        </w:rPr>
      </w:pPr>
    </w:p>
    <w:p w14:paraId="2911E36F" w14:textId="7AC3DC5A" w:rsidR="00BA2E73" w:rsidRDefault="00235754" w:rsidP="00BA2E73">
      <w:pPr>
        <w:spacing w:after="0" w:line="240" w:lineRule="auto"/>
        <w:jc w:val="center"/>
        <w:rPr>
          <w:rFonts w:ascii="Arial" w:hAnsi="Arial" w:cs="Arial"/>
          <w:sz w:val="24"/>
        </w:rPr>
      </w:pPr>
      <w:r w:rsidRPr="00235754">
        <w:rPr>
          <w:rFonts w:ascii="Arial" w:hAnsi="Arial" w:cs="Arial"/>
          <w:noProof/>
          <w:sz w:val="24"/>
        </w:rPr>
        <w:drawing>
          <wp:inline distT="0" distB="0" distL="0" distR="0" wp14:anchorId="46E96573" wp14:editId="02E5D741">
            <wp:extent cx="4819650" cy="34004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9650" cy="3400425"/>
                    </a:xfrm>
                    <a:prstGeom prst="rect">
                      <a:avLst/>
                    </a:prstGeom>
                    <a:noFill/>
                    <a:ln>
                      <a:noFill/>
                    </a:ln>
                  </pic:spPr>
                </pic:pic>
              </a:graphicData>
            </a:graphic>
          </wp:inline>
        </w:drawing>
      </w:r>
    </w:p>
    <w:p w14:paraId="632E5297" w14:textId="77777777" w:rsidR="007B66A3" w:rsidRDefault="007B66A3" w:rsidP="000F15DD">
      <w:pPr>
        <w:spacing w:after="0" w:line="240" w:lineRule="auto"/>
        <w:jc w:val="both"/>
        <w:rPr>
          <w:rFonts w:ascii="Arial" w:hAnsi="Arial" w:cs="Arial"/>
          <w:sz w:val="24"/>
        </w:rPr>
      </w:pPr>
    </w:p>
    <w:p w14:paraId="06F75695" w14:textId="7236C4ED" w:rsidR="00B76E94" w:rsidRDefault="00BA2E73" w:rsidP="000F15DD">
      <w:pPr>
        <w:spacing w:after="0" w:line="240" w:lineRule="auto"/>
        <w:jc w:val="both"/>
        <w:rPr>
          <w:rFonts w:ascii="Arial" w:hAnsi="Arial" w:cs="Arial"/>
          <w:sz w:val="24"/>
        </w:rPr>
      </w:pPr>
      <w:r w:rsidRPr="00BA2E73">
        <w:rPr>
          <w:rFonts w:ascii="Arial" w:hAnsi="Arial" w:cs="Arial"/>
          <w:sz w:val="24"/>
        </w:rPr>
        <w:t>Según los resultados de 2018, en línea con la tendencia nacional, las actividades terciarias mostraban la mayor participación con un 71.6 por ciento, que en términos absolutos importó 74,831 millones de pesos, el secundario le sigue con una suma de 24,636 millones de pesos lo que representa 23.6 por ciento del PIB estatal, en tercera posición se encuentra la contribución que generan las actividades primarias, la cual ascendió a 5,008 millones de pesos, equivalente al 4.8 por ciento</w:t>
      </w:r>
      <w:r w:rsidR="00D74FDB">
        <w:rPr>
          <w:rFonts w:ascii="Arial" w:hAnsi="Arial" w:cs="Arial"/>
          <w:sz w:val="24"/>
        </w:rPr>
        <w:t xml:space="preserve">; el </w:t>
      </w:r>
      <w:r w:rsidRPr="00BA2E73">
        <w:rPr>
          <w:rFonts w:ascii="Arial" w:hAnsi="Arial" w:cs="Arial"/>
          <w:sz w:val="24"/>
        </w:rPr>
        <w:t>total estatal en términos absolutos</w:t>
      </w:r>
      <w:r>
        <w:rPr>
          <w:rFonts w:ascii="Arial" w:hAnsi="Arial" w:cs="Arial"/>
          <w:sz w:val="24"/>
        </w:rPr>
        <w:t xml:space="preserve"> es de 104,475 millones de peso</w:t>
      </w:r>
      <w:r w:rsidR="00C22652">
        <w:rPr>
          <w:rFonts w:ascii="Arial" w:hAnsi="Arial" w:cs="Arial"/>
          <w:sz w:val="24"/>
        </w:rPr>
        <w:t>s</w:t>
      </w:r>
      <w:r>
        <w:rPr>
          <w:rStyle w:val="Refdenotaalpie"/>
          <w:rFonts w:ascii="Arial" w:hAnsi="Arial" w:cs="Arial"/>
          <w:sz w:val="24"/>
        </w:rPr>
        <w:footnoteReference w:id="3"/>
      </w:r>
      <w:r w:rsidRPr="00BA2E73">
        <w:rPr>
          <w:rFonts w:ascii="Arial" w:hAnsi="Arial" w:cs="Arial"/>
          <w:sz w:val="24"/>
        </w:rPr>
        <w:t>.</w:t>
      </w:r>
    </w:p>
    <w:p w14:paraId="395CEE19" w14:textId="77777777" w:rsidR="00466B28" w:rsidRDefault="00466B28" w:rsidP="000F15DD">
      <w:pPr>
        <w:spacing w:after="0" w:line="240" w:lineRule="auto"/>
        <w:jc w:val="both"/>
        <w:rPr>
          <w:rFonts w:ascii="Arial" w:hAnsi="Arial" w:cs="Arial"/>
          <w:sz w:val="24"/>
        </w:rPr>
      </w:pPr>
    </w:p>
    <w:p w14:paraId="3D26F67F" w14:textId="6A22BA06" w:rsidR="00466B28" w:rsidRDefault="00235754" w:rsidP="00235754">
      <w:pPr>
        <w:spacing w:after="0" w:line="240" w:lineRule="auto"/>
        <w:jc w:val="center"/>
        <w:rPr>
          <w:rFonts w:ascii="Arial" w:hAnsi="Arial" w:cs="Arial"/>
          <w:sz w:val="24"/>
        </w:rPr>
      </w:pPr>
      <w:r w:rsidRPr="00235754">
        <w:rPr>
          <w:rFonts w:ascii="Arial" w:hAnsi="Arial" w:cs="Arial"/>
          <w:noProof/>
          <w:sz w:val="24"/>
        </w:rPr>
        <w:lastRenderedPageBreak/>
        <w:drawing>
          <wp:inline distT="0" distB="0" distL="0" distR="0" wp14:anchorId="514761C1" wp14:editId="589EF345">
            <wp:extent cx="5400040" cy="301815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3018155"/>
                    </a:xfrm>
                    <a:prstGeom prst="rect">
                      <a:avLst/>
                    </a:prstGeom>
                    <a:noFill/>
                    <a:ln>
                      <a:noFill/>
                    </a:ln>
                  </pic:spPr>
                </pic:pic>
              </a:graphicData>
            </a:graphic>
          </wp:inline>
        </w:drawing>
      </w:r>
    </w:p>
    <w:p w14:paraId="1ACB2F92" w14:textId="77777777" w:rsidR="00466B28" w:rsidRDefault="00466B28" w:rsidP="000F15DD">
      <w:pPr>
        <w:spacing w:after="0" w:line="240" w:lineRule="auto"/>
        <w:jc w:val="both"/>
        <w:rPr>
          <w:rFonts w:ascii="Arial" w:hAnsi="Arial" w:cs="Arial"/>
          <w:sz w:val="24"/>
        </w:rPr>
      </w:pPr>
    </w:p>
    <w:p w14:paraId="7FECA7D0" w14:textId="5CABC048" w:rsidR="00466B28" w:rsidRDefault="00235754" w:rsidP="000F15DD">
      <w:pPr>
        <w:spacing w:after="0" w:line="240" w:lineRule="auto"/>
        <w:jc w:val="both"/>
        <w:rPr>
          <w:rFonts w:ascii="Arial" w:hAnsi="Arial" w:cs="Arial"/>
          <w:sz w:val="24"/>
        </w:rPr>
      </w:pPr>
      <w:r w:rsidRPr="00235754">
        <w:rPr>
          <w:rFonts w:ascii="Arial" w:hAnsi="Arial" w:cs="Arial"/>
          <w:sz w:val="24"/>
        </w:rPr>
        <w:t xml:space="preserve">El sector primario colimense, en periodo bajo análisis ha presentado dos contracciones de gran magnitud, específicamente en 2009 y 2012, con -17.8 y -10.7 respectivamente, sin embargo, desde 2016 al 2018 (dato más reciente), el sector primario colimense ha presentado tasas de crecimiento superiores a </w:t>
      </w:r>
      <w:r w:rsidR="00D74FDB">
        <w:rPr>
          <w:rFonts w:ascii="Arial" w:hAnsi="Arial" w:cs="Arial"/>
          <w:sz w:val="24"/>
        </w:rPr>
        <w:t xml:space="preserve">las reportadas a nivel nacional, </w:t>
      </w:r>
      <w:r w:rsidRPr="00235754">
        <w:rPr>
          <w:rFonts w:ascii="Arial" w:hAnsi="Arial" w:cs="Arial"/>
          <w:sz w:val="24"/>
        </w:rPr>
        <w:t>la tendencia</w:t>
      </w:r>
      <w:r w:rsidR="00D74FDB">
        <w:rPr>
          <w:rFonts w:ascii="Arial" w:hAnsi="Arial" w:cs="Arial"/>
          <w:sz w:val="24"/>
        </w:rPr>
        <w:t xml:space="preserve"> de crecimiento de este sector</w:t>
      </w:r>
      <w:r w:rsidRPr="00235754">
        <w:rPr>
          <w:rFonts w:ascii="Arial" w:hAnsi="Arial" w:cs="Arial"/>
          <w:sz w:val="24"/>
        </w:rPr>
        <w:t xml:space="preserve"> es muy similar</w:t>
      </w:r>
      <w:r w:rsidR="00D74FDB">
        <w:rPr>
          <w:rFonts w:ascii="Arial" w:hAnsi="Arial" w:cs="Arial"/>
          <w:sz w:val="24"/>
        </w:rPr>
        <w:t xml:space="preserve"> al nacional,</w:t>
      </w:r>
      <w:r w:rsidRPr="00235754">
        <w:rPr>
          <w:rFonts w:ascii="Arial" w:hAnsi="Arial" w:cs="Arial"/>
          <w:sz w:val="24"/>
        </w:rPr>
        <w:t xml:space="preserve"> pues como se observa gráficamente, en el mismo periodo, las tasas de crecimiento presentan disminuciones año con año, </w:t>
      </w:r>
      <w:r w:rsidR="00D74FDB">
        <w:rPr>
          <w:rFonts w:ascii="Arial" w:hAnsi="Arial" w:cs="Arial"/>
          <w:sz w:val="24"/>
        </w:rPr>
        <w:t xml:space="preserve">es de esperarse </w:t>
      </w:r>
      <w:r w:rsidRPr="00235754">
        <w:rPr>
          <w:rFonts w:ascii="Arial" w:hAnsi="Arial" w:cs="Arial"/>
          <w:sz w:val="24"/>
        </w:rPr>
        <w:t>derivado de los efectos del COVID-19 sobre la econom</w:t>
      </w:r>
      <w:r w:rsidR="00D74FDB">
        <w:rPr>
          <w:rFonts w:ascii="Arial" w:hAnsi="Arial" w:cs="Arial"/>
          <w:sz w:val="24"/>
        </w:rPr>
        <w:t xml:space="preserve">ía colimense, que este sector </w:t>
      </w:r>
      <w:r w:rsidRPr="00235754">
        <w:rPr>
          <w:rFonts w:ascii="Arial" w:hAnsi="Arial" w:cs="Arial"/>
          <w:sz w:val="24"/>
        </w:rPr>
        <w:t>presente contraccion</w:t>
      </w:r>
      <w:r w:rsidR="00D74FDB">
        <w:rPr>
          <w:rFonts w:ascii="Arial" w:hAnsi="Arial" w:cs="Arial"/>
          <w:sz w:val="24"/>
        </w:rPr>
        <w:t xml:space="preserve">es, no obstante, estas serán menores en comparación con el resto de las actividades económicas, pues el sector se </w:t>
      </w:r>
      <w:r w:rsidR="00BF68FD">
        <w:rPr>
          <w:rFonts w:ascii="Arial" w:hAnsi="Arial" w:cs="Arial"/>
          <w:sz w:val="24"/>
        </w:rPr>
        <w:t>ha mantenido operand</w:t>
      </w:r>
      <w:r w:rsidR="004854AE">
        <w:rPr>
          <w:rFonts w:ascii="Arial" w:hAnsi="Arial" w:cs="Arial"/>
          <w:sz w:val="24"/>
        </w:rPr>
        <w:t xml:space="preserve">o atendiendo </w:t>
      </w:r>
      <w:r w:rsidR="00BF68FD">
        <w:rPr>
          <w:rFonts w:ascii="Arial" w:hAnsi="Arial" w:cs="Arial"/>
          <w:sz w:val="24"/>
        </w:rPr>
        <w:t>las medidas sanitarias</w:t>
      </w:r>
      <w:r w:rsidR="004854AE">
        <w:rPr>
          <w:rFonts w:ascii="Arial" w:hAnsi="Arial" w:cs="Arial"/>
          <w:sz w:val="24"/>
        </w:rPr>
        <w:t xml:space="preserve"> impuestas.</w:t>
      </w:r>
    </w:p>
    <w:p w14:paraId="6EA5E0C7" w14:textId="77777777" w:rsidR="00235754" w:rsidRDefault="00235754" w:rsidP="000F15DD">
      <w:pPr>
        <w:spacing w:after="0" w:line="240" w:lineRule="auto"/>
        <w:jc w:val="both"/>
        <w:rPr>
          <w:rFonts w:ascii="Arial" w:hAnsi="Arial" w:cs="Arial"/>
          <w:sz w:val="24"/>
        </w:rPr>
      </w:pPr>
    </w:p>
    <w:p w14:paraId="6CAD2801" w14:textId="45CE5136" w:rsidR="00235754" w:rsidRDefault="00235754" w:rsidP="000F15DD">
      <w:pPr>
        <w:spacing w:after="0" w:line="240" w:lineRule="auto"/>
        <w:jc w:val="both"/>
        <w:rPr>
          <w:rFonts w:ascii="Arial" w:hAnsi="Arial" w:cs="Arial"/>
          <w:sz w:val="24"/>
        </w:rPr>
      </w:pPr>
      <w:r w:rsidRPr="00235754">
        <w:rPr>
          <w:rFonts w:ascii="Arial" w:hAnsi="Arial" w:cs="Arial"/>
          <w:sz w:val="24"/>
        </w:rPr>
        <w:t>A pesar de que la tasa de crecimiento del sector primario colimense se ha ido contrayendo en los últimos años, este sector es el que mayor dinamismo presenta en comparación con los dos sectores restantes, pues es el que crece en términos porcentuales en mayor medida, lo que indica una</w:t>
      </w:r>
      <w:r w:rsidR="004854AE">
        <w:rPr>
          <w:rFonts w:ascii="Arial" w:hAnsi="Arial" w:cs="Arial"/>
          <w:sz w:val="24"/>
        </w:rPr>
        <w:t xml:space="preserve"> creciente</w:t>
      </w:r>
      <w:r w:rsidRPr="00235754">
        <w:rPr>
          <w:rFonts w:ascii="Arial" w:hAnsi="Arial" w:cs="Arial"/>
          <w:sz w:val="24"/>
        </w:rPr>
        <w:t xml:space="preserve"> importancia relativa del mismo dentro del PIB estatal.</w:t>
      </w:r>
    </w:p>
    <w:p w14:paraId="7843FC84" w14:textId="77777777" w:rsidR="00235754" w:rsidRDefault="00235754" w:rsidP="000F15DD">
      <w:pPr>
        <w:spacing w:after="0" w:line="240" w:lineRule="auto"/>
        <w:jc w:val="both"/>
        <w:rPr>
          <w:rFonts w:ascii="Arial" w:hAnsi="Arial" w:cs="Arial"/>
          <w:sz w:val="24"/>
        </w:rPr>
      </w:pPr>
    </w:p>
    <w:p w14:paraId="226B33CD" w14:textId="5028CC90" w:rsidR="00235754" w:rsidRDefault="00235754" w:rsidP="00235754">
      <w:pPr>
        <w:spacing w:after="0" w:line="240" w:lineRule="auto"/>
        <w:jc w:val="both"/>
        <w:rPr>
          <w:rFonts w:ascii="Arial" w:hAnsi="Arial" w:cs="Arial"/>
          <w:sz w:val="24"/>
        </w:rPr>
      </w:pPr>
      <w:r w:rsidRPr="00235754">
        <w:rPr>
          <w:rFonts w:ascii="Arial" w:hAnsi="Arial" w:cs="Arial"/>
          <w:sz w:val="24"/>
        </w:rPr>
        <w:t>El PIB del sector primario colimense, en 2018, es de 5,008 millones de pesos a precios constantes, y actualmente cuenta con 218 unidades económicas.</w:t>
      </w:r>
      <w:r w:rsidR="0078314F">
        <w:rPr>
          <w:rFonts w:ascii="Arial" w:hAnsi="Arial" w:cs="Arial"/>
          <w:sz w:val="24"/>
        </w:rPr>
        <w:t xml:space="preserve"> </w:t>
      </w:r>
      <w:r w:rsidRPr="00235754">
        <w:rPr>
          <w:rFonts w:ascii="Arial" w:hAnsi="Arial" w:cs="Arial"/>
          <w:sz w:val="24"/>
        </w:rPr>
        <w:t xml:space="preserve">Los principales bienes producidos por el sector primario colimense en 2019, según el Servicio de Información Agroalimentaria y Pesquera (SIAP), se resumen en: </w:t>
      </w:r>
      <w:r w:rsidRPr="00235754">
        <w:rPr>
          <w:rFonts w:ascii="Arial" w:hAnsi="Arial" w:cs="Arial"/>
          <w:sz w:val="24"/>
        </w:rPr>
        <w:lastRenderedPageBreak/>
        <w:t xml:space="preserve">caña de azúcar, </w:t>
      </w:r>
      <w:r w:rsidR="00EF1B5F">
        <w:rPr>
          <w:rFonts w:ascii="Arial" w:hAnsi="Arial" w:cs="Arial"/>
          <w:sz w:val="24"/>
        </w:rPr>
        <w:t>limón, plátano, papaya, mango, c</w:t>
      </w:r>
      <w:r w:rsidRPr="00235754">
        <w:rPr>
          <w:rFonts w:ascii="Arial" w:hAnsi="Arial" w:cs="Arial"/>
          <w:sz w:val="24"/>
        </w:rPr>
        <w:t>arne</w:t>
      </w:r>
      <w:r w:rsidR="00EF1B5F">
        <w:rPr>
          <w:rFonts w:ascii="Arial" w:hAnsi="Arial" w:cs="Arial"/>
          <w:sz w:val="24"/>
        </w:rPr>
        <w:t xml:space="preserve"> de a</w:t>
      </w:r>
      <w:r w:rsidRPr="00235754">
        <w:rPr>
          <w:rFonts w:ascii="Arial" w:hAnsi="Arial" w:cs="Arial"/>
          <w:sz w:val="24"/>
        </w:rPr>
        <w:t>ve, bovino y porcino, leche de bovino, atún, barrilete y camarón.</w:t>
      </w:r>
    </w:p>
    <w:p w14:paraId="2917877D" w14:textId="77777777" w:rsidR="00235754" w:rsidRPr="00235754" w:rsidRDefault="00235754" w:rsidP="00235754">
      <w:pPr>
        <w:spacing w:after="0" w:line="240" w:lineRule="auto"/>
        <w:jc w:val="both"/>
        <w:rPr>
          <w:rFonts w:ascii="Arial" w:hAnsi="Arial" w:cs="Arial"/>
          <w:sz w:val="24"/>
        </w:rPr>
      </w:pPr>
    </w:p>
    <w:p w14:paraId="404BD589" w14:textId="05AF1725" w:rsidR="00235754" w:rsidRDefault="00235754" w:rsidP="00235754">
      <w:pPr>
        <w:spacing w:after="0" w:line="240" w:lineRule="auto"/>
        <w:jc w:val="both"/>
        <w:rPr>
          <w:rFonts w:ascii="Arial" w:hAnsi="Arial" w:cs="Arial"/>
          <w:sz w:val="24"/>
        </w:rPr>
      </w:pPr>
      <w:r w:rsidRPr="00235754">
        <w:rPr>
          <w:rFonts w:ascii="Arial" w:hAnsi="Arial" w:cs="Arial"/>
          <w:sz w:val="24"/>
        </w:rPr>
        <w:t>El sector secundario de la económica colimense, se desagregó de la siguiente manera en 2018: el subsector de la construcción mantiene su presencia con la mayor proporción dentro del sector con un 42.6 por ciento, el 33.6 por ciento corresponde a la generación, transmisión y distribución de energía eléctrica, el cual ha adquirido importancia relativa dentro del sector con un crecimiento real del 10.3 por ciento respecto al año previo, mientras que la construcción por segundo año ha mostrado una contracción, le sigue el 17.1 por ciento que corresponde al subsector de las industrias manufactureras, el restante 6.7 por ciento responde a la actividad minera presente en la entidad, gráficamente se observa de la siguiente manera:</w:t>
      </w:r>
    </w:p>
    <w:p w14:paraId="0034809F" w14:textId="77777777" w:rsidR="00DF1079" w:rsidRDefault="00DF1079" w:rsidP="00235754">
      <w:pPr>
        <w:spacing w:after="0" w:line="240" w:lineRule="auto"/>
        <w:jc w:val="both"/>
        <w:rPr>
          <w:rFonts w:ascii="Arial" w:hAnsi="Arial" w:cs="Arial"/>
          <w:sz w:val="24"/>
        </w:rPr>
      </w:pPr>
    </w:p>
    <w:p w14:paraId="46E62F3A" w14:textId="53A82389" w:rsidR="00466B28" w:rsidRDefault="00235754" w:rsidP="00235754">
      <w:pPr>
        <w:spacing w:after="0" w:line="240" w:lineRule="auto"/>
        <w:jc w:val="center"/>
        <w:rPr>
          <w:rFonts w:ascii="Arial" w:hAnsi="Arial" w:cs="Arial"/>
          <w:sz w:val="24"/>
        </w:rPr>
      </w:pPr>
      <w:r w:rsidRPr="00235754">
        <w:rPr>
          <w:rFonts w:ascii="Arial" w:hAnsi="Arial" w:cs="Arial"/>
          <w:noProof/>
          <w:sz w:val="24"/>
        </w:rPr>
        <w:drawing>
          <wp:inline distT="0" distB="0" distL="0" distR="0" wp14:anchorId="7468148F" wp14:editId="57E9B154">
            <wp:extent cx="4580890" cy="451993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80890" cy="4519930"/>
                    </a:xfrm>
                    <a:prstGeom prst="rect">
                      <a:avLst/>
                    </a:prstGeom>
                    <a:noFill/>
                    <a:ln>
                      <a:noFill/>
                    </a:ln>
                  </pic:spPr>
                </pic:pic>
              </a:graphicData>
            </a:graphic>
          </wp:inline>
        </w:drawing>
      </w:r>
    </w:p>
    <w:p w14:paraId="07AEA1BC" w14:textId="77777777" w:rsidR="00466B28" w:rsidRDefault="00466B28" w:rsidP="000F15DD">
      <w:pPr>
        <w:spacing w:after="0" w:line="240" w:lineRule="auto"/>
        <w:jc w:val="both"/>
        <w:rPr>
          <w:rFonts w:ascii="Arial" w:hAnsi="Arial" w:cs="Arial"/>
          <w:sz w:val="24"/>
        </w:rPr>
      </w:pPr>
    </w:p>
    <w:p w14:paraId="517F5EB8" w14:textId="78A6005B" w:rsidR="00466B28" w:rsidRDefault="00235754" w:rsidP="000F15DD">
      <w:pPr>
        <w:spacing w:after="0" w:line="240" w:lineRule="auto"/>
        <w:jc w:val="both"/>
        <w:rPr>
          <w:rFonts w:ascii="Arial" w:hAnsi="Arial" w:cs="Arial"/>
          <w:sz w:val="24"/>
        </w:rPr>
      </w:pPr>
      <w:r w:rsidRPr="00235754">
        <w:rPr>
          <w:rFonts w:ascii="Arial" w:hAnsi="Arial" w:cs="Arial"/>
          <w:sz w:val="24"/>
        </w:rPr>
        <w:lastRenderedPageBreak/>
        <w:t xml:space="preserve">El sector secundario de la entidad en 2018 muestra una contracción en su tasa de crecimiento real, sumándose así el tercer año consecutivo, la ralentización del sector se debe principalmente a un menor dinamismo en la actividad de la construcción, de esta manera, el sector pasa de una participación porcentual del 24.5 en 2017 a 23.5 en 2018. Según el Indicador Mensual de la Actividad Industrial por Entidad Federativa (IMAIEF), la cifra más reciente muestra una variación de -19.9 en mayo de 2020 respecto al mismo mes de 2019, explicado por contracciones en las actividades correspondientes a la generación, transmisión y distribución de energía eléctrica, suministro de agua y de gas por </w:t>
      </w:r>
      <w:r w:rsidRPr="0006444E">
        <w:rPr>
          <w:rFonts w:ascii="Arial" w:hAnsi="Arial" w:cs="Arial"/>
          <w:sz w:val="24"/>
        </w:rPr>
        <w:t>ductos al consumidor final y construcción, con un -30.1 y -22.9 por ciento, respectivamente.</w:t>
      </w:r>
    </w:p>
    <w:p w14:paraId="1E61A63E" w14:textId="77777777" w:rsidR="00466B28" w:rsidRDefault="00466B28" w:rsidP="000F15DD">
      <w:pPr>
        <w:spacing w:after="0" w:line="240" w:lineRule="auto"/>
        <w:jc w:val="both"/>
        <w:rPr>
          <w:rFonts w:ascii="Arial" w:hAnsi="Arial" w:cs="Arial"/>
          <w:sz w:val="24"/>
        </w:rPr>
      </w:pPr>
    </w:p>
    <w:p w14:paraId="2333537E" w14:textId="1028279E" w:rsidR="00466B28" w:rsidRDefault="00235754" w:rsidP="000F15DD">
      <w:pPr>
        <w:spacing w:after="0" w:line="240" w:lineRule="auto"/>
        <w:jc w:val="both"/>
        <w:rPr>
          <w:rFonts w:ascii="Arial" w:hAnsi="Arial" w:cs="Arial"/>
          <w:sz w:val="24"/>
        </w:rPr>
      </w:pPr>
      <w:r w:rsidRPr="00235754">
        <w:rPr>
          <w:rFonts w:ascii="Arial" w:hAnsi="Arial" w:cs="Arial"/>
          <w:sz w:val="24"/>
        </w:rPr>
        <w:t xml:space="preserve">A nivel nacional el indicador muestra una contracción de -30.6 por ciento, registrando la mayor contracción el subsector de las Industrias manufactureras con -37.0 por ciento. Si bien el sector ya presentaba signos de contracción desde el año 2016, esta reducción </w:t>
      </w:r>
      <w:r w:rsidRPr="00C8514D">
        <w:rPr>
          <w:rFonts w:ascii="Arial" w:hAnsi="Arial" w:cs="Arial"/>
          <w:sz w:val="24"/>
        </w:rPr>
        <w:t>se acentuó derivado de las medidas impuestas para la contención de la propagación del virus SARS-CoV-2.</w:t>
      </w:r>
    </w:p>
    <w:p w14:paraId="09D05068" w14:textId="77777777" w:rsidR="00122FA2" w:rsidRDefault="00122FA2" w:rsidP="000F15DD">
      <w:pPr>
        <w:spacing w:after="0" w:line="240" w:lineRule="auto"/>
        <w:jc w:val="both"/>
        <w:rPr>
          <w:rFonts w:ascii="Arial" w:hAnsi="Arial" w:cs="Arial"/>
          <w:sz w:val="24"/>
        </w:rPr>
      </w:pPr>
    </w:p>
    <w:p w14:paraId="0890B95D" w14:textId="4D30B1DE" w:rsidR="00122FA2" w:rsidRDefault="00122FA2" w:rsidP="00122FA2">
      <w:pPr>
        <w:spacing w:after="0" w:line="240" w:lineRule="auto"/>
        <w:jc w:val="both"/>
        <w:rPr>
          <w:rFonts w:ascii="Arial" w:hAnsi="Arial" w:cs="Arial"/>
          <w:sz w:val="24"/>
        </w:rPr>
      </w:pPr>
      <w:r w:rsidRPr="00122FA2">
        <w:rPr>
          <w:rFonts w:ascii="Arial" w:hAnsi="Arial" w:cs="Arial"/>
          <w:sz w:val="24"/>
        </w:rPr>
        <w:t xml:space="preserve">En términos monetarios, el sector produjo a precios constantes, durante 2018, la cantidad de 24,636 millones de pesos, mientras que el año previo, esta cifra ascendió a 25,037 millones de pesos, </w:t>
      </w:r>
      <w:r w:rsidR="00C8514D">
        <w:rPr>
          <w:rFonts w:ascii="Arial" w:hAnsi="Arial" w:cs="Arial"/>
          <w:sz w:val="24"/>
        </w:rPr>
        <w:t xml:space="preserve">lo que representa </w:t>
      </w:r>
      <w:r w:rsidRPr="00122FA2">
        <w:rPr>
          <w:rFonts w:ascii="Arial" w:hAnsi="Arial" w:cs="Arial"/>
          <w:sz w:val="24"/>
        </w:rPr>
        <w:t>una contracción en términos reales de 1.6 por ciento.</w:t>
      </w:r>
    </w:p>
    <w:p w14:paraId="7EFBCD3A" w14:textId="77777777" w:rsidR="00122FA2" w:rsidRPr="00122FA2" w:rsidRDefault="00122FA2" w:rsidP="00122FA2">
      <w:pPr>
        <w:spacing w:after="0" w:line="240" w:lineRule="auto"/>
        <w:jc w:val="both"/>
        <w:rPr>
          <w:rFonts w:ascii="Arial" w:hAnsi="Arial" w:cs="Arial"/>
          <w:sz w:val="24"/>
        </w:rPr>
      </w:pPr>
    </w:p>
    <w:p w14:paraId="0316E0BE" w14:textId="1CB88546" w:rsidR="00466B28" w:rsidRDefault="00BA3CCE" w:rsidP="00122FA2">
      <w:pPr>
        <w:spacing w:after="0" w:line="240" w:lineRule="auto"/>
        <w:jc w:val="both"/>
        <w:rPr>
          <w:rFonts w:ascii="Arial" w:hAnsi="Arial" w:cs="Arial"/>
          <w:sz w:val="24"/>
        </w:rPr>
      </w:pPr>
      <w:r>
        <w:rPr>
          <w:rFonts w:ascii="Arial" w:hAnsi="Arial" w:cs="Arial"/>
          <w:sz w:val="24"/>
        </w:rPr>
        <w:t>En lo que toca el sector terciario c</w:t>
      </w:r>
      <w:r w:rsidR="00122FA2" w:rsidRPr="00122FA2">
        <w:rPr>
          <w:rFonts w:ascii="Arial" w:hAnsi="Arial" w:cs="Arial"/>
          <w:sz w:val="24"/>
        </w:rPr>
        <w:t>olimense, este se muestra al alza desde el año 2010, lo que ha incrementado significativamente su importancia relativa de</w:t>
      </w:r>
      <w:r w:rsidR="00122FA2">
        <w:rPr>
          <w:rFonts w:ascii="Arial" w:hAnsi="Arial" w:cs="Arial"/>
          <w:sz w:val="24"/>
        </w:rPr>
        <w:t xml:space="preserve">ntro de la economía estatal, dicho sector funcionará y será fundamental en la reactivación económica del estado </w:t>
      </w:r>
      <w:r w:rsidR="004A728F">
        <w:rPr>
          <w:rFonts w:ascii="Arial" w:hAnsi="Arial" w:cs="Arial"/>
          <w:sz w:val="24"/>
        </w:rPr>
        <w:t>a</w:t>
      </w:r>
      <w:r w:rsidR="00122FA2">
        <w:rPr>
          <w:rFonts w:ascii="Arial" w:hAnsi="Arial" w:cs="Arial"/>
          <w:sz w:val="24"/>
        </w:rPr>
        <w:t>l ritmo que las medidas de contención de la pandemia lo permitan</w:t>
      </w:r>
      <w:r w:rsidR="004A728F">
        <w:rPr>
          <w:rFonts w:ascii="Arial" w:hAnsi="Arial" w:cs="Arial"/>
          <w:sz w:val="24"/>
        </w:rPr>
        <w:t>.</w:t>
      </w:r>
    </w:p>
    <w:p w14:paraId="1FB895F1" w14:textId="77777777" w:rsidR="00466B28" w:rsidRDefault="00466B28" w:rsidP="000F15DD">
      <w:pPr>
        <w:spacing w:after="0" w:line="240" w:lineRule="auto"/>
        <w:jc w:val="both"/>
        <w:rPr>
          <w:rFonts w:ascii="Arial" w:hAnsi="Arial" w:cs="Arial"/>
          <w:sz w:val="24"/>
        </w:rPr>
      </w:pPr>
    </w:p>
    <w:p w14:paraId="075D0BE2" w14:textId="5087707A" w:rsidR="00466B28" w:rsidRDefault="004A728F" w:rsidP="000F15DD">
      <w:pPr>
        <w:spacing w:after="0" w:line="240" w:lineRule="auto"/>
        <w:jc w:val="both"/>
        <w:rPr>
          <w:rFonts w:ascii="Arial" w:hAnsi="Arial" w:cs="Arial"/>
          <w:sz w:val="24"/>
        </w:rPr>
      </w:pPr>
      <w:r w:rsidRPr="004A728F">
        <w:rPr>
          <w:rFonts w:ascii="Arial" w:hAnsi="Arial" w:cs="Arial"/>
          <w:sz w:val="24"/>
        </w:rPr>
        <w:t>El sector de los servicios concentra 35,677 unidades económicas, lo que representa el 90.2 por ciento del total estatal, con cifras de septiembre de 2020. En 2018, con 33,566 unidades económicas, el sector terciario tuvo una Producción Bruta Total de 80,519.12 MDP, el comercio al por mayor y por menor y los transportes, correos y almacenamiento son los subsectores que mayor producción generaron.</w:t>
      </w:r>
    </w:p>
    <w:p w14:paraId="76F2E3B1" w14:textId="77777777" w:rsidR="004A728F" w:rsidRDefault="004A728F" w:rsidP="000F15DD">
      <w:pPr>
        <w:spacing w:after="0" w:line="240" w:lineRule="auto"/>
        <w:jc w:val="both"/>
        <w:rPr>
          <w:rFonts w:ascii="Arial" w:hAnsi="Arial" w:cs="Arial"/>
          <w:sz w:val="24"/>
        </w:rPr>
      </w:pPr>
    </w:p>
    <w:p w14:paraId="64C17F6A" w14:textId="77777777" w:rsidR="004A728F" w:rsidRDefault="004A728F" w:rsidP="000F15DD">
      <w:pPr>
        <w:spacing w:after="0" w:line="240" w:lineRule="auto"/>
        <w:jc w:val="both"/>
        <w:rPr>
          <w:rFonts w:ascii="Arial" w:hAnsi="Arial" w:cs="Arial"/>
          <w:sz w:val="24"/>
        </w:rPr>
      </w:pPr>
      <w:r w:rsidRPr="004A728F">
        <w:rPr>
          <w:rFonts w:ascii="Arial" w:hAnsi="Arial" w:cs="Arial"/>
          <w:sz w:val="24"/>
        </w:rPr>
        <w:t>En este sen</w:t>
      </w:r>
      <w:r>
        <w:rPr>
          <w:rFonts w:ascii="Arial" w:hAnsi="Arial" w:cs="Arial"/>
          <w:sz w:val="24"/>
        </w:rPr>
        <w:t xml:space="preserve">tido, la creciente importancia </w:t>
      </w:r>
      <w:r w:rsidRPr="004A728F">
        <w:rPr>
          <w:rFonts w:ascii="Arial" w:hAnsi="Arial" w:cs="Arial"/>
          <w:sz w:val="24"/>
        </w:rPr>
        <w:t>del sector terciario se explica en gran me</w:t>
      </w:r>
      <w:r>
        <w:rPr>
          <w:rFonts w:ascii="Arial" w:hAnsi="Arial" w:cs="Arial"/>
          <w:sz w:val="24"/>
        </w:rPr>
        <w:t xml:space="preserve">dida por la dinámica </w:t>
      </w:r>
      <w:r w:rsidRPr="004A728F">
        <w:rPr>
          <w:rFonts w:ascii="Arial" w:hAnsi="Arial" w:cs="Arial"/>
          <w:sz w:val="24"/>
        </w:rPr>
        <w:t xml:space="preserve">y desarrollo del comercio al por menor y al por mayor, mismo que pasó de representar del 28 al 29 por ciento en 2018, el comercio </w:t>
      </w:r>
      <w:r w:rsidRPr="004A728F">
        <w:rPr>
          <w:rFonts w:ascii="Arial" w:hAnsi="Arial" w:cs="Arial"/>
          <w:sz w:val="24"/>
        </w:rPr>
        <w:lastRenderedPageBreak/>
        <w:t xml:space="preserve">representó una derrama de 22,019 millones de pesos, y concentra actualmente 14,316 unidades económicas. </w:t>
      </w:r>
    </w:p>
    <w:p w14:paraId="734706CA" w14:textId="77777777" w:rsidR="004A728F" w:rsidRDefault="004A728F" w:rsidP="000F15DD">
      <w:pPr>
        <w:spacing w:after="0" w:line="240" w:lineRule="auto"/>
        <w:jc w:val="both"/>
        <w:rPr>
          <w:rFonts w:ascii="Arial" w:hAnsi="Arial" w:cs="Arial"/>
          <w:sz w:val="24"/>
        </w:rPr>
      </w:pPr>
    </w:p>
    <w:p w14:paraId="5F15E24D" w14:textId="06DC704B" w:rsidR="004A728F" w:rsidRDefault="004A728F" w:rsidP="000F15DD">
      <w:pPr>
        <w:spacing w:after="0" w:line="240" w:lineRule="auto"/>
        <w:jc w:val="both"/>
        <w:rPr>
          <w:rFonts w:ascii="Arial" w:hAnsi="Arial" w:cs="Arial"/>
          <w:sz w:val="24"/>
        </w:rPr>
      </w:pPr>
      <w:r w:rsidRPr="004A728F">
        <w:rPr>
          <w:rFonts w:ascii="Arial" w:hAnsi="Arial" w:cs="Arial"/>
          <w:sz w:val="24"/>
        </w:rPr>
        <w:t>En conjunto, los subsectores comercio al por mayor y al por menor, servicios inmobiliarios y de alquiler de bienes muebles e intangibles y los transportes, correos y almacenamiento concentran más del 63 por ciento de la actividad dentro de este sector. En Colima 7 de cada 10 pesos producidos proviene</w:t>
      </w:r>
      <w:r>
        <w:rPr>
          <w:rFonts w:ascii="Arial" w:hAnsi="Arial" w:cs="Arial"/>
          <w:sz w:val="24"/>
        </w:rPr>
        <w:t>n</w:t>
      </w:r>
      <w:r w:rsidRPr="004A728F">
        <w:rPr>
          <w:rFonts w:ascii="Arial" w:hAnsi="Arial" w:cs="Arial"/>
          <w:sz w:val="24"/>
        </w:rPr>
        <w:t xml:space="preserve"> de las actividades terciarias. Según el ITAEE al primer trimestre de 2020 en comparación con el 2019, el sector se ha contraído en un -0.1 por ciento. Gráficamente se observa:</w:t>
      </w:r>
    </w:p>
    <w:p w14:paraId="179D929A" w14:textId="77777777" w:rsidR="00466B28" w:rsidRDefault="00466B28" w:rsidP="000F15DD">
      <w:pPr>
        <w:spacing w:after="0" w:line="240" w:lineRule="auto"/>
        <w:jc w:val="both"/>
        <w:rPr>
          <w:rFonts w:ascii="Arial" w:hAnsi="Arial" w:cs="Arial"/>
          <w:sz w:val="24"/>
        </w:rPr>
      </w:pPr>
    </w:p>
    <w:p w14:paraId="1A375221" w14:textId="7B277764" w:rsidR="004A728F" w:rsidRDefault="004A728F" w:rsidP="004A728F">
      <w:pPr>
        <w:spacing w:after="0" w:line="240" w:lineRule="auto"/>
        <w:jc w:val="center"/>
        <w:rPr>
          <w:rFonts w:ascii="Arial" w:hAnsi="Arial" w:cs="Arial"/>
          <w:sz w:val="24"/>
        </w:rPr>
      </w:pPr>
      <w:r w:rsidRPr="00BA2DC3">
        <w:rPr>
          <w:noProof/>
        </w:rPr>
        <w:lastRenderedPageBreak/>
        <w:drawing>
          <wp:inline distT="0" distB="0" distL="0" distR="0" wp14:anchorId="341C1E8B" wp14:editId="0EA68FAC">
            <wp:extent cx="4578985" cy="687832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8985" cy="6878320"/>
                    </a:xfrm>
                    <a:prstGeom prst="rect">
                      <a:avLst/>
                    </a:prstGeom>
                    <a:noFill/>
                    <a:ln>
                      <a:noFill/>
                    </a:ln>
                  </pic:spPr>
                </pic:pic>
              </a:graphicData>
            </a:graphic>
          </wp:inline>
        </w:drawing>
      </w:r>
    </w:p>
    <w:p w14:paraId="130DEBF3" w14:textId="7410B531" w:rsidR="00466B28" w:rsidRDefault="004A728F" w:rsidP="000F15DD">
      <w:pPr>
        <w:spacing w:after="0" w:line="240" w:lineRule="auto"/>
        <w:jc w:val="both"/>
        <w:rPr>
          <w:rFonts w:ascii="Arial" w:hAnsi="Arial" w:cs="Arial"/>
          <w:sz w:val="24"/>
        </w:rPr>
      </w:pPr>
      <w:r w:rsidRPr="004A728F">
        <w:rPr>
          <w:rFonts w:ascii="Arial" w:hAnsi="Arial" w:cs="Arial"/>
          <w:sz w:val="24"/>
        </w:rPr>
        <w:lastRenderedPageBreak/>
        <w:t>En cuanto al turismo refiere, su dinámica impulsa la actividad económica a través de varios factores como el transporte, proveeduría de servicios especializados, alimentos, bebidas, agencias de viajes, entre otros, por tanto, la acción turística en el estado se ha definido e impulsado en función de tres importantes ejes que proveen los elementos de competitividad requeridos y que d</w:t>
      </w:r>
      <w:r w:rsidR="00C8514D">
        <w:rPr>
          <w:rFonts w:ascii="Arial" w:hAnsi="Arial" w:cs="Arial"/>
          <w:sz w:val="24"/>
        </w:rPr>
        <w:t>erivado de la pandemia provocada</w:t>
      </w:r>
      <w:r w:rsidRPr="004A728F">
        <w:rPr>
          <w:rFonts w:ascii="Arial" w:hAnsi="Arial" w:cs="Arial"/>
          <w:sz w:val="24"/>
        </w:rPr>
        <w:t xml:space="preserve"> por el COVID-19 y sus medidas de contención</w:t>
      </w:r>
      <w:r w:rsidR="00F51C51">
        <w:rPr>
          <w:rFonts w:ascii="Arial" w:hAnsi="Arial" w:cs="Arial"/>
          <w:sz w:val="24"/>
        </w:rPr>
        <w:t>,</w:t>
      </w:r>
      <w:r w:rsidRPr="004A728F">
        <w:rPr>
          <w:rFonts w:ascii="Arial" w:hAnsi="Arial" w:cs="Arial"/>
          <w:sz w:val="24"/>
        </w:rPr>
        <w:t xml:space="preserve"> recobrarán aun mayor relevancia,</w:t>
      </w:r>
      <w:r w:rsidR="00F51C51">
        <w:rPr>
          <w:rFonts w:ascii="Arial" w:hAnsi="Arial" w:cs="Arial"/>
          <w:sz w:val="24"/>
        </w:rPr>
        <w:t xml:space="preserve"> estos son:</w:t>
      </w:r>
      <w:r w:rsidRPr="004A728F">
        <w:rPr>
          <w:rFonts w:ascii="Arial" w:hAnsi="Arial" w:cs="Arial"/>
          <w:sz w:val="24"/>
        </w:rPr>
        <w:t xml:space="preserve"> la promoción turística específica en segmentos de mercado, el fomento a la infraestructura turística pública y privada, así como la profesionalización de los prestadores de servicios turísticos.</w:t>
      </w:r>
    </w:p>
    <w:p w14:paraId="06B2AEDD" w14:textId="77777777" w:rsidR="004A728F" w:rsidRDefault="004A728F" w:rsidP="000F15DD">
      <w:pPr>
        <w:spacing w:after="0" w:line="240" w:lineRule="auto"/>
        <w:jc w:val="both"/>
        <w:rPr>
          <w:rFonts w:ascii="Arial" w:hAnsi="Arial" w:cs="Arial"/>
          <w:sz w:val="24"/>
        </w:rPr>
      </w:pPr>
    </w:p>
    <w:p w14:paraId="1A90FE1D" w14:textId="77777777" w:rsidR="0099042B" w:rsidRDefault="0099042B" w:rsidP="0099042B">
      <w:pPr>
        <w:spacing w:after="0" w:line="240" w:lineRule="auto"/>
        <w:jc w:val="both"/>
        <w:rPr>
          <w:rFonts w:ascii="Arial" w:hAnsi="Arial" w:cs="Arial"/>
          <w:sz w:val="24"/>
        </w:rPr>
      </w:pPr>
      <w:r w:rsidRPr="0099042B">
        <w:rPr>
          <w:rFonts w:ascii="Arial" w:hAnsi="Arial" w:cs="Arial"/>
          <w:sz w:val="24"/>
        </w:rPr>
        <w:t>Las cifras más recientes que presenta la Secretaría de Turismo muestra que en 2018, Colima presentó una afluencia de 1,294,460 turistas, 5.6 por ciento más que en 2017 y la mayor cifra registrada en los últimos años. Del número de turistas señalados el 96 por ciento son nacionales y el resto corresponde a extranjeros.</w:t>
      </w:r>
    </w:p>
    <w:p w14:paraId="176B7D28" w14:textId="77777777" w:rsidR="0099042B" w:rsidRPr="0099042B" w:rsidRDefault="0099042B" w:rsidP="0099042B">
      <w:pPr>
        <w:spacing w:after="0" w:line="240" w:lineRule="auto"/>
        <w:jc w:val="both"/>
        <w:rPr>
          <w:rFonts w:ascii="Arial" w:hAnsi="Arial" w:cs="Arial"/>
          <w:sz w:val="24"/>
        </w:rPr>
      </w:pPr>
    </w:p>
    <w:p w14:paraId="4771583B" w14:textId="77777777" w:rsidR="0099042B" w:rsidRDefault="0099042B" w:rsidP="0099042B">
      <w:pPr>
        <w:spacing w:after="0" w:line="240" w:lineRule="auto"/>
        <w:jc w:val="both"/>
        <w:rPr>
          <w:rFonts w:ascii="Arial" w:hAnsi="Arial" w:cs="Arial"/>
          <w:sz w:val="24"/>
        </w:rPr>
      </w:pPr>
      <w:r w:rsidRPr="0099042B">
        <w:rPr>
          <w:rFonts w:ascii="Arial" w:hAnsi="Arial" w:cs="Arial"/>
          <w:sz w:val="24"/>
        </w:rPr>
        <w:t xml:space="preserve">En cuanto al porcentaje de ocupación en la entidad, de la totalidad de lugares de alojamiento disponibles, se tuvo una ocupación de 47.2 por ciento, la oferta de alojamiento en nuestro estado hasta 2018 fue de 244 establecimientos de hospedaje que en conjunto suman 8,283 habitaciones. </w:t>
      </w:r>
    </w:p>
    <w:p w14:paraId="11AD2E7E" w14:textId="77777777" w:rsidR="0099042B" w:rsidRPr="0099042B" w:rsidRDefault="0099042B" w:rsidP="0099042B">
      <w:pPr>
        <w:spacing w:after="0" w:line="240" w:lineRule="auto"/>
        <w:jc w:val="both"/>
        <w:rPr>
          <w:rFonts w:ascii="Arial" w:hAnsi="Arial" w:cs="Arial"/>
          <w:sz w:val="24"/>
        </w:rPr>
      </w:pPr>
    </w:p>
    <w:p w14:paraId="0FEB09CA" w14:textId="3E076E44" w:rsidR="004A728F" w:rsidRDefault="0099042B" w:rsidP="0099042B">
      <w:pPr>
        <w:spacing w:after="0" w:line="240" w:lineRule="auto"/>
        <w:jc w:val="both"/>
        <w:rPr>
          <w:rFonts w:ascii="Arial" w:hAnsi="Arial" w:cs="Arial"/>
          <w:sz w:val="24"/>
        </w:rPr>
      </w:pPr>
      <w:r w:rsidRPr="0099042B">
        <w:rPr>
          <w:rFonts w:ascii="Arial" w:hAnsi="Arial" w:cs="Arial"/>
          <w:sz w:val="24"/>
        </w:rPr>
        <w:t xml:space="preserve">A nivel nacional el sector turismo ha presentado una contracción del -6.3 por ciento al primer trimestre de 2020, ello según datos del Indicador Trimestral de la Actividad Turística </w:t>
      </w:r>
      <w:r w:rsidR="00CE5AB6">
        <w:rPr>
          <w:rFonts w:ascii="Arial" w:hAnsi="Arial" w:cs="Arial"/>
          <w:sz w:val="24"/>
        </w:rPr>
        <w:t>(ITAT), lo que claramente refleja el comienzo de las</w:t>
      </w:r>
      <w:r w:rsidRPr="0099042B">
        <w:rPr>
          <w:rFonts w:ascii="Arial" w:hAnsi="Arial" w:cs="Arial"/>
          <w:sz w:val="24"/>
        </w:rPr>
        <w:t xml:space="preserve"> afectaci</w:t>
      </w:r>
      <w:r w:rsidR="00CE5AB6">
        <w:rPr>
          <w:rFonts w:ascii="Arial" w:hAnsi="Arial" w:cs="Arial"/>
          <w:sz w:val="24"/>
        </w:rPr>
        <w:t xml:space="preserve">ones económicas en el sector, </w:t>
      </w:r>
      <w:r w:rsidRPr="0099042B">
        <w:rPr>
          <w:rFonts w:ascii="Arial" w:hAnsi="Arial" w:cs="Arial"/>
          <w:sz w:val="24"/>
        </w:rPr>
        <w:t>provocadas por la implementac</w:t>
      </w:r>
      <w:r w:rsidR="00CE5AB6">
        <w:rPr>
          <w:rFonts w:ascii="Arial" w:hAnsi="Arial" w:cs="Arial"/>
          <w:sz w:val="24"/>
        </w:rPr>
        <w:t>ión de las medidas de aislamiento</w:t>
      </w:r>
      <w:r w:rsidRPr="0099042B">
        <w:rPr>
          <w:rFonts w:ascii="Arial" w:hAnsi="Arial" w:cs="Arial"/>
          <w:sz w:val="24"/>
        </w:rPr>
        <w:t xml:space="preserve"> para evitar la propagación del COVID-19.</w:t>
      </w:r>
    </w:p>
    <w:p w14:paraId="75FBCA18" w14:textId="77777777" w:rsidR="0099042B" w:rsidRPr="000D65E8" w:rsidRDefault="0099042B" w:rsidP="000F15DD">
      <w:pPr>
        <w:spacing w:after="0" w:line="240" w:lineRule="auto"/>
        <w:jc w:val="both"/>
        <w:rPr>
          <w:rFonts w:ascii="Arial" w:hAnsi="Arial" w:cs="Arial"/>
          <w:sz w:val="24"/>
        </w:rPr>
      </w:pPr>
    </w:p>
    <w:p w14:paraId="5784EA70" w14:textId="3CE244A8" w:rsidR="0099042B" w:rsidRDefault="0099042B" w:rsidP="000F15DD">
      <w:pPr>
        <w:spacing w:after="0" w:line="240" w:lineRule="auto"/>
        <w:jc w:val="both"/>
        <w:rPr>
          <w:rFonts w:ascii="Arial" w:hAnsi="Arial" w:cs="Arial"/>
          <w:sz w:val="24"/>
        </w:rPr>
      </w:pPr>
      <w:r w:rsidRPr="0099042B">
        <w:rPr>
          <w:rFonts w:ascii="Arial" w:hAnsi="Arial" w:cs="Arial"/>
          <w:sz w:val="24"/>
        </w:rPr>
        <w:t>Por otro lado, las exportaciones colimenses durante 2019 importaron 657,377 dólares, respecto a las cifras 2018, se presentó una contracción de -10.9 por ciento. Al primer semestre de 2020, las exportaciones estatales importaron 367,797 dólares, la agricultura, la minería de minerales metálicos y no metálicos, excepto petróleo y gas y la industria alimentaria, son</w:t>
      </w:r>
      <w:r w:rsidR="006F46E8">
        <w:rPr>
          <w:rFonts w:ascii="Arial" w:hAnsi="Arial" w:cs="Arial"/>
          <w:sz w:val="24"/>
        </w:rPr>
        <w:t xml:space="preserve"> los subsectores de la economía</w:t>
      </w:r>
      <w:r w:rsidRPr="0099042B">
        <w:rPr>
          <w:rFonts w:ascii="Arial" w:hAnsi="Arial" w:cs="Arial"/>
          <w:sz w:val="24"/>
        </w:rPr>
        <w:t xml:space="preserve"> colimense que concentran la mayor cantidad de ventas al exterior. Melones, papayas y sandias</w:t>
      </w:r>
      <w:r w:rsidR="00CE5AB6">
        <w:rPr>
          <w:rFonts w:ascii="Arial" w:hAnsi="Arial" w:cs="Arial"/>
          <w:sz w:val="24"/>
        </w:rPr>
        <w:t>, cítricos frescos o secos y ju</w:t>
      </w:r>
      <w:r w:rsidRPr="0099042B">
        <w:rPr>
          <w:rFonts w:ascii="Arial" w:hAnsi="Arial" w:cs="Arial"/>
          <w:sz w:val="24"/>
        </w:rPr>
        <w:t>gos de frutas y/o vegetales son los principales productos de exportación con</w:t>
      </w:r>
      <w:r>
        <w:rPr>
          <w:rFonts w:ascii="Arial" w:hAnsi="Arial" w:cs="Arial"/>
          <w:sz w:val="24"/>
        </w:rPr>
        <w:t xml:space="preserve"> destino, principalmente, a EEUU.</w:t>
      </w:r>
    </w:p>
    <w:p w14:paraId="52ECA1C8" w14:textId="77777777" w:rsidR="007D5522" w:rsidRDefault="007D5522" w:rsidP="000F15DD">
      <w:pPr>
        <w:spacing w:after="0" w:line="240" w:lineRule="auto"/>
        <w:jc w:val="both"/>
        <w:rPr>
          <w:rFonts w:ascii="Arial" w:hAnsi="Arial" w:cs="Arial"/>
          <w:sz w:val="24"/>
        </w:rPr>
      </w:pPr>
    </w:p>
    <w:p w14:paraId="43B7FED7" w14:textId="5AF825A7" w:rsidR="007D5522" w:rsidRDefault="007D5522" w:rsidP="000F15DD">
      <w:pPr>
        <w:spacing w:after="0" w:line="240" w:lineRule="auto"/>
        <w:jc w:val="both"/>
        <w:rPr>
          <w:rFonts w:ascii="Arial" w:hAnsi="Arial" w:cs="Arial"/>
          <w:sz w:val="24"/>
        </w:rPr>
      </w:pPr>
      <w:r w:rsidRPr="007D5522">
        <w:rPr>
          <w:rFonts w:ascii="Arial" w:hAnsi="Arial" w:cs="Arial"/>
          <w:sz w:val="24"/>
        </w:rPr>
        <w:t xml:space="preserve">Dentro de nuestro estado, año con año se ha venido reduciendo los niveles de desempleo, lo que ha permitido mantener una situación favorable para todos los colimenses, prueba de ello es que la Población Económicamente Activa (PEA) </w:t>
      </w:r>
      <w:r w:rsidRPr="007D5522">
        <w:rPr>
          <w:rFonts w:ascii="Arial" w:hAnsi="Arial" w:cs="Arial"/>
          <w:sz w:val="24"/>
        </w:rPr>
        <w:lastRenderedPageBreak/>
        <w:t>ocupada en el primer trimestre de 2020 es del 97.0 por ciento, solo 3.0 por ciento de los colimenses en edad de trabajar no se encuentran ocupados, lo que posiciona a Colima abajo del promedio nacional en cuanto a la Tasa de Desocupación refiere.</w:t>
      </w:r>
    </w:p>
    <w:p w14:paraId="7CC96FB3" w14:textId="77777777" w:rsidR="007D5522" w:rsidRDefault="007D5522" w:rsidP="000F15DD">
      <w:pPr>
        <w:spacing w:after="0" w:line="240" w:lineRule="auto"/>
        <w:jc w:val="both"/>
        <w:rPr>
          <w:rFonts w:ascii="Arial" w:hAnsi="Arial" w:cs="Arial"/>
          <w:sz w:val="24"/>
        </w:rPr>
      </w:pPr>
    </w:p>
    <w:p w14:paraId="56CF25C7" w14:textId="661C7A23" w:rsidR="007D5522" w:rsidRDefault="007D5522" w:rsidP="000F15DD">
      <w:pPr>
        <w:spacing w:after="0" w:line="240" w:lineRule="auto"/>
        <w:jc w:val="both"/>
        <w:rPr>
          <w:rFonts w:ascii="Arial" w:hAnsi="Arial" w:cs="Arial"/>
          <w:sz w:val="24"/>
        </w:rPr>
      </w:pPr>
      <w:r w:rsidRPr="007D5522">
        <w:rPr>
          <w:rFonts w:ascii="Arial" w:hAnsi="Arial" w:cs="Arial"/>
          <w:sz w:val="24"/>
        </w:rPr>
        <w:t>En términos absolutos, en el estado de Colima, 384,955 habitantes tienen un empleo, de los cuales 133,853 son trabajadores asegurados en el Instituto Mexicano del Seguro Social, la mayoría de ellos son asalariados. La Tasa Neta de Participación Laboral que mide la proporción entre la Población Económicamente Activa y la Población en Edad de Trabajar, muestra una tasa de 66.4 por ciento al primer trimestre de 2020, 6.5 puntos porcentuales por encima de la media nacional, un indicador alentador y que muestra que en el estado existen más personas económicamente activas, a nivel nacional somos el estado con más (PEA) respecto al total de la Población en Edad de Trabajar. En lo que respecta a la Tasa de Informalidad Laboral estatal indica que el empleo informal se ha reduc</w:t>
      </w:r>
      <w:r w:rsidR="00CE5AB6">
        <w:rPr>
          <w:rFonts w:ascii="Arial" w:hAnsi="Arial" w:cs="Arial"/>
          <w:sz w:val="24"/>
        </w:rPr>
        <w:t xml:space="preserve">ido en el estado, y que </w:t>
      </w:r>
      <w:r w:rsidRPr="007D5522">
        <w:rPr>
          <w:rFonts w:ascii="Arial" w:hAnsi="Arial" w:cs="Arial"/>
          <w:sz w:val="24"/>
        </w:rPr>
        <w:t>sigue siendo menor a la media nacional, con datos de la Secretaría del Trabajo y Previsión social.</w:t>
      </w:r>
    </w:p>
    <w:p w14:paraId="0313C03C" w14:textId="77777777" w:rsidR="007D5522" w:rsidRDefault="007D5522" w:rsidP="000F15DD">
      <w:pPr>
        <w:spacing w:after="0" w:line="240" w:lineRule="auto"/>
        <w:jc w:val="both"/>
        <w:rPr>
          <w:rFonts w:ascii="Arial" w:hAnsi="Arial" w:cs="Arial"/>
          <w:sz w:val="24"/>
        </w:rPr>
      </w:pPr>
    </w:p>
    <w:p w14:paraId="27C26057" w14:textId="75C79B74" w:rsidR="007D5522" w:rsidRPr="0099042B" w:rsidRDefault="007D5522" w:rsidP="00DF1079">
      <w:pPr>
        <w:spacing w:after="0" w:line="240" w:lineRule="auto"/>
        <w:jc w:val="center"/>
        <w:rPr>
          <w:rFonts w:ascii="Arial" w:hAnsi="Arial" w:cs="Arial"/>
          <w:sz w:val="24"/>
        </w:rPr>
      </w:pPr>
      <w:r w:rsidRPr="00C35615">
        <w:rPr>
          <w:noProof/>
        </w:rPr>
        <w:drawing>
          <wp:inline distT="0" distB="0" distL="0" distR="0" wp14:anchorId="05A3A5CF" wp14:editId="721CA2A1">
            <wp:extent cx="5342890" cy="358267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42890" cy="3582670"/>
                    </a:xfrm>
                    <a:prstGeom prst="rect">
                      <a:avLst/>
                    </a:prstGeom>
                    <a:noFill/>
                    <a:ln>
                      <a:noFill/>
                    </a:ln>
                  </pic:spPr>
                </pic:pic>
              </a:graphicData>
            </a:graphic>
          </wp:inline>
        </w:drawing>
      </w:r>
    </w:p>
    <w:p w14:paraId="3C999A7D" w14:textId="77777777" w:rsidR="00466B28" w:rsidRDefault="00466B28" w:rsidP="000F15DD">
      <w:pPr>
        <w:spacing w:after="0" w:line="240" w:lineRule="auto"/>
        <w:jc w:val="both"/>
        <w:rPr>
          <w:rFonts w:ascii="Arial" w:hAnsi="Arial" w:cs="Arial"/>
          <w:sz w:val="24"/>
        </w:rPr>
      </w:pPr>
    </w:p>
    <w:p w14:paraId="6BC88C7E" w14:textId="706E2815" w:rsidR="00466B28" w:rsidRDefault="00D34A96" w:rsidP="000F15DD">
      <w:pPr>
        <w:spacing w:after="0" w:line="240" w:lineRule="auto"/>
        <w:jc w:val="both"/>
        <w:rPr>
          <w:rFonts w:ascii="Arial" w:hAnsi="Arial" w:cs="Arial"/>
          <w:sz w:val="24"/>
        </w:rPr>
      </w:pPr>
      <w:r w:rsidRPr="00D34A96">
        <w:rPr>
          <w:rFonts w:ascii="Arial" w:hAnsi="Arial" w:cs="Arial"/>
          <w:sz w:val="24"/>
        </w:rPr>
        <w:lastRenderedPageBreak/>
        <w:t>Por otro lado, la captación de Inversión Extranjera Directa (IED) en el estado al cuarto trimestre fue de 97.5 millones de dólares, dicha inversión provino principalmente de España con 46.4 por ciento, Cana</w:t>
      </w:r>
      <w:r>
        <w:rPr>
          <w:rFonts w:ascii="Arial" w:hAnsi="Arial" w:cs="Arial"/>
          <w:sz w:val="24"/>
        </w:rPr>
        <w:t>dá con 28.4 por ciento y EEUU</w:t>
      </w:r>
      <w:r w:rsidRPr="00D34A96">
        <w:rPr>
          <w:rFonts w:ascii="Arial" w:hAnsi="Arial" w:cs="Arial"/>
          <w:sz w:val="24"/>
        </w:rPr>
        <w:t xml:space="preserve"> con 15.4 por ciento, el destino de las mismas fue transportes correos y almacenamientos con el 33.3 por ciento, generación, transmisión y distribución de energía eléctrica, suministro de agua y de gas por ductos al consumidor final con 27.1</w:t>
      </w:r>
      <w:r>
        <w:rPr>
          <w:rFonts w:ascii="Arial" w:hAnsi="Arial" w:cs="Arial"/>
          <w:sz w:val="24"/>
        </w:rPr>
        <w:t xml:space="preserve"> por ciento</w:t>
      </w:r>
      <w:r w:rsidRPr="00D34A96">
        <w:rPr>
          <w:rFonts w:ascii="Arial" w:hAnsi="Arial" w:cs="Arial"/>
          <w:sz w:val="24"/>
        </w:rPr>
        <w:t>, y al comercio con 17.1 por ciento.</w:t>
      </w:r>
    </w:p>
    <w:p w14:paraId="07C2AADF" w14:textId="77777777" w:rsidR="00466B28" w:rsidRDefault="00466B28" w:rsidP="000F15DD">
      <w:pPr>
        <w:spacing w:after="0" w:line="240" w:lineRule="auto"/>
        <w:jc w:val="both"/>
        <w:rPr>
          <w:rFonts w:ascii="Arial" w:hAnsi="Arial" w:cs="Arial"/>
          <w:sz w:val="24"/>
        </w:rPr>
      </w:pPr>
    </w:p>
    <w:p w14:paraId="3B42FB63" w14:textId="3F06DD20" w:rsidR="00D34A96" w:rsidRDefault="00D34A96" w:rsidP="000F15DD">
      <w:pPr>
        <w:spacing w:after="0" w:line="240" w:lineRule="auto"/>
        <w:jc w:val="both"/>
        <w:rPr>
          <w:rFonts w:ascii="Arial" w:hAnsi="Arial" w:cs="Arial"/>
          <w:sz w:val="24"/>
        </w:rPr>
      </w:pPr>
      <w:r w:rsidRPr="00D34A96">
        <w:rPr>
          <w:rFonts w:ascii="Arial" w:hAnsi="Arial" w:cs="Arial"/>
          <w:sz w:val="24"/>
        </w:rPr>
        <w:t>En 2019, según datos de la Secretaría de Economía, la IED con destino al estado de Colima, presentó una contracción respecto a 2018, pues esta se ubicó en 52.1 millones de dólares, sin embargo, la cifra más reciente al primer semestre de 2020, la IED haciende ya a 78.3 millones de dólares, lo que claramente refleja una recuperación respecto al a</w:t>
      </w:r>
      <w:r>
        <w:rPr>
          <w:rFonts w:ascii="Arial" w:hAnsi="Arial" w:cs="Arial"/>
          <w:sz w:val="24"/>
        </w:rPr>
        <w:t>ño previo. España, Canadá y EEUU</w:t>
      </w:r>
      <w:r w:rsidRPr="00D34A96">
        <w:rPr>
          <w:rFonts w:ascii="Arial" w:hAnsi="Arial" w:cs="Arial"/>
          <w:sz w:val="24"/>
        </w:rPr>
        <w:t xml:space="preserve"> se mantienen como los países de origen de la mayor parte de la IED en nuestro estado, respecto al tipo de inversión</w:t>
      </w:r>
      <w:r w:rsidR="00837AC8">
        <w:rPr>
          <w:rFonts w:ascii="Arial" w:hAnsi="Arial" w:cs="Arial"/>
          <w:sz w:val="24"/>
        </w:rPr>
        <w:t>,</w:t>
      </w:r>
      <w:r w:rsidRPr="00D34A96">
        <w:rPr>
          <w:rFonts w:ascii="Arial" w:hAnsi="Arial" w:cs="Arial"/>
          <w:sz w:val="24"/>
        </w:rPr>
        <w:t xml:space="preserve"> esta f</w:t>
      </w:r>
      <w:r w:rsidR="00837AC8">
        <w:rPr>
          <w:rFonts w:ascii="Arial" w:hAnsi="Arial" w:cs="Arial"/>
          <w:sz w:val="24"/>
        </w:rPr>
        <w:t>ue por reinversión de utilidades</w:t>
      </w:r>
      <w:r w:rsidRPr="00D34A96">
        <w:rPr>
          <w:rFonts w:ascii="Arial" w:hAnsi="Arial" w:cs="Arial"/>
          <w:sz w:val="24"/>
        </w:rPr>
        <w:t>, nuevas inversiones y cuentas entre compañías.</w:t>
      </w:r>
    </w:p>
    <w:p w14:paraId="6B70A0CA" w14:textId="77777777" w:rsidR="00805858" w:rsidRDefault="00805858" w:rsidP="000F15DD">
      <w:pPr>
        <w:spacing w:after="0" w:line="240" w:lineRule="auto"/>
        <w:jc w:val="both"/>
        <w:rPr>
          <w:rFonts w:ascii="Arial" w:hAnsi="Arial" w:cs="Arial"/>
          <w:sz w:val="24"/>
        </w:rPr>
      </w:pPr>
    </w:p>
    <w:p w14:paraId="5AD547C3" w14:textId="6D86775D" w:rsidR="00805858" w:rsidRDefault="00805858" w:rsidP="000F15DD">
      <w:pPr>
        <w:spacing w:after="0" w:line="240" w:lineRule="auto"/>
        <w:jc w:val="both"/>
        <w:rPr>
          <w:rFonts w:ascii="Arial" w:hAnsi="Arial" w:cs="Arial"/>
          <w:sz w:val="24"/>
        </w:rPr>
      </w:pPr>
      <w:r w:rsidRPr="00805858">
        <w:rPr>
          <w:rFonts w:ascii="Arial" w:hAnsi="Arial" w:cs="Arial"/>
          <w:sz w:val="24"/>
        </w:rPr>
        <w:t xml:space="preserve">La importancia de la IED radica en la formación bruta de capital fijo, ya que forma parte del gasto en inversión y del crecimiento del PIB. Existe una correlación positiva entre la IED y el crecimiento económico y también es una muestra de confianza del exterior en la capacidad de nuestras empresas locales y en la percepción de seguridad pública, este tipo de inversión es </w:t>
      </w:r>
      <w:r w:rsidR="00CE5AB6">
        <w:rPr>
          <w:rFonts w:ascii="Arial" w:hAnsi="Arial" w:cs="Arial"/>
          <w:sz w:val="24"/>
        </w:rPr>
        <w:t xml:space="preserve">de </w:t>
      </w:r>
      <w:r w:rsidRPr="00805858">
        <w:rPr>
          <w:rFonts w:ascii="Arial" w:hAnsi="Arial" w:cs="Arial"/>
          <w:sz w:val="24"/>
        </w:rPr>
        <w:t>mediano y largo plazo.</w:t>
      </w:r>
    </w:p>
    <w:p w14:paraId="189A5DB1" w14:textId="77777777" w:rsidR="00805858" w:rsidRDefault="00805858" w:rsidP="000F15DD">
      <w:pPr>
        <w:spacing w:after="0" w:line="240" w:lineRule="auto"/>
        <w:jc w:val="both"/>
        <w:rPr>
          <w:rFonts w:ascii="Arial" w:hAnsi="Arial" w:cs="Arial"/>
          <w:sz w:val="24"/>
        </w:rPr>
      </w:pPr>
    </w:p>
    <w:p w14:paraId="7508FBE1" w14:textId="3775CF6A" w:rsidR="00805858" w:rsidRDefault="00805858" w:rsidP="000F15DD">
      <w:pPr>
        <w:spacing w:after="0" w:line="240" w:lineRule="auto"/>
        <w:jc w:val="both"/>
        <w:rPr>
          <w:rFonts w:ascii="Arial" w:hAnsi="Arial" w:cs="Arial"/>
          <w:sz w:val="24"/>
        </w:rPr>
      </w:pPr>
      <w:r w:rsidRPr="00805858">
        <w:rPr>
          <w:rFonts w:ascii="Arial" w:hAnsi="Arial" w:cs="Arial"/>
          <w:sz w:val="24"/>
        </w:rPr>
        <w:t>En la edición 2020 del Índice de Competitividad Estatal (ICE), que publica el Instituto Mexicano para la Competitividad y mide la capacidad de los estados para forjar, atraer y retener talento e inversiones, no se cuenta con un ranking general, sino que reconoce el desempeño de las entidades federativas de acuerdo a medallas.</w:t>
      </w:r>
    </w:p>
    <w:p w14:paraId="3DA2D4AC" w14:textId="77777777" w:rsidR="00805858" w:rsidRDefault="00805858" w:rsidP="000F15DD">
      <w:pPr>
        <w:spacing w:after="0" w:line="240" w:lineRule="auto"/>
        <w:jc w:val="both"/>
        <w:rPr>
          <w:rFonts w:ascii="Arial" w:hAnsi="Arial" w:cs="Arial"/>
          <w:sz w:val="24"/>
        </w:rPr>
      </w:pPr>
    </w:p>
    <w:p w14:paraId="2656E04F" w14:textId="3ED77237" w:rsidR="00651FC9" w:rsidRDefault="00805858" w:rsidP="000F15DD">
      <w:pPr>
        <w:spacing w:after="0" w:line="240" w:lineRule="auto"/>
        <w:jc w:val="both"/>
        <w:rPr>
          <w:rFonts w:ascii="Arial" w:hAnsi="Arial" w:cs="Arial"/>
          <w:sz w:val="24"/>
        </w:rPr>
      </w:pPr>
      <w:r w:rsidRPr="00805858">
        <w:rPr>
          <w:rFonts w:ascii="Arial" w:hAnsi="Arial" w:cs="Arial"/>
          <w:sz w:val="24"/>
        </w:rPr>
        <w:t>Colima obtuvo medalla de oro en un subíndice, catalogándose dentro de las cinco entidades que ob</w:t>
      </w:r>
      <w:r w:rsidR="00DE5800">
        <w:rPr>
          <w:rFonts w:ascii="Arial" w:hAnsi="Arial" w:cs="Arial"/>
          <w:sz w:val="24"/>
        </w:rPr>
        <w:t>tuvieron dicha distinción, el</w:t>
      </w:r>
      <w:r w:rsidRPr="00805858">
        <w:rPr>
          <w:rFonts w:ascii="Arial" w:hAnsi="Arial" w:cs="Arial"/>
          <w:sz w:val="24"/>
        </w:rPr>
        <w:t xml:space="preserve"> subíndice refiere al Sistema Político Estatal, ello derivado a que somos el estado con la menor incidencia de corrupción de servidores públicos, el segundo con menor percepción de corrupción en partidos políticos, además de ser uno de los ocho estados que reconoce el matrimonio igualitario</w:t>
      </w:r>
      <w:r w:rsidR="00DE5800">
        <w:rPr>
          <w:rFonts w:ascii="Arial" w:hAnsi="Arial" w:cs="Arial"/>
          <w:sz w:val="24"/>
        </w:rPr>
        <w:t>,</w:t>
      </w:r>
      <w:r w:rsidRPr="00805858">
        <w:rPr>
          <w:rFonts w:ascii="Arial" w:hAnsi="Arial" w:cs="Arial"/>
          <w:sz w:val="24"/>
        </w:rPr>
        <w:t xml:space="preserve"> </w:t>
      </w:r>
      <w:r w:rsidR="00DE5800">
        <w:rPr>
          <w:rFonts w:ascii="Arial" w:hAnsi="Arial" w:cs="Arial"/>
          <w:sz w:val="24"/>
        </w:rPr>
        <w:t xml:space="preserve">y es </w:t>
      </w:r>
      <w:r w:rsidRPr="00805858">
        <w:rPr>
          <w:rFonts w:ascii="Arial" w:hAnsi="Arial" w:cs="Arial"/>
          <w:sz w:val="24"/>
        </w:rPr>
        <w:t xml:space="preserve">el cuarto mejor evaluado por las políticas públicas orientadas a la promoción del desarrollo económico y la formalidad de la economía. </w:t>
      </w:r>
    </w:p>
    <w:p w14:paraId="7AACD15A" w14:textId="77777777" w:rsidR="00651FC9" w:rsidRDefault="00651FC9" w:rsidP="000F15DD">
      <w:pPr>
        <w:spacing w:after="0" w:line="240" w:lineRule="auto"/>
        <w:jc w:val="both"/>
        <w:rPr>
          <w:rFonts w:ascii="Arial" w:hAnsi="Arial" w:cs="Arial"/>
          <w:sz w:val="24"/>
        </w:rPr>
      </w:pPr>
    </w:p>
    <w:p w14:paraId="25705DC8" w14:textId="6FAB7928" w:rsidR="00466B28" w:rsidRDefault="00805858" w:rsidP="000F15DD">
      <w:pPr>
        <w:spacing w:after="0" w:line="240" w:lineRule="auto"/>
        <w:jc w:val="both"/>
        <w:rPr>
          <w:rFonts w:ascii="Arial" w:hAnsi="Arial" w:cs="Arial"/>
          <w:sz w:val="24"/>
        </w:rPr>
      </w:pPr>
      <w:r w:rsidRPr="00805858">
        <w:rPr>
          <w:rFonts w:ascii="Arial" w:hAnsi="Arial" w:cs="Arial"/>
          <w:sz w:val="24"/>
        </w:rPr>
        <w:lastRenderedPageBreak/>
        <w:t>Según el dato más reciente del índice de Información Presupuestaria Est</w:t>
      </w:r>
      <w:r w:rsidR="00EE4C42">
        <w:rPr>
          <w:rFonts w:ascii="Arial" w:hAnsi="Arial" w:cs="Arial"/>
          <w:sz w:val="24"/>
        </w:rPr>
        <w:t xml:space="preserve">atal (IIPE), en 2019, Colima es de los estados </w:t>
      </w:r>
      <w:r w:rsidRPr="00805858">
        <w:rPr>
          <w:rFonts w:ascii="Arial" w:hAnsi="Arial" w:cs="Arial"/>
          <w:sz w:val="24"/>
        </w:rPr>
        <w:t>mejor evaluado</w:t>
      </w:r>
      <w:r w:rsidR="00EE4C42">
        <w:rPr>
          <w:rFonts w:ascii="Arial" w:hAnsi="Arial" w:cs="Arial"/>
          <w:sz w:val="24"/>
        </w:rPr>
        <w:t>s</w:t>
      </w:r>
      <w:r w:rsidRPr="00805858">
        <w:rPr>
          <w:rFonts w:ascii="Arial" w:hAnsi="Arial" w:cs="Arial"/>
          <w:sz w:val="24"/>
        </w:rPr>
        <w:t xml:space="preserve"> con 98.3 por ciento por la calidad de la información presupuestaria que se genera, con ello se elimina la opacidad en el </w:t>
      </w:r>
      <w:r w:rsidR="00651FC9">
        <w:rPr>
          <w:rFonts w:ascii="Arial" w:hAnsi="Arial" w:cs="Arial"/>
          <w:sz w:val="24"/>
        </w:rPr>
        <w:t>manejo de los recursos públicos. En cuanto al Índice de Calidad de la Información</w:t>
      </w:r>
      <w:r w:rsidR="001754A1">
        <w:rPr>
          <w:rFonts w:ascii="Arial" w:hAnsi="Arial" w:cs="Arial"/>
          <w:sz w:val="24"/>
        </w:rPr>
        <w:t xml:space="preserve"> (ICI)</w:t>
      </w:r>
      <w:r w:rsidR="00A22D5A">
        <w:rPr>
          <w:rFonts w:ascii="Arial" w:hAnsi="Arial" w:cs="Arial"/>
          <w:sz w:val="24"/>
        </w:rPr>
        <w:t xml:space="preserve"> por entidad f</w:t>
      </w:r>
      <w:r w:rsidR="00651FC9">
        <w:rPr>
          <w:rFonts w:ascii="Arial" w:hAnsi="Arial" w:cs="Arial"/>
          <w:sz w:val="24"/>
        </w:rPr>
        <w:t>ederativa al segundo trimestre de 2020, nuestro estado presenta 91.64 pu</w:t>
      </w:r>
      <w:r w:rsidR="001754A1">
        <w:rPr>
          <w:rFonts w:ascii="Arial" w:hAnsi="Arial" w:cs="Arial"/>
          <w:sz w:val="24"/>
        </w:rPr>
        <w:t>ntos</w:t>
      </w:r>
      <w:r w:rsidR="00ED677B">
        <w:rPr>
          <w:rFonts w:ascii="Arial" w:hAnsi="Arial" w:cs="Arial"/>
          <w:sz w:val="24"/>
        </w:rPr>
        <w:t>,</w:t>
      </w:r>
      <w:r w:rsidR="001754A1">
        <w:rPr>
          <w:rFonts w:ascii="Arial" w:hAnsi="Arial" w:cs="Arial"/>
          <w:sz w:val="24"/>
        </w:rPr>
        <w:t xml:space="preserve"> en una escala del 1 al 100, </w:t>
      </w:r>
      <w:r w:rsidR="00ED677B">
        <w:rPr>
          <w:rFonts w:ascii="Arial" w:hAnsi="Arial" w:cs="Arial"/>
          <w:sz w:val="24"/>
        </w:rPr>
        <w:t>respecto</w:t>
      </w:r>
      <w:r w:rsidR="001754A1">
        <w:rPr>
          <w:rFonts w:ascii="Arial" w:hAnsi="Arial" w:cs="Arial"/>
          <w:sz w:val="24"/>
        </w:rPr>
        <w:t xml:space="preserve"> al grado de cumplimiento de los gobiernos locales </w:t>
      </w:r>
      <w:r w:rsidR="00ED677B">
        <w:rPr>
          <w:rFonts w:ascii="Arial" w:hAnsi="Arial" w:cs="Arial"/>
          <w:sz w:val="24"/>
        </w:rPr>
        <w:t xml:space="preserve">de </w:t>
      </w:r>
      <w:r w:rsidR="001754A1">
        <w:rPr>
          <w:rFonts w:ascii="Arial" w:hAnsi="Arial" w:cs="Arial"/>
          <w:sz w:val="24"/>
        </w:rPr>
        <w:t>la obligación de informar sobre los recur</w:t>
      </w:r>
      <w:r w:rsidR="00A22D5A">
        <w:rPr>
          <w:rFonts w:ascii="Arial" w:hAnsi="Arial" w:cs="Arial"/>
          <w:sz w:val="24"/>
        </w:rPr>
        <w:t xml:space="preserve">sos que trasfiere la federación, </w:t>
      </w:r>
      <w:r w:rsidR="00ED677B">
        <w:rPr>
          <w:rFonts w:ascii="Arial" w:hAnsi="Arial" w:cs="Arial"/>
          <w:sz w:val="24"/>
        </w:rPr>
        <w:t xml:space="preserve">lo que nos posiciona </w:t>
      </w:r>
      <w:r w:rsidR="00A22D5A">
        <w:rPr>
          <w:rFonts w:ascii="Arial" w:hAnsi="Arial" w:cs="Arial"/>
          <w:sz w:val="24"/>
        </w:rPr>
        <w:t>en los primeros lugares a nivel nacional</w:t>
      </w:r>
      <w:r w:rsidR="00ED677B">
        <w:rPr>
          <w:rFonts w:ascii="Arial" w:hAnsi="Arial" w:cs="Arial"/>
          <w:sz w:val="24"/>
        </w:rPr>
        <w:t xml:space="preserve"> por la calidad de la información</w:t>
      </w:r>
      <w:r w:rsidR="00DE5800">
        <w:rPr>
          <w:rFonts w:ascii="Arial" w:hAnsi="Arial" w:cs="Arial"/>
          <w:sz w:val="24"/>
        </w:rPr>
        <w:t xml:space="preserve"> que se genera</w:t>
      </w:r>
      <w:r w:rsidR="00ED677B">
        <w:rPr>
          <w:rFonts w:ascii="Arial" w:hAnsi="Arial" w:cs="Arial"/>
          <w:sz w:val="24"/>
        </w:rPr>
        <w:t>.</w:t>
      </w:r>
    </w:p>
    <w:p w14:paraId="62CA76C7" w14:textId="77777777" w:rsidR="00466B28" w:rsidRDefault="00466B28" w:rsidP="000F15DD">
      <w:pPr>
        <w:spacing w:after="0" w:line="240" w:lineRule="auto"/>
        <w:jc w:val="both"/>
        <w:rPr>
          <w:rFonts w:ascii="Arial" w:hAnsi="Arial" w:cs="Arial"/>
          <w:sz w:val="24"/>
        </w:rPr>
      </w:pPr>
    </w:p>
    <w:p w14:paraId="0C3BA82F" w14:textId="77777777" w:rsidR="00466B28" w:rsidRDefault="00466B28" w:rsidP="000F15DD">
      <w:pPr>
        <w:spacing w:after="0" w:line="240" w:lineRule="auto"/>
        <w:jc w:val="both"/>
        <w:rPr>
          <w:rFonts w:ascii="Arial" w:hAnsi="Arial" w:cs="Arial"/>
          <w:sz w:val="24"/>
        </w:rPr>
      </w:pPr>
    </w:p>
    <w:p w14:paraId="67AFB829" w14:textId="77777777" w:rsidR="00466B28" w:rsidRDefault="00466B28" w:rsidP="000F15DD">
      <w:pPr>
        <w:spacing w:after="0" w:line="240" w:lineRule="auto"/>
        <w:jc w:val="both"/>
        <w:rPr>
          <w:rFonts w:ascii="Arial" w:hAnsi="Arial" w:cs="Arial"/>
          <w:sz w:val="24"/>
        </w:rPr>
      </w:pPr>
    </w:p>
    <w:p w14:paraId="5B38F9B9" w14:textId="77777777" w:rsidR="00466B28" w:rsidRDefault="00466B28" w:rsidP="000F15DD">
      <w:pPr>
        <w:spacing w:after="0" w:line="240" w:lineRule="auto"/>
        <w:jc w:val="both"/>
        <w:rPr>
          <w:rFonts w:ascii="Arial" w:hAnsi="Arial" w:cs="Arial"/>
          <w:sz w:val="24"/>
        </w:rPr>
      </w:pPr>
    </w:p>
    <w:p w14:paraId="33D11F93" w14:textId="77777777" w:rsidR="00466B28" w:rsidRDefault="00466B28" w:rsidP="000F15DD">
      <w:pPr>
        <w:spacing w:after="0" w:line="240" w:lineRule="auto"/>
        <w:jc w:val="both"/>
        <w:rPr>
          <w:rFonts w:ascii="Arial" w:hAnsi="Arial" w:cs="Arial"/>
          <w:sz w:val="24"/>
        </w:rPr>
      </w:pPr>
    </w:p>
    <w:p w14:paraId="78B51D6B" w14:textId="77777777" w:rsidR="00466B28" w:rsidRDefault="00466B28" w:rsidP="000F15DD">
      <w:pPr>
        <w:spacing w:after="0" w:line="240" w:lineRule="auto"/>
        <w:jc w:val="both"/>
        <w:rPr>
          <w:rFonts w:ascii="Arial" w:hAnsi="Arial" w:cs="Arial"/>
          <w:sz w:val="24"/>
        </w:rPr>
      </w:pPr>
    </w:p>
    <w:p w14:paraId="57369BF6" w14:textId="77777777" w:rsidR="00466B28" w:rsidRDefault="00466B28" w:rsidP="000F15DD">
      <w:pPr>
        <w:spacing w:after="0" w:line="240" w:lineRule="auto"/>
        <w:jc w:val="both"/>
        <w:rPr>
          <w:rFonts w:ascii="Arial" w:hAnsi="Arial" w:cs="Arial"/>
          <w:sz w:val="24"/>
        </w:rPr>
      </w:pPr>
    </w:p>
    <w:p w14:paraId="650A2393" w14:textId="77777777" w:rsidR="00466B28" w:rsidRDefault="00466B28" w:rsidP="000F15DD">
      <w:pPr>
        <w:spacing w:after="0" w:line="240" w:lineRule="auto"/>
        <w:jc w:val="both"/>
        <w:rPr>
          <w:rFonts w:ascii="Arial" w:hAnsi="Arial" w:cs="Arial"/>
          <w:sz w:val="24"/>
        </w:rPr>
      </w:pPr>
    </w:p>
    <w:p w14:paraId="5103BE3B" w14:textId="6220ECA3" w:rsidR="00B076A2" w:rsidRDefault="00B076A2">
      <w:pPr>
        <w:spacing w:after="160" w:line="259" w:lineRule="auto"/>
        <w:rPr>
          <w:rFonts w:ascii="Arial" w:hAnsi="Arial" w:cs="Arial"/>
          <w:sz w:val="24"/>
        </w:rPr>
      </w:pPr>
      <w:r>
        <w:rPr>
          <w:rFonts w:ascii="Arial" w:hAnsi="Arial" w:cs="Arial"/>
          <w:sz w:val="24"/>
        </w:rPr>
        <w:br w:type="page"/>
      </w:r>
    </w:p>
    <w:p w14:paraId="2F700E11" w14:textId="77777777" w:rsidR="00B076A2" w:rsidRDefault="00B076A2" w:rsidP="00B076A2">
      <w:pPr>
        <w:spacing w:after="0" w:line="240" w:lineRule="auto"/>
        <w:jc w:val="both"/>
        <w:rPr>
          <w:rFonts w:ascii="Arial" w:hAnsi="Arial" w:cs="Arial"/>
          <w:sz w:val="24"/>
        </w:rPr>
      </w:pPr>
    </w:p>
    <w:p w14:paraId="78D867A2" w14:textId="77777777" w:rsidR="00B076A2" w:rsidRDefault="00B076A2" w:rsidP="00B076A2">
      <w:pPr>
        <w:spacing w:after="0" w:line="240" w:lineRule="auto"/>
        <w:jc w:val="both"/>
        <w:rPr>
          <w:rFonts w:ascii="Arial" w:hAnsi="Arial" w:cs="Arial"/>
          <w:sz w:val="24"/>
        </w:rPr>
      </w:pPr>
    </w:p>
    <w:p w14:paraId="210C9A4E" w14:textId="77777777" w:rsidR="00B076A2" w:rsidRDefault="00B076A2" w:rsidP="00B076A2">
      <w:pPr>
        <w:spacing w:after="0" w:line="240" w:lineRule="auto"/>
        <w:jc w:val="both"/>
        <w:rPr>
          <w:rFonts w:ascii="Arial" w:hAnsi="Arial" w:cs="Arial"/>
          <w:sz w:val="24"/>
        </w:rPr>
      </w:pPr>
    </w:p>
    <w:p w14:paraId="7B885DE7" w14:textId="77777777" w:rsidR="00B076A2" w:rsidRDefault="00B076A2" w:rsidP="00B076A2">
      <w:pPr>
        <w:spacing w:after="0" w:line="240" w:lineRule="auto"/>
        <w:jc w:val="both"/>
        <w:rPr>
          <w:rFonts w:ascii="Arial" w:hAnsi="Arial" w:cs="Arial"/>
          <w:sz w:val="24"/>
        </w:rPr>
      </w:pPr>
    </w:p>
    <w:p w14:paraId="39875045" w14:textId="77777777" w:rsidR="00B076A2" w:rsidRDefault="00B076A2" w:rsidP="00B076A2">
      <w:pPr>
        <w:spacing w:after="0" w:line="240" w:lineRule="auto"/>
        <w:jc w:val="both"/>
        <w:rPr>
          <w:rFonts w:ascii="Arial" w:hAnsi="Arial" w:cs="Arial"/>
          <w:sz w:val="24"/>
        </w:rPr>
      </w:pPr>
    </w:p>
    <w:p w14:paraId="171F2988" w14:textId="77777777" w:rsidR="00B076A2" w:rsidRDefault="00B076A2" w:rsidP="00B076A2">
      <w:pPr>
        <w:spacing w:after="0" w:line="240" w:lineRule="auto"/>
        <w:jc w:val="both"/>
        <w:rPr>
          <w:rFonts w:ascii="Arial" w:hAnsi="Arial" w:cs="Arial"/>
          <w:sz w:val="24"/>
        </w:rPr>
      </w:pPr>
    </w:p>
    <w:p w14:paraId="2188FE4E" w14:textId="77777777" w:rsidR="00B076A2" w:rsidRDefault="00B076A2" w:rsidP="00B076A2">
      <w:pPr>
        <w:spacing w:after="0" w:line="240" w:lineRule="auto"/>
        <w:jc w:val="both"/>
        <w:rPr>
          <w:rFonts w:ascii="Arial" w:hAnsi="Arial" w:cs="Arial"/>
          <w:sz w:val="24"/>
        </w:rPr>
      </w:pPr>
    </w:p>
    <w:p w14:paraId="1F90BD25" w14:textId="77777777" w:rsidR="00B076A2" w:rsidRDefault="00B076A2" w:rsidP="00B076A2">
      <w:pPr>
        <w:spacing w:after="0" w:line="240" w:lineRule="auto"/>
        <w:jc w:val="both"/>
        <w:rPr>
          <w:rFonts w:ascii="Arial" w:hAnsi="Arial" w:cs="Arial"/>
          <w:sz w:val="24"/>
        </w:rPr>
      </w:pPr>
    </w:p>
    <w:p w14:paraId="0EB500DF" w14:textId="77777777" w:rsidR="00B076A2" w:rsidRDefault="00B076A2" w:rsidP="00B076A2">
      <w:pPr>
        <w:spacing w:after="0" w:line="240" w:lineRule="auto"/>
        <w:jc w:val="both"/>
        <w:rPr>
          <w:rFonts w:ascii="Arial" w:hAnsi="Arial" w:cs="Arial"/>
          <w:sz w:val="24"/>
        </w:rPr>
      </w:pPr>
    </w:p>
    <w:p w14:paraId="50EF28FA" w14:textId="77777777" w:rsidR="00B076A2" w:rsidRDefault="00B076A2" w:rsidP="00B076A2">
      <w:pPr>
        <w:spacing w:after="0" w:line="240" w:lineRule="auto"/>
        <w:jc w:val="both"/>
        <w:rPr>
          <w:rFonts w:ascii="Arial" w:hAnsi="Arial" w:cs="Arial"/>
          <w:sz w:val="24"/>
        </w:rPr>
      </w:pPr>
    </w:p>
    <w:p w14:paraId="0203E0FB" w14:textId="77777777" w:rsidR="00B076A2" w:rsidRDefault="00B076A2" w:rsidP="00B076A2">
      <w:pPr>
        <w:spacing w:after="0" w:line="240" w:lineRule="auto"/>
        <w:jc w:val="both"/>
        <w:rPr>
          <w:rFonts w:ascii="Arial" w:hAnsi="Arial" w:cs="Arial"/>
          <w:sz w:val="24"/>
        </w:rPr>
      </w:pPr>
    </w:p>
    <w:p w14:paraId="69DAAEB5" w14:textId="77777777" w:rsidR="00B076A2" w:rsidRDefault="00B076A2" w:rsidP="00B076A2">
      <w:pPr>
        <w:spacing w:after="0" w:line="240" w:lineRule="auto"/>
        <w:jc w:val="both"/>
        <w:rPr>
          <w:rFonts w:ascii="Arial" w:hAnsi="Arial" w:cs="Arial"/>
          <w:sz w:val="24"/>
        </w:rPr>
      </w:pPr>
    </w:p>
    <w:p w14:paraId="056D586F" w14:textId="77777777" w:rsidR="00B076A2" w:rsidRDefault="00B076A2" w:rsidP="00B076A2">
      <w:pPr>
        <w:spacing w:after="0" w:line="240" w:lineRule="auto"/>
        <w:jc w:val="both"/>
        <w:rPr>
          <w:rFonts w:ascii="Arial" w:hAnsi="Arial" w:cs="Arial"/>
          <w:sz w:val="24"/>
        </w:rPr>
      </w:pPr>
    </w:p>
    <w:p w14:paraId="4EE65C69" w14:textId="77777777" w:rsidR="00B076A2" w:rsidRDefault="00B076A2" w:rsidP="00B076A2">
      <w:pPr>
        <w:spacing w:after="0" w:line="240" w:lineRule="auto"/>
        <w:jc w:val="both"/>
        <w:rPr>
          <w:rFonts w:ascii="Arial" w:hAnsi="Arial" w:cs="Arial"/>
          <w:sz w:val="24"/>
        </w:rPr>
      </w:pPr>
    </w:p>
    <w:p w14:paraId="767409EC" w14:textId="77777777" w:rsidR="00B076A2" w:rsidRDefault="00B076A2" w:rsidP="00B076A2">
      <w:pPr>
        <w:spacing w:after="0" w:line="240" w:lineRule="auto"/>
        <w:jc w:val="both"/>
        <w:rPr>
          <w:rFonts w:ascii="Arial" w:hAnsi="Arial" w:cs="Arial"/>
          <w:sz w:val="24"/>
        </w:rPr>
      </w:pPr>
    </w:p>
    <w:p w14:paraId="5CADA482" w14:textId="77777777" w:rsidR="00B076A2" w:rsidRDefault="00B076A2" w:rsidP="00B076A2">
      <w:pPr>
        <w:spacing w:after="0" w:line="240" w:lineRule="auto"/>
        <w:jc w:val="both"/>
        <w:rPr>
          <w:rFonts w:ascii="Arial" w:hAnsi="Arial" w:cs="Arial"/>
          <w:sz w:val="24"/>
        </w:rPr>
      </w:pPr>
    </w:p>
    <w:p w14:paraId="0C8D0026" w14:textId="77777777" w:rsidR="00B076A2" w:rsidRDefault="00B076A2" w:rsidP="00B076A2">
      <w:pPr>
        <w:spacing w:after="0" w:line="240" w:lineRule="auto"/>
        <w:jc w:val="both"/>
        <w:rPr>
          <w:rFonts w:ascii="Arial" w:hAnsi="Arial" w:cs="Arial"/>
          <w:sz w:val="24"/>
        </w:rPr>
      </w:pPr>
    </w:p>
    <w:p w14:paraId="184B5B05" w14:textId="77777777" w:rsidR="00B076A2" w:rsidRDefault="00B076A2" w:rsidP="00B076A2">
      <w:pPr>
        <w:spacing w:after="0" w:line="240" w:lineRule="auto"/>
        <w:jc w:val="both"/>
        <w:rPr>
          <w:rFonts w:ascii="Arial" w:hAnsi="Arial" w:cs="Arial"/>
          <w:sz w:val="24"/>
        </w:rPr>
      </w:pPr>
    </w:p>
    <w:p w14:paraId="1DEF7E8C" w14:textId="77777777" w:rsidR="00B076A2" w:rsidRDefault="00B076A2" w:rsidP="00B076A2">
      <w:pPr>
        <w:autoSpaceDE w:val="0"/>
        <w:autoSpaceDN w:val="0"/>
        <w:adjustRightInd w:val="0"/>
        <w:spacing w:after="0" w:line="240" w:lineRule="auto"/>
        <w:jc w:val="center"/>
        <w:rPr>
          <w:rFonts w:ascii="Arial" w:eastAsia="Times New Roman" w:hAnsi="Arial" w:cs="Arial"/>
          <w:b/>
          <w:sz w:val="40"/>
          <w:szCs w:val="40"/>
        </w:rPr>
      </w:pPr>
      <w:r w:rsidRPr="00E752F0">
        <w:rPr>
          <w:rFonts w:ascii="Arial" w:eastAsia="Times New Roman" w:hAnsi="Arial" w:cs="Arial"/>
          <w:b/>
          <w:sz w:val="40"/>
          <w:szCs w:val="40"/>
        </w:rPr>
        <w:t xml:space="preserve">TOMO </w:t>
      </w:r>
      <w:r>
        <w:rPr>
          <w:rFonts w:ascii="Arial" w:eastAsia="Times New Roman" w:hAnsi="Arial" w:cs="Arial"/>
          <w:b/>
          <w:sz w:val="40"/>
          <w:szCs w:val="40"/>
        </w:rPr>
        <w:t>II. MARCO PLURIANUAL (MARCO FISCAL DE MEDIANO PLAZO)</w:t>
      </w:r>
    </w:p>
    <w:p w14:paraId="07D68F63" w14:textId="77777777" w:rsidR="00B076A2" w:rsidRDefault="00B076A2" w:rsidP="00B076A2">
      <w:pPr>
        <w:spacing w:after="0" w:line="240" w:lineRule="auto"/>
        <w:jc w:val="both"/>
        <w:rPr>
          <w:rFonts w:ascii="Arial" w:hAnsi="Arial" w:cs="Arial"/>
          <w:sz w:val="24"/>
        </w:rPr>
      </w:pPr>
    </w:p>
    <w:p w14:paraId="4D478A3A" w14:textId="77777777" w:rsidR="00B076A2" w:rsidRDefault="00B076A2" w:rsidP="00B076A2">
      <w:pPr>
        <w:spacing w:after="0" w:line="240" w:lineRule="auto"/>
        <w:jc w:val="both"/>
        <w:rPr>
          <w:rFonts w:ascii="Arial" w:hAnsi="Arial" w:cs="Arial"/>
          <w:sz w:val="24"/>
        </w:rPr>
      </w:pPr>
    </w:p>
    <w:p w14:paraId="4C8EB4ED" w14:textId="77777777" w:rsidR="00B076A2" w:rsidRDefault="00B076A2" w:rsidP="00B076A2">
      <w:pPr>
        <w:spacing w:after="0" w:line="240" w:lineRule="auto"/>
        <w:jc w:val="both"/>
        <w:rPr>
          <w:rFonts w:ascii="Arial" w:hAnsi="Arial" w:cs="Arial"/>
          <w:sz w:val="24"/>
        </w:rPr>
      </w:pPr>
    </w:p>
    <w:p w14:paraId="19BFCA7B" w14:textId="77777777" w:rsidR="00B076A2" w:rsidRDefault="00B076A2" w:rsidP="00B076A2">
      <w:pPr>
        <w:spacing w:after="0" w:line="240" w:lineRule="auto"/>
        <w:jc w:val="both"/>
        <w:rPr>
          <w:rFonts w:ascii="Arial" w:hAnsi="Arial" w:cs="Arial"/>
          <w:sz w:val="24"/>
        </w:rPr>
      </w:pPr>
    </w:p>
    <w:p w14:paraId="6DC7971D" w14:textId="77777777" w:rsidR="00B076A2" w:rsidRDefault="00B076A2" w:rsidP="00B076A2">
      <w:pPr>
        <w:spacing w:after="0" w:line="240" w:lineRule="auto"/>
        <w:jc w:val="both"/>
        <w:rPr>
          <w:rFonts w:ascii="Arial" w:hAnsi="Arial" w:cs="Arial"/>
          <w:sz w:val="24"/>
        </w:rPr>
      </w:pPr>
    </w:p>
    <w:p w14:paraId="1CFD29D9" w14:textId="77777777" w:rsidR="00B076A2" w:rsidRDefault="00B076A2" w:rsidP="00B076A2">
      <w:pPr>
        <w:spacing w:after="0" w:line="240" w:lineRule="auto"/>
        <w:jc w:val="both"/>
        <w:rPr>
          <w:rFonts w:ascii="Arial" w:hAnsi="Arial" w:cs="Arial"/>
          <w:sz w:val="24"/>
        </w:rPr>
      </w:pPr>
    </w:p>
    <w:p w14:paraId="373B3C7B" w14:textId="77777777" w:rsidR="00B076A2" w:rsidRDefault="00B076A2" w:rsidP="00B076A2">
      <w:pPr>
        <w:spacing w:after="0" w:line="240" w:lineRule="auto"/>
        <w:jc w:val="both"/>
        <w:rPr>
          <w:rFonts w:ascii="Arial" w:hAnsi="Arial" w:cs="Arial"/>
          <w:sz w:val="24"/>
        </w:rPr>
      </w:pPr>
    </w:p>
    <w:p w14:paraId="768BFB92" w14:textId="77777777" w:rsidR="00B076A2" w:rsidRDefault="00B076A2" w:rsidP="00B076A2">
      <w:pPr>
        <w:spacing w:after="0" w:line="240" w:lineRule="auto"/>
        <w:jc w:val="both"/>
        <w:rPr>
          <w:rFonts w:ascii="Arial" w:hAnsi="Arial" w:cs="Arial"/>
          <w:sz w:val="24"/>
        </w:rPr>
      </w:pPr>
    </w:p>
    <w:p w14:paraId="733EF56A" w14:textId="77777777" w:rsidR="00B076A2" w:rsidRDefault="00B076A2" w:rsidP="00B076A2">
      <w:pPr>
        <w:spacing w:after="0" w:line="240" w:lineRule="auto"/>
        <w:jc w:val="both"/>
        <w:rPr>
          <w:rFonts w:ascii="Arial" w:hAnsi="Arial" w:cs="Arial"/>
          <w:sz w:val="24"/>
        </w:rPr>
      </w:pPr>
    </w:p>
    <w:p w14:paraId="5159DA91" w14:textId="77777777" w:rsidR="00B076A2" w:rsidRDefault="00B076A2" w:rsidP="00B076A2">
      <w:pPr>
        <w:spacing w:after="0" w:line="240" w:lineRule="auto"/>
        <w:jc w:val="both"/>
        <w:rPr>
          <w:rFonts w:ascii="Arial" w:hAnsi="Arial" w:cs="Arial"/>
          <w:sz w:val="24"/>
        </w:rPr>
      </w:pPr>
    </w:p>
    <w:p w14:paraId="7F22DEA3" w14:textId="77777777" w:rsidR="00B076A2" w:rsidRDefault="00B076A2" w:rsidP="00B076A2">
      <w:pPr>
        <w:spacing w:after="0" w:line="240" w:lineRule="auto"/>
        <w:jc w:val="both"/>
        <w:rPr>
          <w:rFonts w:ascii="Arial" w:hAnsi="Arial" w:cs="Arial"/>
          <w:sz w:val="24"/>
        </w:rPr>
      </w:pPr>
    </w:p>
    <w:p w14:paraId="77C41DFB" w14:textId="77777777" w:rsidR="00B076A2" w:rsidRDefault="00B076A2" w:rsidP="00B076A2">
      <w:pPr>
        <w:spacing w:after="0" w:line="240" w:lineRule="auto"/>
        <w:jc w:val="both"/>
        <w:rPr>
          <w:rFonts w:ascii="Arial" w:hAnsi="Arial" w:cs="Arial"/>
          <w:sz w:val="24"/>
        </w:rPr>
      </w:pPr>
    </w:p>
    <w:p w14:paraId="39BF0F4F" w14:textId="77777777" w:rsidR="00B076A2" w:rsidRDefault="00B076A2" w:rsidP="00B076A2">
      <w:pPr>
        <w:spacing w:after="0" w:line="240" w:lineRule="auto"/>
        <w:jc w:val="both"/>
        <w:rPr>
          <w:rFonts w:ascii="Arial" w:hAnsi="Arial" w:cs="Arial"/>
          <w:sz w:val="24"/>
        </w:rPr>
      </w:pPr>
    </w:p>
    <w:p w14:paraId="71BB1D8B" w14:textId="77777777" w:rsidR="00B076A2" w:rsidRDefault="00B076A2" w:rsidP="00B076A2">
      <w:pPr>
        <w:spacing w:after="0" w:line="240" w:lineRule="auto"/>
        <w:jc w:val="both"/>
        <w:rPr>
          <w:rFonts w:ascii="Arial" w:hAnsi="Arial" w:cs="Arial"/>
          <w:sz w:val="24"/>
        </w:rPr>
      </w:pPr>
    </w:p>
    <w:p w14:paraId="32694127" w14:textId="77777777" w:rsidR="00B076A2" w:rsidRDefault="00B076A2" w:rsidP="00B076A2">
      <w:pPr>
        <w:spacing w:after="0" w:line="240" w:lineRule="auto"/>
        <w:jc w:val="both"/>
        <w:rPr>
          <w:rFonts w:ascii="Arial" w:hAnsi="Arial" w:cs="Arial"/>
          <w:sz w:val="24"/>
        </w:rPr>
      </w:pPr>
    </w:p>
    <w:p w14:paraId="0AF53F20" w14:textId="77777777" w:rsidR="00B076A2" w:rsidRDefault="00B076A2" w:rsidP="00B076A2">
      <w:pPr>
        <w:spacing w:after="0" w:line="240" w:lineRule="auto"/>
        <w:jc w:val="both"/>
        <w:rPr>
          <w:rFonts w:ascii="Arial" w:hAnsi="Arial" w:cs="Arial"/>
          <w:sz w:val="24"/>
        </w:rPr>
      </w:pPr>
    </w:p>
    <w:p w14:paraId="7D836CD0" w14:textId="77777777" w:rsidR="00B076A2" w:rsidRDefault="00B076A2" w:rsidP="00B076A2">
      <w:pPr>
        <w:spacing w:after="0" w:line="240" w:lineRule="auto"/>
        <w:jc w:val="both"/>
        <w:rPr>
          <w:rFonts w:ascii="Arial" w:hAnsi="Arial" w:cs="Arial"/>
          <w:sz w:val="24"/>
        </w:rPr>
      </w:pPr>
    </w:p>
    <w:p w14:paraId="35F25EA0" w14:textId="77777777" w:rsidR="00B076A2" w:rsidRDefault="00B076A2" w:rsidP="00B076A2">
      <w:pPr>
        <w:spacing w:after="0" w:line="240" w:lineRule="auto"/>
        <w:jc w:val="both"/>
        <w:rPr>
          <w:rFonts w:ascii="Arial" w:hAnsi="Arial" w:cs="Arial"/>
          <w:sz w:val="24"/>
        </w:rPr>
      </w:pPr>
    </w:p>
    <w:p w14:paraId="2E24EBBB" w14:textId="77777777" w:rsidR="00B076A2" w:rsidRDefault="00B076A2" w:rsidP="00B076A2">
      <w:pPr>
        <w:spacing w:after="0" w:line="240" w:lineRule="auto"/>
        <w:jc w:val="both"/>
        <w:rPr>
          <w:rFonts w:ascii="Arial" w:hAnsi="Arial" w:cs="Arial"/>
          <w:sz w:val="24"/>
        </w:rPr>
      </w:pPr>
    </w:p>
    <w:p w14:paraId="597422F9" w14:textId="77777777" w:rsidR="00B076A2" w:rsidRPr="006702CA" w:rsidRDefault="00B076A2" w:rsidP="00B076A2">
      <w:pPr>
        <w:pStyle w:val="Prrafodelista"/>
        <w:spacing w:after="0" w:line="240" w:lineRule="auto"/>
        <w:ind w:left="0"/>
        <w:jc w:val="both"/>
        <w:rPr>
          <w:rFonts w:ascii="Arial" w:hAnsi="Arial" w:cs="Arial"/>
          <w:b/>
          <w:sz w:val="28"/>
        </w:rPr>
      </w:pPr>
      <w:r>
        <w:rPr>
          <w:rFonts w:ascii="Arial" w:hAnsi="Arial" w:cs="Arial"/>
          <w:b/>
          <w:sz w:val="28"/>
        </w:rPr>
        <w:lastRenderedPageBreak/>
        <w:t xml:space="preserve">2. </w:t>
      </w:r>
      <w:r w:rsidRPr="006702CA">
        <w:rPr>
          <w:rFonts w:ascii="Arial" w:hAnsi="Arial" w:cs="Arial"/>
          <w:b/>
          <w:sz w:val="28"/>
        </w:rPr>
        <w:t>MARCO PLURIANUAL (MARCO FISCAL DE MEDIANO PLAZO)</w:t>
      </w:r>
    </w:p>
    <w:p w14:paraId="576E9395" w14:textId="77777777" w:rsidR="00B076A2" w:rsidRDefault="00B076A2" w:rsidP="00B076A2">
      <w:pPr>
        <w:spacing w:after="0" w:line="240" w:lineRule="auto"/>
        <w:jc w:val="both"/>
        <w:rPr>
          <w:rFonts w:ascii="Arial" w:hAnsi="Arial" w:cs="Arial"/>
          <w:sz w:val="24"/>
        </w:rPr>
      </w:pPr>
    </w:p>
    <w:p w14:paraId="48208EE6" w14:textId="77777777" w:rsidR="00B076A2" w:rsidRDefault="00B076A2" w:rsidP="00B076A2">
      <w:pPr>
        <w:spacing w:after="0" w:line="240" w:lineRule="auto"/>
        <w:jc w:val="both"/>
        <w:rPr>
          <w:rFonts w:ascii="Arial" w:hAnsi="Arial" w:cs="Arial"/>
          <w:sz w:val="24"/>
        </w:rPr>
      </w:pPr>
      <w:r>
        <w:rPr>
          <w:rFonts w:ascii="Arial" w:hAnsi="Arial" w:cs="Arial"/>
          <w:sz w:val="24"/>
        </w:rPr>
        <w:t>La presente Iniciativa de Decreto de Presupuesto de Egresos para el ejercicio fiscal 2021 que se somete a la consideración de esa Soberanía, se integró tomando en consideración los postulados y reglas de disciplina financiera previstos en la propia Ley de Disciplina Financiera de las Entidades Federativas y los Municipios, los derivados de la Ley General de Contabilidad Gubernamental, las normas emitidas por el Consejo Nacional de Armonización Contable (CONAC), y demás disposiciones legales y normativas aplicables en la materia.</w:t>
      </w:r>
    </w:p>
    <w:p w14:paraId="2416EA3E" w14:textId="77777777" w:rsidR="00B076A2" w:rsidRDefault="00B076A2" w:rsidP="00B076A2">
      <w:pPr>
        <w:spacing w:after="0" w:line="240" w:lineRule="auto"/>
        <w:jc w:val="both"/>
        <w:rPr>
          <w:rFonts w:ascii="Arial" w:hAnsi="Arial" w:cs="Arial"/>
          <w:sz w:val="24"/>
        </w:rPr>
      </w:pPr>
    </w:p>
    <w:p w14:paraId="1E251A74" w14:textId="77777777" w:rsidR="00B076A2" w:rsidRDefault="00B076A2" w:rsidP="00B076A2">
      <w:pPr>
        <w:spacing w:after="0" w:line="240" w:lineRule="auto"/>
        <w:jc w:val="both"/>
        <w:rPr>
          <w:rFonts w:ascii="Arial" w:hAnsi="Arial" w:cs="Arial"/>
          <w:sz w:val="24"/>
        </w:rPr>
      </w:pPr>
      <w:r>
        <w:rPr>
          <w:rFonts w:ascii="Arial" w:hAnsi="Arial" w:cs="Arial"/>
          <w:sz w:val="24"/>
        </w:rPr>
        <w:t>Derivado de lo anterior se incorporan los siguientes elementos:</w:t>
      </w:r>
    </w:p>
    <w:p w14:paraId="10748406" w14:textId="77777777" w:rsidR="00B076A2" w:rsidRDefault="00B076A2" w:rsidP="00B076A2">
      <w:pPr>
        <w:spacing w:after="0" w:line="240" w:lineRule="auto"/>
        <w:jc w:val="both"/>
        <w:rPr>
          <w:rFonts w:ascii="Arial" w:hAnsi="Arial" w:cs="Arial"/>
          <w:sz w:val="24"/>
        </w:rPr>
      </w:pPr>
    </w:p>
    <w:p w14:paraId="60F99047" w14:textId="77777777" w:rsidR="00B076A2" w:rsidRDefault="00B076A2" w:rsidP="00B076A2">
      <w:pPr>
        <w:pStyle w:val="Prrafodelista"/>
        <w:numPr>
          <w:ilvl w:val="0"/>
          <w:numId w:val="14"/>
        </w:numPr>
        <w:spacing w:after="0" w:line="240" w:lineRule="auto"/>
        <w:jc w:val="both"/>
        <w:rPr>
          <w:rFonts w:ascii="Arial" w:hAnsi="Arial" w:cs="Arial"/>
          <w:sz w:val="24"/>
        </w:rPr>
      </w:pPr>
      <w:r>
        <w:rPr>
          <w:rFonts w:ascii="Arial" w:hAnsi="Arial" w:cs="Arial"/>
          <w:sz w:val="24"/>
        </w:rPr>
        <w:t>Objetivos anuales, estrategias y metas;</w:t>
      </w:r>
    </w:p>
    <w:p w14:paraId="6120D32D" w14:textId="77777777" w:rsidR="00B076A2" w:rsidRDefault="00B076A2" w:rsidP="00B076A2">
      <w:pPr>
        <w:pStyle w:val="Prrafodelista"/>
        <w:numPr>
          <w:ilvl w:val="0"/>
          <w:numId w:val="14"/>
        </w:numPr>
        <w:spacing w:after="0" w:line="240" w:lineRule="auto"/>
        <w:jc w:val="both"/>
        <w:rPr>
          <w:rFonts w:ascii="Arial" w:hAnsi="Arial" w:cs="Arial"/>
          <w:sz w:val="24"/>
        </w:rPr>
      </w:pPr>
      <w:r>
        <w:rPr>
          <w:rFonts w:ascii="Arial" w:hAnsi="Arial" w:cs="Arial"/>
          <w:sz w:val="24"/>
        </w:rPr>
        <w:t>Proyecciones de finanzas públicas, considerando las premisas empleadas en los Criterios Generales de Política Económica;</w:t>
      </w:r>
    </w:p>
    <w:p w14:paraId="435247F4" w14:textId="77777777" w:rsidR="00B076A2" w:rsidRDefault="00B076A2" w:rsidP="00B076A2">
      <w:pPr>
        <w:pStyle w:val="Prrafodelista"/>
        <w:numPr>
          <w:ilvl w:val="0"/>
          <w:numId w:val="14"/>
        </w:numPr>
        <w:spacing w:after="0" w:line="240" w:lineRule="auto"/>
        <w:jc w:val="both"/>
        <w:rPr>
          <w:rFonts w:ascii="Arial" w:hAnsi="Arial" w:cs="Arial"/>
          <w:sz w:val="24"/>
        </w:rPr>
      </w:pPr>
      <w:r>
        <w:rPr>
          <w:rFonts w:ascii="Arial" w:hAnsi="Arial" w:cs="Arial"/>
          <w:sz w:val="24"/>
        </w:rPr>
        <w:t>Descripción de los riesgos relevantes para las finanzas públicas, incluyendo los montos de Deuda Contingente, acompañados de propuestas de acción para enfrentarlos;</w:t>
      </w:r>
    </w:p>
    <w:p w14:paraId="469F36FA" w14:textId="77777777" w:rsidR="00B076A2" w:rsidRDefault="00B076A2" w:rsidP="00B076A2">
      <w:pPr>
        <w:pStyle w:val="Prrafodelista"/>
        <w:numPr>
          <w:ilvl w:val="0"/>
          <w:numId w:val="14"/>
        </w:numPr>
        <w:spacing w:after="0" w:line="240" w:lineRule="auto"/>
        <w:jc w:val="both"/>
        <w:rPr>
          <w:rFonts w:ascii="Arial" w:hAnsi="Arial" w:cs="Arial"/>
          <w:sz w:val="24"/>
        </w:rPr>
      </w:pPr>
      <w:r>
        <w:rPr>
          <w:rFonts w:ascii="Arial" w:hAnsi="Arial" w:cs="Arial"/>
          <w:sz w:val="24"/>
        </w:rPr>
        <w:t>Resultados de las finanzas públicas que abarcan un periodo de los cinco últimos años y el ejercicio fiscal en cuestión de acuerdo con los formatos emitidos por el CONAC para este fin;</w:t>
      </w:r>
    </w:p>
    <w:p w14:paraId="650CFEC4" w14:textId="77777777" w:rsidR="00B076A2" w:rsidRDefault="00B076A2" w:rsidP="00B076A2">
      <w:pPr>
        <w:pStyle w:val="Prrafodelista"/>
        <w:numPr>
          <w:ilvl w:val="0"/>
          <w:numId w:val="14"/>
        </w:numPr>
        <w:spacing w:after="0" w:line="240" w:lineRule="auto"/>
        <w:jc w:val="both"/>
        <w:rPr>
          <w:rFonts w:ascii="Arial" w:hAnsi="Arial" w:cs="Arial"/>
          <w:sz w:val="24"/>
        </w:rPr>
      </w:pPr>
      <w:r>
        <w:rPr>
          <w:rFonts w:ascii="Arial" w:hAnsi="Arial" w:cs="Arial"/>
          <w:sz w:val="24"/>
        </w:rPr>
        <w:t>Resumen de estudio actuarial de las pensiones de los trabajadores;</w:t>
      </w:r>
    </w:p>
    <w:p w14:paraId="3E969F43" w14:textId="77777777" w:rsidR="00B076A2" w:rsidRDefault="00B076A2" w:rsidP="00B076A2">
      <w:pPr>
        <w:pStyle w:val="Prrafodelista"/>
        <w:numPr>
          <w:ilvl w:val="0"/>
          <w:numId w:val="14"/>
        </w:numPr>
        <w:spacing w:after="0" w:line="240" w:lineRule="auto"/>
        <w:jc w:val="both"/>
        <w:rPr>
          <w:rFonts w:ascii="Arial" w:hAnsi="Arial" w:cs="Arial"/>
          <w:sz w:val="24"/>
        </w:rPr>
      </w:pPr>
      <w:r>
        <w:rPr>
          <w:rFonts w:ascii="Arial" w:hAnsi="Arial" w:cs="Arial"/>
          <w:sz w:val="24"/>
        </w:rPr>
        <w:t>El Balance Presupuestario y su justificación;</w:t>
      </w:r>
    </w:p>
    <w:p w14:paraId="3368A30F" w14:textId="77777777" w:rsidR="00B076A2" w:rsidRDefault="00B076A2" w:rsidP="00B076A2">
      <w:pPr>
        <w:pStyle w:val="Prrafodelista"/>
        <w:numPr>
          <w:ilvl w:val="0"/>
          <w:numId w:val="14"/>
        </w:numPr>
        <w:spacing w:after="0" w:line="240" w:lineRule="auto"/>
        <w:jc w:val="both"/>
        <w:rPr>
          <w:rFonts w:ascii="Arial" w:hAnsi="Arial" w:cs="Arial"/>
          <w:sz w:val="24"/>
        </w:rPr>
      </w:pPr>
      <w:r>
        <w:rPr>
          <w:rFonts w:ascii="Arial" w:hAnsi="Arial" w:cs="Arial"/>
          <w:sz w:val="24"/>
        </w:rPr>
        <w:t>Previsión de recursos para el Fondo de Desastres Naturales;</w:t>
      </w:r>
    </w:p>
    <w:p w14:paraId="5044487F" w14:textId="77777777" w:rsidR="00B076A2" w:rsidRPr="00720EA8" w:rsidRDefault="00B076A2" w:rsidP="00B076A2">
      <w:pPr>
        <w:pStyle w:val="Prrafodelista"/>
        <w:numPr>
          <w:ilvl w:val="0"/>
          <w:numId w:val="14"/>
        </w:numPr>
        <w:spacing w:after="0" w:line="240" w:lineRule="auto"/>
        <w:jc w:val="both"/>
        <w:rPr>
          <w:rFonts w:ascii="Arial" w:hAnsi="Arial" w:cs="Arial"/>
          <w:sz w:val="24"/>
        </w:rPr>
      </w:pPr>
      <w:r w:rsidRPr="00720EA8">
        <w:rPr>
          <w:rFonts w:ascii="Arial" w:hAnsi="Arial" w:cs="Arial"/>
          <w:sz w:val="24"/>
        </w:rPr>
        <w:t>Inclusión de una sección específica de las erogaciones correspondientes al gasto de servicios personales; y</w:t>
      </w:r>
    </w:p>
    <w:p w14:paraId="669E0601" w14:textId="77777777" w:rsidR="00B076A2" w:rsidRDefault="00B076A2" w:rsidP="00B076A2">
      <w:pPr>
        <w:pStyle w:val="Prrafodelista"/>
        <w:numPr>
          <w:ilvl w:val="0"/>
          <w:numId w:val="14"/>
        </w:numPr>
        <w:spacing w:after="0" w:line="240" w:lineRule="auto"/>
        <w:jc w:val="both"/>
        <w:rPr>
          <w:rFonts w:ascii="Arial" w:hAnsi="Arial" w:cs="Arial"/>
          <w:sz w:val="24"/>
        </w:rPr>
      </w:pPr>
      <w:r>
        <w:rPr>
          <w:rFonts w:ascii="Arial" w:hAnsi="Arial" w:cs="Arial"/>
          <w:sz w:val="24"/>
        </w:rPr>
        <w:t>Recursos para cubrir los adeudos del ejercicio fiscal anterior (2020).</w:t>
      </w:r>
    </w:p>
    <w:p w14:paraId="57593458" w14:textId="77777777" w:rsidR="00B076A2" w:rsidRDefault="00B076A2" w:rsidP="00B076A2">
      <w:pPr>
        <w:spacing w:after="0" w:line="240" w:lineRule="auto"/>
        <w:jc w:val="both"/>
        <w:rPr>
          <w:rFonts w:ascii="Arial" w:hAnsi="Arial" w:cs="Arial"/>
          <w:sz w:val="24"/>
        </w:rPr>
      </w:pPr>
    </w:p>
    <w:p w14:paraId="143A07F6" w14:textId="77777777" w:rsidR="00B076A2" w:rsidRDefault="00B076A2" w:rsidP="00B076A2">
      <w:pPr>
        <w:spacing w:after="0" w:line="240" w:lineRule="auto"/>
        <w:jc w:val="both"/>
        <w:rPr>
          <w:rFonts w:ascii="Arial" w:hAnsi="Arial" w:cs="Arial"/>
          <w:sz w:val="24"/>
        </w:rPr>
      </w:pPr>
    </w:p>
    <w:p w14:paraId="115022BD" w14:textId="77777777" w:rsidR="00B076A2" w:rsidRDefault="00B076A2" w:rsidP="00B076A2">
      <w:pPr>
        <w:spacing w:after="0" w:line="240" w:lineRule="auto"/>
        <w:jc w:val="both"/>
        <w:rPr>
          <w:rFonts w:ascii="Arial" w:hAnsi="Arial" w:cs="Arial"/>
          <w:sz w:val="24"/>
        </w:rPr>
      </w:pPr>
    </w:p>
    <w:p w14:paraId="4A51733E" w14:textId="77777777" w:rsidR="00B076A2" w:rsidRDefault="00B076A2" w:rsidP="00B076A2">
      <w:pPr>
        <w:spacing w:after="0" w:line="240" w:lineRule="auto"/>
        <w:jc w:val="both"/>
        <w:rPr>
          <w:rFonts w:ascii="Arial" w:hAnsi="Arial" w:cs="Arial"/>
          <w:sz w:val="24"/>
        </w:rPr>
      </w:pPr>
    </w:p>
    <w:p w14:paraId="31BEEF69" w14:textId="77777777" w:rsidR="00B076A2" w:rsidRDefault="00B076A2" w:rsidP="00B076A2">
      <w:pPr>
        <w:spacing w:after="0" w:line="240" w:lineRule="auto"/>
        <w:jc w:val="both"/>
        <w:rPr>
          <w:rFonts w:ascii="Arial" w:hAnsi="Arial" w:cs="Arial"/>
          <w:sz w:val="24"/>
        </w:rPr>
      </w:pPr>
    </w:p>
    <w:p w14:paraId="04F3597A" w14:textId="77777777" w:rsidR="00B076A2" w:rsidRDefault="00B076A2" w:rsidP="00B076A2">
      <w:pPr>
        <w:spacing w:after="0" w:line="240" w:lineRule="auto"/>
        <w:jc w:val="both"/>
        <w:rPr>
          <w:rFonts w:ascii="Arial" w:hAnsi="Arial" w:cs="Arial"/>
          <w:sz w:val="24"/>
        </w:rPr>
      </w:pPr>
    </w:p>
    <w:p w14:paraId="06BC57FE" w14:textId="77777777" w:rsidR="00B076A2" w:rsidRDefault="00B076A2" w:rsidP="00B076A2">
      <w:pPr>
        <w:spacing w:after="0" w:line="240" w:lineRule="auto"/>
        <w:jc w:val="both"/>
        <w:rPr>
          <w:rFonts w:ascii="Arial" w:hAnsi="Arial" w:cs="Arial"/>
          <w:sz w:val="24"/>
        </w:rPr>
      </w:pPr>
    </w:p>
    <w:p w14:paraId="0288675F" w14:textId="77777777" w:rsidR="00B076A2" w:rsidRDefault="00B076A2" w:rsidP="00B076A2">
      <w:pPr>
        <w:spacing w:after="0" w:line="240" w:lineRule="auto"/>
        <w:jc w:val="both"/>
        <w:rPr>
          <w:rFonts w:ascii="Arial" w:hAnsi="Arial" w:cs="Arial"/>
          <w:sz w:val="24"/>
        </w:rPr>
      </w:pPr>
    </w:p>
    <w:p w14:paraId="45F24E8D" w14:textId="77777777" w:rsidR="00B076A2" w:rsidRDefault="00B076A2" w:rsidP="00B076A2">
      <w:pPr>
        <w:spacing w:after="0" w:line="240" w:lineRule="auto"/>
        <w:jc w:val="both"/>
        <w:rPr>
          <w:rFonts w:ascii="Arial" w:hAnsi="Arial" w:cs="Arial"/>
          <w:sz w:val="24"/>
        </w:rPr>
      </w:pPr>
    </w:p>
    <w:p w14:paraId="7BBC430D" w14:textId="77777777" w:rsidR="00B076A2" w:rsidRDefault="00B076A2" w:rsidP="00B076A2">
      <w:pPr>
        <w:spacing w:after="0" w:line="240" w:lineRule="auto"/>
        <w:jc w:val="both"/>
        <w:rPr>
          <w:rFonts w:ascii="Arial" w:hAnsi="Arial" w:cs="Arial"/>
          <w:sz w:val="24"/>
        </w:rPr>
      </w:pPr>
    </w:p>
    <w:p w14:paraId="006533AD" w14:textId="77777777" w:rsidR="00B076A2" w:rsidRDefault="00B076A2" w:rsidP="00B076A2">
      <w:pPr>
        <w:spacing w:after="0" w:line="240" w:lineRule="auto"/>
        <w:jc w:val="both"/>
        <w:rPr>
          <w:rFonts w:ascii="Arial" w:hAnsi="Arial" w:cs="Arial"/>
          <w:sz w:val="24"/>
        </w:rPr>
      </w:pPr>
    </w:p>
    <w:p w14:paraId="457C2154" w14:textId="77777777" w:rsidR="00B076A2" w:rsidRPr="004F25CD" w:rsidRDefault="00B076A2" w:rsidP="00B076A2">
      <w:pPr>
        <w:spacing w:after="0" w:line="240" w:lineRule="auto"/>
        <w:jc w:val="both"/>
        <w:rPr>
          <w:rFonts w:ascii="Arial" w:hAnsi="Arial" w:cs="Arial"/>
          <w:sz w:val="24"/>
        </w:rPr>
      </w:pPr>
    </w:p>
    <w:p w14:paraId="4617772C" w14:textId="77777777" w:rsidR="00B076A2" w:rsidRPr="000D681D" w:rsidRDefault="00B076A2" w:rsidP="00B076A2">
      <w:pPr>
        <w:spacing w:after="0" w:line="240" w:lineRule="auto"/>
        <w:jc w:val="both"/>
        <w:rPr>
          <w:rFonts w:ascii="Arial" w:hAnsi="Arial" w:cs="Arial"/>
          <w:b/>
          <w:sz w:val="24"/>
        </w:rPr>
      </w:pPr>
      <w:r w:rsidRPr="000D681D">
        <w:rPr>
          <w:rFonts w:ascii="Arial" w:hAnsi="Arial" w:cs="Arial"/>
          <w:b/>
          <w:sz w:val="24"/>
        </w:rPr>
        <w:lastRenderedPageBreak/>
        <w:t>2.1. OBJETIVOS ANUALES, ESTRATÉGIAS Y METAS</w:t>
      </w:r>
    </w:p>
    <w:p w14:paraId="0D43AB2E" w14:textId="77777777" w:rsidR="00B076A2" w:rsidRDefault="00B076A2" w:rsidP="00B076A2">
      <w:pPr>
        <w:spacing w:after="0" w:line="240" w:lineRule="auto"/>
        <w:jc w:val="both"/>
        <w:rPr>
          <w:rFonts w:ascii="Arial" w:hAnsi="Arial" w:cs="Arial"/>
          <w:sz w:val="24"/>
        </w:rPr>
      </w:pPr>
    </w:p>
    <w:p w14:paraId="780AAF2B" w14:textId="77777777" w:rsidR="00B076A2" w:rsidRDefault="00B076A2" w:rsidP="00B076A2">
      <w:pPr>
        <w:spacing w:after="0" w:line="240" w:lineRule="auto"/>
        <w:jc w:val="both"/>
        <w:rPr>
          <w:rFonts w:ascii="Arial" w:hAnsi="Arial" w:cs="Arial"/>
          <w:sz w:val="24"/>
        </w:rPr>
      </w:pPr>
      <w:r w:rsidRPr="005D77E9">
        <w:rPr>
          <w:rFonts w:ascii="Arial" w:hAnsi="Arial" w:cs="Arial"/>
          <w:sz w:val="24"/>
        </w:rPr>
        <w:t>Los Poderes</w:t>
      </w:r>
      <w:r>
        <w:rPr>
          <w:rFonts w:ascii="Arial" w:hAnsi="Arial" w:cs="Arial"/>
          <w:sz w:val="24"/>
        </w:rPr>
        <w:t xml:space="preserve"> Ejecutivo,</w:t>
      </w:r>
      <w:r w:rsidRPr="005D77E9">
        <w:rPr>
          <w:rFonts w:ascii="Arial" w:hAnsi="Arial" w:cs="Arial"/>
          <w:sz w:val="24"/>
        </w:rPr>
        <w:t xml:space="preserve"> Legislativo y Judicial, los Organismos Constitucionalmente Autónomos, las Dependencias y Entidades en la formulación y el ejercicio del Presupuesto de Egresos del Estado, conforme a su ámbito de atribuciones y responsabilidades, realizarán sus actividades con sujeción al Plan Estatal de Desarrollo</w:t>
      </w:r>
      <w:r>
        <w:rPr>
          <w:rFonts w:ascii="Arial" w:hAnsi="Arial" w:cs="Arial"/>
          <w:sz w:val="24"/>
        </w:rPr>
        <w:t>, a la Agenda 2030 y los Objetivos de Desarrollo Sostenible,</w:t>
      </w:r>
      <w:r w:rsidRPr="005D77E9">
        <w:rPr>
          <w:rFonts w:ascii="Arial" w:hAnsi="Arial" w:cs="Arial"/>
          <w:sz w:val="24"/>
        </w:rPr>
        <w:t xml:space="preserve"> a los Programas Sectoriales e Institucionales y demás instrumentos de planeación aprobados en términos de ley, así como, a los objetivos y metas de sus Programas Presupuestarios elaborados con base en la Metodología de Marco Lógico, para medir los avances y resu</w:t>
      </w:r>
      <w:r>
        <w:rPr>
          <w:rFonts w:ascii="Arial" w:hAnsi="Arial" w:cs="Arial"/>
          <w:sz w:val="24"/>
        </w:rPr>
        <w:t>ltados de la acción pública.</w:t>
      </w:r>
    </w:p>
    <w:p w14:paraId="4CEEEBF2" w14:textId="77777777" w:rsidR="00B076A2" w:rsidRDefault="00B076A2" w:rsidP="00B076A2">
      <w:pPr>
        <w:spacing w:after="0" w:line="240" w:lineRule="auto"/>
        <w:jc w:val="both"/>
        <w:rPr>
          <w:rFonts w:ascii="Arial" w:hAnsi="Arial" w:cs="Arial"/>
          <w:sz w:val="24"/>
        </w:rPr>
      </w:pPr>
    </w:p>
    <w:p w14:paraId="04DE8F57" w14:textId="77777777" w:rsidR="00B076A2" w:rsidRDefault="00B076A2" w:rsidP="00B076A2">
      <w:pPr>
        <w:spacing w:after="0" w:line="240" w:lineRule="auto"/>
        <w:jc w:val="both"/>
        <w:rPr>
          <w:rFonts w:ascii="Arial" w:hAnsi="Arial" w:cs="Arial"/>
          <w:sz w:val="24"/>
        </w:rPr>
      </w:pPr>
      <w:r>
        <w:rPr>
          <w:rFonts w:ascii="Arial" w:hAnsi="Arial" w:cs="Arial"/>
          <w:sz w:val="24"/>
        </w:rPr>
        <w:t xml:space="preserve">En este sentido, la Agenda 2030 y los Objetivos de Desarrollo Sostenible </w:t>
      </w:r>
      <w:r w:rsidRPr="00970774">
        <w:rPr>
          <w:rFonts w:ascii="Arial" w:hAnsi="Arial" w:cs="Arial"/>
          <w:sz w:val="24"/>
        </w:rPr>
        <w:t>fueron adoptados por la</w:t>
      </w:r>
      <w:r>
        <w:rPr>
          <w:rFonts w:ascii="Arial" w:hAnsi="Arial" w:cs="Arial"/>
          <w:sz w:val="24"/>
        </w:rPr>
        <w:t xml:space="preserve"> </w:t>
      </w:r>
      <w:r w:rsidRPr="00970774">
        <w:rPr>
          <w:rFonts w:ascii="Arial" w:hAnsi="Arial" w:cs="Arial"/>
          <w:sz w:val="24"/>
        </w:rPr>
        <w:t>Asamblea General de la Organización de las Naciones Unidas en la Cumbre</w:t>
      </w:r>
      <w:r>
        <w:rPr>
          <w:rFonts w:ascii="Arial" w:hAnsi="Arial" w:cs="Arial"/>
          <w:sz w:val="24"/>
        </w:rPr>
        <w:t xml:space="preserve"> Mundial, de la cual forma parte nuestro país y por ende nuestro estado. </w:t>
      </w:r>
      <w:r w:rsidRPr="00970774">
        <w:rPr>
          <w:rFonts w:ascii="Arial" w:hAnsi="Arial" w:cs="Arial"/>
          <w:sz w:val="24"/>
        </w:rPr>
        <w:t>La Agenda 2030 es un plan de acción a largo plazo a favor de las personas, el</w:t>
      </w:r>
      <w:r>
        <w:rPr>
          <w:rFonts w:ascii="Arial" w:hAnsi="Arial" w:cs="Arial"/>
          <w:sz w:val="24"/>
        </w:rPr>
        <w:t xml:space="preserve"> </w:t>
      </w:r>
      <w:r w:rsidRPr="00970774">
        <w:rPr>
          <w:rFonts w:ascii="Arial" w:hAnsi="Arial" w:cs="Arial"/>
          <w:sz w:val="24"/>
        </w:rPr>
        <w:t>planeta y la prosperidad, en sus 17 objetivos y 169 metas de carácter integrado e</w:t>
      </w:r>
      <w:r>
        <w:rPr>
          <w:rFonts w:ascii="Arial" w:hAnsi="Arial" w:cs="Arial"/>
          <w:sz w:val="24"/>
        </w:rPr>
        <w:t xml:space="preserve"> </w:t>
      </w:r>
      <w:r w:rsidRPr="00970774">
        <w:rPr>
          <w:rFonts w:ascii="Arial" w:hAnsi="Arial" w:cs="Arial"/>
          <w:sz w:val="24"/>
        </w:rPr>
        <w:t>indivisible se conjugan las tres dimensiones del desarrollo, además de que plantea</w:t>
      </w:r>
      <w:r>
        <w:rPr>
          <w:rFonts w:ascii="Arial" w:hAnsi="Arial" w:cs="Arial"/>
          <w:sz w:val="24"/>
        </w:rPr>
        <w:t xml:space="preserve"> </w:t>
      </w:r>
      <w:r w:rsidRPr="00970774">
        <w:rPr>
          <w:rFonts w:ascii="Arial" w:hAnsi="Arial" w:cs="Arial"/>
          <w:sz w:val="24"/>
        </w:rPr>
        <w:t>la necesidad de fortalecer el Estado de Derecho, la transparencia, la rendición de</w:t>
      </w:r>
      <w:r>
        <w:rPr>
          <w:rFonts w:ascii="Arial" w:hAnsi="Arial" w:cs="Arial"/>
          <w:sz w:val="24"/>
        </w:rPr>
        <w:t xml:space="preserve"> </w:t>
      </w:r>
      <w:r w:rsidRPr="00970774">
        <w:rPr>
          <w:rFonts w:ascii="Arial" w:hAnsi="Arial" w:cs="Arial"/>
          <w:sz w:val="24"/>
        </w:rPr>
        <w:t>cuentas y la participación social para promover el de</w:t>
      </w:r>
      <w:r>
        <w:rPr>
          <w:rFonts w:ascii="Arial" w:hAnsi="Arial" w:cs="Arial"/>
          <w:sz w:val="24"/>
        </w:rPr>
        <w:t xml:space="preserve">sarrollo de todas las personas, los Objetivos son los siguientes:  </w:t>
      </w:r>
    </w:p>
    <w:p w14:paraId="692DA9B6" w14:textId="77777777" w:rsidR="00B076A2" w:rsidRDefault="00B076A2" w:rsidP="00B076A2">
      <w:pPr>
        <w:spacing w:after="0" w:line="240" w:lineRule="auto"/>
        <w:jc w:val="both"/>
        <w:rPr>
          <w:rFonts w:ascii="Arial" w:hAnsi="Arial" w:cs="Arial"/>
          <w:sz w:val="24"/>
        </w:rPr>
      </w:pPr>
    </w:p>
    <w:p w14:paraId="17D4924C" w14:textId="77777777" w:rsidR="00B076A2" w:rsidRDefault="00B076A2" w:rsidP="00B076A2">
      <w:pPr>
        <w:spacing w:after="0" w:line="240" w:lineRule="auto"/>
        <w:jc w:val="center"/>
        <w:rPr>
          <w:rFonts w:ascii="Arial" w:hAnsi="Arial" w:cs="Arial"/>
          <w:sz w:val="24"/>
        </w:rPr>
      </w:pPr>
      <w:r w:rsidRPr="00746392">
        <w:rPr>
          <w:rFonts w:ascii="Arial" w:hAnsi="Arial" w:cs="Arial"/>
          <w:noProof/>
          <w:sz w:val="24"/>
        </w:rPr>
        <w:drawing>
          <wp:inline distT="0" distB="0" distL="0" distR="0" wp14:anchorId="1DEF4BCD" wp14:editId="003BC8A0">
            <wp:extent cx="5399405" cy="2971800"/>
            <wp:effectExtent l="0" t="0" r="0" b="0"/>
            <wp:docPr id="15" name="Imagen 15" descr="Resultado de imagen para Agenda 2030 y los 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Agenda 2030 y los ODS"/>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5065" b="13706"/>
                    <a:stretch/>
                  </pic:blipFill>
                  <pic:spPr bwMode="auto">
                    <a:xfrm>
                      <a:off x="0" y="0"/>
                      <a:ext cx="5399405" cy="2971800"/>
                    </a:xfrm>
                    <a:prstGeom prst="rect">
                      <a:avLst/>
                    </a:prstGeom>
                    <a:noFill/>
                    <a:ln>
                      <a:noFill/>
                    </a:ln>
                    <a:extLst>
                      <a:ext uri="{53640926-AAD7-44D8-BBD7-CCE9431645EC}">
                        <a14:shadowObscured xmlns:a14="http://schemas.microsoft.com/office/drawing/2010/main"/>
                      </a:ext>
                    </a:extLst>
                  </pic:spPr>
                </pic:pic>
              </a:graphicData>
            </a:graphic>
          </wp:inline>
        </w:drawing>
      </w:r>
    </w:p>
    <w:p w14:paraId="50FD25A8" w14:textId="77777777" w:rsidR="00B076A2" w:rsidRDefault="00B076A2" w:rsidP="00B076A2">
      <w:pPr>
        <w:spacing w:after="0" w:line="240" w:lineRule="auto"/>
        <w:jc w:val="both"/>
        <w:rPr>
          <w:rFonts w:ascii="Arial" w:hAnsi="Arial" w:cs="Arial"/>
          <w:sz w:val="24"/>
        </w:rPr>
      </w:pPr>
    </w:p>
    <w:p w14:paraId="1A9A72C7" w14:textId="77777777" w:rsidR="00B076A2" w:rsidRDefault="00B076A2" w:rsidP="00B076A2">
      <w:pPr>
        <w:spacing w:after="0" w:line="240" w:lineRule="auto"/>
        <w:jc w:val="both"/>
        <w:rPr>
          <w:rFonts w:ascii="Arial" w:hAnsi="Arial" w:cs="Arial"/>
          <w:sz w:val="24"/>
        </w:rPr>
      </w:pPr>
      <w:r>
        <w:rPr>
          <w:rFonts w:ascii="Arial" w:hAnsi="Arial" w:cs="Arial"/>
          <w:sz w:val="24"/>
        </w:rPr>
        <w:lastRenderedPageBreak/>
        <w:t>Colima fue pionero en la instalación de la Comisión Estatal para el Seguimiento e Implementación para el Cumplimiento de la Agenda 2030 y ha sido modelo en el dialogo, para la elaboración de las propuestas sobre prioridades temáticas de la región que incluye seis estados, la Comisión se encuentra elaborando un plan de trabajo 2020-2030 y en la alineación con la Estrategia Nacional de Implementación propuesta por la Presidencia de la República. La apropiación de dicha Agenda involucra a todos los actores como son la Academia, el Gobierno, la Sociedad y el Sector Privado, desde sus respectivos ámbitos de competencia.</w:t>
      </w:r>
    </w:p>
    <w:p w14:paraId="3232007B" w14:textId="77777777" w:rsidR="00B076A2" w:rsidRDefault="00B076A2" w:rsidP="00B076A2">
      <w:pPr>
        <w:spacing w:after="0" w:line="240" w:lineRule="auto"/>
        <w:jc w:val="both"/>
        <w:rPr>
          <w:rFonts w:ascii="Arial" w:hAnsi="Arial" w:cs="Arial"/>
          <w:sz w:val="24"/>
        </w:rPr>
      </w:pPr>
    </w:p>
    <w:p w14:paraId="43492D66" w14:textId="77777777" w:rsidR="00B076A2" w:rsidRDefault="00B076A2" w:rsidP="00B076A2">
      <w:pPr>
        <w:spacing w:after="0" w:line="240" w:lineRule="auto"/>
        <w:jc w:val="both"/>
        <w:rPr>
          <w:rFonts w:ascii="Arial" w:hAnsi="Arial" w:cs="Arial"/>
          <w:sz w:val="24"/>
        </w:rPr>
      </w:pPr>
      <w:r>
        <w:rPr>
          <w:rFonts w:ascii="Arial" w:hAnsi="Arial" w:cs="Arial"/>
          <w:sz w:val="24"/>
        </w:rPr>
        <w:t xml:space="preserve">Derivado de </w:t>
      </w:r>
      <w:r w:rsidRPr="001879CC">
        <w:rPr>
          <w:rFonts w:ascii="Arial" w:hAnsi="Arial" w:cs="Arial"/>
          <w:sz w:val="24"/>
        </w:rPr>
        <w:t xml:space="preserve">lo anterior, para la integración del presente Proyecto, se definieron elementos programáticos para alinear las asignaciones presupuestarias </w:t>
      </w:r>
      <w:r>
        <w:rPr>
          <w:rFonts w:ascii="Arial" w:hAnsi="Arial" w:cs="Arial"/>
          <w:sz w:val="24"/>
        </w:rPr>
        <w:t xml:space="preserve">de las distintas Dependencias, </w:t>
      </w:r>
      <w:r w:rsidRPr="001879CC">
        <w:rPr>
          <w:rFonts w:ascii="Arial" w:hAnsi="Arial" w:cs="Arial"/>
          <w:sz w:val="24"/>
        </w:rPr>
        <w:t>Entidades</w:t>
      </w:r>
      <w:r>
        <w:rPr>
          <w:rFonts w:ascii="Arial" w:hAnsi="Arial" w:cs="Arial"/>
          <w:sz w:val="24"/>
        </w:rPr>
        <w:t xml:space="preserve"> y Organismos</w:t>
      </w:r>
      <w:r w:rsidRPr="001879CC">
        <w:rPr>
          <w:rFonts w:ascii="Arial" w:hAnsi="Arial" w:cs="Arial"/>
          <w:sz w:val="24"/>
        </w:rPr>
        <w:t xml:space="preserve"> a la Agenda 2030 y los Objetivos de Desarrollo Sostenible</w:t>
      </w:r>
      <w:r>
        <w:rPr>
          <w:rFonts w:ascii="Arial" w:hAnsi="Arial" w:cs="Arial"/>
          <w:sz w:val="24"/>
        </w:rPr>
        <w:t xml:space="preserve"> y sus metas, lo que ha permitido avanzar a pasos firmes en la implementación de la misma.</w:t>
      </w:r>
    </w:p>
    <w:p w14:paraId="695F7D2A" w14:textId="77777777" w:rsidR="00B076A2" w:rsidRDefault="00B076A2" w:rsidP="00B076A2">
      <w:pPr>
        <w:spacing w:after="0" w:line="240" w:lineRule="auto"/>
        <w:jc w:val="both"/>
        <w:rPr>
          <w:rFonts w:ascii="Arial" w:hAnsi="Arial" w:cs="Arial"/>
          <w:sz w:val="24"/>
        </w:rPr>
      </w:pPr>
    </w:p>
    <w:p w14:paraId="0F51AFAB" w14:textId="77777777" w:rsidR="00B076A2" w:rsidRDefault="00B076A2" w:rsidP="00B076A2">
      <w:pPr>
        <w:spacing w:after="0" w:line="240" w:lineRule="auto"/>
        <w:jc w:val="both"/>
        <w:rPr>
          <w:rFonts w:ascii="Arial" w:hAnsi="Arial" w:cs="Arial"/>
          <w:sz w:val="24"/>
        </w:rPr>
      </w:pPr>
      <w:r>
        <w:rPr>
          <w:rFonts w:ascii="Arial" w:hAnsi="Arial" w:cs="Arial"/>
          <w:sz w:val="24"/>
        </w:rPr>
        <w:t xml:space="preserve">El Plan Estatal de Desarrollo 2016-2021 que abarca seis áreas clave para el desarrollo del Estado, se sujeta en su totalidad a la Agenda 2030 y los Objetivos de Desarrollo Sostenible, dentro de sus ejes se atienden temas de especial prioridad como: crecimiento económico y competitividad, pobreza en todas sus dimensiones y alimentación, seguridad pública, y transversalmente: transparencia, y buen gobierno, igualdad de género, educación, medio ambiente y movilidad, temas de suma relevancia que se atenderán mediante el cumplimiento de 34 metas estratégicas que a su vez se fragmentan para su cumplimiento en 508 líneas de acción. </w:t>
      </w:r>
    </w:p>
    <w:p w14:paraId="4BCCECD1" w14:textId="77777777" w:rsidR="00B076A2" w:rsidRDefault="00B076A2" w:rsidP="00B076A2">
      <w:pPr>
        <w:spacing w:after="0" w:line="240" w:lineRule="auto"/>
        <w:jc w:val="both"/>
        <w:rPr>
          <w:rFonts w:ascii="Arial" w:hAnsi="Arial" w:cs="Arial"/>
          <w:sz w:val="24"/>
        </w:rPr>
      </w:pPr>
    </w:p>
    <w:p w14:paraId="0FA5E286" w14:textId="77777777" w:rsidR="00B076A2" w:rsidRDefault="00B076A2" w:rsidP="00B076A2">
      <w:pPr>
        <w:spacing w:after="0" w:line="240" w:lineRule="auto"/>
        <w:jc w:val="both"/>
        <w:rPr>
          <w:rFonts w:ascii="Arial" w:hAnsi="Arial" w:cs="Arial"/>
          <w:sz w:val="24"/>
        </w:rPr>
      </w:pPr>
      <w:r>
        <w:rPr>
          <w:rFonts w:ascii="Arial" w:hAnsi="Arial" w:cs="Arial"/>
          <w:sz w:val="24"/>
        </w:rPr>
        <w:t>Además, a nivel estatal, por primera vez, se creó un documento de planeación estratégica con amplio alcance temporal, que preparará un escenario de crecimiento económico necesario en las próximas décadas, para con ello incrementar el bienestar social y mejorar la calidad de vida de los colimenses, es así, que el Plan de Gran Visión Colima 2040, se compone de cinco sistemas: el Económico, de Infraestructura, de Calidad de Vida, la Gobernanza y el Medio Ambiente Sustentable. Ello partiendo de la lógica del pensamiento sistémico donde el Estado de Colima es el sistema principal.</w:t>
      </w:r>
    </w:p>
    <w:p w14:paraId="69EFE4ED" w14:textId="77777777" w:rsidR="00B076A2" w:rsidRDefault="00B076A2" w:rsidP="00B076A2">
      <w:pPr>
        <w:spacing w:after="0" w:line="240" w:lineRule="auto"/>
        <w:jc w:val="both"/>
        <w:rPr>
          <w:rFonts w:ascii="Arial" w:hAnsi="Arial" w:cs="Arial"/>
          <w:sz w:val="24"/>
        </w:rPr>
      </w:pPr>
    </w:p>
    <w:p w14:paraId="332E456B" w14:textId="77777777" w:rsidR="00B076A2" w:rsidRDefault="00B076A2" w:rsidP="00B076A2">
      <w:pPr>
        <w:spacing w:after="0" w:line="240" w:lineRule="auto"/>
        <w:jc w:val="both"/>
        <w:rPr>
          <w:rFonts w:ascii="Arial" w:hAnsi="Arial" w:cs="Arial"/>
          <w:sz w:val="24"/>
        </w:rPr>
      </w:pPr>
      <w:r>
        <w:rPr>
          <w:rFonts w:ascii="Arial" w:hAnsi="Arial" w:cs="Arial"/>
          <w:sz w:val="24"/>
        </w:rPr>
        <w:t>El Plan de Gran Visión 2040 es un documento flexible, abierto a las actualizaciones necesarias. Se espera que sirva de instrumento rector de planeación que trascienda en el tiempo, se convierta en referente para las futuras administraciones estatales, y sea liderado por un órgano multidisciplinario, experimentado y honorable de personas de la sociedad civil.</w:t>
      </w:r>
    </w:p>
    <w:p w14:paraId="1129F43D" w14:textId="77777777" w:rsidR="00B076A2" w:rsidRDefault="00B076A2" w:rsidP="00B076A2">
      <w:pPr>
        <w:spacing w:after="0" w:line="240" w:lineRule="auto"/>
        <w:jc w:val="both"/>
        <w:rPr>
          <w:rFonts w:ascii="Arial" w:hAnsi="Arial" w:cs="Arial"/>
          <w:sz w:val="24"/>
        </w:rPr>
      </w:pPr>
    </w:p>
    <w:p w14:paraId="118B7DE3" w14:textId="77777777" w:rsidR="00B076A2" w:rsidRDefault="00B076A2" w:rsidP="00B076A2">
      <w:pPr>
        <w:spacing w:after="0" w:line="240" w:lineRule="auto"/>
        <w:jc w:val="both"/>
        <w:rPr>
          <w:rFonts w:ascii="Arial" w:hAnsi="Arial" w:cs="Arial"/>
          <w:sz w:val="24"/>
        </w:rPr>
      </w:pPr>
      <w:r>
        <w:rPr>
          <w:rFonts w:ascii="Arial" w:hAnsi="Arial" w:cs="Arial"/>
          <w:sz w:val="24"/>
        </w:rPr>
        <w:lastRenderedPageBreak/>
        <w:t>Dicho documento de planeación conformado por cinco sistemas separados en 20 objetivos y  244 acciones, se atan con los que contiene la Agenda 2030, y el PED, conformando un todo que dictará el rumbo del Estado de Colima en los próximos 19 años, sin embargo, la realidad que se vive hoy día, producto del COVID-19, dicta la necesidad de realizar un análisis más profundo para considerar la posibilidad de la adaptación de dichos Planes.</w:t>
      </w:r>
    </w:p>
    <w:p w14:paraId="2F692A02" w14:textId="77777777" w:rsidR="00B076A2" w:rsidRDefault="00B076A2" w:rsidP="00B076A2">
      <w:pPr>
        <w:spacing w:after="0" w:line="240" w:lineRule="auto"/>
        <w:jc w:val="both"/>
        <w:rPr>
          <w:rFonts w:ascii="Arial" w:hAnsi="Arial" w:cs="Arial"/>
          <w:sz w:val="24"/>
        </w:rPr>
      </w:pPr>
    </w:p>
    <w:p w14:paraId="707D5F92" w14:textId="77777777" w:rsidR="00B076A2" w:rsidRDefault="00B076A2" w:rsidP="00B076A2">
      <w:pPr>
        <w:spacing w:after="0" w:line="240" w:lineRule="auto"/>
        <w:jc w:val="both"/>
        <w:rPr>
          <w:rFonts w:ascii="Arial" w:hAnsi="Arial" w:cs="Arial"/>
          <w:sz w:val="24"/>
        </w:rPr>
      </w:pPr>
      <w:r w:rsidRPr="005245AB">
        <w:rPr>
          <w:rFonts w:ascii="Arial" w:hAnsi="Arial" w:cs="Arial"/>
          <w:sz w:val="24"/>
        </w:rPr>
        <w:t>En este ten</w:t>
      </w:r>
      <w:r>
        <w:rPr>
          <w:rFonts w:ascii="Arial" w:hAnsi="Arial" w:cs="Arial"/>
          <w:sz w:val="24"/>
        </w:rPr>
        <w:t>or, el PED</w:t>
      </w:r>
      <w:r w:rsidRPr="005245AB">
        <w:rPr>
          <w:rFonts w:ascii="Arial" w:hAnsi="Arial" w:cs="Arial"/>
          <w:sz w:val="24"/>
        </w:rPr>
        <w:t xml:space="preserve"> para su ejecución se instrumenta</w:t>
      </w:r>
      <w:r>
        <w:rPr>
          <w:rFonts w:ascii="Arial" w:hAnsi="Arial" w:cs="Arial"/>
          <w:sz w:val="24"/>
        </w:rPr>
        <w:t xml:space="preserve"> </w:t>
      </w:r>
      <w:r w:rsidRPr="005245AB">
        <w:rPr>
          <w:rFonts w:ascii="Arial" w:hAnsi="Arial" w:cs="Arial"/>
          <w:sz w:val="24"/>
        </w:rPr>
        <w:t>mediante los Programas Sector</w:t>
      </w:r>
      <w:r>
        <w:rPr>
          <w:rFonts w:ascii="Arial" w:hAnsi="Arial" w:cs="Arial"/>
          <w:sz w:val="24"/>
        </w:rPr>
        <w:t xml:space="preserve">iales, Especiales y Regionales, </w:t>
      </w:r>
      <w:r w:rsidRPr="005245AB">
        <w:rPr>
          <w:rFonts w:ascii="Arial" w:hAnsi="Arial" w:cs="Arial"/>
          <w:sz w:val="24"/>
        </w:rPr>
        <w:t>según el artículo 51 de la Ley de Planeación Democrática</w:t>
      </w:r>
      <w:r>
        <w:rPr>
          <w:rFonts w:ascii="Arial" w:hAnsi="Arial" w:cs="Arial"/>
          <w:sz w:val="24"/>
        </w:rPr>
        <w:t xml:space="preserve"> </w:t>
      </w:r>
      <w:r w:rsidRPr="005245AB">
        <w:rPr>
          <w:rFonts w:ascii="Arial" w:hAnsi="Arial" w:cs="Arial"/>
          <w:sz w:val="24"/>
        </w:rPr>
        <w:t>para el Desarrollo del Estado de Colima, estos programas, mantienen una</w:t>
      </w:r>
      <w:r>
        <w:rPr>
          <w:rFonts w:ascii="Arial" w:hAnsi="Arial" w:cs="Arial"/>
          <w:sz w:val="24"/>
        </w:rPr>
        <w:t xml:space="preserve"> </w:t>
      </w:r>
      <w:r w:rsidRPr="005245AB">
        <w:rPr>
          <w:rFonts w:ascii="Arial" w:hAnsi="Arial" w:cs="Arial"/>
          <w:sz w:val="24"/>
        </w:rPr>
        <w:t>alineación con los objetivos del PED 2016-2021; por su parte, los Programas</w:t>
      </w:r>
      <w:r>
        <w:rPr>
          <w:rFonts w:ascii="Arial" w:hAnsi="Arial" w:cs="Arial"/>
          <w:sz w:val="24"/>
        </w:rPr>
        <w:t xml:space="preserve"> </w:t>
      </w:r>
      <w:r w:rsidRPr="005245AB">
        <w:rPr>
          <w:rFonts w:ascii="Arial" w:hAnsi="Arial" w:cs="Arial"/>
          <w:sz w:val="24"/>
        </w:rPr>
        <w:t>Regionales se alinean a los tres polos de desarrollo económico, iguales a los que</w:t>
      </w:r>
      <w:r>
        <w:rPr>
          <w:rFonts w:ascii="Arial" w:hAnsi="Arial" w:cs="Arial"/>
          <w:sz w:val="24"/>
        </w:rPr>
        <w:t xml:space="preserve"> </w:t>
      </w:r>
      <w:r w:rsidRPr="005245AB">
        <w:rPr>
          <w:rFonts w:ascii="Arial" w:hAnsi="Arial" w:cs="Arial"/>
          <w:sz w:val="24"/>
        </w:rPr>
        <w:t>se enfoca el Plan de Gran Visión Colima 2040.</w:t>
      </w:r>
    </w:p>
    <w:p w14:paraId="14C863DF" w14:textId="77777777" w:rsidR="00B076A2" w:rsidRDefault="00B076A2" w:rsidP="00B076A2">
      <w:pPr>
        <w:spacing w:after="0" w:line="240" w:lineRule="auto"/>
        <w:jc w:val="both"/>
        <w:rPr>
          <w:rFonts w:ascii="Arial" w:hAnsi="Arial" w:cs="Arial"/>
          <w:sz w:val="24"/>
        </w:rPr>
      </w:pPr>
    </w:p>
    <w:p w14:paraId="66AC10FD" w14:textId="77777777" w:rsidR="00B076A2" w:rsidRDefault="00B076A2" w:rsidP="00B076A2">
      <w:pPr>
        <w:spacing w:after="0" w:line="240" w:lineRule="auto"/>
        <w:jc w:val="both"/>
        <w:rPr>
          <w:rFonts w:ascii="Arial" w:hAnsi="Arial" w:cs="Arial"/>
          <w:sz w:val="24"/>
        </w:rPr>
      </w:pPr>
      <w:r>
        <w:rPr>
          <w:rFonts w:ascii="Arial" w:hAnsi="Arial" w:cs="Arial"/>
          <w:sz w:val="24"/>
        </w:rPr>
        <w:t>Es así que los 13 Programas Sectoriales que se formularon, están orientados a atender a un sector relevante de la actividad económica, social, política o cultural, y para su ejecución se encuentran bajo la responsabilidad de la Dependencia coordinadora del sector correspondiente, estos se dividen en subprogramas que abarcan en su totalidad temas de gran relevancia, como el desarrollo social y económico, salud, educación, seguridad pública, entre otros, mismos que se alinean a la Agenda 2030, en sus objetivos y metas.</w:t>
      </w:r>
    </w:p>
    <w:p w14:paraId="7214B5D7" w14:textId="77777777" w:rsidR="00B076A2" w:rsidRDefault="00B076A2" w:rsidP="00B076A2">
      <w:pPr>
        <w:spacing w:after="0" w:line="240" w:lineRule="auto"/>
        <w:jc w:val="both"/>
        <w:rPr>
          <w:rFonts w:ascii="Arial" w:hAnsi="Arial" w:cs="Arial"/>
          <w:sz w:val="24"/>
        </w:rPr>
      </w:pPr>
    </w:p>
    <w:p w14:paraId="1F90E395" w14:textId="77777777" w:rsidR="00B076A2" w:rsidRDefault="00B076A2" w:rsidP="00B076A2">
      <w:pPr>
        <w:spacing w:after="0" w:line="240" w:lineRule="auto"/>
        <w:jc w:val="both"/>
        <w:rPr>
          <w:rFonts w:ascii="Arial" w:hAnsi="Arial" w:cs="Arial"/>
          <w:sz w:val="24"/>
        </w:rPr>
      </w:pPr>
      <w:r>
        <w:rPr>
          <w:rFonts w:ascii="Arial" w:hAnsi="Arial" w:cs="Arial"/>
          <w:sz w:val="24"/>
        </w:rPr>
        <w:t>Los ocho Programas Especiales se ocupan de atender los aspectos prioritarios del PED, y por su importancia estratégica requieren de un tratamiento diferenciado y tienen incidencia en el desarrollo integral del estado. Estos programas tocan temas transversales como son: el deporte, la equidad de género, juventud, asistencia social, desarrollo sustentable, entre otros, complementado de esta manera los Programas Sectoriales.</w:t>
      </w:r>
    </w:p>
    <w:p w14:paraId="147782F4" w14:textId="77777777" w:rsidR="00B076A2" w:rsidRDefault="00B076A2" w:rsidP="00B076A2">
      <w:pPr>
        <w:spacing w:after="0" w:line="240" w:lineRule="auto"/>
        <w:jc w:val="both"/>
        <w:rPr>
          <w:rFonts w:ascii="Arial" w:hAnsi="Arial" w:cs="Arial"/>
          <w:sz w:val="24"/>
        </w:rPr>
      </w:pPr>
    </w:p>
    <w:p w14:paraId="47E78A7B" w14:textId="77777777" w:rsidR="00B076A2" w:rsidRDefault="00B076A2" w:rsidP="00B076A2">
      <w:pPr>
        <w:spacing w:after="0" w:line="240" w:lineRule="auto"/>
        <w:jc w:val="both"/>
        <w:rPr>
          <w:rFonts w:ascii="Arial" w:hAnsi="Arial" w:cs="Arial"/>
          <w:sz w:val="24"/>
        </w:rPr>
      </w:pPr>
      <w:r>
        <w:rPr>
          <w:rFonts w:ascii="Arial" w:hAnsi="Arial" w:cs="Arial"/>
          <w:sz w:val="24"/>
        </w:rPr>
        <w:t>Para la ejecución de los grandes planes enunciados en supralíneas, se encuentran los Programas Institucionales, estos corresponden a la actividad de cada una de las Dependencias y Entidades de la Administración Pública Estatal, y son relativos a los objetivos, prioridades, proyectos y acciones que en el ejercicio de sus funciones realizan y a las cuales, el presupuesto se encuentra vinculado directamente.</w:t>
      </w:r>
    </w:p>
    <w:p w14:paraId="18B8613C" w14:textId="77777777" w:rsidR="00B076A2" w:rsidRDefault="00B076A2" w:rsidP="00B076A2">
      <w:pPr>
        <w:spacing w:after="0" w:line="240" w:lineRule="auto"/>
        <w:jc w:val="both"/>
        <w:rPr>
          <w:rFonts w:ascii="Arial" w:hAnsi="Arial" w:cs="Arial"/>
          <w:sz w:val="24"/>
        </w:rPr>
      </w:pPr>
    </w:p>
    <w:p w14:paraId="7476F863" w14:textId="77777777" w:rsidR="00B076A2" w:rsidRDefault="00B076A2" w:rsidP="00B076A2">
      <w:pPr>
        <w:spacing w:after="0" w:line="240" w:lineRule="auto"/>
        <w:jc w:val="both"/>
        <w:rPr>
          <w:rFonts w:ascii="Arial" w:hAnsi="Arial" w:cs="Arial"/>
          <w:sz w:val="24"/>
        </w:rPr>
      </w:pPr>
      <w:r>
        <w:rPr>
          <w:rFonts w:ascii="Arial" w:hAnsi="Arial" w:cs="Arial"/>
          <w:sz w:val="24"/>
        </w:rPr>
        <w:t xml:space="preserve">En consecuencia y fundado en las premisas de la Ley de Planeación Democrática para el Desarrollo del Estado de Colima, en los programas derivados de esta, así como en los documentos que marcan el rumbo del Estado de Colima en el largo plazo, como lo es la Agenda 2030 y los Objetivos de </w:t>
      </w:r>
      <w:r>
        <w:rPr>
          <w:rFonts w:ascii="Arial" w:hAnsi="Arial" w:cs="Arial"/>
          <w:sz w:val="24"/>
        </w:rPr>
        <w:lastRenderedPageBreak/>
        <w:t>Desarrollo Sostenible, así como el Plan de Gran de Visión Colima 2040, y en la Ley de Disciplina Financiera de las Entidades Federativas y los Municipios, el proyecto bajo análisis retoma los siguientes principios y postulados:</w:t>
      </w:r>
    </w:p>
    <w:p w14:paraId="1323D3A5" w14:textId="77777777" w:rsidR="00B076A2" w:rsidRDefault="00B076A2" w:rsidP="00B076A2">
      <w:pPr>
        <w:spacing w:after="0" w:line="240" w:lineRule="auto"/>
        <w:jc w:val="both"/>
        <w:rPr>
          <w:rFonts w:ascii="Arial" w:hAnsi="Arial" w:cs="Arial"/>
          <w:sz w:val="24"/>
        </w:rPr>
      </w:pPr>
    </w:p>
    <w:p w14:paraId="607B2726" w14:textId="77777777" w:rsidR="00B076A2" w:rsidRDefault="00B076A2" w:rsidP="00B076A2">
      <w:pPr>
        <w:pStyle w:val="Prrafodelista"/>
        <w:numPr>
          <w:ilvl w:val="0"/>
          <w:numId w:val="16"/>
        </w:numPr>
        <w:spacing w:after="0" w:line="240" w:lineRule="auto"/>
        <w:jc w:val="both"/>
        <w:rPr>
          <w:rFonts w:ascii="Arial" w:hAnsi="Arial" w:cs="Arial"/>
          <w:sz w:val="24"/>
        </w:rPr>
      </w:pPr>
      <w:r>
        <w:rPr>
          <w:rFonts w:ascii="Arial" w:hAnsi="Arial" w:cs="Arial"/>
          <w:sz w:val="24"/>
        </w:rPr>
        <w:t xml:space="preserve">Priorizar en todo momento la salud y el bienestar de los colimenses, implementado las medidas de salubridad, sociales y económicas que sean necesarias en tanto se tenga un control sobre la pandemia provocada por el COVID-19. </w:t>
      </w:r>
    </w:p>
    <w:p w14:paraId="6F99BE35" w14:textId="77777777" w:rsidR="00B076A2" w:rsidRPr="00FA0826" w:rsidRDefault="00B076A2" w:rsidP="00B076A2">
      <w:pPr>
        <w:pStyle w:val="Prrafodelista"/>
        <w:numPr>
          <w:ilvl w:val="0"/>
          <w:numId w:val="16"/>
        </w:numPr>
        <w:spacing w:after="0" w:line="240" w:lineRule="auto"/>
        <w:jc w:val="both"/>
        <w:rPr>
          <w:rFonts w:ascii="Arial" w:hAnsi="Arial" w:cs="Arial"/>
          <w:sz w:val="24"/>
        </w:rPr>
      </w:pPr>
      <w:r w:rsidRPr="00FA0826">
        <w:rPr>
          <w:rFonts w:ascii="Arial" w:hAnsi="Arial" w:cs="Arial"/>
          <w:sz w:val="24"/>
        </w:rPr>
        <w:t>La igualdad de derechos y oportunidades sustentables en la atención de las necesidades prioritarias de la población, la mejora de la calidad de vida de las personas y el abatimiento de la pobreza para lograr una sociedad más igualitaria y justa;</w:t>
      </w:r>
    </w:p>
    <w:p w14:paraId="7822FC8C" w14:textId="77777777" w:rsidR="00B076A2" w:rsidRDefault="00B076A2" w:rsidP="00B076A2">
      <w:pPr>
        <w:pStyle w:val="Prrafodelista"/>
        <w:numPr>
          <w:ilvl w:val="0"/>
          <w:numId w:val="16"/>
        </w:numPr>
        <w:spacing w:after="0" w:line="240" w:lineRule="auto"/>
        <w:jc w:val="both"/>
        <w:rPr>
          <w:rFonts w:ascii="Arial" w:hAnsi="Arial" w:cs="Arial"/>
          <w:sz w:val="24"/>
        </w:rPr>
      </w:pPr>
      <w:r w:rsidRPr="00FA0826">
        <w:rPr>
          <w:rFonts w:ascii="Arial" w:hAnsi="Arial" w:cs="Arial"/>
          <w:sz w:val="24"/>
        </w:rPr>
        <w:t>La sustentabilidad en el desarrollo, la preservación del equilibrio ecológico y la protección al ambiente;</w:t>
      </w:r>
    </w:p>
    <w:p w14:paraId="713F8C74" w14:textId="77777777" w:rsidR="00B076A2" w:rsidRDefault="00B076A2" w:rsidP="00B076A2">
      <w:pPr>
        <w:pStyle w:val="Prrafodelista"/>
        <w:numPr>
          <w:ilvl w:val="0"/>
          <w:numId w:val="16"/>
        </w:numPr>
        <w:spacing w:after="0" w:line="240" w:lineRule="auto"/>
        <w:jc w:val="both"/>
        <w:rPr>
          <w:rFonts w:ascii="Arial" w:hAnsi="Arial" w:cs="Arial"/>
          <w:sz w:val="24"/>
        </w:rPr>
      </w:pPr>
      <w:r w:rsidRPr="00FA0826">
        <w:rPr>
          <w:rFonts w:ascii="Arial" w:hAnsi="Arial" w:cs="Arial"/>
          <w:sz w:val="24"/>
        </w:rPr>
        <w:t>El respeto irrestricto a los derechos humanos;</w:t>
      </w:r>
    </w:p>
    <w:p w14:paraId="2DFC3940" w14:textId="77777777" w:rsidR="00B076A2" w:rsidRDefault="00B076A2" w:rsidP="00B076A2">
      <w:pPr>
        <w:pStyle w:val="Prrafodelista"/>
        <w:numPr>
          <w:ilvl w:val="0"/>
          <w:numId w:val="16"/>
        </w:numPr>
        <w:spacing w:after="0" w:line="240" w:lineRule="auto"/>
        <w:jc w:val="both"/>
        <w:rPr>
          <w:rFonts w:ascii="Arial" w:hAnsi="Arial" w:cs="Arial"/>
          <w:sz w:val="24"/>
        </w:rPr>
      </w:pPr>
      <w:r w:rsidRPr="00FA0826">
        <w:rPr>
          <w:rFonts w:ascii="Arial" w:hAnsi="Arial" w:cs="Arial"/>
          <w:sz w:val="24"/>
        </w:rPr>
        <w:t>La perspectiva de género para garantizar la igualdad de oportunidades;</w:t>
      </w:r>
    </w:p>
    <w:p w14:paraId="402D1083" w14:textId="77777777" w:rsidR="00B076A2" w:rsidRDefault="00B076A2" w:rsidP="00B076A2">
      <w:pPr>
        <w:pStyle w:val="Prrafodelista"/>
        <w:numPr>
          <w:ilvl w:val="0"/>
          <w:numId w:val="16"/>
        </w:numPr>
        <w:spacing w:after="0" w:line="240" w:lineRule="auto"/>
        <w:jc w:val="both"/>
        <w:rPr>
          <w:rFonts w:ascii="Arial" w:hAnsi="Arial" w:cs="Arial"/>
          <w:sz w:val="24"/>
        </w:rPr>
      </w:pPr>
      <w:r w:rsidRPr="00FA0826">
        <w:rPr>
          <w:rFonts w:ascii="Arial" w:hAnsi="Arial" w:cs="Arial"/>
          <w:sz w:val="24"/>
        </w:rPr>
        <w:t xml:space="preserve">La promoción y fomento del crecimiento, y el desarrollo económico, así como del empleo; </w:t>
      </w:r>
    </w:p>
    <w:p w14:paraId="1BDF3747" w14:textId="77777777" w:rsidR="00B076A2" w:rsidRPr="00DE5181" w:rsidRDefault="00B076A2" w:rsidP="00B076A2">
      <w:pPr>
        <w:pStyle w:val="Prrafodelista"/>
        <w:numPr>
          <w:ilvl w:val="0"/>
          <w:numId w:val="16"/>
        </w:numPr>
        <w:spacing w:after="0" w:line="240" w:lineRule="auto"/>
        <w:jc w:val="both"/>
        <w:rPr>
          <w:rFonts w:ascii="Arial" w:hAnsi="Arial" w:cs="Arial"/>
          <w:sz w:val="24"/>
        </w:rPr>
      </w:pPr>
      <w:r w:rsidRPr="00FA0826">
        <w:rPr>
          <w:rFonts w:ascii="Arial" w:hAnsi="Arial" w:cs="Arial"/>
          <w:sz w:val="24"/>
        </w:rPr>
        <w:t>El ejercicio honesto, eficaz, eficiente, racional, austero y transparente apegado a la legalidad, y con rendición de cuentas, de los recursos públicos a cargo de los servidores públicos</w:t>
      </w:r>
      <w:r>
        <w:rPr>
          <w:rFonts w:ascii="Arial" w:hAnsi="Arial" w:cs="Arial"/>
          <w:sz w:val="24"/>
        </w:rPr>
        <w:t xml:space="preserve"> y la c</w:t>
      </w:r>
      <w:r w:rsidRPr="00FA0826">
        <w:rPr>
          <w:rFonts w:ascii="Arial" w:hAnsi="Arial" w:cs="Arial"/>
          <w:sz w:val="24"/>
        </w:rPr>
        <w:t xml:space="preserve">ero </w:t>
      </w:r>
      <w:r>
        <w:rPr>
          <w:rFonts w:ascii="Arial" w:hAnsi="Arial" w:cs="Arial"/>
          <w:sz w:val="24"/>
        </w:rPr>
        <w:t>tolerancia en materia de corrupción</w:t>
      </w:r>
      <w:r w:rsidRPr="00DE5181">
        <w:rPr>
          <w:rFonts w:ascii="Arial" w:hAnsi="Arial" w:cs="Arial"/>
          <w:sz w:val="24"/>
        </w:rPr>
        <w:t>;</w:t>
      </w:r>
    </w:p>
    <w:p w14:paraId="5D584F6C" w14:textId="77777777" w:rsidR="00B076A2" w:rsidRDefault="00B076A2" w:rsidP="00B076A2">
      <w:pPr>
        <w:pStyle w:val="Prrafodelista"/>
        <w:numPr>
          <w:ilvl w:val="0"/>
          <w:numId w:val="16"/>
        </w:numPr>
        <w:spacing w:after="0" w:line="240" w:lineRule="auto"/>
        <w:jc w:val="both"/>
        <w:rPr>
          <w:rFonts w:ascii="Arial" w:hAnsi="Arial" w:cs="Arial"/>
          <w:sz w:val="24"/>
        </w:rPr>
      </w:pPr>
      <w:r w:rsidRPr="00FA0826">
        <w:rPr>
          <w:rFonts w:ascii="Arial" w:hAnsi="Arial" w:cs="Arial"/>
          <w:sz w:val="24"/>
        </w:rPr>
        <w:t>El aprovechamiento de la ubicación e</w:t>
      </w:r>
      <w:r>
        <w:rPr>
          <w:rFonts w:ascii="Arial" w:hAnsi="Arial" w:cs="Arial"/>
          <w:sz w:val="24"/>
        </w:rPr>
        <w:t>stratégica del Estado y de sus f</w:t>
      </w:r>
      <w:r w:rsidRPr="00FA0826">
        <w:rPr>
          <w:rFonts w:ascii="Arial" w:hAnsi="Arial" w:cs="Arial"/>
          <w:sz w:val="24"/>
        </w:rPr>
        <w:t>ortalezas, para lograr una mejor integración nacional e internacional;</w:t>
      </w:r>
    </w:p>
    <w:p w14:paraId="1FEBB7A8" w14:textId="77777777" w:rsidR="00B076A2" w:rsidRDefault="00B076A2" w:rsidP="00B076A2">
      <w:pPr>
        <w:pStyle w:val="Prrafodelista"/>
        <w:numPr>
          <w:ilvl w:val="0"/>
          <w:numId w:val="16"/>
        </w:numPr>
        <w:spacing w:after="0" w:line="240" w:lineRule="auto"/>
        <w:jc w:val="both"/>
        <w:rPr>
          <w:rFonts w:ascii="Arial" w:hAnsi="Arial" w:cs="Arial"/>
          <w:sz w:val="24"/>
        </w:rPr>
      </w:pPr>
      <w:r w:rsidRPr="00FA0826">
        <w:rPr>
          <w:rFonts w:ascii="Arial" w:hAnsi="Arial" w:cs="Arial"/>
          <w:sz w:val="24"/>
        </w:rPr>
        <w:t>La elevación del nivel de vida de la población a través de un desarrollo económico, social, político y cultural adecuado;</w:t>
      </w:r>
    </w:p>
    <w:p w14:paraId="30F15E35" w14:textId="77777777" w:rsidR="00B076A2" w:rsidRDefault="00B076A2" w:rsidP="00B076A2">
      <w:pPr>
        <w:pStyle w:val="Prrafodelista"/>
        <w:numPr>
          <w:ilvl w:val="0"/>
          <w:numId w:val="16"/>
        </w:numPr>
        <w:spacing w:after="0" w:line="240" w:lineRule="auto"/>
        <w:jc w:val="both"/>
        <w:rPr>
          <w:rFonts w:ascii="Arial" w:hAnsi="Arial" w:cs="Arial"/>
          <w:sz w:val="24"/>
        </w:rPr>
      </w:pPr>
      <w:r w:rsidRPr="00FA0826">
        <w:rPr>
          <w:rFonts w:ascii="Arial" w:hAnsi="Arial" w:cs="Arial"/>
          <w:sz w:val="24"/>
        </w:rPr>
        <w:t>La preservación de la seguridad, el orden público y la paz social;</w:t>
      </w:r>
    </w:p>
    <w:p w14:paraId="36B7D73E" w14:textId="77777777" w:rsidR="00B076A2" w:rsidRDefault="00B076A2" w:rsidP="00B076A2">
      <w:pPr>
        <w:pStyle w:val="Prrafodelista"/>
        <w:numPr>
          <w:ilvl w:val="0"/>
          <w:numId w:val="16"/>
        </w:numPr>
        <w:spacing w:after="0" w:line="240" w:lineRule="auto"/>
        <w:jc w:val="both"/>
        <w:rPr>
          <w:rFonts w:ascii="Arial" w:hAnsi="Arial" w:cs="Arial"/>
          <w:sz w:val="24"/>
        </w:rPr>
      </w:pPr>
      <w:r w:rsidRPr="0049713A">
        <w:rPr>
          <w:rFonts w:ascii="Arial" w:hAnsi="Arial" w:cs="Arial"/>
          <w:sz w:val="24"/>
        </w:rPr>
        <w:t xml:space="preserve">El enfoque de Gestión para Resultados la cual articula los procesos de planeación, programación, presupuestal, evaluación y rendición de cuentas con lo que se avanza hacia la confirmación del Presupuesto Basado en Resultados (PbR), el cual permite que la asignación presupuestal para cada ámbito del desarrollo esté garantizado, y orientada a la atención de las necesidades sociales; </w:t>
      </w:r>
    </w:p>
    <w:p w14:paraId="45C94402" w14:textId="77777777" w:rsidR="00B076A2" w:rsidRPr="0049713A" w:rsidRDefault="00B076A2" w:rsidP="00B076A2">
      <w:pPr>
        <w:pStyle w:val="Prrafodelista"/>
        <w:numPr>
          <w:ilvl w:val="0"/>
          <w:numId w:val="16"/>
        </w:numPr>
        <w:spacing w:after="0" w:line="240" w:lineRule="auto"/>
        <w:jc w:val="both"/>
        <w:rPr>
          <w:rFonts w:ascii="Arial" w:hAnsi="Arial" w:cs="Arial"/>
          <w:sz w:val="24"/>
        </w:rPr>
      </w:pPr>
      <w:r w:rsidRPr="0049713A">
        <w:rPr>
          <w:rFonts w:ascii="Arial" w:hAnsi="Arial" w:cs="Arial"/>
          <w:sz w:val="24"/>
        </w:rPr>
        <w:t>Racionalidad, austeridad y equilibrio presupuestal para lograr un manejo sostenible de las finanzas públicas;</w:t>
      </w:r>
    </w:p>
    <w:p w14:paraId="5542DC70" w14:textId="77777777" w:rsidR="00B076A2" w:rsidRDefault="00B076A2" w:rsidP="00B076A2">
      <w:pPr>
        <w:pStyle w:val="Prrafodelista"/>
        <w:numPr>
          <w:ilvl w:val="0"/>
          <w:numId w:val="16"/>
        </w:numPr>
        <w:spacing w:after="0" w:line="240" w:lineRule="auto"/>
        <w:jc w:val="both"/>
        <w:rPr>
          <w:rFonts w:ascii="Arial" w:hAnsi="Arial" w:cs="Arial"/>
          <w:sz w:val="24"/>
        </w:rPr>
      </w:pPr>
      <w:r w:rsidRPr="00FA0826">
        <w:rPr>
          <w:rFonts w:ascii="Arial" w:hAnsi="Arial" w:cs="Arial"/>
          <w:sz w:val="24"/>
        </w:rPr>
        <w:t xml:space="preserve">Disciplina financiera para la observancia de los principios y las disposiciones en materia de responsabilidad hacendaria y financiera, la aplicación de reglas y criterios en el manejo de recursos y contratación de obligaciones, que aseguren una gestión responsable y sostenible de las </w:t>
      </w:r>
      <w:r w:rsidRPr="00FA0826">
        <w:rPr>
          <w:rFonts w:ascii="Arial" w:hAnsi="Arial" w:cs="Arial"/>
          <w:sz w:val="24"/>
        </w:rPr>
        <w:lastRenderedPageBreak/>
        <w:t>finanzas públicas, generando condiciones favorables para el crecimiento económico y el empleo;</w:t>
      </w:r>
    </w:p>
    <w:p w14:paraId="010F9B1E" w14:textId="77777777" w:rsidR="00B076A2" w:rsidRDefault="00B076A2" w:rsidP="00B076A2">
      <w:pPr>
        <w:pStyle w:val="Prrafodelista"/>
        <w:numPr>
          <w:ilvl w:val="0"/>
          <w:numId w:val="16"/>
        </w:numPr>
        <w:spacing w:after="0" w:line="240" w:lineRule="auto"/>
        <w:jc w:val="both"/>
        <w:rPr>
          <w:rFonts w:ascii="Arial" w:hAnsi="Arial" w:cs="Arial"/>
          <w:sz w:val="24"/>
        </w:rPr>
      </w:pPr>
      <w:r w:rsidRPr="00FA0826">
        <w:rPr>
          <w:rFonts w:ascii="Arial" w:hAnsi="Arial" w:cs="Arial"/>
          <w:sz w:val="24"/>
        </w:rPr>
        <w:t>Disciplina presupuestal como direct</w:t>
      </w:r>
      <w:r>
        <w:rPr>
          <w:rFonts w:ascii="Arial" w:hAnsi="Arial" w:cs="Arial"/>
          <w:sz w:val="24"/>
        </w:rPr>
        <w:t>riz del gasto que obliga a las D</w:t>
      </w:r>
      <w:r w:rsidRPr="00FA0826">
        <w:rPr>
          <w:rFonts w:ascii="Arial" w:hAnsi="Arial" w:cs="Arial"/>
          <w:sz w:val="24"/>
        </w:rPr>
        <w:t>ependencias y entidades del sector público estatal a ejercer los recursos en los montos, estructuras y plazos previamente fijados por la programación del presupuesto con pleno apego a la normatividad;</w:t>
      </w:r>
    </w:p>
    <w:p w14:paraId="4EBE8CFD" w14:textId="77777777" w:rsidR="00B076A2" w:rsidRDefault="00B076A2" w:rsidP="00B076A2">
      <w:pPr>
        <w:pStyle w:val="Prrafodelista"/>
        <w:numPr>
          <w:ilvl w:val="0"/>
          <w:numId w:val="16"/>
        </w:numPr>
        <w:spacing w:after="0" w:line="240" w:lineRule="auto"/>
        <w:jc w:val="both"/>
        <w:rPr>
          <w:rFonts w:ascii="Arial" w:hAnsi="Arial" w:cs="Arial"/>
          <w:sz w:val="24"/>
        </w:rPr>
      </w:pPr>
      <w:r w:rsidRPr="00FA0826">
        <w:rPr>
          <w:rFonts w:ascii="Arial" w:hAnsi="Arial" w:cs="Arial"/>
          <w:sz w:val="24"/>
        </w:rPr>
        <w:t>Privilegio del gasto social mediante programas dirigidos a la prestación de bienes y servicios que sirvan para consolidar el desarrollo humano sustentable, particularmente de los grupos de población más desfavorecidos socialmente; y</w:t>
      </w:r>
    </w:p>
    <w:p w14:paraId="7F339D80" w14:textId="77777777" w:rsidR="00B076A2" w:rsidRDefault="00B076A2" w:rsidP="00B076A2">
      <w:pPr>
        <w:spacing w:after="0" w:line="240" w:lineRule="auto"/>
        <w:jc w:val="both"/>
        <w:rPr>
          <w:rFonts w:ascii="Arial" w:hAnsi="Arial" w:cs="Arial"/>
          <w:sz w:val="24"/>
        </w:rPr>
      </w:pPr>
    </w:p>
    <w:p w14:paraId="7A2E29C3" w14:textId="77777777" w:rsidR="00B076A2" w:rsidRDefault="00B076A2" w:rsidP="00B076A2">
      <w:pPr>
        <w:spacing w:after="0" w:line="240" w:lineRule="auto"/>
        <w:jc w:val="both"/>
        <w:rPr>
          <w:rFonts w:ascii="Arial" w:hAnsi="Arial" w:cs="Arial"/>
          <w:sz w:val="24"/>
        </w:rPr>
      </w:pPr>
      <w:r>
        <w:rPr>
          <w:rFonts w:ascii="Arial" w:hAnsi="Arial" w:cs="Arial"/>
          <w:sz w:val="24"/>
        </w:rPr>
        <w:t>Ante un panorama adverso en materia de finanzas públicas que se ha exacerbado producto de la pandemia derivada del COVID-19, la disponibilidad de recursos se vuelve aún más limitada al tiempo que las obligaciones financieras incrementan, por lo que el Gobierno del Estado enfrenta el reto de priorizar objetivos entre un gran conjunto de importantes necesidades actuales, sobre todo en temas de salud y reactivación económica, en este sentido el Proyecto de Presupuesto de Egresos para el ejercicio fiscal 2021 incorpora prioridades de desarrollo vinculadas en a los seis ejes estratégicos del PED y a las 34 metas estratégicas, sin dejar de lado las necesidades actuales emanadas de la Pandemia.</w:t>
      </w:r>
    </w:p>
    <w:p w14:paraId="58051E31" w14:textId="77777777" w:rsidR="00B076A2" w:rsidRDefault="00B076A2" w:rsidP="00B076A2">
      <w:pPr>
        <w:spacing w:after="0" w:line="240" w:lineRule="auto"/>
        <w:jc w:val="both"/>
        <w:rPr>
          <w:rFonts w:ascii="Arial" w:hAnsi="Arial" w:cs="Arial"/>
          <w:sz w:val="24"/>
        </w:rPr>
      </w:pPr>
    </w:p>
    <w:p w14:paraId="57641D7C" w14:textId="77777777" w:rsidR="00B076A2" w:rsidRPr="00C85737" w:rsidRDefault="00B076A2" w:rsidP="00B076A2">
      <w:pPr>
        <w:spacing w:after="0" w:line="240" w:lineRule="auto"/>
        <w:jc w:val="both"/>
        <w:rPr>
          <w:rFonts w:ascii="Arial" w:hAnsi="Arial" w:cs="Arial"/>
          <w:b/>
          <w:sz w:val="24"/>
        </w:rPr>
      </w:pPr>
      <w:r w:rsidRPr="00C85737">
        <w:rPr>
          <w:rFonts w:ascii="Arial" w:hAnsi="Arial" w:cs="Arial"/>
          <w:b/>
          <w:sz w:val="24"/>
        </w:rPr>
        <w:t>2.1.1</w:t>
      </w:r>
      <w:r>
        <w:rPr>
          <w:rFonts w:ascii="Arial" w:hAnsi="Arial" w:cs="Arial"/>
          <w:b/>
          <w:sz w:val="24"/>
        </w:rPr>
        <w:t>.</w:t>
      </w:r>
      <w:r w:rsidRPr="00C85737">
        <w:rPr>
          <w:rFonts w:ascii="Arial" w:hAnsi="Arial" w:cs="Arial"/>
          <w:b/>
          <w:sz w:val="24"/>
        </w:rPr>
        <w:t xml:space="preserve"> Objetivos Anuales</w:t>
      </w:r>
    </w:p>
    <w:p w14:paraId="36CBF62A" w14:textId="77777777" w:rsidR="00B076A2" w:rsidRDefault="00B076A2" w:rsidP="00B076A2">
      <w:pPr>
        <w:spacing w:after="0" w:line="240" w:lineRule="auto"/>
        <w:jc w:val="both"/>
        <w:rPr>
          <w:rFonts w:ascii="Arial" w:hAnsi="Arial" w:cs="Arial"/>
          <w:sz w:val="24"/>
        </w:rPr>
      </w:pPr>
    </w:p>
    <w:p w14:paraId="49AF741C" w14:textId="77777777" w:rsidR="00B076A2" w:rsidRDefault="00B076A2" w:rsidP="00B076A2">
      <w:pPr>
        <w:spacing w:after="0" w:line="240" w:lineRule="auto"/>
        <w:jc w:val="both"/>
        <w:rPr>
          <w:rFonts w:ascii="Arial" w:hAnsi="Arial" w:cs="Arial"/>
          <w:sz w:val="24"/>
        </w:rPr>
      </w:pPr>
      <w:r>
        <w:rPr>
          <w:rFonts w:ascii="Arial" w:hAnsi="Arial" w:cs="Arial"/>
          <w:sz w:val="24"/>
        </w:rPr>
        <w:t xml:space="preserve">De la mano </w:t>
      </w:r>
      <w:r w:rsidRPr="00FC7D16">
        <w:rPr>
          <w:rFonts w:ascii="Arial" w:hAnsi="Arial" w:cs="Arial"/>
          <w:sz w:val="24"/>
        </w:rPr>
        <w:t>de lo anterior, se han creado, según la Me</w:t>
      </w:r>
      <w:r>
        <w:rPr>
          <w:rFonts w:ascii="Arial" w:hAnsi="Arial" w:cs="Arial"/>
          <w:sz w:val="24"/>
        </w:rPr>
        <w:t>todología del Marco Lógico, las Matrices</w:t>
      </w:r>
      <w:r w:rsidRPr="00FC7D16">
        <w:rPr>
          <w:rFonts w:ascii="Arial" w:hAnsi="Arial" w:cs="Arial"/>
          <w:sz w:val="24"/>
        </w:rPr>
        <w:t xml:space="preserve"> de Indicadores para Resultados</w:t>
      </w:r>
      <w:r>
        <w:rPr>
          <w:rFonts w:ascii="Arial" w:hAnsi="Arial" w:cs="Arial"/>
          <w:sz w:val="24"/>
        </w:rPr>
        <w:t>, mismas que se asignaron</w:t>
      </w:r>
      <w:r w:rsidRPr="00FC7D16">
        <w:rPr>
          <w:rFonts w:ascii="Arial" w:hAnsi="Arial" w:cs="Arial"/>
          <w:sz w:val="24"/>
        </w:rPr>
        <w:t xml:space="preserve"> a cada uno de los Programas Presupuestarios de los ejecutores del gasto, los cuales</w:t>
      </w:r>
      <w:r>
        <w:rPr>
          <w:rFonts w:ascii="Arial" w:hAnsi="Arial" w:cs="Arial"/>
          <w:sz w:val="24"/>
        </w:rPr>
        <w:t>, en su última expresión a través de actividades, componentes, un propósito y un fin contribuyen al cumplimiento de los siguientes objetivos anuales:</w:t>
      </w:r>
    </w:p>
    <w:p w14:paraId="6B06419E" w14:textId="77777777" w:rsidR="00B076A2" w:rsidRDefault="00B076A2" w:rsidP="00B076A2">
      <w:pPr>
        <w:spacing w:after="0" w:line="240" w:lineRule="auto"/>
        <w:jc w:val="both"/>
        <w:rPr>
          <w:rFonts w:ascii="Arial" w:hAnsi="Arial" w:cs="Arial"/>
          <w:sz w:val="24"/>
        </w:rPr>
      </w:pPr>
    </w:p>
    <w:tbl>
      <w:tblPr>
        <w:tblStyle w:val="Tablaconcuadrcula"/>
        <w:tblW w:w="0" w:type="auto"/>
        <w:tblLook w:val="04A0" w:firstRow="1" w:lastRow="0" w:firstColumn="1" w:lastColumn="0" w:noHBand="0" w:noVBand="1"/>
      </w:tblPr>
      <w:tblGrid>
        <w:gridCol w:w="1980"/>
        <w:gridCol w:w="6514"/>
      </w:tblGrid>
      <w:tr w:rsidR="00B076A2" w:rsidRPr="00CA6B59" w14:paraId="0B02AA9D" w14:textId="77777777" w:rsidTr="00B3646C">
        <w:trPr>
          <w:trHeight w:val="990"/>
          <w:tblHeader/>
        </w:trPr>
        <w:tc>
          <w:tcPr>
            <w:tcW w:w="8494" w:type="dxa"/>
            <w:gridSpan w:val="2"/>
            <w:shd w:val="clear" w:color="auto" w:fill="DBDBDB" w:themeFill="accent3" w:themeFillTint="66"/>
            <w:vAlign w:val="center"/>
            <w:hideMark/>
          </w:tcPr>
          <w:p w14:paraId="6A10365E" w14:textId="77777777" w:rsidR="00B076A2" w:rsidRPr="00CA6B59" w:rsidRDefault="00B076A2" w:rsidP="00B3646C">
            <w:pPr>
              <w:spacing w:after="0" w:line="240" w:lineRule="auto"/>
              <w:jc w:val="center"/>
              <w:rPr>
                <w:rFonts w:ascii="Arial" w:hAnsi="Arial" w:cs="Arial"/>
                <w:b/>
                <w:bCs/>
                <w:sz w:val="24"/>
                <w:vertAlign w:val="superscript"/>
                <w:lang w:val="es-ES"/>
              </w:rPr>
            </w:pPr>
            <w:r w:rsidRPr="00CA6B59">
              <w:rPr>
                <w:rFonts w:ascii="Arial" w:hAnsi="Arial" w:cs="Arial"/>
                <w:b/>
                <w:bCs/>
                <w:sz w:val="28"/>
              </w:rPr>
              <w:t>Objetivos Anuales Establecidos en las Matrices de Indicadores para Resultados de los Programas Presupuestarios</w:t>
            </w:r>
            <w:r w:rsidRPr="00CA6B59">
              <w:rPr>
                <w:rFonts w:ascii="Arial" w:hAnsi="Arial" w:cs="Arial"/>
                <w:b/>
                <w:bCs/>
                <w:sz w:val="20"/>
                <w:vertAlign w:val="superscript"/>
              </w:rPr>
              <w:t>/1</w:t>
            </w:r>
          </w:p>
        </w:tc>
      </w:tr>
      <w:tr w:rsidR="00B076A2" w:rsidRPr="00CA6B59" w14:paraId="7EAC7296" w14:textId="77777777" w:rsidTr="00B3646C">
        <w:trPr>
          <w:trHeight w:val="300"/>
          <w:tblHeader/>
        </w:trPr>
        <w:tc>
          <w:tcPr>
            <w:tcW w:w="1980" w:type="dxa"/>
            <w:shd w:val="clear" w:color="auto" w:fill="EDEDED" w:themeFill="accent3" w:themeFillTint="33"/>
            <w:noWrap/>
            <w:vAlign w:val="center"/>
            <w:hideMark/>
          </w:tcPr>
          <w:p w14:paraId="0058032F" w14:textId="77777777" w:rsidR="00B076A2" w:rsidRPr="00CA6B59" w:rsidRDefault="00B076A2" w:rsidP="00B3646C">
            <w:pPr>
              <w:spacing w:after="0" w:line="240" w:lineRule="auto"/>
              <w:jc w:val="center"/>
              <w:rPr>
                <w:rFonts w:ascii="Arial" w:hAnsi="Arial" w:cs="Arial"/>
                <w:b/>
                <w:bCs/>
                <w:sz w:val="20"/>
              </w:rPr>
            </w:pPr>
            <w:r w:rsidRPr="00CA6B59">
              <w:rPr>
                <w:rFonts w:ascii="Arial" w:hAnsi="Arial" w:cs="Arial"/>
                <w:b/>
                <w:bCs/>
                <w:sz w:val="20"/>
              </w:rPr>
              <w:t>Dependencia/</w:t>
            </w:r>
          </w:p>
          <w:p w14:paraId="4B7ED3C0" w14:textId="77777777" w:rsidR="00B076A2" w:rsidRPr="00CA6B59" w:rsidRDefault="00B076A2" w:rsidP="00B3646C">
            <w:pPr>
              <w:spacing w:after="0" w:line="240" w:lineRule="auto"/>
              <w:jc w:val="center"/>
              <w:rPr>
                <w:rFonts w:ascii="Arial" w:hAnsi="Arial" w:cs="Arial"/>
                <w:b/>
                <w:bCs/>
              </w:rPr>
            </w:pPr>
            <w:r w:rsidRPr="00CA6B59">
              <w:rPr>
                <w:rFonts w:ascii="Arial" w:hAnsi="Arial" w:cs="Arial"/>
                <w:b/>
                <w:bCs/>
                <w:sz w:val="20"/>
              </w:rPr>
              <w:t>Organismo</w:t>
            </w:r>
          </w:p>
        </w:tc>
        <w:tc>
          <w:tcPr>
            <w:tcW w:w="6514" w:type="dxa"/>
            <w:shd w:val="clear" w:color="auto" w:fill="EDEDED" w:themeFill="accent3" w:themeFillTint="33"/>
            <w:noWrap/>
            <w:vAlign w:val="center"/>
            <w:hideMark/>
          </w:tcPr>
          <w:p w14:paraId="5B8E5700" w14:textId="77777777" w:rsidR="00B076A2" w:rsidRPr="00CA6B59" w:rsidRDefault="00B076A2" w:rsidP="00B3646C">
            <w:pPr>
              <w:spacing w:after="0" w:line="240" w:lineRule="auto"/>
              <w:jc w:val="center"/>
              <w:rPr>
                <w:rFonts w:ascii="Arial" w:hAnsi="Arial" w:cs="Arial"/>
                <w:b/>
                <w:bCs/>
              </w:rPr>
            </w:pPr>
            <w:r w:rsidRPr="00CA6B59">
              <w:rPr>
                <w:rFonts w:ascii="Arial" w:hAnsi="Arial" w:cs="Arial"/>
                <w:b/>
                <w:bCs/>
                <w:sz w:val="20"/>
              </w:rPr>
              <w:t>Objetivos</w:t>
            </w:r>
            <w:r w:rsidRPr="00CA6B59">
              <w:rPr>
                <w:rFonts w:ascii="Arial" w:hAnsi="Arial" w:cs="Arial"/>
                <w:b/>
                <w:bCs/>
              </w:rPr>
              <w:t xml:space="preserve"> </w:t>
            </w:r>
            <w:r w:rsidRPr="00CA6B59">
              <w:rPr>
                <w:rFonts w:ascii="Arial" w:hAnsi="Arial" w:cs="Arial"/>
                <w:b/>
                <w:bCs/>
                <w:sz w:val="20"/>
              </w:rPr>
              <w:t>Anuales</w:t>
            </w:r>
          </w:p>
        </w:tc>
      </w:tr>
      <w:tr w:rsidR="00B076A2" w:rsidRPr="00CA6B59" w14:paraId="091715B8" w14:textId="77777777" w:rsidTr="00B3646C">
        <w:trPr>
          <w:trHeight w:val="1020"/>
        </w:trPr>
        <w:tc>
          <w:tcPr>
            <w:tcW w:w="1980" w:type="dxa"/>
            <w:vAlign w:val="center"/>
            <w:hideMark/>
          </w:tcPr>
          <w:p w14:paraId="38B4F1A8"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Oficina del Gobernador.</w:t>
            </w:r>
          </w:p>
        </w:tc>
        <w:tc>
          <w:tcPr>
            <w:tcW w:w="6514" w:type="dxa"/>
            <w:vAlign w:val="center"/>
            <w:hideMark/>
          </w:tcPr>
          <w:p w14:paraId="10A79BF7"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El Despacho del C. Gobernador cuenta con la estructura organizacional y recursos suficientes para respaldar al Ejecutivo en la gestión de la agenda oficial, la toma de decisiones, el seguimiento de los compromisos y proyectos estratégicos y para atender de manera oportuna a la ciudadanía que solicite audiencias y peticiones.</w:t>
            </w:r>
          </w:p>
        </w:tc>
      </w:tr>
      <w:tr w:rsidR="00B076A2" w:rsidRPr="00CA6B59" w14:paraId="44DD9C9C" w14:textId="77777777" w:rsidTr="00B3646C">
        <w:trPr>
          <w:trHeight w:val="510"/>
        </w:trPr>
        <w:tc>
          <w:tcPr>
            <w:tcW w:w="1980" w:type="dxa"/>
            <w:vAlign w:val="center"/>
            <w:hideMark/>
          </w:tcPr>
          <w:p w14:paraId="55A8F627"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lastRenderedPageBreak/>
              <w:t xml:space="preserve">Secretaría General de Gobierno. </w:t>
            </w:r>
          </w:p>
        </w:tc>
        <w:tc>
          <w:tcPr>
            <w:tcW w:w="6514" w:type="dxa"/>
            <w:vAlign w:val="center"/>
            <w:hideMark/>
          </w:tcPr>
          <w:p w14:paraId="4DF82CDB"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En el Estado de Colima y sus municipios se salvaguardan los derechos humanos y se garantiza el mejoramiento de la calidad de vida de los ciudadanos</w:t>
            </w:r>
          </w:p>
        </w:tc>
      </w:tr>
      <w:tr w:rsidR="00B076A2" w:rsidRPr="00CA6B59" w14:paraId="3F6E1365" w14:textId="77777777" w:rsidTr="00B3646C">
        <w:trPr>
          <w:trHeight w:val="1020"/>
        </w:trPr>
        <w:tc>
          <w:tcPr>
            <w:tcW w:w="1980" w:type="dxa"/>
            <w:vAlign w:val="center"/>
            <w:hideMark/>
          </w:tcPr>
          <w:p w14:paraId="04CDD85A"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Secretariado Ejecutivo del Sistema Estatal de Seguridad Pública (C4).</w:t>
            </w:r>
          </w:p>
        </w:tc>
        <w:tc>
          <w:tcPr>
            <w:tcW w:w="6514" w:type="dxa"/>
            <w:vAlign w:val="center"/>
            <w:hideMark/>
          </w:tcPr>
          <w:p w14:paraId="67F1B9B4"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Las instituciones de seguridad pública en el Estado de Colima cuentan con el apoyo institucional necesario para su fortalecimiento, modernización y equipamiento.</w:t>
            </w:r>
          </w:p>
        </w:tc>
      </w:tr>
      <w:tr w:rsidR="00B076A2" w:rsidRPr="00CA6B59" w14:paraId="01CD2B1E" w14:textId="77777777" w:rsidTr="00B3646C">
        <w:trPr>
          <w:trHeight w:val="765"/>
        </w:trPr>
        <w:tc>
          <w:tcPr>
            <w:tcW w:w="1980" w:type="dxa"/>
            <w:vAlign w:val="center"/>
            <w:hideMark/>
          </w:tcPr>
          <w:p w14:paraId="7CEADDD5"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Secretaría de Planeación y Finanzas.</w:t>
            </w:r>
          </w:p>
        </w:tc>
        <w:tc>
          <w:tcPr>
            <w:tcW w:w="6514" w:type="dxa"/>
            <w:vAlign w:val="center"/>
            <w:hideMark/>
          </w:tcPr>
          <w:p w14:paraId="594D33E8"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La población de Colima cuenta con instrumentos de planeación, programación, monitoreo seguimiento y evaluación eficientes, transparentes y accesibles.</w:t>
            </w:r>
          </w:p>
        </w:tc>
      </w:tr>
      <w:tr w:rsidR="00B076A2" w:rsidRPr="00CA6B59" w14:paraId="3895546E" w14:textId="77777777" w:rsidTr="00B3646C">
        <w:trPr>
          <w:trHeight w:val="765"/>
        </w:trPr>
        <w:tc>
          <w:tcPr>
            <w:tcW w:w="1980" w:type="dxa"/>
            <w:vAlign w:val="center"/>
            <w:hideMark/>
          </w:tcPr>
          <w:p w14:paraId="36FBDD97"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Secretaría de Planeación y Finanzas.</w:t>
            </w:r>
          </w:p>
        </w:tc>
        <w:tc>
          <w:tcPr>
            <w:tcW w:w="6514" w:type="dxa"/>
            <w:vAlign w:val="center"/>
            <w:hideMark/>
          </w:tcPr>
          <w:p w14:paraId="7770AC77"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La población del Estado de Colima cuenta con una administración pública atendida con oportunidad, eficiencia y eficacia, que permite una adecuada recaudación y distribución de los recursos públicos.</w:t>
            </w:r>
          </w:p>
        </w:tc>
      </w:tr>
      <w:tr w:rsidR="00B076A2" w:rsidRPr="00CA6B59" w14:paraId="5D667CC5" w14:textId="77777777" w:rsidTr="00B3646C">
        <w:trPr>
          <w:trHeight w:val="510"/>
        </w:trPr>
        <w:tc>
          <w:tcPr>
            <w:tcW w:w="1980" w:type="dxa"/>
            <w:vAlign w:val="center"/>
            <w:hideMark/>
          </w:tcPr>
          <w:p w14:paraId="53D4DBE6"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Secretaría de Desarrollo Social.</w:t>
            </w:r>
          </w:p>
        </w:tc>
        <w:tc>
          <w:tcPr>
            <w:tcW w:w="6514" w:type="dxa"/>
            <w:vAlign w:val="center"/>
            <w:hideMark/>
          </w:tcPr>
          <w:p w14:paraId="2804DB86"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Se reduce la población de Colima que se encuentra en situación de pobreza.</w:t>
            </w:r>
          </w:p>
        </w:tc>
      </w:tr>
      <w:tr w:rsidR="00B076A2" w:rsidRPr="00CA6B59" w14:paraId="4AE1752B" w14:textId="77777777" w:rsidTr="00B3646C">
        <w:trPr>
          <w:trHeight w:val="765"/>
        </w:trPr>
        <w:tc>
          <w:tcPr>
            <w:tcW w:w="1980" w:type="dxa"/>
            <w:vAlign w:val="center"/>
            <w:hideMark/>
          </w:tcPr>
          <w:p w14:paraId="3FCD6A48"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Secretaría de Infraestructura y Desarrollo Urbano.</w:t>
            </w:r>
          </w:p>
        </w:tc>
        <w:tc>
          <w:tcPr>
            <w:tcW w:w="6514" w:type="dxa"/>
            <w:vAlign w:val="center"/>
            <w:hideMark/>
          </w:tcPr>
          <w:p w14:paraId="46732865"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La población del Estado de Colima cuenta con mayor y mejor infraestructura económica para impulsar el desarrollo integral de la entidad.</w:t>
            </w:r>
          </w:p>
        </w:tc>
      </w:tr>
      <w:tr w:rsidR="00B076A2" w:rsidRPr="00CA6B59" w14:paraId="741AD8B0" w14:textId="77777777" w:rsidTr="00B3646C">
        <w:trPr>
          <w:trHeight w:val="1020"/>
        </w:trPr>
        <w:tc>
          <w:tcPr>
            <w:tcW w:w="1980" w:type="dxa"/>
            <w:vAlign w:val="center"/>
            <w:hideMark/>
          </w:tcPr>
          <w:p w14:paraId="4658E197"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Secretaría de Infraestructura y Desarrollo Urbano.</w:t>
            </w:r>
          </w:p>
        </w:tc>
        <w:tc>
          <w:tcPr>
            <w:tcW w:w="6514" w:type="dxa"/>
            <w:vAlign w:val="center"/>
            <w:hideMark/>
          </w:tcPr>
          <w:p w14:paraId="5AD33811"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Los habitantes del Estado de Colima se benefician con la gestión integral de Residuos Sólidos, para la construcción de infraestructura que permita obtener el máximo aprovechamiento de los materiales y reducir la cantidad de residuos dispuestos en los rellenos sanitarios.</w:t>
            </w:r>
          </w:p>
        </w:tc>
      </w:tr>
      <w:tr w:rsidR="00B076A2" w:rsidRPr="00CA6B59" w14:paraId="6297599A" w14:textId="77777777" w:rsidTr="00B3646C">
        <w:trPr>
          <w:trHeight w:val="765"/>
        </w:trPr>
        <w:tc>
          <w:tcPr>
            <w:tcW w:w="1980" w:type="dxa"/>
            <w:vAlign w:val="center"/>
            <w:hideMark/>
          </w:tcPr>
          <w:p w14:paraId="44F7C316"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Secretaría de Infraestructura y Desarrollo Urbano.</w:t>
            </w:r>
          </w:p>
        </w:tc>
        <w:tc>
          <w:tcPr>
            <w:tcW w:w="6514" w:type="dxa"/>
            <w:vAlign w:val="center"/>
            <w:hideMark/>
          </w:tcPr>
          <w:p w14:paraId="7003F33D"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La población con mayores niveles de pobreza y rezago social cuenta con mayor y mejor infraestructura necesaria para el desarrollo social del Estado.</w:t>
            </w:r>
          </w:p>
        </w:tc>
      </w:tr>
      <w:tr w:rsidR="00B076A2" w:rsidRPr="00CA6B59" w14:paraId="37909025" w14:textId="77777777" w:rsidTr="00B3646C">
        <w:trPr>
          <w:trHeight w:val="765"/>
        </w:trPr>
        <w:tc>
          <w:tcPr>
            <w:tcW w:w="1980" w:type="dxa"/>
            <w:vAlign w:val="center"/>
            <w:hideMark/>
          </w:tcPr>
          <w:p w14:paraId="63555F41"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Secretaría de Infraestructura y Desarrollo Urbano.</w:t>
            </w:r>
          </w:p>
        </w:tc>
        <w:tc>
          <w:tcPr>
            <w:tcW w:w="6514" w:type="dxa"/>
            <w:vAlign w:val="center"/>
            <w:hideMark/>
          </w:tcPr>
          <w:p w14:paraId="5D34398C"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El Estado de Colima cuenta con una infraestructura carretera suficiente.</w:t>
            </w:r>
          </w:p>
        </w:tc>
      </w:tr>
      <w:tr w:rsidR="00B076A2" w:rsidRPr="00CA6B59" w14:paraId="55BFB588" w14:textId="77777777" w:rsidTr="00B3646C">
        <w:trPr>
          <w:trHeight w:val="765"/>
        </w:trPr>
        <w:tc>
          <w:tcPr>
            <w:tcW w:w="1980" w:type="dxa"/>
            <w:vAlign w:val="center"/>
            <w:hideMark/>
          </w:tcPr>
          <w:p w14:paraId="3FF69E94"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Secretaría de Infraestructura y Desarrollo Urbano.</w:t>
            </w:r>
          </w:p>
        </w:tc>
        <w:tc>
          <w:tcPr>
            <w:tcW w:w="6514" w:type="dxa"/>
            <w:vAlign w:val="center"/>
            <w:hideMark/>
          </w:tcPr>
          <w:p w14:paraId="732E6403"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La población de las zonas metropolitanas de Colima cuenta con un crecimiento urbano ordenado y eficiente.</w:t>
            </w:r>
          </w:p>
        </w:tc>
      </w:tr>
      <w:tr w:rsidR="00B076A2" w:rsidRPr="00CA6B59" w14:paraId="6C564BCA" w14:textId="77777777" w:rsidTr="00B3646C">
        <w:trPr>
          <w:trHeight w:val="510"/>
        </w:trPr>
        <w:tc>
          <w:tcPr>
            <w:tcW w:w="1980" w:type="dxa"/>
            <w:vAlign w:val="center"/>
            <w:hideMark/>
          </w:tcPr>
          <w:p w14:paraId="36A418B8"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Secretaría de Desarrollo Rural.</w:t>
            </w:r>
          </w:p>
        </w:tc>
        <w:tc>
          <w:tcPr>
            <w:tcW w:w="6514" w:type="dxa"/>
            <w:vAlign w:val="center"/>
            <w:hideMark/>
          </w:tcPr>
          <w:p w14:paraId="50551D6A"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El Estado de Colima cuenta con una alta competitividad en la producción agropecuaria, acuícola, forestal y pesquera.</w:t>
            </w:r>
          </w:p>
        </w:tc>
      </w:tr>
      <w:tr w:rsidR="00B076A2" w:rsidRPr="00CA6B59" w14:paraId="4A080FC7" w14:textId="77777777" w:rsidTr="00B3646C">
        <w:trPr>
          <w:trHeight w:val="510"/>
        </w:trPr>
        <w:tc>
          <w:tcPr>
            <w:tcW w:w="1980" w:type="dxa"/>
            <w:vAlign w:val="center"/>
            <w:hideMark/>
          </w:tcPr>
          <w:p w14:paraId="45A66DE2"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Secretaría de Educación.</w:t>
            </w:r>
          </w:p>
        </w:tc>
        <w:tc>
          <w:tcPr>
            <w:tcW w:w="6514" w:type="dxa"/>
            <w:vAlign w:val="center"/>
            <w:hideMark/>
          </w:tcPr>
          <w:p w14:paraId="1CD2475A"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Los niños y niñas del Estado de Colima cuentan con una oferta de educación inicial suficiente.</w:t>
            </w:r>
          </w:p>
        </w:tc>
      </w:tr>
      <w:tr w:rsidR="00B076A2" w:rsidRPr="00CA6B59" w14:paraId="24CDAB39" w14:textId="77777777" w:rsidTr="00B3646C">
        <w:trPr>
          <w:trHeight w:val="510"/>
        </w:trPr>
        <w:tc>
          <w:tcPr>
            <w:tcW w:w="1980" w:type="dxa"/>
            <w:vAlign w:val="center"/>
            <w:hideMark/>
          </w:tcPr>
          <w:p w14:paraId="32521518"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Secretaría de Educación.</w:t>
            </w:r>
          </w:p>
        </w:tc>
        <w:tc>
          <w:tcPr>
            <w:tcW w:w="6514" w:type="dxa"/>
            <w:vAlign w:val="center"/>
            <w:hideMark/>
          </w:tcPr>
          <w:p w14:paraId="11FFFE5B"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La población de 3 a 15 años del Estado de Colima accede a una educación de calidad</w:t>
            </w:r>
          </w:p>
        </w:tc>
      </w:tr>
      <w:tr w:rsidR="00B076A2" w:rsidRPr="00CA6B59" w14:paraId="27D4BA05" w14:textId="77777777" w:rsidTr="00B3646C">
        <w:trPr>
          <w:trHeight w:val="510"/>
        </w:trPr>
        <w:tc>
          <w:tcPr>
            <w:tcW w:w="1980" w:type="dxa"/>
            <w:vAlign w:val="center"/>
            <w:hideMark/>
          </w:tcPr>
          <w:p w14:paraId="012E6C19"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lastRenderedPageBreak/>
              <w:t>Secretaría de Educación.</w:t>
            </w:r>
          </w:p>
        </w:tc>
        <w:tc>
          <w:tcPr>
            <w:tcW w:w="6514" w:type="dxa"/>
            <w:vAlign w:val="center"/>
            <w:hideMark/>
          </w:tcPr>
          <w:p w14:paraId="6CF5AC02"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La población de 15 a 17 años del Estado de Colima supera limitaciones de cobertura, permanencia y calidad en educación media superior.</w:t>
            </w:r>
          </w:p>
        </w:tc>
      </w:tr>
      <w:tr w:rsidR="00B076A2" w:rsidRPr="00CA6B59" w14:paraId="6482730F" w14:textId="77777777" w:rsidTr="00B3646C">
        <w:trPr>
          <w:trHeight w:val="510"/>
        </w:trPr>
        <w:tc>
          <w:tcPr>
            <w:tcW w:w="1980" w:type="dxa"/>
            <w:vAlign w:val="center"/>
            <w:hideMark/>
          </w:tcPr>
          <w:p w14:paraId="26F12969"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Secretaría de Educación.</w:t>
            </w:r>
          </w:p>
        </w:tc>
        <w:tc>
          <w:tcPr>
            <w:tcW w:w="6514" w:type="dxa"/>
            <w:vAlign w:val="center"/>
            <w:hideMark/>
          </w:tcPr>
          <w:p w14:paraId="0CCE6196"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La población de 18 a 22 años en el Estado de Colima accede a una educación superior de calidad, con amplia cobertura y pertinencia.</w:t>
            </w:r>
          </w:p>
        </w:tc>
      </w:tr>
      <w:tr w:rsidR="00B076A2" w:rsidRPr="00CA6B59" w14:paraId="5EE4E86B" w14:textId="77777777" w:rsidTr="00B3646C">
        <w:trPr>
          <w:trHeight w:val="510"/>
        </w:trPr>
        <w:tc>
          <w:tcPr>
            <w:tcW w:w="1980" w:type="dxa"/>
            <w:vAlign w:val="center"/>
            <w:hideMark/>
          </w:tcPr>
          <w:p w14:paraId="7B84EFCC"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Secretaría de Salud y Bienestar Social.</w:t>
            </w:r>
          </w:p>
        </w:tc>
        <w:tc>
          <w:tcPr>
            <w:tcW w:w="6514" w:type="dxa"/>
            <w:vAlign w:val="center"/>
            <w:hideMark/>
          </w:tcPr>
          <w:p w14:paraId="35F04DC9"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La población de Colima demandante de servicios de salud es atendida de manera eficiente, con calidad y con los recursos necesarios.</w:t>
            </w:r>
          </w:p>
        </w:tc>
      </w:tr>
      <w:tr w:rsidR="00B076A2" w:rsidRPr="00CA6B59" w14:paraId="165E5B5A" w14:textId="77777777" w:rsidTr="00B3646C">
        <w:trPr>
          <w:trHeight w:val="765"/>
        </w:trPr>
        <w:tc>
          <w:tcPr>
            <w:tcW w:w="1980" w:type="dxa"/>
            <w:vAlign w:val="center"/>
            <w:hideMark/>
          </w:tcPr>
          <w:p w14:paraId="0EB526E4"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Secretaría de Administración y Gestión Pública.</w:t>
            </w:r>
          </w:p>
        </w:tc>
        <w:tc>
          <w:tcPr>
            <w:tcW w:w="6514" w:type="dxa"/>
            <w:vAlign w:val="center"/>
            <w:hideMark/>
          </w:tcPr>
          <w:p w14:paraId="56A1C062"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Las dependencias y entidades de la administración pública del Estado cuentan con los elementos humanos, materiales, técnicos y de servicio necesarios, para cumplir de manera oportuna con sus atribuciones y funciones.</w:t>
            </w:r>
          </w:p>
        </w:tc>
      </w:tr>
      <w:tr w:rsidR="00B076A2" w:rsidRPr="00CA6B59" w14:paraId="57C6D344" w14:textId="77777777" w:rsidTr="00B3646C">
        <w:trPr>
          <w:trHeight w:val="510"/>
        </w:trPr>
        <w:tc>
          <w:tcPr>
            <w:tcW w:w="1980" w:type="dxa"/>
            <w:vAlign w:val="center"/>
            <w:hideMark/>
          </w:tcPr>
          <w:p w14:paraId="3CE346D0"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Secretaría de Fomento Económico.</w:t>
            </w:r>
          </w:p>
        </w:tc>
        <w:tc>
          <w:tcPr>
            <w:tcW w:w="6514" w:type="dxa"/>
            <w:vAlign w:val="center"/>
            <w:hideMark/>
          </w:tcPr>
          <w:p w14:paraId="76207F76"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La economía estatal cuenta con un ambiente propicio para fortalecer la inversión, la innovación, la competitividad y el desarrollo empresarial</w:t>
            </w:r>
          </w:p>
        </w:tc>
      </w:tr>
      <w:tr w:rsidR="00B076A2" w:rsidRPr="00CA6B59" w14:paraId="010ED318" w14:textId="77777777" w:rsidTr="00B3646C">
        <w:trPr>
          <w:trHeight w:val="510"/>
        </w:trPr>
        <w:tc>
          <w:tcPr>
            <w:tcW w:w="1980" w:type="dxa"/>
            <w:vAlign w:val="center"/>
            <w:hideMark/>
          </w:tcPr>
          <w:p w14:paraId="01A3CC39"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Secretaría de Cultura.</w:t>
            </w:r>
          </w:p>
        </w:tc>
        <w:tc>
          <w:tcPr>
            <w:tcW w:w="6514" w:type="dxa"/>
            <w:vAlign w:val="center"/>
            <w:hideMark/>
          </w:tcPr>
          <w:p w14:paraId="03DE4522"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La población de Colima accede a una mayor oferta cultural a través de la difusión, promoción, creación y mejora del patrimonio cultural.</w:t>
            </w:r>
          </w:p>
        </w:tc>
      </w:tr>
      <w:tr w:rsidR="00B076A2" w:rsidRPr="00CA6B59" w14:paraId="564C947C" w14:textId="77777777" w:rsidTr="00B3646C">
        <w:trPr>
          <w:trHeight w:val="1275"/>
        </w:trPr>
        <w:tc>
          <w:tcPr>
            <w:tcW w:w="1980" w:type="dxa"/>
            <w:vAlign w:val="center"/>
            <w:hideMark/>
          </w:tcPr>
          <w:p w14:paraId="30C4DEFF"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Secretaría de Turismo.</w:t>
            </w:r>
          </w:p>
        </w:tc>
        <w:tc>
          <w:tcPr>
            <w:tcW w:w="6514" w:type="dxa"/>
            <w:vAlign w:val="center"/>
            <w:hideMark/>
          </w:tcPr>
          <w:p w14:paraId="0BABBBB4"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El sector turístico del Estado se beneficia de las diferentes acciones que buscan incrementar la derrama económica y afluencia turística: mejora de servicios y atención a turistas y visitantes con capital humano capacitado y profesionalizado, además de la implementación de productos y proyectos integrales que aprovechen los atractivos del Estado.</w:t>
            </w:r>
          </w:p>
        </w:tc>
      </w:tr>
      <w:tr w:rsidR="00B076A2" w:rsidRPr="00CA6B59" w14:paraId="3A8D6B07" w14:textId="77777777" w:rsidTr="00B3646C">
        <w:trPr>
          <w:trHeight w:val="765"/>
        </w:trPr>
        <w:tc>
          <w:tcPr>
            <w:tcW w:w="1980" w:type="dxa"/>
            <w:vAlign w:val="center"/>
            <w:hideMark/>
          </w:tcPr>
          <w:p w14:paraId="52E9420F"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Contraloría General del Estado.</w:t>
            </w:r>
          </w:p>
        </w:tc>
        <w:tc>
          <w:tcPr>
            <w:tcW w:w="6514" w:type="dxa"/>
            <w:vAlign w:val="center"/>
            <w:hideMark/>
          </w:tcPr>
          <w:p w14:paraId="599815E9"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Las personas servidoras públicas de las dependencias y entidades de la administración pública aplican de manera eficiente el ejercicio de los recursos públicos, los instrumentos de control, transparencia y las atribuciones que les corresponden.</w:t>
            </w:r>
          </w:p>
        </w:tc>
      </w:tr>
      <w:tr w:rsidR="00B076A2" w:rsidRPr="00CA6B59" w14:paraId="5B7C4606" w14:textId="77777777" w:rsidTr="00B3646C">
        <w:trPr>
          <w:trHeight w:val="510"/>
        </w:trPr>
        <w:tc>
          <w:tcPr>
            <w:tcW w:w="1980" w:type="dxa"/>
            <w:vAlign w:val="center"/>
            <w:hideMark/>
          </w:tcPr>
          <w:p w14:paraId="5E4FCE26"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Secretaría de Seguridad Pública.</w:t>
            </w:r>
          </w:p>
        </w:tc>
        <w:tc>
          <w:tcPr>
            <w:tcW w:w="6514" w:type="dxa"/>
            <w:vAlign w:val="center"/>
            <w:hideMark/>
          </w:tcPr>
          <w:p w14:paraId="36A46325"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La población del estado de Colima goza de seguridad pública.</w:t>
            </w:r>
          </w:p>
        </w:tc>
      </w:tr>
      <w:tr w:rsidR="00B076A2" w:rsidRPr="00CA6B59" w14:paraId="63823CC8" w14:textId="77777777" w:rsidTr="00B3646C">
        <w:trPr>
          <w:trHeight w:val="510"/>
        </w:trPr>
        <w:tc>
          <w:tcPr>
            <w:tcW w:w="1980" w:type="dxa"/>
            <w:vAlign w:val="center"/>
            <w:hideMark/>
          </w:tcPr>
          <w:p w14:paraId="49974E3D"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Secretaría de la Juventud.</w:t>
            </w:r>
          </w:p>
        </w:tc>
        <w:tc>
          <w:tcPr>
            <w:tcW w:w="6514" w:type="dxa"/>
            <w:vAlign w:val="center"/>
            <w:hideMark/>
          </w:tcPr>
          <w:p w14:paraId="4CA14FE1"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Las y los jóvenes colimenses reciben apoyos y servicios para su desarrollo emprendedor y participación juvenil.</w:t>
            </w:r>
          </w:p>
        </w:tc>
      </w:tr>
      <w:tr w:rsidR="00B076A2" w:rsidRPr="00CA6B59" w14:paraId="2C479D68" w14:textId="77777777" w:rsidTr="00B3646C">
        <w:trPr>
          <w:trHeight w:val="1020"/>
        </w:trPr>
        <w:tc>
          <w:tcPr>
            <w:tcW w:w="1980" w:type="dxa"/>
            <w:vAlign w:val="center"/>
            <w:hideMark/>
          </w:tcPr>
          <w:p w14:paraId="1662C0E4"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Secretaría del Trabajo y Previsión Social.</w:t>
            </w:r>
          </w:p>
        </w:tc>
        <w:tc>
          <w:tcPr>
            <w:tcW w:w="6514" w:type="dxa"/>
            <w:vAlign w:val="center"/>
            <w:hideMark/>
          </w:tcPr>
          <w:p w14:paraId="658EA472"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La población en condición de desempleo obtiene una opción laboral a través del Servicio Nacional de Empleo Colima; así como trabajadores, sindicatos y patrones o empresarios reciben atención, asesoría y una impartición de justicia laboral, pronta, expedita e imparcial de mayores y menores.</w:t>
            </w:r>
          </w:p>
        </w:tc>
      </w:tr>
      <w:tr w:rsidR="00B076A2" w:rsidRPr="00CA6B59" w14:paraId="4BB9EAA3" w14:textId="77777777" w:rsidTr="00B3646C">
        <w:trPr>
          <w:trHeight w:val="510"/>
        </w:trPr>
        <w:tc>
          <w:tcPr>
            <w:tcW w:w="1980" w:type="dxa"/>
            <w:vAlign w:val="center"/>
            <w:hideMark/>
          </w:tcPr>
          <w:p w14:paraId="526E5926"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Secretaría de Movilidad.</w:t>
            </w:r>
          </w:p>
        </w:tc>
        <w:tc>
          <w:tcPr>
            <w:tcW w:w="6514" w:type="dxa"/>
            <w:vAlign w:val="center"/>
            <w:hideMark/>
          </w:tcPr>
          <w:p w14:paraId="6E5EF3BF"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Los habitantes y visitantes del Estado de Colima se muevan libremente en diferentes modos de transporte y de forma segura.</w:t>
            </w:r>
          </w:p>
        </w:tc>
      </w:tr>
      <w:tr w:rsidR="00B076A2" w:rsidRPr="00CA6B59" w14:paraId="4FC90964" w14:textId="77777777" w:rsidTr="00B3646C">
        <w:trPr>
          <w:trHeight w:val="510"/>
        </w:trPr>
        <w:tc>
          <w:tcPr>
            <w:tcW w:w="1980" w:type="dxa"/>
            <w:vAlign w:val="center"/>
            <w:hideMark/>
          </w:tcPr>
          <w:p w14:paraId="366B399F"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Consejería Jurídica del Poder Ejecutivo.</w:t>
            </w:r>
          </w:p>
        </w:tc>
        <w:tc>
          <w:tcPr>
            <w:tcW w:w="6514" w:type="dxa"/>
            <w:vAlign w:val="center"/>
            <w:hideMark/>
          </w:tcPr>
          <w:p w14:paraId="4A8E4A66"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El Ejecutivo estatal y la población colimense cuenta con la certeza jurídica que brinda la Consejería Jurídica a través de la consecución de sus labores.</w:t>
            </w:r>
          </w:p>
        </w:tc>
      </w:tr>
      <w:tr w:rsidR="00B076A2" w:rsidRPr="00CA6B59" w14:paraId="7B8F084F" w14:textId="77777777" w:rsidTr="00B3646C">
        <w:trPr>
          <w:trHeight w:val="510"/>
        </w:trPr>
        <w:tc>
          <w:tcPr>
            <w:tcW w:w="1980" w:type="dxa"/>
            <w:vAlign w:val="center"/>
            <w:hideMark/>
          </w:tcPr>
          <w:p w14:paraId="6E7A0F1A"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lastRenderedPageBreak/>
              <w:t>H. Congreso del Estado de Colima</w:t>
            </w:r>
          </w:p>
        </w:tc>
        <w:tc>
          <w:tcPr>
            <w:tcW w:w="6514" w:type="dxa"/>
            <w:vAlign w:val="center"/>
            <w:hideMark/>
          </w:tcPr>
          <w:p w14:paraId="5BA2471D"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El Congreso del Estado de Colima moderniza el marco jurídico estatal para el desarrollo y bienestar del estado.</w:t>
            </w:r>
          </w:p>
        </w:tc>
      </w:tr>
      <w:tr w:rsidR="00B076A2" w:rsidRPr="00CA6B59" w14:paraId="2D90EC15" w14:textId="77777777" w:rsidTr="00B3646C">
        <w:trPr>
          <w:trHeight w:val="315"/>
        </w:trPr>
        <w:tc>
          <w:tcPr>
            <w:tcW w:w="1980" w:type="dxa"/>
            <w:vAlign w:val="center"/>
            <w:hideMark/>
          </w:tcPr>
          <w:p w14:paraId="393ECAAA"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Poder Judicial del Estado.</w:t>
            </w:r>
          </w:p>
        </w:tc>
        <w:tc>
          <w:tcPr>
            <w:tcW w:w="6514" w:type="dxa"/>
            <w:vAlign w:val="center"/>
            <w:hideMark/>
          </w:tcPr>
          <w:p w14:paraId="38F1C149"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Los habitantes del Estado de Colima reciben un servicio de impartición de justicia pronta, imparcial y apegada a la normatividad convencional, constitucional y legal.</w:t>
            </w:r>
          </w:p>
        </w:tc>
      </w:tr>
      <w:tr w:rsidR="00B076A2" w:rsidRPr="00CA6B59" w14:paraId="3F5D5D2C" w14:textId="77777777" w:rsidTr="00B3646C">
        <w:trPr>
          <w:trHeight w:val="765"/>
        </w:trPr>
        <w:tc>
          <w:tcPr>
            <w:tcW w:w="1980" w:type="dxa"/>
            <w:vAlign w:val="center"/>
            <w:hideMark/>
          </w:tcPr>
          <w:p w14:paraId="2BBD9DF3"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 xml:space="preserve">Comisión de Derechos Humanos del Estado de Colima. </w:t>
            </w:r>
          </w:p>
        </w:tc>
        <w:tc>
          <w:tcPr>
            <w:tcW w:w="6514" w:type="dxa"/>
            <w:vAlign w:val="center"/>
            <w:hideMark/>
          </w:tcPr>
          <w:p w14:paraId="24612F39"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La población que habita y transita en el Estado de Colima recibe la atención y servicios de promoción, difusión, protección y defensa de los derechos humanos.</w:t>
            </w:r>
          </w:p>
        </w:tc>
      </w:tr>
      <w:tr w:rsidR="00B076A2" w:rsidRPr="00CA6B59" w14:paraId="27DBAA0A" w14:textId="77777777" w:rsidTr="00B3646C">
        <w:trPr>
          <w:trHeight w:val="765"/>
        </w:trPr>
        <w:tc>
          <w:tcPr>
            <w:tcW w:w="1980" w:type="dxa"/>
            <w:vAlign w:val="center"/>
            <w:hideMark/>
          </w:tcPr>
          <w:p w14:paraId="7BCC350D"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Fiscalía General del Estado de Colima.</w:t>
            </w:r>
          </w:p>
        </w:tc>
        <w:tc>
          <w:tcPr>
            <w:tcW w:w="6514" w:type="dxa"/>
            <w:vAlign w:val="center"/>
            <w:hideMark/>
          </w:tcPr>
          <w:p w14:paraId="641C2C48"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La población del Estado de Colima cuenta con un sistema de procuración e implementación de justicia eficaz, eficiente, transparente, equitativo, con pleno respeto a los derechos humanos.</w:t>
            </w:r>
          </w:p>
        </w:tc>
      </w:tr>
      <w:tr w:rsidR="00B076A2" w:rsidRPr="00CA6B59" w14:paraId="3F958EC0" w14:textId="77777777" w:rsidTr="00B3646C">
        <w:trPr>
          <w:trHeight w:val="1275"/>
        </w:trPr>
        <w:tc>
          <w:tcPr>
            <w:tcW w:w="1980" w:type="dxa"/>
            <w:vAlign w:val="center"/>
            <w:hideMark/>
          </w:tcPr>
          <w:p w14:paraId="3116F9FB"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Instituto Electoral del Estado.</w:t>
            </w:r>
          </w:p>
        </w:tc>
        <w:tc>
          <w:tcPr>
            <w:tcW w:w="6514" w:type="dxa"/>
            <w:vAlign w:val="center"/>
            <w:hideMark/>
          </w:tcPr>
          <w:p w14:paraId="5980DC70"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La ciudadanía cuenta con un órgano de carácter permanente con las mejores condiciones de infraestructura, conocimientos e insumos para organizar y desarrollar procesos de elecciones locales con la mayor participación ciudadana posible, presencia de los partidos políticos, candidaturas independientes y que fomenta la cultura democrática y la educación cívica en la entidad.</w:t>
            </w:r>
          </w:p>
        </w:tc>
      </w:tr>
      <w:tr w:rsidR="00B076A2" w:rsidRPr="00CA6B59" w14:paraId="429C6CD8" w14:textId="77777777" w:rsidTr="00B3646C">
        <w:trPr>
          <w:trHeight w:val="1530"/>
        </w:trPr>
        <w:tc>
          <w:tcPr>
            <w:tcW w:w="1980" w:type="dxa"/>
            <w:vAlign w:val="center"/>
            <w:hideMark/>
          </w:tcPr>
          <w:p w14:paraId="67924253"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Instituto de Transparencia, Acceso a la Información Pública y Protección de Datos del Estado de Colima.</w:t>
            </w:r>
          </w:p>
        </w:tc>
        <w:tc>
          <w:tcPr>
            <w:tcW w:w="6514" w:type="dxa"/>
            <w:vAlign w:val="center"/>
            <w:hideMark/>
          </w:tcPr>
          <w:p w14:paraId="71075D8A"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La población del Estado de Colima ejerce sus derechos en materia de transparencia, acceso a la información pública y protección de datos personales.</w:t>
            </w:r>
          </w:p>
        </w:tc>
      </w:tr>
      <w:tr w:rsidR="00B076A2" w:rsidRPr="00CA6B59" w14:paraId="64E34DC8" w14:textId="77777777" w:rsidTr="00B3646C">
        <w:trPr>
          <w:trHeight w:val="1275"/>
        </w:trPr>
        <w:tc>
          <w:tcPr>
            <w:tcW w:w="1980" w:type="dxa"/>
            <w:vAlign w:val="center"/>
            <w:hideMark/>
          </w:tcPr>
          <w:p w14:paraId="06088219"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Órgano Superior de Auditoría y Fiscalización Gubernamental del Estado.</w:t>
            </w:r>
          </w:p>
        </w:tc>
        <w:tc>
          <w:tcPr>
            <w:tcW w:w="6514" w:type="dxa"/>
            <w:vAlign w:val="center"/>
            <w:hideMark/>
          </w:tcPr>
          <w:p w14:paraId="0F73B494"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El H. Congreso del Estado de Colima a través del OSAFIG realiza la fiscalización, control y evaluación de los recursos públicos ejercidos por las entidades fiscalizables.</w:t>
            </w:r>
          </w:p>
        </w:tc>
      </w:tr>
      <w:tr w:rsidR="00B076A2" w:rsidRPr="00CA6B59" w14:paraId="4ECBBD00" w14:textId="77777777" w:rsidTr="00B3646C">
        <w:trPr>
          <w:trHeight w:val="510"/>
        </w:trPr>
        <w:tc>
          <w:tcPr>
            <w:tcW w:w="1980" w:type="dxa"/>
            <w:vAlign w:val="center"/>
            <w:hideMark/>
          </w:tcPr>
          <w:p w14:paraId="7F2BDE73"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Tribunal Electoral del Estado.</w:t>
            </w:r>
          </w:p>
        </w:tc>
        <w:tc>
          <w:tcPr>
            <w:tcW w:w="6514" w:type="dxa"/>
            <w:vAlign w:val="center"/>
            <w:hideMark/>
          </w:tcPr>
          <w:p w14:paraId="5101D817"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El Estado de Colima cuenta con impartición imparcial y expedita, profesional y especializada.</w:t>
            </w:r>
          </w:p>
        </w:tc>
      </w:tr>
      <w:tr w:rsidR="00B076A2" w:rsidRPr="00CA6B59" w14:paraId="62070D2F" w14:textId="77777777" w:rsidTr="00B3646C">
        <w:trPr>
          <w:trHeight w:val="510"/>
        </w:trPr>
        <w:tc>
          <w:tcPr>
            <w:tcW w:w="1980" w:type="dxa"/>
            <w:vAlign w:val="center"/>
            <w:hideMark/>
          </w:tcPr>
          <w:p w14:paraId="791E903F"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Tribunal de Arbitraje y Escalafón.</w:t>
            </w:r>
          </w:p>
        </w:tc>
        <w:tc>
          <w:tcPr>
            <w:tcW w:w="6514" w:type="dxa"/>
            <w:vAlign w:val="center"/>
            <w:hideMark/>
          </w:tcPr>
          <w:p w14:paraId="2490CCA1"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Los servidores públicos y los entes gubernamentales resuelven sus controversias.</w:t>
            </w:r>
          </w:p>
        </w:tc>
      </w:tr>
      <w:tr w:rsidR="00B076A2" w:rsidRPr="00CA6B59" w14:paraId="0EA01282" w14:textId="77777777" w:rsidTr="00B3646C">
        <w:trPr>
          <w:trHeight w:val="765"/>
        </w:trPr>
        <w:tc>
          <w:tcPr>
            <w:tcW w:w="1980" w:type="dxa"/>
            <w:vAlign w:val="center"/>
            <w:hideMark/>
          </w:tcPr>
          <w:p w14:paraId="4391B5F7"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Tribunal de Justicia Administrativa del Estado de Colima.</w:t>
            </w:r>
          </w:p>
        </w:tc>
        <w:tc>
          <w:tcPr>
            <w:tcW w:w="6514" w:type="dxa"/>
            <w:vAlign w:val="center"/>
            <w:hideMark/>
          </w:tcPr>
          <w:p w14:paraId="47FEA22A"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Las personas físicas o morales reciben impartición de justicia fiscal, administrativa y de responsabilidades de servidores públicos.</w:t>
            </w:r>
          </w:p>
        </w:tc>
      </w:tr>
      <w:tr w:rsidR="00B076A2" w:rsidRPr="00CA6B59" w14:paraId="6268E39A" w14:textId="77777777" w:rsidTr="00B3646C">
        <w:trPr>
          <w:trHeight w:val="1020"/>
        </w:trPr>
        <w:tc>
          <w:tcPr>
            <w:tcW w:w="1980" w:type="dxa"/>
            <w:vAlign w:val="center"/>
            <w:hideMark/>
          </w:tcPr>
          <w:p w14:paraId="2DF2B243"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lastRenderedPageBreak/>
              <w:t>Sistema para el Desarrollo Integral de la Familia del Estado de Colima.</w:t>
            </w:r>
          </w:p>
        </w:tc>
        <w:tc>
          <w:tcPr>
            <w:tcW w:w="6514" w:type="dxa"/>
            <w:vAlign w:val="center"/>
            <w:hideMark/>
          </w:tcPr>
          <w:p w14:paraId="52AD6E2F"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La población en estado de vulnerabilidad del Estado de Colima cuenta con los medios suficientes para superar tal condición.</w:t>
            </w:r>
          </w:p>
        </w:tc>
      </w:tr>
      <w:tr w:rsidR="00B076A2" w:rsidRPr="00CA6B59" w14:paraId="12B2A9C5" w14:textId="77777777" w:rsidTr="00B3646C">
        <w:trPr>
          <w:trHeight w:val="510"/>
        </w:trPr>
        <w:tc>
          <w:tcPr>
            <w:tcW w:w="1980" w:type="dxa"/>
            <w:vAlign w:val="center"/>
            <w:hideMark/>
          </w:tcPr>
          <w:p w14:paraId="6CF085AD"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Instituto Colimense del Deporte.</w:t>
            </w:r>
          </w:p>
        </w:tc>
        <w:tc>
          <w:tcPr>
            <w:tcW w:w="6514" w:type="dxa"/>
            <w:vAlign w:val="center"/>
            <w:hideMark/>
          </w:tcPr>
          <w:p w14:paraId="62452BEA"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La población del Estado de Colima adopta el deporte como forma de vida.</w:t>
            </w:r>
          </w:p>
        </w:tc>
      </w:tr>
      <w:tr w:rsidR="00B076A2" w:rsidRPr="00CA6B59" w14:paraId="7633EB4A" w14:textId="77777777" w:rsidTr="00B3646C">
        <w:trPr>
          <w:trHeight w:val="765"/>
        </w:trPr>
        <w:tc>
          <w:tcPr>
            <w:tcW w:w="1980" w:type="dxa"/>
            <w:vAlign w:val="center"/>
            <w:hideMark/>
          </w:tcPr>
          <w:p w14:paraId="6B27A469"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Consejo de Participación Social del Estado de Colima.</w:t>
            </w:r>
          </w:p>
        </w:tc>
        <w:tc>
          <w:tcPr>
            <w:tcW w:w="6514" w:type="dxa"/>
            <w:vAlign w:val="center"/>
            <w:hideMark/>
          </w:tcPr>
          <w:p w14:paraId="6ADB32AC"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La sociedad civil del Estado de Colima cuenta con mecanismos eficaces para participar en el proceso de planeación democrática estatal y municipal.</w:t>
            </w:r>
          </w:p>
        </w:tc>
      </w:tr>
      <w:tr w:rsidR="00B076A2" w:rsidRPr="00CA6B59" w14:paraId="5B1D2A33" w14:textId="77777777" w:rsidTr="00B3646C">
        <w:trPr>
          <w:trHeight w:val="765"/>
        </w:trPr>
        <w:tc>
          <w:tcPr>
            <w:tcW w:w="1980" w:type="dxa"/>
            <w:vAlign w:val="center"/>
            <w:hideMark/>
          </w:tcPr>
          <w:p w14:paraId="40D66AFF"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Instituto para la Atención de los Adultos Mayores.</w:t>
            </w:r>
          </w:p>
        </w:tc>
        <w:tc>
          <w:tcPr>
            <w:tcW w:w="6514" w:type="dxa"/>
            <w:vAlign w:val="center"/>
            <w:hideMark/>
          </w:tcPr>
          <w:p w14:paraId="7CD38EE0"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Los adultos mayores reciben servicios y apoyos que les permiten la inclusión social y el respeto de sus derechos.</w:t>
            </w:r>
          </w:p>
        </w:tc>
      </w:tr>
      <w:tr w:rsidR="00B076A2" w:rsidRPr="00CA6B59" w14:paraId="43A26C5E" w14:textId="77777777" w:rsidTr="00B3646C">
        <w:trPr>
          <w:trHeight w:val="765"/>
        </w:trPr>
        <w:tc>
          <w:tcPr>
            <w:tcW w:w="1980" w:type="dxa"/>
            <w:vAlign w:val="center"/>
            <w:hideMark/>
          </w:tcPr>
          <w:p w14:paraId="08E8C611"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Instituto Colimense de Infraestructura Física Educativa.</w:t>
            </w:r>
          </w:p>
        </w:tc>
        <w:tc>
          <w:tcPr>
            <w:tcW w:w="6514" w:type="dxa"/>
            <w:vAlign w:val="center"/>
            <w:hideMark/>
          </w:tcPr>
          <w:p w14:paraId="65031DFD"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El Estado de Colima cuenta con una infraestructura y equipamiento educativo suficiente y adecuado.</w:t>
            </w:r>
          </w:p>
        </w:tc>
      </w:tr>
      <w:tr w:rsidR="00B076A2" w:rsidRPr="00CA6B59" w14:paraId="265AF0EB" w14:textId="77777777" w:rsidTr="00B3646C">
        <w:trPr>
          <w:trHeight w:val="510"/>
        </w:trPr>
        <w:tc>
          <w:tcPr>
            <w:tcW w:w="1980" w:type="dxa"/>
            <w:vAlign w:val="center"/>
            <w:hideMark/>
          </w:tcPr>
          <w:p w14:paraId="49243CD9"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 xml:space="preserve">Junta de Asistencia Privada. </w:t>
            </w:r>
          </w:p>
        </w:tc>
        <w:tc>
          <w:tcPr>
            <w:tcW w:w="6514" w:type="dxa"/>
            <w:vAlign w:val="center"/>
            <w:hideMark/>
          </w:tcPr>
          <w:p w14:paraId="0E3F1D7D"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Las Instituciones de Asistencia Privada (IAPS) reciben asistencia y asesoría técnica para el manejo eficaz y eficiente de los recursos para beneficio de la población vulnerable.</w:t>
            </w:r>
          </w:p>
        </w:tc>
      </w:tr>
      <w:tr w:rsidR="00B076A2" w:rsidRPr="00CA6B59" w14:paraId="68FD482D" w14:textId="77777777" w:rsidTr="00B3646C">
        <w:trPr>
          <w:trHeight w:val="765"/>
        </w:trPr>
        <w:tc>
          <w:tcPr>
            <w:tcW w:w="1980" w:type="dxa"/>
            <w:vAlign w:val="center"/>
            <w:hideMark/>
          </w:tcPr>
          <w:p w14:paraId="09D93D2B"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Universidad Tecnológica de Manzanillo.</w:t>
            </w:r>
          </w:p>
        </w:tc>
        <w:tc>
          <w:tcPr>
            <w:tcW w:w="6514" w:type="dxa"/>
            <w:vAlign w:val="center"/>
            <w:hideMark/>
          </w:tcPr>
          <w:p w14:paraId="6E0C4D45"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La población de 18 a 22 años en el Estado de Colima accede a una educación superior de calidad, con amplia cobertura y pertinencia.</w:t>
            </w:r>
          </w:p>
        </w:tc>
      </w:tr>
      <w:tr w:rsidR="00B076A2" w:rsidRPr="00CA6B59" w14:paraId="38C948F1" w14:textId="77777777" w:rsidTr="00B3646C">
        <w:trPr>
          <w:trHeight w:val="765"/>
        </w:trPr>
        <w:tc>
          <w:tcPr>
            <w:tcW w:w="1980" w:type="dxa"/>
            <w:vAlign w:val="center"/>
            <w:hideMark/>
          </w:tcPr>
          <w:p w14:paraId="57C6C6C7"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themeColor="text1"/>
                <w:sz w:val="20"/>
                <w:szCs w:val="20"/>
              </w:rPr>
              <w:t>Instituto Colimense de Radio y Televisión.</w:t>
            </w:r>
          </w:p>
        </w:tc>
        <w:tc>
          <w:tcPr>
            <w:tcW w:w="6514" w:type="dxa"/>
            <w:vAlign w:val="center"/>
            <w:hideMark/>
          </w:tcPr>
          <w:p w14:paraId="7FC4B7BA"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themeColor="text1"/>
                <w:sz w:val="20"/>
                <w:szCs w:val="20"/>
              </w:rPr>
              <w:t>Lograr una cobertura en todo el Estado de la señal de televisión y radio para que los contenidos lleguen al mayor número de colimenses y así servir a la población de la entidad.</w:t>
            </w:r>
          </w:p>
        </w:tc>
      </w:tr>
      <w:tr w:rsidR="00B076A2" w:rsidRPr="00CA6B59" w14:paraId="378C8B1A" w14:textId="77777777" w:rsidTr="00B3646C">
        <w:trPr>
          <w:trHeight w:val="784"/>
        </w:trPr>
        <w:tc>
          <w:tcPr>
            <w:tcW w:w="1980" w:type="dxa"/>
            <w:vAlign w:val="center"/>
            <w:hideMark/>
          </w:tcPr>
          <w:p w14:paraId="1D000E75"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Centro Estatal para la Prevención de la Violencia Familiar.</w:t>
            </w:r>
          </w:p>
        </w:tc>
        <w:tc>
          <w:tcPr>
            <w:tcW w:w="6514" w:type="dxa"/>
            <w:vAlign w:val="center"/>
            <w:hideMark/>
          </w:tcPr>
          <w:p w14:paraId="26376E3B"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Las personas en situación de violencia familiar reciben del CEPAVI la atención metodológica especializada para su erradicación o en su caso para impulsar la procuración de la sanción por la violencia.</w:t>
            </w:r>
          </w:p>
        </w:tc>
      </w:tr>
      <w:tr w:rsidR="00B076A2" w:rsidRPr="00CA6B59" w14:paraId="1D3763BB" w14:textId="77777777" w:rsidTr="00B3646C">
        <w:trPr>
          <w:trHeight w:val="510"/>
        </w:trPr>
        <w:tc>
          <w:tcPr>
            <w:tcW w:w="1980" w:type="dxa"/>
            <w:vAlign w:val="center"/>
            <w:hideMark/>
          </w:tcPr>
          <w:p w14:paraId="25C12ABB"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Instituto Colimense para la Discapacidad.</w:t>
            </w:r>
          </w:p>
        </w:tc>
        <w:tc>
          <w:tcPr>
            <w:tcW w:w="6514" w:type="dxa"/>
            <w:vAlign w:val="center"/>
            <w:hideMark/>
          </w:tcPr>
          <w:p w14:paraId="7E9109F1"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Las personas con discapacidad reciben servicios que los permiten la inclusión social y el respeto a sus derechos.</w:t>
            </w:r>
          </w:p>
        </w:tc>
      </w:tr>
      <w:tr w:rsidR="00B076A2" w:rsidRPr="00CA6B59" w14:paraId="495C0428" w14:textId="77777777" w:rsidTr="00B3646C">
        <w:trPr>
          <w:trHeight w:val="375"/>
        </w:trPr>
        <w:tc>
          <w:tcPr>
            <w:tcW w:w="1980" w:type="dxa"/>
            <w:vAlign w:val="center"/>
            <w:hideMark/>
          </w:tcPr>
          <w:p w14:paraId="70F9B61A"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Comisión Estatal del Agua de Colima.</w:t>
            </w:r>
          </w:p>
        </w:tc>
        <w:tc>
          <w:tcPr>
            <w:tcW w:w="6514" w:type="dxa"/>
            <w:vAlign w:val="center"/>
            <w:hideMark/>
          </w:tcPr>
          <w:p w14:paraId="36CBF3FD"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El Estado de Colima cuenta con amplia cobertura y eficiencia de los servicios de agua potable, drenaje y saneamiento.</w:t>
            </w:r>
          </w:p>
        </w:tc>
      </w:tr>
      <w:tr w:rsidR="00B076A2" w:rsidRPr="00CA6B59" w14:paraId="6763DF81" w14:textId="77777777" w:rsidTr="00B3646C">
        <w:trPr>
          <w:trHeight w:val="1020"/>
        </w:trPr>
        <w:tc>
          <w:tcPr>
            <w:tcW w:w="1980" w:type="dxa"/>
            <w:vAlign w:val="center"/>
            <w:hideMark/>
          </w:tcPr>
          <w:p w14:paraId="6A1844CD"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Instituto Colimense de las Mujeres.</w:t>
            </w:r>
          </w:p>
        </w:tc>
        <w:tc>
          <w:tcPr>
            <w:tcW w:w="6514" w:type="dxa"/>
            <w:vAlign w:val="center"/>
            <w:hideMark/>
          </w:tcPr>
          <w:p w14:paraId="4014573F"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Las mujeres del Estado de Colima ejercen plenamente sus derechos y cuentan con condiciones igualitarias respecto a los hombres en los ámbitos social, educativo, económico, político, cultural y de salud, así como con un ambiente libre de violencia de género.</w:t>
            </w:r>
          </w:p>
        </w:tc>
      </w:tr>
      <w:tr w:rsidR="00B076A2" w:rsidRPr="00CA6B59" w14:paraId="652A078D" w14:textId="77777777" w:rsidTr="00B3646C">
        <w:trPr>
          <w:trHeight w:val="765"/>
        </w:trPr>
        <w:tc>
          <w:tcPr>
            <w:tcW w:w="1980" w:type="dxa"/>
            <w:vAlign w:val="center"/>
            <w:hideMark/>
          </w:tcPr>
          <w:p w14:paraId="7D824CF9"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lastRenderedPageBreak/>
              <w:t>Colegio de Educación Profesional Técnica del Estado de Colima.</w:t>
            </w:r>
          </w:p>
        </w:tc>
        <w:tc>
          <w:tcPr>
            <w:tcW w:w="6514" w:type="dxa"/>
            <w:vAlign w:val="center"/>
            <w:hideMark/>
          </w:tcPr>
          <w:p w14:paraId="0ACFE8FE"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La población de 15 a 17 años del Estado de Colima supera limitaciones de cobertura, permanencia y calidad en educación media superior.</w:t>
            </w:r>
          </w:p>
        </w:tc>
      </w:tr>
      <w:tr w:rsidR="00B076A2" w:rsidRPr="00CA6B59" w14:paraId="1FBBEAFF" w14:textId="77777777" w:rsidTr="00B3646C">
        <w:trPr>
          <w:trHeight w:val="1020"/>
        </w:trPr>
        <w:tc>
          <w:tcPr>
            <w:tcW w:w="1980" w:type="dxa"/>
            <w:vAlign w:val="center"/>
            <w:hideMark/>
          </w:tcPr>
          <w:p w14:paraId="18709DAB"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Instituto Colimense para la Sociedad de la Información y el Conocimiento.</w:t>
            </w:r>
          </w:p>
        </w:tc>
        <w:tc>
          <w:tcPr>
            <w:tcW w:w="6514" w:type="dxa"/>
            <w:vAlign w:val="center"/>
            <w:hideMark/>
          </w:tcPr>
          <w:p w14:paraId="335D5CBF"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La sociedad colimense este integrada y totalmente intercomunicada promoviendo la construcción de una sociedad de la información y el conocimiento, inclusiva, centrada en las personas y orientada al desarrollo.</w:t>
            </w:r>
          </w:p>
        </w:tc>
      </w:tr>
      <w:tr w:rsidR="00B076A2" w:rsidRPr="00CA6B59" w14:paraId="64B02558" w14:textId="77777777" w:rsidTr="00B3646C">
        <w:trPr>
          <w:trHeight w:val="1020"/>
        </w:trPr>
        <w:tc>
          <w:tcPr>
            <w:tcW w:w="1980" w:type="dxa"/>
            <w:vAlign w:val="center"/>
            <w:hideMark/>
          </w:tcPr>
          <w:p w14:paraId="073309CA"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Instituto para el Medio Ambiente y Desarrollo Sustentable.</w:t>
            </w:r>
          </w:p>
        </w:tc>
        <w:tc>
          <w:tcPr>
            <w:tcW w:w="6514" w:type="dxa"/>
            <w:vAlign w:val="center"/>
            <w:hideMark/>
          </w:tcPr>
          <w:p w14:paraId="4C0B32FE"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La población del Estado de Colima participa de manera informada, en las acciones de conservación, restauración y aprovechamiento sustentable de los recursos naturales, protección al ambiente, y de mitigación y adaptación al cambio climático.</w:t>
            </w:r>
          </w:p>
        </w:tc>
      </w:tr>
      <w:tr w:rsidR="00B076A2" w:rsidRPr="00CA6B59" w14:paraId="43CB56CE" w14:textId="77777777" w:rsidTr="00B3646C">
        <w:trPr>
          <w:trHeight w:val="765"/>
        </w:trPr>
        <w:tc>
          <w:tcPr>
            <w:tcW w:w="1980" w:type="dxa"/>
            <w:vAlign w:val="center"/>
            <w:hideMark/>
          </w:tcPr>
          <w:p w14:paraId="54959076"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Instituto para el Registro del Territorio del Estado de Colima.</w:t>
            </w:r>
          </w:p>
        </w:tc>
        <w:tc>
          <w:tcPr>
            <w:tcW w:w="6514" w:type="dxa"/>
            <w:vAlign w:val="center"/>
            <w:hideMark/>
          </w:tcPr>
          <w:p w14:paraId="08D3E380"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Los usuarios de los servicios registrales, catastrales y territoriales del Estado reciben de manera oportuna y eficiente la certeza y seguridad jurídica de sus propiedades.</w:t>
            </w:r>
          </w:p>
        </w:tc>
      </w:tr>
      <w:tr w:rsidR="00B076A2" w:rsidRPr="00CA6B59" w14:paraId="3512329B" w14:textId="77777777" w:rsidTr="00B3646C">
        <w:trPr>
          <w:trHeight w:val="504"/>
        </w:trPr>
        <w:tc>
          <w:tcPr>
            <w:tcW w:w="1980" w:type="dxa"/>
            <w:vAlign w:val="center"/>
            <w:hideMark/>
          </w:tcPr>
          <w:p w14:paraId="6ACDE43E"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 xml:space="preserve">Secretaría Ejecutiva del Sistema Anticorrupción del Estado de Colima. </w:t>
            </w:r>
          </w:p>
        </w:tc>
        <w:tc>
          <w:tcPr>
            <w:tcW w:w="6514" w:type="dxa"/>
            <w:vAlign w:val="center"/>
            <w:hideMark/>
          </w:tcPr>
          <w:p w14:paraId="77B9FC55"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La población en el Estado de Colima cuenta con un Sistema Estatal Anticorrupción que garantiza la prevención, investigación y sanción de las faltas administrativas y los hechos de corrupción, así como la fiscalización y control de los recursos públicos.</w:t>
            </w:r>
          </w:p>
        </w:tc>
      </w:tr>
      <w:tr w:rsidR="00B076A2" w:rsidRPr="00CA6B59" w14:paraId="71C87E11" w14:textId="77777777" w:rsidTr="00B3646C">
        <w:trPr>
          <w:trHeight w:val="993"/>
        </w:trPr>
        <w:tc>
          <w:tcPr>
            <w:tcW w:w="1980" w:type="dxa"/>
            <w:vAlign w:val="center"/>
            <w:hideMark/>
          </w:tcPr>
          <w:p w14:paraId="162C232D"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Órgano de Gestión y Control del Patrimonio Inmobiliario del Estado de Colima.</w:t>
            </w:r>
          </w:p>
        </w:tc>
        <w:tc>
          <w:tcPr>
            <w:tcW w:w="6514" w:type="dxa"/>
            <w:vAlign w:val="center"/>
            <w:hideMark/>
          </w:tcPr>
          <w:p w14:paraId="364E3809"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El Gobierno del Estado de Colima realiza una eficaz administración de su patrimonio inmobiliario, con estricto apego a la normatividad aplicable.</w:t>
            </w:r>
          </w:p>
        </w:tc>
      </w:tr>
      <w:tr w:rsidR="00B076A2" w:rsidRPr="00CA6B59" w14:paraId="75FB4FDD" w14:textId="77777777" w:rsidTr="00B3646C">
        <w:trPr>
          <w:trHeight w:val="510"/>
        </w:trPr>
        <w:tc>
          <w:tcPr>
            <w:tcW w:w="1980" w:type="dxa"/>
            <w:vAlign w:val="center"/>
            <w:hideMark/>
          </w:tcPr>
          <w:p w14:paraId="33995959"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Universidad de Colima.</w:t>
            </w:r>
          </w:p>
        </w:tc>
        <w:tc>
          <w:tcPr>
            <w:tcW w:w="6514" w:type="dxa"/>
            <w:vAlign w:val="center"/>
            <w:hideMark/>
          </w:tcPr>
          <w:p w14:paraId="1D0578E3"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La población de 15 a 22 años en el Estado de Colima accede a una educación media superior y superior de calidad, con amplia cobertura, permanencia y pertinencia.</w:t>
            </w:r>
          </w:p>
        </w:tc>
      </w:tr>
      <w:tr w:rsidR="00B076A2" w:rsidRPr="00CA6B59" w14:paraId="26E3A2FA" w14:textId="77777777" w:rsidTr="00B3646C">
        <w:trPr>
          <w:trHeight w:val="765"/>
        </w:trPr>
        <w:tc>
          <w:tcPr>
            <w:tcW w:w="1980" w:type="dxa"/>
            <w:vAlign w:val="center"/>
            <w:hideMark/>
          </w:tcPr>
          <w:p w14:paraId="4533C25A"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Procuraduría de Protección de Niñas, Niños y Adolescentes</w:t>
            </w:r>
          </w:p>
        </w:tc>
        <w:tc>
          <w:tcPr>
            <w:tcW w:w="6514" w:type="dxa"/>
            <w:vAlign w:val="center"/>
            <w:hideMark/>
          </w:tcPr>
          <w:p w14:paraId="6DB3D447"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Niñas, Niños y Adolescentes (NNA) son atendidos, protegidos y restituidos en sus derechos conforme a la competencia de la Procuraduría de Protección de Niñas, Niños y Adolescentes (PRONNA).</w:t>
            </w:r>
          </w:p>
        </w:tc>
      </w:tr>
      <w:tr w:rsidR="00B076A2" w:rsidRPr="00CA6B59" w14:paraId="0212BE00" w14:textId="77777777" w:rsidTr="00B3646C">
        <w:trPr>
          <w:trHeight w:val="510"/>
        </w:trPr>
        <w:tc>
          <w:tcPr>
            <w:tcW w:w="1980" w:type="dxa"/>
            <w:vAlign w:val="center"/>
            <w:hideMark/>
          </w:tcPr>
          <w:p w14:paraId="05F01BFA"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Tecnológico Nacional de México Campus Colima</w:t>
            </w:r>
          </w:p>
        </w:tc>
        <w:tc>
          <w:tcPr>
            <w:tcW w:w="6514" w:type="dxa"/>
            <w:vAlign w:val="center"/>
            <w:hideMark/>
          </w:tcPr>
          <w:p w14:paraId="676E006A"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La población de 18 a 22 años en el Estado de Colima accede a una educación superior de calidad, con amplia cobertura y pertinencia.</w:t>
            </w:r>
          </w:p>
        </w:tc>
      </w:tr>
      <w:tr w:rsidR="00B076A2" w:rsidRPr="00CA6B59" w14:paraId="359A6CCE" w14:textId="77777777" w:rsidTr="00B3646C">
        <w:trPr>
          <w:trHeight w:val="643"/>
        </w:trPr>
        <w:tc>
          <w:tcPr>
            <w:tcW w:w="1980" w:type="dxa"/>
            <w:vAlign w:val="center"/>
            <w:hideMark/>
          </w:tcPr>
          <w:p w14:paraId="240FB129"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Instituto Estatal de Educación para Adultos.</w:t>
            </w:r>
          </w:p>
        </w:tc>
        <w:tc>
          <w:tcPr>
            <w:tcW w:w="6514" w:type="dxa"/>
            <w:vAlign w:val="center"/>
            <w:hideMark/>
          </w:tcPr>
          <w:p w14:paraId="090C3D5A"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El Estado de Colima abate el rezago educativo.</w:t>
            </w:r>
          </w:p>
        </w:tc>
      </w:tr>
      <w:tr w:rsidR="00B076A2" w:rsidRPr="00674948" w14:paraId="67396E95" w14:textId="77777777" w:rsidTr="00B3646C">
        <w:trPr>
          <w:trHeight w:val="510"/>
        </w:trPr>
        <w:tc>
          <w:tcPr>
            <w:tcW w:w="1980" w:type="dxa"/>
            <w:vAlign w:val="center"/>
            <w:hideMark/>
          </w:tcPr>
          <w:p w14:paraId="004CDCC7"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lastRenderedPageBreak/>
              <w:t>Unidad Estatal de Protección Civil.</w:t>
            </w:r>
          </w:p>
        </w:tc>
        <w:tc>
          <w:tcPr>
            <w:tcW w:w="6514" w:type="dxa"/>
            <w:vAlign w:val="center"/>
            <w:hideMark/>
          </w:tcPr>
          <w:p w14:paraId="1FBE6BC7" w14:textId="77777777" w:rsidR="00B076A2" w:rsidRPr="00D038C0" w:rsidRDefault="00B076A2" w:rsidP="00B3646C">
            <w:pPr>
              <w:spacing w:after="0" w:line="240" w:lineRule="auto"/>
              <w:jc w:val="both"/>
              <w:rPr>
                <w:rFonts w:ascii="Arial" w:eastAsia="Times New Roman" w:hAnsi="Arial" w:cs="Arial"/>
                <w:bCs/>
                <w:color w:val="000000"/>
                <w:sz w:val="20"/>
                <w:szCs w:val="20"/>
              </w:rPr>
            </w:pPr>
            <w:r w:rsidRPr="00D038C0">
              <w:rPr>
                <w:rFonts w:ascii="Arial" w:eastAsia="Times New Roman" w:hAnsi="Arial" w:cs="Arial"/>
                <w:bCs/>
                <w:color w:val="000000"/>
                <w:sz w:val="20"/>
                <w:szCs w:val="20"/>
              </w:rPr>
              <w:t>El Estado de Colima cuenta con un sistema de protección civil eficaz.</w:t>
            </w:r>
          </w:p>
        </w:tc>
      </w:tr>
    </w:tbl>
    <w:p w14:paraId="215448AF" w14:textId="77777777" w:rsidR="00B076A2" w:rsidRPr="00CD5119" w:rsidRDefault="00B076A2" w:rsidP="00B076A2">
      <w:pPr>
        <w:spacing w:after="0" w:line="240" w:lineRule="auto"/>
        <w:jc w:val="both"/>
        <w:rPr>
          <w:rFonts w:ascii="Arial" w:hAnsi="Arial" w:cs="Arial"/>
          <w:sz w:val="16"/>
        </w:rPr>
      </w:pPr>
      <w:r>
        <w:rPr>
          <w:rFonts w:ascii="Arial" w:hAnsi="Arial" w:cs="Arial"/>
          <w:sz w:val="16"/>
        </w:rPr>
        <w:t>Fuente: Matrices de Indicadores para Resultados, 2021. /1 Los objetivos están redactados con base en la Metodología del Marco Lógico para nivel de propósito.</w:t>
      </w:r>
    </w:p>
    <w:p w14:paraId="39753366" w14:textId="77777777" w:rsidR="00B076A2" w:rsidRDefault="00B076A2" w:rsidP="00B076A2">
      <w:pPr>
        <w:spacing w:after="0" w:line="240" w:lineRule="auto"/>
        <w:jc w:val="both"/>
        <w:rPr>
          <w:rFonts w:ascii="Arial" w:hAnsi="Arial" w:cs="Arial"/>
          <w:sz w:val="24"/>
        </w:rPr>
      </w:pPr>
    </w:p>
    <w:p w14:paraId="60419104" w14:textId="77777777" w:rsidR="00B076A2" w:rsidRDefault="00B076A2" w:rsidP="00B076A2">
      <w:pPr>
        <w:spacing w:after="0" w:line="240" w:lineRule="auto"/>
        <w:jc w:val="both"/>
        <w:rPr>
          <w:rFonts w:ascii="Arial" w:hAnsi="Arial" w:cs="Arial"/>
          <w:sz w:val="24"/>
        </w:rPr>
      </w:pPr>
      <w:r>
        <w:rPr>
          <w:rFonts w:ascii="Arial" w:hAnsi="Arial" w:cs="Arial"/>
          <w:sz w:val="24"/>
        </w:rPr>
        <w:t>Los objetivos constituyen los propósitos que persiguen l</w:t>
      </w:r>
      <w:r w:rsidRPr="005D77E9">
        <w:rPr>
          <w:rFonts w:ascii="Arial" w:hAnsi="Arial" w:cs="Arial"/>
          <w:sz w:val="24"/>
        </w:rPr>
        <w:t>os Poderes</w:t>
      </w:r>
      <w:r>
        <w:rPr>
          <w:rFonts w:ascii="Arial" w:hAnsi="Arial" w:cs="Arial"/>
          <w:sz w:val="24"/>
        </w:rPr>
        <w:t xml:space="preserve"> Ejecutivo,</w:t>
      </w:r>
      <w:r w:rsidRPr="005D77E9">
        <w:rPr>
          <w:rFonts w:ascii="Arial" w:hAnsi="Arial" w:cs="Arial"/>
          <w:sz w:val="24"/>
        </w:rPr>
        <w:t xml:space="preserve"> Legislativo y Judicial, los Organismos Constitucionalmente Autónomos, las Dependencias y Entidades</w:t>
      </w:r>
      <w:r>
        <w:rPr>
          <w:rFonts w:ascii="Arial" w:hAnsi="Arial" w:cs="Arial"/>
          <w:sz w:val="24"/>
        </w:rPr>
        <w:t xml:space="preserve"> de la Administración Pública Estatal, y estos, a su vez, tienen indicadores para su seguimiento, evaluación y control. El trabajo de cada uno de los Entes Gubernamentales se ve reflejado a través de la evaluación del cumplimiento de sus objetivos mediante las Matrices de Indicadores para Resultados y las Fichas Técnicas de Indicadores. </w:t>
      </w:r>
    </w:p>
    <w:p w14:paraId="4E6532CD" w14:textId="77777777" w:rsidR="00B076A2" w:rsidRPr="000A65EB" w:rsidRDefault="00B076A2" w:rsidP="00B076A2">
      <w:pPr>
        <w:spacing w:after="0" w:line="240" w:lineRule="auto"/>
        <w:jc w:val="both"/>
        <w:rPr>
          <w:rFonts w:ascii="Arial" w:hAnsi="Arial" w:cs="Arial"/>
          <w:sz w:val="24"/>
        </w:rPr>
      </w:pPr>
    </w:p>
    <w:p w14:paraId="1B5AAEFA" w14:textId="77777777" w:rsidR="00B076A2" w:rsidRPr="000D681D" w:rsidRDefault="00B076A2" w:rsidP="00B076A2">
      <w:pPr>
        <w:spacing w:after="0" w:line="240" w:lineRule="auto"/>
        <w:jc w:val="both"/>
        <w:rPr>
          <w:rFonts w:ascii="Arial" w:hAnsi="Arial" w:cs="Arial"/>
          <w:b/>
          <w:sz w:val="24"/>
        </w:rPr>
      </w:pPr>
      <w:r>
        <w:rPr>
          <w:rFonts w:ascii="Arial" w:hAnsi="Arial" w:cs="Arial"/>
          <w:b/>
          <w:sz w:val="24"/>
        </w:rPr>
        <w:t>2.1.2</w:t>
      </w:r>
      <w:r w:rsidRPr="000D681D">
        <w:rPr>
          <w:rFonts w:ascii="Arial" w:hAnsi="Arial" w:cs="Arial"/>
          <w:b/>
          <w:sz w:val="24"/>
        </w:rPr>
        <w:t xml:space="preserve">. </w:t>
      </w:r>
      <w:r>
        <w:rPr>
          <w:rFonts w:ascii="Arial" w:hAnsi="Arial" w:cs="Arial"/>
          <w:b/>
          <w:sz w:val="24"/>
        </w:rPr>
        <w:t>Estrategias en materia de presupuestación</w:t>
      </w:r>
    </w:p>
    <w:p w14:paraId="00F771C2" w14:textId="77777777" w:rsidR="00B076A2" w:rsidRDefault="00B076A2" w:rsidP="00B076A2">
      <w:pPr>
        <w:spacing w:after="0" w:line="240" w:lineRule="auto"/>
        <w:jc w:val="both"/>
        <w:rPr>
          <w:rFonts w:ascii="Arial" w:hAnsi="Arial" w:cs="Arial"/>
          <w:sz w:val="24"/>
        </w:rPr>
      </w:pPr>
    </w:p>
    <w:p w14:paraId="2FD3D726" w14:textId="77777777" w:rsidR="00B076A2" w:rsidRDefault="00B076A2" w:rsidP="00B076A2">
      <w:pPr>
        <w:spacing w:after="0" w:line="240" w:lineRule="auto"/>
        <w:jc w:val="both"/>
        <w:rPr>
          <w:rFonts w:ascii="Arial" w:hAnsi="Arial" w:cs="Arial"/>
          <w:sz w:val="24"/>
        </w:rPr>
      </w:pPr>
      <w:r w:rsidRPr="009F0199">
        <w:rPr>
          <w:rFonts w:ascii="Arial" w:hAnsi="Arial" w:cs="Arial"/>
          <w:sz w:val="24"/>
        </w:rPr>
        <w:t xml:space="preserve">Ante un entorno externo, complejo, en el que </w:t>
      </w:r>
      <w:r>
        <w:rPr>
          <w:rFonts w:ascii="Arial" w:hAnsi="Arial" w:cs="Arial"/>
          <w:sz w:val="24"/>
        </w:rPr>
        <w:t>impera</w:t>
      </w:r>
      <w:r w:rsidRPr="009F0199">
        <w:rPr>
          <w:rFonts w:ascii="Arial" w:hAnsi="Arial" w:cs="Arial"/>
          <w:sz w:val="24"/>
        </w:rPr>
        <w:t xml:space="preserve"> la incertidumbre, donde</w:t>
      </w:r>
      <w:r>
        <w:rPr>
          <w:rFonts w:ascii="Arial" w:hAnsi="Arial" w:cs="Arial"/>
          <w:sz w:val="24"/>
        </w:rPr>
        <w:t xml:space="preserve"> nos enfrentamos a una de las peores contracciones económicas de la que se tenga registro, y dado el comportamiento de las finanzas públicas internacionales y nacionales, el Gobierno del Estado de Colima, se compromete a seguir a impulsando la calidad y eficiencia en el ejercicio de los recursos públicos.</w:t>
      </w:r>
    </w:p>
    <w:p w14:paraId="6CF1A512" w14:textId="77777777" w:rsidR="00B076A2" w:rsidRDefault="00B076A2" w:rsidP="00B076A2">
      <w:pPr>
        <w:spacing w:after="0" w:line="240" w:lineRule="auto"/>
        <w:jc w:val="both"/>
        <w:rPr>
          <w:rFonts w:ascii="Arial" w:hAnsi="Arial" w:cs="Arial"/>
          <w:sz w:val="24"/>
        </w:rPr>
      </w:pPr>
    </w:p>
    <w:p w14:paraId="0D5687D6" w14:textId="77777777" w:rsidR="00B076A2" w:rsidRDefault="00B076A2" w:rsidP="00B076A2">
      <w:pPr>
        <w:spacing w:after="0" w:line="240" w:lineRule="auto"/>
        <w:jc w:val="both"/>
        <w:rPr>
          <w:rFonts w:ascii="Arial" w:hAnsi="Arial" w:cs="Arial"/>
          <w:sz w:val="24"/>
        </w:rPr>
      </w:pPr>
      <w:r>
        <w:rPr>
          <w:rFonts w:ascii="Arial" w:hAnsi="Arial" w:cs="Arial"/>
          <w:sz w:val="24"/>
        </w:rPr>
        <w:t>En esta tesitura, la propuesta de Presupuesto que se somete a consideración de esa Soberanía, considera el fortalecimiento del Presupuesto basado en Resultados (PbR), así como el Sistema de Evaluación del Desempeño (SED), a partir de las siguientes Estrategias:</w:t>
      </w:r>
    </w:p>
    <w:p w14:paraId="4BA5C1FB" w14:textId="77777777" w:rsidR="00B076A2" w:rsidRDefault="00B076A2" w:rsidP="00B076A2">
      <w:pPr>
        <w:spacing w:after="0" w:line="240" w:lineRule="auto"/>
        <w:jc w:val="both"/>
        <w:rPr>
          <w:rFonts w:ascii="Arial" w:hAnsi="Arial" w:cs="Arial"/>
          <w:sz w:val="24"/>
        </w:rPr>
      </w:pPr>
    </w:p>
    <w:p w14:paraId="310F9E97" w14:textId="77777777" w:rsidR="00B076A2" w:rsidRPr="00DE4A6F" w:rsidRDefault="00B076A2" w:rsidP="00B076A2">
      <w:pPr>
        <w:spacing w:after="0" w:line="240" w:lineRule="auto"/>
        <w:jc w:val="both"/>
        <w:rPr>
          <w:rFonts w:ascii="Arial" w:hAnsi="Arial" w:cs="Arial"/>
          <w:i/>
          <w:sz w:val="24"/>
        </w:rPr>
      </w:pPr>
      <w:r w:rsidRPr="00DE4A6F">
        <w:rPr>
          <w:rFonts w:ascii="Arial" w:hAnsi="Arial" w:cs="Arial"/>
          <w:i/>
          <w:sz w:val="24"/>
        </w:rPr>
        <w:t>Estrategia 1. Actualización de Programas Presupuestarios de acuerdo a los requerimientos actuales y alineados a los instrumentos de planeación</w:t>
      </w:r>
      <w:r>
        <w:rPr>
          <w:rFonts w:ascii="Arial" w:hAnsi="Arial" w:cs="Arial"/>
          <w:i/>
          <w:sz w:val="24"/>
        </w:rPr>
        <w:t>.</w:t>
      </w:r>
    </w:p>
    <w:p w14:paraId="3F43C99E" w14:textId="77777777" w:rsidR="00B076A2" w:rsidRDefault="00B076A2" w:rsidP="00B076A2">
      <w:pPr>
        <w:spacing w:after="0" w:line="240" w:lineRule="auto"/>
        <w:jc w:val="both"/>
        <w:rPr>
          <w:rFonts w:ascii="Arial" w:hAnsi="Arial" w:cs="Arial"/>
          <w:sz w:val="24"/>
        </w:rPr>
      </w:pPr>
    </w:p>
    <w:p w14:paraId="269A862C" w14:textId="77777777" w:rsidR="00B076A2" w:rsidRDefault="00B076A2" w:rsidP="00B076A2">
      <w:pPr>
        <w:spacing w:after="0" w:line="240" w:lineRule="auto"/>
        <w:jc w:val="both"/>
        <w:rPr>
          <w:rFonts w:ascii="Arial" w:hAnsi="Arial" w:cs="Arial"/>
          <w:sz w:val="24"/>
        </w:rPr>
      </w:pPr>
      <w:r>
        <w:rPr>
          <w:rFonts w:ascii="Arial" w:hAnsi="Arial" w:cs="Arial"/>
          <w:sz w:val="24"/>
        </w:rPr>
        <w:t xml:space="preserve">Los ingresos son escasos y las necesidades sociales y públicas se han intensificado a un ritmo acelerado a consecuencia de las medidas impuestas para la contención del virus SARS-CoV-2, la principal fuente de ingresos son las transferencias del Gobierno Federal, las cuales han mostrado en términos reales reducciones; según estimaciones estas equivalen a -6.2 por ciento real respecto al ejercicio fiscal 2020, por ello es de suma importancia la revisión y actualización </w:t>
      </w:r>
      <w:r>
        <w:rPr>
          <w:rFonts w:ascii="Arial" w:hAnsi="Arial" w:cs="Arial"/>
          <w:sz w:val="24"/>
        </w:rPr>
        <w:lastRenderedPageBreak/>
        <w:t>de los Programas Presupuestarios tomando en consideración los resultados de las evaluaciones realizadas a los mismos.</w:t>
      </w:r>
    </w:p>
    <w:p w14:paraId="1119FC50" w14:textId="77777777" w:rsidR="00B076A2" w:rsidRDefault="00B076A2" w:rsidP="00B076A2">
      <w:pPr>
        <w:spacing w:after="0" w:line="240" w:lineRule="auto"/>
        <w:jc w:val="both"/>
        <w:rPr>
          <w:rFonts w:ascii="Arial" w:hAnsi="Arial" w:cs="Arial"/>
          <w:sz w:val="24"/>
        </w:rPr>
      </w:pPr>
    </w:p>
    <w:p w14:paraId="2CF130A0" w14:textId="77777777" w:rsidR="00B076A2" w:rsidRDefault="00B076A2" w:rsidP="00B076A2">
      <w:pPr>
        <w:spacing w:after="0" w:line="240" w:lineRule="auto"/>
        <w:jc w:val="both"/>
        <w:rPr>
          <w:rFonts w:ascii="Arial" w:hAnsi="Arial" w:cs="Arial"/>
          <w:sz w:val="24"/>
        </w:rPr>
      </w:pPr>
      <w:r>
        <w:rPr>
          <w:rFonts w:ascii="Arial" w:hAnsi="Arial" w:cs="Arial"/>
          <w:sz w:val="24"/>
        </w:rPr>
        <w:t xml:space="preserve">En este sentido, se revisaron las complementariedades, similitudes y posibles duplicidades de programas y proyectos para realizar fusiones, mejoras y en su caso las eliminaciones, tomando en consideración también, la disponibilidad de recursos y las necesidades públicas y sociales actuales sobre todo aquellas que nos está dejando la pandemia del COVID-19. Estas modificaciones se verán reflejadas en la nueva estructura programática 2021. </w:t>
      </w:r>
    </w:p>
    <w:p w14:paraId="3BE3405E" w14:textId="77777777" w:rsidR="00B076A2" w:rsidRDefault="00B076A2" w:rsidP="00B076A2">
      <w:pPr>
        <w:spacing w:after="0" w:line="240" w:lineRule="auto"/>
        <w:jc w:val="both"/>
        <w:rPr>
          <w:rFonts w:ascii="Arial" w:hAnsi="Arial" w:cs="Arial"/>
          <w:sz w:val="24"/>
        </w:rPr>
      </w:pPr>
    </w:p>
    <w:p w14:paraId="1829329D" w14:textId="77777777" w:rsidR="00B076A2" w:rsidRDefault="00B076A2" w:rsidP="00B076A2">
      <w:pPr>
        <w:spacing w:after="0" w:line="240" w:lineRule="auto"/>
        <w:jc w:val="both"/>
        <w:rPr>
          <w:rFonts w:ascii="Arial" w:hAnsi="Arial" w:cs="Arial"/>
          <w:sz w:val="24"/>
        </w:rPr>
      </w:pPr>
      <w:r>
        <w:rPr>
          <w:rFonts w:ascii="Arial" w:hAnsi="Arial" w:cs="Arial"/>
          <w:sz w:val="24"/>
        </w:rPr>
        <w:t>No se ha dejado de lado el seguimiento y la consideración de las metas previstas en los Programas Sectoriales, Regionales, Especiales e Institucionales a cargo de las Dependencias y Organismos, con ello se focalizan las políticas públicas y se adecuan, año con año, los objetivos de acuerdo a la disponibilidad de recursos para generar acciones que creen valor público y atiendan las necesidades actuales, en beneficio de la sociedad.</w:t>
      </w:r>
    </w:p>
    <w:p w14:paraId="7F876A0D" w14:textId="77777777" w:rsidR="00B076A2" w:rsidRDefault="00B076A2" w:rsidP="00B076A2">
      <w:pPr>
        <w:spacing w:after="0" w:line="240" w:lineRule="auto"/>
        <w:jc w:val="both"/>
        <w:rPr>
          <w:rFonts w:ascii="Arial" w:hAnsi="Arial" w:cs="Arial"/>
          <w:sz w:val="24"/>
        </w:rPr>
      </w:pPr>
    </w:p>
    <w:p w14:paraId="08FC7DB2" w14:textId="77777777" w:rsidR="00B076A2" w:rsidRDefault="00B076A2" w:rsidP="00B076A2">
      <w:pPr>
        <w:spacing w:after="0" w:line="240" w:lineRule="auto"/>
        <w:jc w:val="both"/>
        <w:rPr>
          <w:rFonts w:ascii="Arial" w:hAnsi="Arial" w:cs="Arial"/>
          <w:sz w:val="24"/>
        </w:rPr>
      </w:pPr>
      <w:r>
        <w:rPr>
          <w:rFonts w:ascii="Arial" w:hAnsi="Arial" w:cs="Arial"/>
          <w:sz w:val="24"/>
        </w:rPr>
        <w:t>En consecuencia, se tiene como producto la reestructuración de las Matrices de Indicadores para Resultados de los Programas Presupuestarios, mejorando los indicadores para resultados para un correcto seguimiento y control.</w:t>
      </w:r>
    </w:p>
    <w:p w14:paraId="596ECAA3" w14:textId="77777777" w:rsidR="00B076A2" w:rsidRDefault="00B076A2" w:rsidP="00B076A2">
      <w:pPr>
        <w:spacing w:after="0" w:line="240" w:lineRule="auto"/>
        <w:jc w:val="both"/>
        <w:rPr>
          <w:rFonts w:ascii="Arial" w:hAnsi="Arial" w:cs="Arial"/>
          <w:sz w:val="24"/>
        </w:rPr>
      </w:pPr>
    </w:p>
    <w:p w14:paraId="0A60B92B" w14:textId="77777777" w:rsidR="00B076A2" w:rsidRDefault="00B076A2" w:rsidP="00B076A2">
      <w:pPr>
        <w:spacing w:after="0" w:line="240" w:lineRule="auto"/>
        <w:jc w:val="both"/>
        <w:rPr>
          <w:rFonts w:ascii="Arial" w:hAnsi="Arial" w:cs="Arial"/>
          <w:sz w:val="24"/>
        </w:rPr>
      </w:pPr>
      <w:r>
        <w:rPr>
          <w:rFonts w:ascii="Arial" w:hAnsi="Arial" w:cs="Arial"/>
          <w:sz w:val="24"/>
        </w:rPr>
        <w:t xml:space="preserve">Además, se consolidó la Clave Presupuestaria que operará en 2021, con ello se fortalece la vinculación de los elementos de planeación, programáticos y presupuestales, desde el PED 2016-2021 hasta los Objetivos y las Metas de la Agenda 2030 e incluso la dimensión geográfica, de esta manera se hace más eficiente la gestión financiera y la identificación puntual de los programas presupuestarios y sus proyectos, para efectos de un monitoreo eficaz y un seguimiento en su ejecución, especialmente de aquellos proyectos que generan mayor valor público en beneficio directo de la población. </w:t>
      </w:r>
    </w:p>
    <w:p w14:paraId="3BAC53F4" w14:textId="77777777" w:rsidR="00B076A2" w:rsidRDefault="00B076A2" w:rsidP="00B076A2">
      <w:pPr>
        <w:spacing w:after="0" w:line="240" w:lineRule="auto"/>
        <w:jc w:val="both"/>
        <w:rPr>
          <w:rFonts w:ascii="Arial" w:hAnsi="Arial" w:cs="Arial"/>
          <w:sz w:val="24"/>
        </w:rPr>
      </w:pPr>
    </w:p>
    <w:p w14:paraId="5D1D8D5B" w14:textId="77777777" w:rsidR="00B076A2" w:rsidRDefault="00B076A2" w:rsidP="00B076A2">
      <w:pPr>
        <w:spacing w:after="0" w:line="240" w:lineRule="auto"/>
        <w:jc w:val="both"/>
        <w:rPr>
          <w:rFonts w:ascii="Arial" w:hAnsi="Arial" w:cs="Arial"/>
          <w:sz w:val="24"/>
        </w:rPr>
      </w:pPr>
      <w:r>
        <w:rPr>
          <w:rFonts w:ascii="Arial" w:hAnsi="Arial" w:cs="Arial"/>
          <w:sz w:val="24"/>
        </w:rPr>
        <w:t>La identificación precisa de cada uno de los elementos que conforman la Clave Presupuestaria 2021 es un aliado para fortalecer la evaluación y medir el impacto de los resultados del destino de los recursos públicos, así como, la de rendición de cuentas a la sociedad.</w:t>
      </w:r>
    </w:p>
    <w:p w14:paraId="51C4D478" w14:textId="77777777" w:rsidR="00B076A2" w:rsidRDefault="00B076A2" w:rsidP="00B076A2">
      <w:pPr>
        <w:spacing w:after="0" w:line="240" w:lineRule="auto"/>
        <w:jc w:val="both"/>
        <w:rPr>
          <w:rFonts w:ascii="Arial" w:hAnsi="Arial" w:cs="Arial"/>
          <w:sz w:val="24"/>
        </w:rPr>
      </w:pPr>
    </w:p>
    <w:p w14:paraId="0717D577" w14:textId="77777777" w:rsidR="00B076A2" w:rsidRPr="00AA3FA2" w:rsidRDefault="00B076A2" w:rsidP="00B076A2">
      <w:pPr>
        <w:spacing w:after="0" w:line="240" w:lineRule="auto"/>
        <w:jc w:val="center"/>
        <w:rPr>
          <w:rFonts w:ascii="Arial" w:hAnsi="Arial" w:cs="Arial"/>
          <w:sz w:val="24"/>
        </w:rPr>
      </w:pPr>
      <w:r w:rsidRPr="00921688">
        <w:rPr>
          <w:noProof/>
        </w:rPr>
        <w:lastRenderedPageBreak/>
        <w:drawing>
          <wp:inline distT="0" distB="0" distL="0" distR="0" wp14:anchorId="108C4ABD" wp14:editId="711BF95E">
            <wp:extent cx="5255812" cy="2743200"/>
            <wp:effectExtent l="0" t="0" r="254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a:extLst>
                        <a:ext uri="{28A0092B-C50C-407E-A947-70E740481C1C}">
                          <a14:useLocalDpi xmlns:a14="http://schemas.microsoft.com/office/drawing/2010/main" val="0"/>
                        </a:ext>
                      </a:extLst>
                    </a:blip>
                    <a:srcRect l="1178" t="1394" r="1460" b="2336"/>
                    <a:stretch/>
                  </pic:blipFill>
                  <pic:spPr bwMode="auto">
                    <a:xfrm>
                      <a:off x="0" y="0"/>
                      <a:ext cx="5257562" cy="2744113"/>
                    </a:xfrm>
                    <a:prstGeom prst="rect">
                      <a:avLst/>
                    </a:prstGeom>
                    <a:noFill/>
                    <a:ln>
                      <a:noFill/>
                    </a:ln>
                    <a:extLst>
                      <a:ext uri="{53640926-AAD7-44D8-BBD7-CCE9431645EC}">
                        <a14:shadowObscured xmlns:a14="http://schemas.microsoft.com/office/drawing/2010/main"/>
                      </a:ext>
                    </a:extLst>
                  </pic:spPr>
                </pic:pic>
              </a:graphicData>
            </a:graphic>
          </wp:inline>
        </w:drawing>
      </w:r>
    </w:p>
    <w:p w14:paraId="3864EFDA" w14:textId="77777777" w:rsidR="00B076A2" w:rsidRDefault="00B076A2" w:rsidP="00B076A2">
      <w:pPr>
        <w:spacing w:after="0"/>
        <w:jc w:val="both"/>
        <w:rPr>
          <w:rFonts w:ascii="Arial" w:hAnsi="Arial" w:cs="Arial"/>
          <w:i/>
          <w:sz w:val="24"/>
        </w:rPr>
      </w:pPr>
    </w:p>
    <w:p w14:paraId="13524BD3" w14:textId="77777777" w:rsidR="00B076A2" w:rsidRPr="007160ED" w:rsidRDefault="00B076A2" w:rsidP="00B076A2">
      <w:pPr>
        <w:spacing w:after="0"/>
        <w:jc w:val="both"/>
        <w:rPr>
          <w:rFonts w:ascii="Arial" w:hAnsi="Arial" w:cs="Arial"/>
          <w:i/>
          <w:sz w:val="24"/>
          <w:lang w:val="es-ES"/>
        </w:rPr>
      </w:pPr>
      <w:r w:rsidRPr="007160ED">
        <w:rPr>
          <w:rFonts w:ascii="Arial" w:hAnsi="Arial" w:cs="Arial"/>
          <w:i/>
          <w:sz w:val="24"/>
        </w:rPr>
        <w:t>Estrategia</w:t>
      </w:r>
      <w:r w:rsidRPr="007160ED">
        <w:rPr>
          <w:rFonts w:ascii="Arial" w:hAnsi="Arial" w:cs="Arial"/>
          <w:i/>
          <w:sz w:val="24"/>
          <w:lang w:val="es-ES"/>
        </w:rPr>
        <w:t xml:space="preserve"> 2. Análisis del Capítulo 10000 Servicios Personales para una mejor planificación, contención del gasto en la materia.</w:t>
      </w:r>
    </w:p>
    <w:p w14:paraId="57339805" w14:textId="77777777" w:rsidR="00B076A2" w:rsidRPr="00DE4A6F" w:rsidRDefault="00B076A2" w:rsidP="00B076A2">
      <w:pPr>
        <w:spacing w:after="0"/>
        <w:jc w:val="both"/>
        <w:rPr>
          <w:rFonts w:ascii="Arial" w:hAnsi="Arial" w:cs="Arial"/>
          <w:sz w:val="24"/>
          <w:lang w:val="es-ES"/>
        </w:rPr>
      </w:pPr>
    </w:p>
    <w:p w14:paraId="715BE4C2" w14:textId="77777777" w:rsidR="00B076A2" w:rsidRDefault="00B076A2" w:rsidP="00B076A2">
      <w:pPr>
        <w:spacing w:after="0" w:line="240" w:lineRule="auto"/>
        <w:jc w:val="both"/>
        <w:rPr>
          <w:rFonts w:ascii="Arial" w:hAnsi="Arial" w:cs="Arial"/>
          <w:sz w:val="24"/>
        </w:rPr>
      </w:pPr>
      <w:r>
        <w:rPr>
          <w:rFonts w:ascii="Arial" w:hAnsi="Arial" w:cs="Arial"/>
          <w:sz w:val="24"/>
          <w:lang w:val="es-ES"/>
        </w:rPr>
        <w:t xml:space="preserve">En congruencia </w:t>
      </w:r>
      <w:r>
        <w:rPr>
          <w:rFonts w:ascii="Arial" w:hAnsi="Arial" w:cs="Arial"/>
          <w:sz w:val="24"/>
        </w:rPr>
        <w:t>con la política de austeridad, en materia de Servicios Personales, se realiza un análisis de las estructuras organizacionales de las Dependencias y Organismos con el fin de contar con estructuras más eficientes, así como también la redefinición de funciones y capacitación de los servidores públicos.</w:t>
      </w:r>
    </w:p>
    <w:p w14:paraId="6D63EAB9" w14:textId="77777777" w:rsidR="00B076A2" w:rsidRDefault="00B076A2" w:rsidP="00B076A2">
      <w:pPr>
        <w:spacing w:after="0" w:line="240" w:lineRule="auto"/>
        <w:jc w:val="both"/>
        <w:rPr>
          <w:rFonts w:ascii="Arial" w:hAnsi="Arial" w:cs="Arial"/>
          <w:sz w:val="24"/>
        </w:rPr>
      </w:pPr>
    </w:p>
    <w:p w14:paraId="2D30ABFA" w14:textId="77777777" w:rsidR="00B076A2" w:rsidRDefault="00B076A2" w:rsidP="00B076A2">
      <w:pPr>
        <w:spacing w:after="0" w:line="240" w:lineRule="auto"/>
        <w:jc w:val="both"/>
        <w:rPr>
          <w:rFonts w:ascii="Arial" w:hAnsi="Arial" w:cs="Arial"/>
          <w:sz w:val="24"/>
        </w:rPr>
      </w:pPr>
      <w:r>
        <w:rPr>
          <w:rFonts w:ascii="Arial" w:hAnsi="Arial" w:cs="Arial"/>
          <w:sz w:val="24"/>
        </w:rPr>
        <w:t>E</w:t>
      </w:r>
      <w:r w:rsidRPr="0084141B">
        <w:rPr>
          <w:rFonts w:ascii="Arial" w:hAnsi="Arial" w:cs="Arial"/>
          <w:sz w:val="24"/>
        </w:rPr>
        <w:t>l compromiso de contención del Capítulo 10000 Servicios Personales</w:t>
      </w:r>
      <w:r>
        <w:rPr>
          <w:rFonts w:ascii="Arial" w:hAnsi="Arial" w:cs="Arial"/>
          <w:sz w:val="24"/>
        </w:rPr>
        <w:t>, se ha cumplido</w:t>
      </w:r>
      <w:r w:rsidRPr="0084141B">
        <w:rPr>
          <w:rFonts w:ascii="Arial" w:hAnsi="Arial" w:cs="Arial"/>
          <w:sz w:val="24"/>
        </w:rPr>
        <w:t xml:space="preserve">, </w:t>
      </w:r>
      <w:r>
        <w:rPr>
          <w:rFonts w:ascii="Arial" w:hAnsi="Arial" w:cs="Arial"/>
          <w:sz w:val="24"/>
        </w:rPr>
        <w:t xml:space="preserve">ello </w:t>
      </w:r>
      <w:r w:rsidRPr="0084141B">
        <w:rPr>
          <w:rFonts w:ascii="Arial" w:hAnsi="Arial" w:cs="Arial"/>
          <w:sz w:val="24"/>
        </w:rPr>
        <w:t>atendiendo los postulados de las políticas públicas transversales relativas contenidas en el PED, así como los postulados de la Ley de Disciplina Financiera de las Entidades Federativas y los Municipios en la Materia, ob</w:t>
      </w:r>
      <w:r>
        <w:rPr>
          <w:rFonts w:ascii="Arial" w:hAnsi="Arial" w:cs="Arial"/>
          <w:sz w:val="24"/>
        </w:rPr>
        <w:t>servando lo siguiente:</w:t>
      </w:r>
    </w:p>
    <w:p w14:paraId="3F425788" w14:textId="77777777" w:rsidR="00B076A2" w:rsidRDefault="00B076A2" w:rsidP="00B076A2">
      <w:pPr>
        <w:spacing w:after="0" w:line="240" w:lineRule="auto"/>
        <w:jc w:val="both"/>
        <w:rPr>
          <w:rFonts w:ascii="Arial" w:hAnsi="Arial" w:cs="Arial"/>
          <w:sz w:val="24"/>
        </w:rPr>
      </w:pPr>
    </w:p>
    <w:p w14:paraId="6F24E1B5" w14:textId="77777777" w:rsidR="00B076A2" w:rsidRDefault="00B076A2" w:rsidP="00B076A2">
      <w:pPr>
        <w:spacing w:after="0" w:line="240" w:lineRule="auto"/>
        <w:jc w:val="both"/>
        <w:rPr>
          <w:rFonts w:ascii="Arial" w:hAnsi="Arial" w:cs="Arial"/>
          <w:sz w:val="24"/>
        </w:rPr>
      </w:pPr>
      <w:r>
        <w:rPr>
          <w:rFonts w:ascii="Arial" w:hAnsi="Arial" w:cs="Arial"/>
          <w:sz w:val="24"/>
        </w:rPr>
        <w:t xml:space="preserve">Las asignaciones al capítulo de Servicios Personales han </w:t>
      </w:r>
      <w:r w:rsidRPr="008C0C68">
        <w:rPr>
          <w:rFonts w:ascii="Arial" w:hAnsi="Arial" w:cs="Arial"/>
          <w:sz w:val="24"/>
        </w:rPr>
        <w:t>manteniendo solo las variaciones previstas en la Ley de Disciplina Financiera de las Entidad</w:t>
      </w:r>
      <w:r>
        <w:rPr>
          <w:rFonts w:ascii="Arial" w:hAnsi="Arial" w:cs="Arial"/>
          <w:sz w:val="24"/>
        </w:rPr>
        <w:t xml:space="preserve">es Federativas y los Municipios, con lo que se detuvo </w:t>
      </w:r>
      <w:r w:rsidRPr="008C0C68">
        <w:rPr>
          <w:rFonts w:ascii="Arial" w:hAnsi="Arial" w:cs="Arial"/>
          <w:sz w:val="24"/>
        </w:rPr>
        <w:t>el incremento que en pasados sexenios significo este capítulo de gasto en la estructura general del presupuest</w:t>
      </w:r>
      <w:r>
        <w:rPr>
          <w:rFonts w:ascii="Arial" w:hAnsi="Arial" w:cs="Arial"/>
          <w:sz w:val="24"/>
        </w:rPr>
        <w:t>o.</w:t>
      </w:r>
    </w:p>
    <w:p w14:paraId="74F3CCC5" w14:textId="77777777" w:rsidR="00B076A2" w:rsidRDefault="00B076A2" w:rsidP="00B076A2">
      <w:pPr>
        <w:spacing w:after="0" w:line="240" w:lineRule="auto"/>
        <w:jc w:val="both"/>
        <w:rPr>
          <w:rFonts w:ascii="Arial" w:hAnsi="Arial" w:cs="Arial"/>
          <w:sz w:val="24"/>
        </w:rPr>
      </w:pPr>
    </w:p>
    <w:p w14:paraId="480390AF" w14:textId="77777777" w:rsidR="00B076A2" w:rsidRDefault="00B076A2" w:rsidP="00B076A2">
      <w:pPr>
        <w:spacing w:after="0" w:line="240" w:lineRule="auto"/>
        <w:jc w:val="both"/>
        <w:rPr>
          <w:rFonts w:ascii="Arial" w:hAnsi="Arial" w:cs="Arial"/>
          <w:sz w:val="24"/>
        </w:rPr>
      </w:pPr>
      <w:r>
        <w:rPr>
          <w:rFonts w:ascii="Arial" w:hAnsi="Arial" w:cs="Arial"/>
          <w:sz w:val="24"/>
        </w:rPr>
        <w:t xml:space="preserve">La ya multicitada Ley exceptúa el monto erogado por sentencias laborales emitidas por la autoridad competente, en el articulado del presente Proyecto de </w:t>
      </w:r>
      <w:r>
        <w:rPr>
          <w:rFonts w:ascii="Arial" w:hAnsi="Arial" w:cs="Arial"/>
          <w:sz w:val="24"/>
        </w:rPr>
        <w:lastRenderedPageBreak/>
        <w:t>Presupuesto de Egresos, se incluye una sesión específica con las erogaciones correspondientes al gasto en Servicios Personales, la cual comprende:</w:t>
      </w:r>
    </w:p>
    <w:p w14:paraId="4BD271CD" w14:textId="77777777" w:rsidR="00B076A2" w:rsidRDefault="00B076A2" w:rsidP="00B076A2">
      <w:pPr>
        <w:spacing w:after="0" w:line="240" w:lineRule="auto"/>
        <w:jc w:val="both"/>
        <w:rPr>
          <w:rFonts w:ascii="Arial" w:hAnsi="Arial" w:cs="Arial"/>
          <w:sz w:val="24"/>
        </w:rPr>
      </w:pPr>
    </w:p>
    <w:p w14:paraId="63649259" w14:textId="77777777" w:rsidR="00B076A2" w:rsidRDefault="00B076A2" w:rsidP="00B076A2">
      <w:pPr>
        <w:pStyle w:val="Prrafodelista"/>
        <w:numPr>
          <w:ilvl w:val="0"/>
          <w:numId w:val="19"/>
        </w:numPr>
        <w:spacing w:after="0" w:line="240" w:lineRule="auto"/>
        <w:jc w:val="both"/>
        <w:rPr>
          <w:rFonts w:ascii="Arial" w:hAnsi="Arial" w:cs="Arial"/>
          <w:sz w:val="24"/>
        </w:rPr>
      </w:pPr>
      <w:r>
        <w:rPr>
          <w:rFonts w:ascii="Arial" w:hAnsi="Arial" w:cs="Arial"/>
          <w:sz w:val="24"/>
        </w:rPr>
        <w:t>Las remuneraciones de los servidores públicos, desglosando las percepciones ordinarias y extraordinarias, e incluyendo las erogaciones por concepto de obligaciones de carácter fiscal y de seguridad social inherentes a dichas remuneraciones; y</w:t>
      </w:r>
    </w:p>
    <w:p w14:paraId="244F481C" w14:textId="77777777" w:rsidR="00B076A2" w:rsidRDefault="00B076A2" w:rsidP="00B076A2">
      <w:pPr>
        <w:pStyle w:val="Prrafodelista"/>
        <w:numPr>
          <w:ilvl w:val="0"/>
          <w:numId w:val="19"/>
        </w:numPr>
        <w:spacing w:after="0" w:line="240" w:lineRule="auto"/>
        <w:jc w:val="both"/>
        <w:rPr>
          <w:rFonts w:ascii="Arial" w:hAnsi="Arial" w:cs="Arial"/>
          <w:sz w:val="24"/>
        </w:rPr>
      </w:pPr>
      <w:r>
        <w:rPr>
          <w:rFonts w:ascii="Arial" w:hAnsi="Arial" w:cs="Arial"/>
          <w:sz w:val="24"/>
        </w:rPr>
        <w:t>Las previsiones salariales y económicas.</w:t>
      </w:r>
    </w:p>
    <w:p w14:paraId="108E239B" w14:textId="77777777" w:rsidR="00B076A2" w:rsidRDefault="00B076A2" w:rsidP="00B076A2">
      <w:pPr>
        <w:spacing w:after="0" w:line="240" w:lineRule="auto"/>
        <w:jc w:val="both"/>
        <w:rPr>
          <w:rFonts w:ascii="Arial" w:hAnsi="Arial" w:cs="Arial"/>
          <w:sz w:val="24"/>
        </w:rPr>
      </w:pPr>
    </w:p>
    <w:p w14:paraId="37F8A516" w14:textId="77777777" w:rsidR="00B076A2" w:rsidRDefault="00B076A2" w:rsidP="00B076A2">
      <w:pPr>
        <w:spacing w:after="0" w:line="240" w:lineRule="auto"/>
        <w:jc w:val="both"/>
        <w:rPr>
          <w:rFonts w:ascii="Arial" w:hAnsi="Arial" w:cs="Arial"/>
          <w:sz w:val="24"/>
        </w:rPr>
      </w:pPr>
      <w:r>
        <w:rPr>
          <w:rFonts w:ascii="Arial" w:hAnsi="Arial" w:cs="Arial"/>
          <w:sz w:val="24"/>
        </w:rPr>
        <w:t xml:space="preserve">En coherencia con la política de austeridad que ha implementado la presente administración normada mediante las Reglas de Austeridad, Racionalidad y Disciplina del Gasto Público Estatal y en cumplimiento de la Ley de Austeridad del Estado de Colima, para el ejercicio fiscal 2021, se continuarán aplicando las siguientes acciones: </w:t>
      </w:r>
    </w:p>
    <w:p w14:paraId="58E2042C" w14:textId="77777777" w:rsidR="00B076A2" w:rsidRDefault="00B076A2" w:rsidP="00B076A2">
      <w:pPr>
        <w:spacing w:after="0" w:line="240" w:lineRule="auto"/>
        <w:jc w:val="both"/>
        <w:rPr>
          <w:rFonts w:ascii="Arial" w:hAnsi="Arial" w:cs="Arial"/>
          <w:sz w:val="24"/>
        </w:rPr>
      </w:pPr>
    </w:p>
    <w:p w14:paraId="71C6FB40" w14:textId="77777777" w:rsidR="00B076A2" w:rsidRDefault="00B076A2" w:rsidP="00B076A2">
      <w:pPr>
        <w:pStyle w:val="Prrafodelista"/>
        <w:numPr>
          <w:ilvl w:val="0"/>
          <w:numId w:val="20"/>
        </w:numPr>
        <w:spacing w:after="0" w:line="240" w:lineRule="auto"/>
        <w:jc w:val="both"/>
        <w:rPr>
          <w:rFonts w:ascii="Arial" w:hAnsi="Arial" w:cs="Arial"/>
          <w:sz w:val="24"/>
        </w:rPr>
      </w:pPr>
      <w:r>
        <w:rPr>
          <w:rFonts w:ascii="Arial" w:hAnsi="Arial" w:cs="Arial"/>
          <w:sz w:val="24"/>
        </w:rPr>
        <w:t>Cancelación del pago de honorarios asimilables a salarios para todas las actividades que sean consideradas regulares.</w:t>
      </w:r>
    </w:p>
    <w:p w14:paraId="79A1BC55" w14:textId="77777777" w:rsidR="00B076A2" w:rsidRDefault="00B076A2" w:rsidP="00B076A2">
      <w:pPr>
        <w:pStyle w:val="Prrafodelista"/>
        <w:numPr>
          <w:ilvl w:val="0"/>
          <w:numId w:val="20"/>
        </w:numPr>
        <w:spacing w:after="0" w:line="240" w:lineRule="auto"/>
        <w:jc w:val="both"/>
        <w:rPr>
          <w:rFonts w:ascii="Arial" w:hAnsi="Arial" w:cs="Arial"/>
          <w:sz w:val="24"/>
        </w:rPr>
      </w:pPr>
      <w:r>
        <w:rPr>
          <w:rFonts w:ascii="Arial" w:hAnsi="Arial" w:cs="Arial"/>
          <w:sz w:val="24"/>
        </w:rPr>
        <w:t>Revisión periódica del marco jurídico administrativo que regula las estructuras organizacionales, con el propósito de identificar y evitar duplicidades de funciones, así como para incrementar la eficiencia en el desempeño de sus funciones, mediante una reingeniería del personal de confianza y supernumerario.</w:t>
      </w:r>
    </w:p>
    <w:p w14:paraId="4CC31345" w14:textId="77777777" w:rsidR="00B076A2" w:rsidRDefault="00B076A2" w:rsidP="00B076A2">
      <w:pPr>
        <w:pStyle w:val="Prrafodelista"/>
        <w:numPr>
          <w:ilvl w:val="0"/>
          <w:numId w:val="20"/>
        </w:numPr>
        <w:spacing w:after="0" w:line="240" w:lineRule="auto"/>
        <w:jc w:val="both"/>
        <w:rPr>
          <w:rFonts w:ascii="Arial" w:hAnsi="Arial" w:cs="Arial"/>
          <w:sz w:val="24"/>
        </w:rPr>
      </w:pPr>
      <w:r>
        <w:rPr>
          <w:rFonts w:ascii="Arial" w:hAnsi="Arial" w:cs="Arial"/>
          <w:sz w:val="24"/>
        </w:rPr>
        <w:t>Se continuarán aplicando estudios de análisis ocupacional con el objeto de determinar la suficiencia o exceso de personal en las Dependencias y Entidades, con la finalidad de tomar las medidas correctivas necesarias.</w:t>
      </w:r>
    </w:p>
    <w:p w14:paraId="72C72AC9" w14:textId="77777777" w:rsidR="00B076A2" w:rsidRDefault="00B076A2" w:rsidP="00B076A2">
      <w:pPr>
        <w:pStyle w:val="Prrafodelista"/>
        <w:numPr>
          <w:ilvl w:val="0"/>
          <w:numId w:val="20"/>
        </w:numPr>
        <w:spacing w:after="0" w:line="240" w:lineRule="auto"/>
        <w:jc w:val="both"/>
        <w:rPr>
          <w:rFonts w:ascii="Arial" w:hAnsi="Arial" w:cs="Arial"/>
          <w:sz w:val="24"/>
        </w:rPr>
      </w:pPr>
      <w:r>
        <w:rPr>
          <w:rFonts w:ascii="Arial" w:hAnsi="Arial" w:cs="Arial"/>
          <w:sz w:val="24"/>
        </w:rPr>
        <w:t>Se continuará trabajando en estudios de percepciones salariales y se mantiene con el tabulador que estandariza los sueldos de los trabajadores.</w:t>
      </w:r>
    </w:p>
    <w:p w14:paraId="5DC1505D" w14:textId="77777777" w:rsidR="00B076A2" w:rsidRDefault="00B076A2" w:rsidP="00B076A2">
      <w:pPr>
        <w:pStyle w:val="Prrafodelista"/>
        <w:numPr>
          <w:ilvl w:val="0"/>
          <w:numId w:val="20"/>
        </w:numPr>
        <w:spacing w:after="0" w:line="240" w:lineRule="auto"/>
        <w:jc w:val="both"/>
        <w:rPr>
          <w:rFonts w:ascii="Arial" w:hAnsi="Arial" w:cs="Arial"/>
          <w:sz w:val="24"/>
        </w:rPr>
      </w:pPr>
      <w:r>
        <w:rPr>
          <w:rFonts w:ascii="Arial" w:hAnsi="Arial" w:cs="Arial"/>
          <w:sz w:val="24"/>
        </w:rPr>
        <w:t>Queda prohibido establecer o cubrir con recursos públicos haberes de retiro o regímenes especiales de jubilación o pensión, así como la contratación de seguros privados de gastos médicos, de vida o de separación, individuales o colectivos por parte de los entes públicos para beneficio de cualquier servidor público.</w:t>
      </w:r>
    </w:p>
    <w:p w14:paraId="5C34D6A0" w14:textId="77777777" w:rsidR="00B076A2" w:rsidRDefault="00B076A2" w:rsidP="00B076A2">
      <w:pPr>
        <w:pStyle w:val="Prrafodelista"/>
        <w:numPr>
          <w:ilvl w:val="0"/>
          <w:numId w:val="20"/>
        </w:numPr>
        <w:spacing w:after="0" w:line="240" w:lineRule="auto"/>
        <w:jc w:val="both"/>
        <w:rPr>
          <w:rFonts w:ascii="Arial" w:hAnsi="Arial" w:cs="Arial"/>
          <w:sz w:val="24"/>
        </w:rPr>
      </w:pPr>
      <w:r>
        <w:rPr>
          <w:rFonts w:ascii="Arial" w:hAnsi="Arial" w:cs="Arial"/>
          <w:sz w:val="24"/>
        </w:rPr>
        <w:t>Los servicios de escolta se limitan a los titulares de los Poderes del Estado, así como a los servidores públicos estatales y municipales con alta responsabilidad en materia de seguridad pública, procuración e impartición de justicia.</w:t>
      </w:r>
    </w:p>
    <w:p w14:paraId="721AA5F8" w14:textId="77777777" w:rsidR="00B076A2" w:rsidRDefault="00B076A2" w:rsidP="00B076A2">
      <w:pPr>
        <w:spacing w:after="0" w:line="240" w:lineRule="auto"/>
        <w:jc w:val="both"/>
        <w:rPr>
          <w:rFonts w:ascii="Arial" w:hAnsi="Arial" w:cs="Arial"/>
          <w:sz w:val="24"/>
        </w:rPr>
      </w:pPr>
    </w:p>
    <w:p w14:paraId="035DFFE0" w14:textId="77777777" w:rsidR="00B076A2" w:rsidRPr="007160ED" w:rsidRDefault="00B076A2" w:rsidP="00B076A2">
      <w:pPr>
        <w:spacing w:after="0" w:line="240" w:lineRule="auto"/>
        <w:jc w:val="both"/>
        <w:rPr>
          <w:rFonts w:ascii="Arial" w:hAnsi="Arial" w:cs="Arial"/>
          <w:i/>
          <w:sz w:val="24"/>
        </w:rPr>
      </w:pPr>
      <w:r w:rsidRPr="007160ED">
        <w:rPr>
          <w:rFonts w:ascii="Arial" w:hAnsi="Arial" w:cs="Arial"/>
          <w:i/>
          <w:sz w:val="24"/>
        </w:rPr>
        <w:lastRenderedPageBreak/>
        <w:t>Estrategia 3. Análisis integral de los gastos de operación de las dependencias y entidades, en el contexto de la Ley de Austeridad del Estado de Colima y las Reglas de Austeridad, Racionalidad y Disciplina del Gasto Público Estatal.</w:t>
      </w:r>
    </w:p>
    <w:p w14:paraId="482DF3B0" w14:textId="77777777" w:rsidR="00B076A2" w:rsidRDefault="00B076A2" w:rsidP="00B076A2">
      <w:pPr>
        <w:spacing w:after="0" w:line="240" w:lineRule="auto"/>
        <w:jc w:val="both"/>
        <w:rPr>
          <w:rFonts w:ascii="Arial" w:hAnsi="Arial" w:cs="Arial"/>
          <w:sz w:val="24"/>
        </w:rPr>
      </w:pPr>
    </w:p>
    <w:p w14:paraId="25EA9370" w14:textId="77777777" w:rsidR="00B076A2" w:rsidRDefault="00B076A2" w:rsidP="00B076A2">
      <w:pPr>
        <w:spacing w:after="0" w:line="240" w:lineRule="auto"/>
        <w:jc w:val="both"/>
        <w:rPr>
          <w:rFonts w:ascii="Arial" w:hAnsi="Arial" w:cs="Arial"/>
          <w:sz w:val="24"/>
        </w:rPr>
      </w:pPr>
      <w:r>
        <w:rPr>
          <w:rFonts w:ascii="Arial" w:hAnsi="Arial" w:cs="Arial"/>
          <w:sz w:val="24"/>
        </w:rPr>
        <w:t>De acuerdo a la política de austeridad, se realizó un análisis del gasto de operación de las distintas Dependencias y Entidades que se tiene control presupuestal directo, con el propósito de optimizar los recursos destinados a este rubro sin afectar los niveles de operación de los programas y proyectos prioritarios a cargo de las diferentes instancias.</w:t>
      </w:r>
    </w:p>
    <w:p w14:paraId="3326E3C4" w14:textId="77777777" w:rsidR="00B076A2" w:rsidRDefault="00B076A2" w:rsidP="00B076A2">
      <w:pPr>
        <w:spacing w:after="0" w:line="240" w:lineRule="auto"/>
        <w:jc w:val="both"/>
        <w:rPr>
          <w:rFonts w:ascii="Arial" w:hAnsi="Arial" w:cs="Arial"/>
          <w:sz w:val="24"/>
        </w:rPr>
      </w:pPr>
    </w:p>
    <w:p w14:paraId="75FC92E4" w14:textId="77777777" w:rsidR="00B076A2" w:rsidRDefault="00B076A2" w:rsidP="00B076A2">
      <w:pPr>
        <w:spacing w:after="0" w:line="240" w:lineRule="auto"/>
        <w:jc w:val="both"/>
        <w:rPr>
          <w:rFonts w:ascii="Arial" w:hAnsi="Arial" w:cs="Arial"/>
          <w:sz w:val="24"/>
        </w:rPr>
      </w:pPr>
      <w:r>
        <w:rPr>
          <w:rFonts w:ascii="Arial" w:hAnsi="Arial" w:cs="Arial"/>
          <w:sz w:val="24"/>
        </w:rPr>
        <w:t>Las cuentas sujetas a dicho análisis corresponden a los gastos generados en las partidas de los Capítulos 20000 y 30000, correspondientes a Materiales y Suministros y Servicios Generales, respectivamente. De igual manera se analizó y se incluye el detalle del gasto corriente de las Entidades Paraestatales desconcentradas y descentralizadas.</w:t>
      </w:r>
    </w:p>
    <w:p w14:paraId="759C39F9" w14:textId="77777777" w:rsidR="00B076A2" w:rsidRDefault="00B076A2" w:rsidP="00B076A2">
      <w:pPr>
        <w:spacing w:after="0" w:line="240" w:lineRule="auto"/>
        <w:jc w:val="both"/>
        <w:rPr>
          <w:rFonts w:ascii="Arial" w:hAnsi="Arial" w:cs="Arial"/>
          <w:sz w:val="24"/>
        </w:rPr>
      </w:pPr>
    </w:p>
    <w:p w14:paraId="0568FD1F" w14:textId="77777777" w:rsidR="00B076A2" w:rsidRDefault="00B076A2" w:rsidP="00B076A2">
      <w:pPr>
        <w:spacing w:after="0" w:line="240" w:lineRule="auto"/>
        <w:jc w:val="both"/>
        <w:rPr>
          <w:rFonts w:ascii="Arial" w:hAnsi="Arial" w:cs="Arial"/>
          <w:sz w:val="24"/>
        </w:rPr>
      </w:pPr>
      <w:r>
        <w:rPr>
          <w:rFonts w:ascii="Arial" w:hAnsi="Arial" w:cs="Arial"/>
          <w:sz w:val="24"/>
        </w:rPr>
        <w:t xml:space="preserve">En el Ejercicio Fiscal 2021, se seguirá atendiendo a lo señalado en las Reglas de Austeridad, Racionalidad y Disciplina del Gasto Público Estatal cuyo objeto es el de implementar el uso eficiente, transparente, y eficaz de los recursos públicos, y las acciones de </w:t>
      </w:r>
      <w:r w:rsidRPr="00D91933">
        <w:rPr>
          <w:rFonts w:ascii="Arial" w:hAnsi="Arial" w:cs="Arial"/>
          <w:sz w:val="24"/>
        </w:rPr>
        <w:t xml:space="preserve">disciplina presupuestaria en el ejercicio del gasto público, siendo de observancia obligatoria para los servidores públicos de las Dependencias y Entidades del poder </w:t>
      </w:r>
      <w:r>
        <w:rPr>
          <w:rFonts w:ascii="Arial" w:hAnsi="Arial" w:cs="Arial"/>
          <w:sz w:val="24"/>
        </w:rPr>
        <w:t>Ejecutivo del Estado de Colima.</w:t>
      </w:r>
    </w:p>
    <w:p w14:paraId="27C344E3" w14:textId="77777777" w:rsidR="00B076A2" w:rsidRDefault="00B076A2" w:rsidP="00B076A2">
      <w:pPr>
        <w:spacing w:after="0" w:line="240" w:lineRule="auto"/>
        <w:jc w:val="both"/>
        <w:rPr>
          <w:rFonts w:ascii="Arial" w:hAnsi="Arial" w:cs="Arial"/>
          <w:sz w:val="24"/>
        </w:rPr>
      </w:pPr>
    </w:p>
    <w:p w14:paraId="09367BE7" w14:textId="77777777" w:rsidR="00B076A2" w:rsidRDefault="00B076A2" w:rsidP="00B076A2">
      <w:pPr>
        <w:spacing w:after="0" w:line="240" w:lineRule="auto"/>
        <w:jc w:val="both"/>
        <w:rPr>
          <w:rFonts w:ascii="Arial" w:hAnsi="Arial" w:cs="Arial"/>
          <w:sz w:val="24"/>
        </w:rPr>
      </w:pPr>
      <w:r>
        <w:rPr>
          <w:rFonts w:ascii="Arial" w:hAnsi="Arial" w:cs="Arial"/>
          <w:sz w:val="24"/>
        </w:rPr>
        <w:t>En es pertinente precisar que la promulgada Ley de Austeridad del Estado de Colima, tiene por objeto la aplicación de medidas de austeridad en la programación y ejecución del gasto gubernamental, como una política de Estado para hacer cumplir los principios de economía, eficacia, eficiencia, transparencia y honradez en la administración de los recursos económicos de carácter público.</w:t>
      </w:r>
    </w:p>
    <w:p w14:paraId="0A3C12AE" w14:textId="77777777" w:rsidR="00B076A2" w:rsidRDefault="00B076A2" w:rsidP="00B076A2">
      <w:pPr>
        <w:spacing w:after="0" w:line="240" w:lineRule="auto"/>
        <w:jc w:val="both"/>
        <w:rPr>
          <w:rFonts w:ascii="Arial" w:hAnsi="Arial" w:cs="Arial"/>
          <w:sz w:val="24"/>
        </w:rPr>
      </w:pPr>
    </w:p>
    <w:p w14:paraId="3DA554CF" w14:textId="77777777" w:rsidR="00B076A2" w:rsidRDefault="00B076A2" w:rsidP="00B076A2">
      <w:pPr>
        <w:spacing w:after="0" w:line="240" w:lineRule="auto"/>
        <w:jc w:val="both"/>
        <w:rPr>
          <w:rFonts w:ascii="Arial" w:hAnsi="Arial" w:cs="Arial"/>
          <w:sz w:val="24"/>
        </w:rPr>
      </w:pPr>
      <w:r>
        <w:rPr>
          <w:rFonts w:ascii="Arial" w:hAnsi="Arial" w:cs="Arial"/>
          <w:sz w:val="24"/>
        </w:rPr>
        <w:t>En cumplimiento a estos dos ordenamientos en materia de disciplina fiscal, l</w:t>
      </w:r>
      <w:r w:rsidRPr="0014157D">
        <w:rPr>
          <w:rFonts w:ascii="Arial" w:hAnsi="Arial" w:cs="Arial"/>
          <w:sz w:val="24"/>
        </w:rPr>
        <w:t>as dependencias, entidades y órganos de los</w:t>
      </w:r>
      <w:r>
        <w:rPr>
          <w:rFonts w:ascii="Arial" w:hAnsi="Arial" w:cs="Arial"/>
          <w:sz w:val="24"/>
        </w:rPr>
        <w:t xml:space="preserve"> </w:t>
      </w:r>
      <w:r w:rsidRPr="0014157D">
        <w:rPr>
          <w:rFonts w:ascii="Arial" w:hAnsi="Arial" w:cs="Arial"/>
          <w:sz w:val="24"/>
        </w:rPr>
        <w:t>Poderes del Estado y de los municipios, incluidos los organismos públicos a los que la</w:t>
      </w:r>
      <w:r>
        <w:rPr>
          <w:rFonts w:ascii="Arial" w:hAnsi="Arial" w:cs="Arial"/>
          <w:sz w:val="24"/>
        </w:rPr>
        <w:t xml:space="preserve"> </w:t>
      </w:r>
      <w:r w:rsidRPr="0014157D">
        <w:rPr>
          <w:rFonts w:ascii="Arial" w:hAnsi="Arial" w:cs="Arial"/>
          <w:sz w:val="24"/>
        </w:rPr>
        <w:t>Constitución Política del Estado Libre y Soberano d</w:t>
      </w:r>
      <w:r>
        <w:rPr>
          <w:rFonts w:ascii="Arial" w:hAnsi="Arial" w:cs="Arial"/>
          <w:sz w:val="24"/>
        </w:rPr>
        <w:t>e Colima otorga autonomía, tendrán como eje rector del gasto público, la austeridad, racionalidad y disciplina en el ejercicio del mismo, por lo que se establece el compromiso de la contención del gasto corriente, reorientando los ahorros y economías al gasto social, a la atención de la pandemia del COVID-19 y a las actividades sustantivas de la administración.</w:t>
      </w:r>
    </w:p>
    <w:p w14:paraId="0AB35A80" w14:textId="77777777" w:rsidR="00B076A2" w:rsidRDefault="00B076A2" w:rsidP="00B076A2">
      <w:pPr>
        <w:spacing w:after="0" w:line="240" w:lineRule="auto"/>
        <w:jc w:val="both"/>
        <w:rPr>
          <w:rFonts w:ascii="Arial" w:hAnsi="Arial" w:cs="Arial"/>
          <w:sz w:val="24"/>
        </w:rPr>
      </w:pPr>
    </w:p>
    <w:p w14:paraId="1DA3970D" w14:textId="77777777" w:rsidR="00B076A2" w:rsidRDefault="00B076A2" w:rsidP="00B076A2">
      <w:pPr>
        <w:spacing w:after="0" w:line="240" w:lineRule="auto"/>
        <w:jc w:val="both"/>
        <w:rPr>
          <w:rFonts w:ascii="Arial" w:hAnsi="Arial" w:cs="Arial"/>
          <w:sz w:val="24"/>
        </w:rPr>
      </w:pPr>
      <w:r>
        <w:rPr>
          <w:rFonts w:ascii="Arial" w:hAnsi="Arial" w:cs="Arial"/>
          <w:sz w:val="24"/>
        </w:rPr>
        <w:t xml:space="preserve">Se ha mantenido al mínimo indispensable el número de vehículos con que cuentan las Dependencias y Organismos Públicos Descentralizados, y ha </w:t>
      </w:r>
      <w:r>
        <w:rPr>
          <w:rFonts w:ascii="Arial" w:hAnsi="Arial" w:cs="Arial"/>
          <w:sz w:val="24"/>
        </w:rPr>
        <w:lastRenderedPageBreak/>
        <w:t>quedado prohibido terminantemente la adquisición de vehículos de lujo o gama alta, así como su asignación para uso personal y exclusivo de un funcionario público, exceptuando aquellos destinados al servicio de seguridad pública.</w:t>
      </w:r>
    </w:p>
    <w:p w14:paraId="27E68A31" w14:textId="77777777" w:rsidR="00B076A2" w:rsidRDefault="00B076A2" w:rsidP="00B076A2">
      <w:pPr>
        <w:spacing w:after="0" w:line="240" w:lineRule="auto"/>
        <w:jc w:val="both"/>
        <w:rPr>
          <w:rFonts w:ascii="Arial" w:hAnsi="Arial" w:cs="Arial"/>
          <w:sz w:val="24"/>
        </w:rPr>
      </w:pPr>
    </w:p>
    <w:p w14:paraId="525043AE" w14:textId="77777777" w:rsidR="00B076A2" w:rsidRDefault="00B076A2" w:rsidP="00B076A2">
      <w:pPr>
        <w:spacing w:after="0" w:line="240" w:lineRule="auto"/>
        <w:jc w:val="both"/>
        <w:rPr>
          <w:rFonts w:ascii="Arial" w:hAnsi="Arial" w:cs="Arial"/>
          <w:sz w:val="24"/>
        </w:rPr>
      </w:pPr>
      <w:r w:rsidRPr="00AA0C63">
        <w:rPr>
          <w:rFonts w:ascii="Arial" w:hAnsi="Arial" w:cs="Arial"/>
          <w:sz w:val="24"/>
        </w:rPr>
        <w:t>En materia de comunicación social, se ha tomado en consideración lo señalado en la Ley de Austeridad, la propaganda oficial de l</w:t>
      </w:r>
      <w:r>
        <w:rPr>
          <w:rFonts w:ascii="Arial" w:hAnsi="Arial" w:cs="Arial"/>
          <w:sz w:val="24"/>
        </w:rPr>
        <w:t>as dependencias y entidades de Poder E</w:t>
      </w:r>
      <w:r w:rsidRPr="00AA0C63">
        <w:rPr>
          <w:rFonts w:ascii="Arial" w:hAnsi="Arial" w:cs="Arial"/>
          <w:sz w:val="24"/>
        </w:rPr>
        <w:t>jecutivo se limitan a un máximo de 0.2 por ciento de su presupuesto.</w:t>
      </w:r>
    </w:p>
    <w:p w14:paraId="6C4147CB" w14:textId="77777777" w:rsidR="00B076A2" w:rsidRDefault="00B076A2" w:rsidP="00B076A2">
      <w:pPr>
        <w:spacing w:after="0" w:line="240" w:lineRule="auto"/>
        <w:jc w:val="both"/>
        <w:rPr>
          <w:rFonts w:ascii="Arial" w:hAnsi="Arial" w:cs="Arial"/>
          <w:sz w:val="24"/>
        </w:rPr>
      </w:pPr>
    </w:p>
    <w:p w14:paraId="1F6C31EE" w14:textId="77777777" w:rsidR="00B076A2" w:rsidRDefault="00B076A2" w:rsidP="00B076A2">
      <w:pPr>
        <w:spacing w:after="0" w:line="240" w:lineRule="auto"/>
        <w:jc w:val="both"/>
        <w:rPr>
          <w:rFonts w:ascii="Arial" w:hAnsi="Arial" w:cs="Arial"/>
          <w:sz w:val="24"/>
        </w:rPr>
      </w:pPr>
      <w:r>
        <w:rPr>
          <w:rFonts w:ascii="Arial" w:hAnsi="Arial" w:cs="Arial"/>
          <w:sz w:val="24"/>
        </w:rPr>
        <w:t>Solo se autorizan los viajes oficiales que resultan estrictamente necesarios, se prohíbe la adquisición de boletos de viaje en primera clase o su equivalente y la contratación de servicios privados de aerotransporte.</w:t>
      </w:r>
    </w:p>
    <w:p w14:paraId="14C4429E" w14:textId="77777777" w:rsidR="00B076A2" w:rsidRDefault="00B076A2" w:rsidP="00B076A2">
      <w:pPr>
        <w:spacing w:after="0" w:line="240" w:lineRule="auto"/>
        <w:jc w:val="both"/>
        <w:rPr>
          <w:rFonts w:ascii="Arial" w:hAnsi="Arial" w:cs="Arial"/>
          <w:sz w:val="24"/>
        </w:rPr>
      </w:pPr>
    </w:p>
    <w:p w14:paraId="483C61FE" w14:textId="77777777" w:rsidR="00B076A2" w:rsidRPr="00416978" w:rsidRDefault="00B076A2" w:rsidP="00B076A2">
      <w:pPr>
        <w:spacing w:after="0" w:line="240" w:lineRule="auto"/>
        <w:jc w:val="both"/>
        <w:rPr>
          <w:rFonts w:ascii="Arial" w:hAnsi="Arial" w:cs="Arial"/>
          <w:i/>
          <w:sz w:val="24"/>
        </w:rPr>
      </w:pPr>
      <w:r w:rsidRPr="00416978">
        <w:rPr>
          <w:rFonts w:ascii="Arial" w:hAnsi="Arial" w:cs="Arial"/>
          <w:i/>
          <w:sz w:val="24"/>
        </w:rPr>
        <w:t>Gastos de Operación</w:t>
      </w:r>
    </w:p>
    <w:p w14:paraId="4F8828C3" w14:textId="77777777" w:rsidR="00B076A2" w:rsidRPr="00FD2017" w:rsidRDefault="00B076A2" w:rsidP="00B076A2">
      <w:pPr>
        <w:spacing w:after="0" w:line="240" w:lineRule="auto"/>
        <w:jc w:val="both"/>
        <w:rPr>
          <w:rFonts w:ascii="Arial" w:hAnsi="Arial" w:cs="Arial"/>
          <w:sz w:val="24"/>
        </w:rPr>
      </w:pPr>
    </w:p>
    <w:p w14:paraId="3590925D" w14:textId="77777777" w:rsidR="00B076A2" w:rsidRDefault="00B076A2" w:rsidP="00B076A2">
      <w:pPr>
        <w:spacing w:after="0" w:line="240" w:lineRule="auto"/>
        <w:jc w:val="both"/>
        <w:rPr>
          <w:rFonts w:ascii="Arial" w:hAnsi="Arial" w:cs="Arial"/>
          <w:sz w:val="24"/>
        </w:rPr>
      </w:pPr>
      <w:r w:rsidRPr="006B2490">
        <w:rPr>
          <w:rFonts w:ascii="Arial" w:hAnsi="Arial" w:cs="Arial"/>
          <w:sz w:val="24"/>
        </w:rPr>
        <w:t>El gasto público constituye un instrumento determinante para la política económica</w:t>
      </w:r>
      <w:r>
        <w:rPr>
          <w:rFonts w:ascii="Arial" w:hAnsi="Arial" w:cs="Arial"/>
          <w:sz w:val="24"/>
        </w:rPr>
        <w:t xml:space="preserve"> y cobra suma relevancia ante la coyuntura económica en la que nos encontramos</w:t>
      </w:r>
      <w:r w:rsidRPr="006B2490">
        <w:rPr>
          <w:rFonts w:ascii="Arial" w:hAnsi="Arial" w:cs="Arial"/>
          <w:sz w:val="24"/>
        </w:rPr>
        <w:t>.</w:t>
      </w:r>
      <w:r>
        <w:rPr>
          <w:rFonts w:ascii="Arial" w:hAnsi="Arial" w:cs="Arial"/>
          <w:sz w:val="24"/>
        </w:rPr>
        <w:t xml:space="preserve"> </w:t>
      </w:r>
      <w:r w:rsidRPr="006B2490">
        <w:rPr>
          <w:rFonts w:ascii="Arial" w:hAnsi="Arial" w:cs="Arial"/>
          <w:sz w:val="24"/>
        </w:rPr>
        <w:t>En la definición de las directrices en materia presupuestaria, compatibles con los</w:t>
      </w:r>
      <w:r>
        <w:rPr>
          <w:rFonts w:ascii="Arial" w:hAnsi="Arial" w:cs="Arial"/>
          <w:sz w:val="24"/>
        </w:rPr>
        <w:t xml:space="preserve"> </w:t>
      </w:r>
      <w:r w:rsidRPr="006B2490">
        <w:rPr>
          <w:rFonts w:ascii="Arial" w:hAnsi="Arial" w:cs="Arial"/>
          <w:sz w:val="24"/>
        </w:rPr>
        <w:t>objetivos de desarrollo económico y social, resultan fundamentales la determinación</w:t>
      </w:r>
      <w:r>
        <w:rPr>
          <w:rFonts w:ascii="Arial" w:hAnsi="Arial" w:cs="Arial"/>
          <w:sz w:val="24"/>
        </w:rPr>
        <w:t xml:space="preserve"> </w:t>
      </w:r>
      <w:r w:rsidRPr="006B2490">
        <w:rPr>
          <w:rFonts w:ascii="Arial" w:hAnsi="Arial" w:cs="Arial"/>
          <w:sz w:val="24"/>
        </w:rPr>
        <w:t xml:space="preserve">del nivel óptimo de gasto, así como su adecuada asignación. </w:t>
      </w:r>
    </w:p>
    <w:p w14:paraId="064BC53E" w14:textId="77777777" w:rsidR="00B076A2" w:rsidRDefault="00B076A2" w:rsidP="00B076A2">
      <w:pPr>
        <w:spacing w:after="0" w:line="240" w:lineRule="auto"/>
        <w:jc w:val="both"/>
        <w:rPr>
          <w:rFonts w:ascii="Arial" w:hAnsi="Arial" w:cs="Arial"/>
          <w:sz w:val="24"/>
        </w:rPr>
      </w:pPr>
    </w:p>
    <w:p w14:paraId="23DA8BA1" w14:textId="77777777" w:rsidR="00B076A2" w:rsidRDefault="00B076A2" w:rsidP="00B076A2">
      <w:pPr>
        <w:spacing w:after="0" w:line="240" w:lineRule="auto"/>
        <w:jc w:val="both"/>
        <w:rPr>
          <w:rFonts w:ascii="Arial" w:hAnsi="Arial" w:cs="Arial"/>
          <w:sz w:val="24"/>
        </w:rPr>
      </w:pPr>
      <w:r>
        <w:rPr>
          <w:rFonts w:ascii="Arial" w:hAnsi="Arial" w:cs="Arial"/>
          <w:sz w:val="24"/>
        </w:rPr>
        <w:t xml:space="preserve">El apego a </w:t>
      </w:r>
      <w:r w:rsidRPr="006B2490">
        <w:rPr>
          <w:rFonts w:ascii="Arial" w:hAnsi="Arial" w:cs="Arial"/>
          <w:sz w:val="24"/>
        </w:rPr>
        <w:t>una política de gasto orientada a resultados busca elevar la eficiencia</w:t>
      </w:r>
      <w:r>
        <w:rPr>
          <w:rFonts w:ascii="Arial" w:hAnsi="Arial" w:cs="Arial"/>
          <w:sz w:val="24"/>
        </w:rPr>
        <w:t xml:space="preserve"> </w:t>
      </w:r>
      <w:r w:rsidRPr="006B2490">
        <w:rPr>
          <w:rFonts w:ascii="Arial" w:hAnsi="Arial" w:cs="Arial"/>
          <w:sz w:val="24"/>
        </w:rPr>
        <w:t>en la ejecución de los recursos, con independencia de su naturaleza económica.</w:t>
      </w:r>
      <w:r>
        <w:rPr>
          <w:rFonts w:ascii="Arial" w:hAnsi="Arial" w:cs="Arial"/>
          <w:sz w:val="24"/>
        </w:rPr>
        <w:t xml:space="preserve"> </w:t>
      </w:r>
      <w:r w:rsidRPr="006B2490">
        <w:rPr>
          <w:rFonts w:ascii="Arial" w:hAnsi="Arial" w:cs="Arial"/>
          <w:sz w:val="24"/>
        </w:rPr>
        <w:t>Por lo regular, la sociedad mantiene una expectativa elevada de un gasto público</w:t>
      </w:r>
      <w:r>
        <w:rPr>
          <w:rFonts w:ascii="Arial" w:hAnsi="Arial" w:cs="Arial"/>
          <w:sz w:val="24"/>
        </w:rPr>
        <w:t xml:space="preserve"> </w:t>
      </w:r>
      <w:r w:rsidRPr="006B2490">
        <w:rPr>
          <w:rFonts w:ascii="Arial" w:hAnsi="Arial" w:cs="Arial"/>
          <w:sz w:val="24"/>
        </w:rPr>
        <w:t>intensivo en la creación o incremento de activos (inversión en infraestructura, por</w:t>
      </w:r>
      <w:r>
        <w:rPr>
          <w:rFonts w:ascii="Arial" w:hAnsi="Arial" w:cs="Arial"/>
          <w:sz w:val="24"/>
        </w:rPr>
        <w:t xml:space="preserve"> </w:t>
      </w:r>
      <w:r w:rsidRPr="006B2490">
        <w:rPr>
          <w:rFonts w:ascii="Arial" w:hAnsi="Arial" w:cs="Arial"/>
          <w:sz w:val="24"/>
        </w:rPr>
        <w:t>ejemplo), en lugar de un gasto concentrado en destinos de naturaleza corriente,</w:t>
      </w:r>
      <w:r>
        <w:rPr>
          <w:rFonts w:ascii="Arial" w:hAnsi="Arial" w:cs="Arial"/>
          <w:sz w:val="24"/>
        </w:rPr>
        <w:t xml:space="preserve"> </w:t>
      </w:r>
      <w:r w:rsidRPr="006B2490">
        <w:rPr>
          <w:rFonts w:ascii="Arial" w:hAnsi="Arial" w:cs="Arial"/>
          <w:sz w:val="24"/>
        </w:rPr>
        <w:t>principalmente en lo que respecta a gastos de operación.</w:t>
      </w:r>
      <w:r w:rsidRPr="006B2490">
        <w:rPr>
          <w:rFonts w:ascii="Arial" w:hAnsi="Arial" w:cs="Arial"/>
          <w:sz w:val="24"/>
        </w:rPr>
        <w:cr/>
      </w:r>
    </w:p>
    <w:p w14:paraId="122B6A7F" w14:textId="77777777" w:rsidR="00B076A2" w:rsidRDefault="00B076A2" w:rsidP="00B076A2">
      <w:pPr>
        <w:spacing w:after="0" w:line="240" w:lineRule="auto"/>
        <w:jc w:val="both"/>
        <w:rPr>
          <w:rFonts w:ascii="Arial" w:hAnsi="Arial" w:cs="Arial"/>
          <w:sz w:val="24"/>
        </w:rPr>
      </w:pPr>
      <w:r>
        <w:rPr>
          <w:rFonts w:ascii="Arial" w:hAnsi="Arial" w:cs="Arial"/>
          <w:sz w:val="24"/>
        </w:rPr>
        <w:t>S</w:t>
      </w:r>
      <w:r w:rsidRPr="006B2490">
        <w:rPr>
          <w:rFonts w:ascii="Arial" w:hAnsi="Arial" w:cs="Arial"/>
          <w:sz w:val="24"/>
        </w:rPr>
        <w:t>i bien es deseable fomentar la existencia de coeficientes altos de</w:t>
      </w:r>
      <w:r>
        <w:rPr>
          <w:rFonts w:ascii="Arial" w:hAnsi="Arial" w:cs="Arial"/>
          <w:sz w:val="24"/>
        </w:rPr>
        <w:t xml:space="preserve"> </w:t>
      </w:r>
      <w:r w:rsidRPr="006B2490">
        <w:rPr>
          <w:rFonts w:ascii="Arial" w:hAnsi="Arial" w:cs="Arial"/>
          <w:sz w:val="24"/>
        </w:rPr>
        <w:t>participación del gasto de capital dentro del total programable, es indispensable</w:t>
      </w:r>
      <w:r>
        <w:rPr>
          <w:rFonts w:ascii="Arial" w:hAnsi="Arial" w:cs="Arial"/>
          <w:sz w:val="24"/>
        </w:rPr>
        <w:t xml:space="preserve"> </w:t>
      </w:r>
      <w:r w:rsidRPr="006B2490">
        <w:rPr>
          <w:rFonts w:ascii="Arial" w:hAnsi="Arial" w:cs="Arial"/>
          <w:sz w:val="24"/>
        </w:rPr>
        <w:t>establecer que el gasto de operación de las instituciones permite el desempeño</w:t>
      </w:r>
      <w:r>
        <w:rPr>
          <w:rFonts w:ascii="Arial" w:hAnsi="Arial" w:cs="Arial"/>
          <w:sz w:val="24"/>
        </w:rPr>
        <w:t xml:space="preserve"> </w:t>
      </w:r>
      <w:r w:rsidRPr="006B2490">
        <w:rPr>
          <w:rFonts w:ascii="Arial" w:hAnsi="Arial" w:cs="Arial"/>
          <w:sz w:val="24"/>
        </w:rPr>
        <w:t>gubernamental, lo cual incluye la entrega de bienes y servicios que la población</w:t>
      </w:r>
      <w:r>
        <w:rPr>
          <w:rFonts w:ascii="Arial" w:hAnsi="Arial" w:cs="Arial"/>
          <w:sz w:val="24"/>
        </w:rPr>
        <w:t xml:space="preserve"> </w:t>
      </w:r>
      <w:r w:rsidRPr="006B2490">
        <w:rPr>
          <w:rFonts w:ascii="Arial" w:hAnsi="Arial" w:cs="Arial"/>
          <w:sz w:val="24"/>
        </w:rPr>
        <w:t xml:space="preserve">demanda. </w:t>
      </w:r>
    </w:p>
    <w:p w14:paraId="26A136CC" w14:textId="77777777" w:rsidR="00B076A2" w:rsidRDefault="00B076A2" w:rsidP="00B076A2">
      <w:pPr>
        <w:spacing w:after="0" w:line="240" w:lineRule="auto"/>
        <w:jc w:val="both"/>
        <w:rPr>
          <w:rFonts w:ascii="Arial" w:hAnsi="Arial" w:cs="Arial"/>
          <w:sz w:val="24"/>
        </w:rPr>
      </w:pPr>
    </w:p>
    <w:p w14:paraId="11BFED7B" w14:textId="77777777" w:rsidR="00B076A2" w:rsidRDefault="00B076A2" w:rsidP="00B076A2">
      <w:pPr>
        <w:spacing w:after="0" w:line="240" w:lineRule="auto"/>
        <w:jc w:val="both"/>
        <w:rPr>
          <w:rFonts w:ascii="Arial" w:hAnsi="Arial" w:cs="Arial"/>
          <w:sz w:val="24"/>
        </w:rPr>
      </w:pPr>
      <w:r w:rsidRPr="006B2490">
        <w:rPr>
          <w:rFonts w:ascii="Arial" w:hAnsi="Arial" w:cs="Arial"/>
          <w:sz w:val="24"/>
        </w:rPr>
        <w:t>El gasto de operación incluye, entre otros, los recursos destinados a la adquisición</w:t>
      </w:r>
      <w:r>
        <w:rPr>
          <w:rFonts w:ascii="Arial" w:hAnsi="Arial" w:cs="Arial"/>
          <w:sz w:val="24"/>
        </w:rPr>
        <w:t xml:space="preserve"> </w:t>
      </w:r>
      <w:r w:rsidRPr="006B2490">
        <w:rPr>
          <w:rFonts w:ascii="Arial" w:hAnsi="Arial" w:cs="Arial"/>
          <w:sz w:val="24"/>
        </w:rPr>
        <w:t>de los materiales y suministros que significan insumos para la generación de</w:t>
      </w:r>
      <w:r>
        <w:rPr>
          <w:rFonts w:ascii="Arial" w:hAnsi="Arial" w:cs="Arial"/>
          <w:sz w:val="24"/>
        </w:rPr>
        <w:t xml:space="preserve"> </w:t>
      </w:r>
      <w:r w:rsidRPr="006B2490">
        <w:rPr>
          <w:rFonts w:ascii="Arial" w:hAnsi="Arial" w:cs="Arial"/>
          <w:sz w:val="24"/>
        </w:rPr>
        <w:t>procesos, tales como</w:t>
      </w:r>
      <w:r>
        <w:rPr>
          <w:rFonts w:ascii="Arial" w:hAnsi="Arial" w:cs="Arial"/>
          <w:sz w:val="24"/>
        </w:rPr>
        <w:t xml:space="preserve"> el</w:t>
      </w:r>
      <w:r w:rsidRPr="006B2490">
        <w:rPr>
          <w:rFonts w:ascii="Arial" w:hAnsi="Arial" w:cs="Arial"/>
          <w:sz w:val="24"/>
        </w:rPr>
        <w:t xml:space="preserve"> pago de electricidad de hospitales, vestuario de fuerzas de</w:t>
      </w:r>
      <w:r>
        <w:rPr>
          <w:rFonts w:ascii="Arial" w:hAnsi="Arial" w:cs="Arial"/>
          <w:sz w:val="24"/>
        </w:rPr>
        <w:t xml:space="preserve"> </w:t>
      </w:r>
      <w:r w:rsidRPr="006B2490">
        <w:rPr>
          <w:rFonts w:ascii="Arial" w:hAnsi="Arial" w:cs="Arial"/>
          <w:sz w:val="24"/>
        </w:rPr>
        <w:t>seguridad, uniformes para enfermeras y doctores, material de laboratorio y gastos</w:t>
      </w:r>
      <w:r>
        <w:rPr>
          <w:rFonts w:ascii="Arial" w:hAnsi="Arial" w:cs="Arial"/>
          <w:sz w:val="24"/>
        </w:rPr>
        <w:t xml:space="preserve"> para la entrega de subsidios, incluidos también </w:t>
      </w:r>
      <w:r>
        <w:rPr>
          <w:rFonts w:ascii="Arial" w:hAnsi="Arial" w:cs="Arial"/>
          <w:sz w:val="24"/>
        </w:rPr>
        <w:lastRenderedPageBreak/>
        <w:t>todos los recursos que se erogarán para continuar con la contención de la pandemia y para asegurar la cobertura y atención médica a todos los colimenses.</w:t>
      </w:r>
    </w:p>
    <w:p w14:paraId="0B063219" w14:textId="77777777" w:rsidR="00B076A2" w:rsidRDefault="00B076A2" w:rsidP="00B076A2">
      <w:pPr>
        <w:spacing w:after="0" w:line="240" w:lineRule="auto"/>
        <w:jc w:val="both"/>
        <w:rPr>
          <w:rFonts w:ascii="Arial" w:hAnsi="Arial" w:cs="Arial"/>
          <w:sz w:val="24"/>
        </w:rPr>
      </w:pPr>
    </w:p>
    <w:p w14:paraId="07BC9538" w14:textId="77777777" w:rsidR="00B076A2" w:rsidRDefault="00B076A2" w:rsidP="00B076A2">
      <w:pPr>
        <w:spacing w:after="0" w:line="240" w:lineRule="auto"/>
        <w:jc w:val="both"/>
        <w:rPr>
          <w:rFonts w:ascii="Arial" w:hAnsi="Arial" w:cs="Arial"/>
          <w:sz w:val="24"/>
        </w:rPr>
      </w:pPr>
      <w:r>
        <w:rPr>
          <w:rFonts w:ascii="Arial" w:hAnsi="Arial" w:cs="Arial"/>
          <w:sz w:val="24"/>
        </w:rPr>
        <w:t xml:space="preserve">Este tipo de gasto </w:t>
      </w:r>
      <w:r w:rsidRPr="006B2490">
        <w:rPr>
          <w:rFonts w:ascii="Arial" w:hAnsi="Arial" w:cs="Arial"/>
          <w:sz w:val="24"/>
        </w:rPr>
        <w:t>se concentra en áreas que atienden temas altamente</w:t>
      </w:r>
      <w:r>
        <w:rPr>
          <w:rFonts w:ascii="Arial" w:hAnsi="Arial" w:cs="Arial"/>
          <w:sz w:val="24"/>
        </w:rPr>
        <w:t xml:space="preserve"> </w:t>
      </w:r>
      <w:r w:rsidRPr="006B2490">
        <w:rPr>
          <w:rFonts w:ascii="Arial" w:hAnsi="Arial" w:cs="Arial"/>
          <w:sz w:val="24"/>
        </w:rPr>
        <w:t xml:space="preserve">sensibles para la población, </w:t>
      </w:r>
      <w:r>
        <w:rPr>
          <w:rFonts w:ascii="Arial" w:hAnsi="Arial" w:cs="Arial"/>
          <w:sz w:val="24"/>
        </w:rPr>
        <w:t xml:space="preserve">como lo es salud, educación y </w:t>
      </w:r>
      <w:r w:rsidRPr="006B2490">
        <w:rPr>
          <w:rFonts w:ascii="Arial" w:hAnsi="Arial" w:cs="Arial"/>
          <w:sz w:val="24"/>
        </w:rPr>
        <w:t>seguridad</w:t>
      </w:r>
      <w:r>
        <w:rPr>
          <w:rFonts w:ascii="Arial" w:hAnsi="Arial" w:cs="Arial"/>
          <w:sz w:val="24"/>
        </w:rPr>
        <w:t xml:space="preserve"> pública</w:t>
      </w:r>
      <w:r w:rsidRPr="006B2490">
        <w:rPr>
          <w:rFonts w:ascii="Arial" w:hAnsi="Arial" w:cs="Arial"/>
          <w:sz w:val="24"/>
        </w:rPr>
        <w:t xml:space="preserve">, </w:t>
      </w:r>
      <w:r>
        <w:rPr>
          <w:rFonts w:ascii="Arial" w:hAnsi="Arial" w:cs="Arial"/>
          <w:sz w:val="24"/>
        </w:rPr>
        <w:t>a través de la entrega de bienes y servicios</w:t>
      </w:r>
      <w:r w:rsidRPr="006B2490">
        <w:rPr>
          <w:rFonts w:ascii="Arial" w:hAnsi="Arial" w:cs="Arial"/>
          <w:sz w:val="24"/>
        </w:rPr>
        <w:t>.</w:t>
      </w:r>
      <w:r>
        <w:rPr>
          <w:rFonts w:ascii="Arial" w:hAnsi="Arial" w:cs="Arial"/>
          <w:sz w:val="24"/>
        </w:rPr>
        <w:t xml:space="preserve"> </w:t>
      </w:r>
      <w:r w:rsidRPr="006B2490">
        <w:rPr>
          <w:rFonts w:ascii="Arial" w:hAnsi="Arial" w:cs="Arial"/>
          <w:sz w:val="24"/>
        </w:rPr>
        <w:t>Es por ello que, sin menoscabo de lo dispuesto en las leyes y considerando la</w:t>
      </w:r>
      <w:r>
        <w:rPr>
          <w:rFonts w:ascii="Arial" w:hAnsi="Arial" w:cs="Arial"/>
          <w:sz w:val="24"/>
        </w:rPr>
        <w:t xml:space="preserve"> </w:t>
      </w:r>
      <w:r w:rsidRPr="006B2490">
        <w:rPr>
          <w:rFonts w:ascii="Arial" w:hAnsi="Arial" w:cs="Arial"/>
          <w:sz w:val="24"/>
        </w:rPr>
        <w:t>necesidad creciente de generar activos, resulta importante establecer que el gasto</w:t>
      </w:r>
      <w:r>
        <w:rPr>
          <w:rFonts w:ascii="Arial" w:hAnsi="Arial" w:cs="Arial"/>
          <w:sz w:val="24"/>
        </w:rPr>
        <w:t xml:space="preserve"> </w:t>
      </w:r>
      <w:r w:rsidRPr="006B2490">
        <w:rPr>
          <w:rFonts w:ascii="Arial" w:hAnsi="Arial" w:cs="Arial"/>
          <w:sz w:val="24"/>
        </w:rPr>
        <w:t>de operación cumple con un propósito que obedece al marco institucional aplicable</w:t>
      </w:r>
      <w:r>
        <w:rPr>
          <w:rFonts w:ascii="Arial" w:hAnsi="Arial" w:cs="Arial"/>
          <w:sz w:val="24"/>
        </w:rPr>
        <w:t xml:space="preserve"> y al contexto actual, por tanto la existencia del mismo es indispensable e imprescindible para el funcionamiento del aparato gubernamental.</w:t>
      </w:r>
    </w:p>
    <w:p w14:paraId="68B5384B" w14:textId="77777777" w:rsidR="00B076A2" w:rsidRDefault="00B076A2" w:rsidP="00B076A2">
      <w:pPr>
        <w:spacing w:after="0" w:line="240" w:lineRule="auto"/>
        <w:jc w:val="both"/>
        <w:rPr>
          <w:rFonts w:ascii="Arial" w:hAnsi="Arial" w:cs="Arial"/>
          <w:sz w:val="24"/>
        </w:rPr>
      </w:pPr>
    </w:p>
    <w:p w14:paraId="0B3D82DF" w14:textId="77777777" w:rsidR="00B076A2" w:rsidRDefault="00B076A2" w:rsidP="00B076A2">
      <w:pPr>
        <w:spacing w:after="0" w:line="240" w:lineRule="auto"/>
        <w:jc w:val="both"/>
        <w:rPr>
          <w:rFonts w:ascii="Arial" w:hAnsi="Arial" w:cs="Arial"/>
          <w:sz w:val="24"/>
        </w:rPr>
      </w:pPr>
      <w:r>
        <w:rPr>
          <w:rFonts w:ascii="Arial" w:hAnsi="Arial" w:cs="Arial"/>
          <w:sz w:val="24"/>
        </w:rPr>
        <w:t>L</w:t>
      </w:r>
      <w:r w:rsidRPr="00E73C94">
        <w:rPr>
          <w:rFonts w:ascii="Arial" w:hAnsi="Arial" w:cs="Arial"/>
          <w:sz w:val="24"/>
        </w:rPr>
        <w:t xml:space="preserve">a </w:t>
      </w:r>
      <w:r>
        <w:rPr>
          <w:rFonts w:ascii="Arial" w:hAnsi="Arial" w:cs="Arial"/>
          <w:sz w:val="24"/>
        </w:rPr>
        <w:t xml:space="preserve">presente administración ha sido </w:t>
      </w:r>
      <w:r w:rsidRPr="00E73C94">
        <w:rPr>
          <w:rFonts w:ascii="Arial" w:hAnsi="Arial" w:cs="Arial"/>
          <w:sz w:val="24"/>
        </w:rPr>
        <w:t>consciente de las prioridades en materia</w:t>
      </w:r>
      <w:r>
        <w:rPr>
          <w:rFonts w:ascii="Arial" w:hAnsi="Arial" w:cs="Arial"/>
          <w:sz w:val="24"/>
        </w:rPr>
        <w:t xml:space="preserve"> </w:t>
      </w:r>
      <w:r w:rsidRPr="00E73C94">
        <w:rPr>
          <w:rFonts w:ascii="Arial" w:hAnsi="Arial" w:cs="Arial"/>
          <w:sz w:val="24"/>
        </w:rPr>
        <w:t>de provisión de bienes y servicios públicos, así como de generación de ahorros,</w:t>
      </w:r>
      <w:r>
        <w:rPr>
          <w:rFonts w:ascii="Arial" w:hAnsi="Arial" w:cs="Arial"/>
          <w:sz w:val="24"/>
        </w:rPr>
        <w:t xml:space="preserve"> </w:t>
      </w:r>
      <w:r w:rsidRPr="00E73C94">
        <w:rPr>
          <w:rFonts w:ascii="Arial" w:hAnsi="Arial" w:cs="Arial"/>
          <w:sz w:val="24"/>
        </w:rPr>
        <w:t xml:space="preserve">en favor de la reasignación de </w:t>
      </w:r>
      <w:r>
        <w:rPr>
          <w:rFonts w:ascii="Arial" w:hAnsi="Arial" w:cs="Arial"/>
          <w:sz w:val="24"/>
        </w:rPr>
        <w:t xml:space="preserve">estos </w:t>
      </w:r>
      <w:r w:rsidRPr="00E73C94">
        <w:rPr>
          <w:rFonts w:ascii="Arial" w:hAnsi="Arial" w:cs="Arial"/>
          <w:sz w:val="24"/>
        </w:rPr>
        <w:t>hacia programas sustantivos</w:t>
      </w:r>
      <w:r>
        <w:rPr>
          <w:rFonts w:ascii="Arial" w:hAnsi="Arial" w:cs="Arial"/>
          <w:sz w:val="24"/>
        </w:rPr>
        <w:t>, como lo es, en estos momentos, la atención de la pandemia del COVID-19</w:t>
      </w:r>
      <w:r w:rsidRPr="00E73C94">
        <w:rPr>
          <w:rFonts w:ascii="Arial" w:hAnsi="Arial" w:cs="Arial"/>
          <w:sz w:val="24"/>
        </w:rPr>
        <w:t>, sin afectar el cumplimiento de las metas</w:t>
      </w:r>
      <w:r>
        <w:rPr>
          <w:rFonts w:ascii="Arial" w:hAnsi="Arial" w:cs="Arial"/>
          <w:sz w:val="24"/>
        </w:rPr>
        <w:t xml:space="preserve"> </w:t>
      </w:r>
      <w:r w:rsidRPr="00E73C94">
        <w:rPr>
          <w:rFonts w:ascii="Arial" w:hAnsi="Arial" w:cs="Arial"/>
          <w:sz w:val="24"/>
        </w:rPr>
        <w:t>institucionales establecidas y los programas sociales, especialmente</w:t>
      </w:r>
      <w:r>
        <w:rPr>
          <w:rFonts w:ascii="Arial" w:hAnsi="Arial" w:cs="Arial"/>
          <w:sz w:val="24"/>
        </w:rPr>
        <w:t xml:space="preserve"> </w:t>
      </w:r>
      <w:r w:rsidRPr="00E73C94">
        <w:rPr>
          <w:rFonts w:ascii="Arial" w:hAnsi="Arial" w:cs="Arial"/>
          <w:sz w:val="24"/>
        </w:rPr>
        <w:t>los enfocados a la atenc</w:t>
      </w:r>
      <w:r>
        <w:rPr>
          <w:rFonts w:ascii="Arial" w:hAnsi="Arial" w:cs="Arial"/>
          <w:sz w:val="24"/>
        </w:rPr>
        <w:t xml:space="preserve">ión de los grupos vulnerables, tomando en consideración </w:t>
      </w:r>
      <w:r w:rsidRPr="00B6576B">
        <w:rPr>
          <w:rFonts w:ascii="Arial" w:hAnsi="Arial" w:cs="Arial"/>
          <w:sz w:val="24"/>
        </w:rPr>
        <w:t>las políticas de finanzas públicas</w:t>
      </w:r>
      <w:r>
        <w:rPr>
          <w:rFonts w:ascii="Arial" w:hAnsi="Arial" w:cs="Arial"/>
          <w:sz w:val="24"/>
        </w:rPr>
        <w:t xml:space="preserve"> </w:t>
      </w:r>
      <w:r w:rsidRPr="00B6576B">
        <w:rPr>
          <w:rFonts w:ascii="Arial" w:hAnsi="Arial" w:cs="Arial"/>
          <w:sz w:val="24"/>
        </w:rPr>
        <w:t>contenidas en el Eje Transversal</w:t>
      </w:r>
      <w:r>
        <w:rPr>
          <w:rFonts w:ascii="Arial" w:hAnsi="Arial" w:cs="Arial"/>
          <w:sz w:val="24"/>
        </w:rPr>
        <w:t xml:space="preserve"> 1</w:t>
      </w:r>
      <w:r w:rsidRPr="00B6576B">
        <w:rPr>
          <w:rFonts w:ascii="Arial" w:hAnsi="Arial" w:cs="Arial"/>
          <w:sz w:val="24"/>
        </w:rPr>
        <w:t xml:space="preserve"> “Colima con un Gobierno Moderno, Efectivo y</w:t>
      </w:r>
      <w:r>
        <w:rPr>
          <w:rFonts w:ascii="Arial" w:hAnsi="Arial" w:cs="Arial"/>
          <w:sz w:val="24"/>
        </w:rPr>
        <w:t xml:space="preserve"> </w:t>
      </w:r>
      <w:r w:rsidRPr="00B6576B">
        <w:rPr>
          <w:rFonts w:ascii="Arial" w:hAnsi="Arial" w:cs="Arial"/>
          <w:sz w:val="24"/>
        </w:rPr>
        <w:t>Transparente” del PED.</w:t>
      </w:r>
    </w:p>
    <w:p w14:paraId="51D24E85" w14:textId="77777777" w:rsidR="00B076A2" w:rsidRDefault="00B076A2" w:rsidP="00B076A2">
      <w:pPr>
        <w:spacing w:after="0" w:line="240" w:lineRule="auto"/>
        <w:jc w:val="both"/>
        <w:rPr>
          <w:rFonts w:ascii="Arial" w:hAnsi="Arial" w:cs="Arial"/>
          <w:sz w:val="24"/>
        </w:rPr>
      </w:pPr>
    </w:p>
    <w:p w14:paraId="0C1B3649" w14:textId="77777777" w:rsidR="00B076A2" w:rsidRDefault="00B076A2" w:rsidP="00B076A2">
      <w:pPr>
        <w:spacing w:after="0" w:line="240" w:lineRule="auto"/>
        <w:jc w:val="both"/>
        <w:rPr>
          <w:rFonts w:ascii="Arial" w:hAnsi="Arial" w:cs="Arial"/>
          <w:sz w:val="24"/>
        </w:rPr>
      </w:pPr>
      <w:r>
        <w:rPr>
          <w:rFonts w:ascii="Arial" w:hAnsi="Arial" w:cs="Arial"/>
          <w:sz w:val="24"/>
        </w:rPr>
        <w:t>Para finalizar, cobra relevancia el recordar que la presente administración continúa siendo muy enfática respecto a la cero tolerancia en materia de corrupción, regidos por los principios, bases generales y procedimientos que están establecidos en la Constitución Política del Estado Libre y Soberano de Colima, en la Ley del Sistema Anticorrupción del Estado de Colima y demás ordenamientos legales en la materia.</w:t>
      </w:r>
    </w:p>
    <w:p w14:paraId="0AFE4C90" w14:textId="77777777" w:rsidR="00B076A2" w:rsidRDefault="00B076A2" w:rsidP="00B076A2">
      <w:pPr>
        <w:spacing w:after="0" w:line="240" w:lineRule="auto"/>
        <w:jc w:val="both"/>
        <w:rPr>
          <w:rFonts w:ascii="Arial" w:hAnsi="Arial" w:cs="Arial"/>
          <w:sz w:val="24"/>
        </w:rPr>
      </w:pPr>
    </w:p>
    <w:p w14:paraId="58CBF313" w14:textId="77777777" w:rsidR="00B076A2" w:rsidRDefault="00B076A2" w:rsidP="00B076A2">
      <w:pPr>
        <w:spacing w:after="0" w:line="240" w:lineRule="auto"/>
        <w:jc w:val="both"/>
        <w:rPr>
          <w:rFonts w:ascii="Arial" w:hAnsi="Arial" w:cs="Arial"/>
          <w:sz w:val="24"/>
        </w:rPr>
      </w:pPr>
      <w:r>
        <w:rPr>
          <w:rFonts w:ascii="Arial" w:hAnsi="Arial" w:cs="Arial"/>
          <w:sz w:val="24"/>
        </w:rPr>
        <w:t>La continuidad de estas medidas</w:t>
      </w:r>
      <w:r>
        <w:t xml:space="preserve"> </w:t>
      </w:r>
      <w:r w:rsidRPr="001E5F5D">
        <w:rPr>
          <w:rFonts w:ascii="Arial" w:hAnsi="Arial" w:cs="Arial"/>
          <w:sz w:val="24"/>
        </w:rPr>
        <w:t>además de coadyuvar en la estabilización de las</w:t>
      </w:r>
      <w:r>
        <w:rPr>
          <w:rFonts w:ascii="Arial" w:hAnsi="Arial" w:cs="Arial"/>
          <w:sz w:val="24"/>
        </w:rPr>
        <w:t xml:space="preserve"> finanzas públicas, permitirá</w:t>
      </w:r>
      <w:r w:rsidRPr="001E5F5D">
        <w:rPr>
          <w:rFonts w:ascii="Arial" w:hAnsi="Arial" w:cs="Arial"/>
          <w:sz w:val="24"/>
        </w:rPr>
        <w:t xml:space="preserve"> reorientar los recursos hacia los temas de más</w:t>
      </w:r>
      <w:r>
        <w:rPr>
          <w:rFonts w:ascii="Arial" w:hAnsi="Arial" w:cs="Arial"/>
          <w:sz w:val="24"/>
        </w:rPr>
        <w:t xml:space="preserve"> </w:t>
      </w:r>
      <w:r w:rsidRPr="001E5F5D">
        <w:rPr>
          <w:rFonts w:ascii="Arial" w:hAnsi="Arial" w:cs="Arial"/>
          <w:sz w:val="24"/>
        </w:rPr>
        <w:t>sensibilidad y necesidad social, contribuyendo al mejoramiento del bienestar de las</w:t>
      </w:r>
      <w:r>
        <w:rPr>
          <w:rFonts w:ascii="Arial" w:hAnsi="Arial" w:cs="Arial"/>
          <w:sz w:val="24"/>
        </w:rPr>
        <w:t xml:space="preserve"> </w:t>
      </w:r>
      <w:r w:rsidRPr="001E5F5D">
        <w:rPr>
          <w:rFonts w:ascii="Arial" w:hAnsi="Arial" w:cs="Arial"/>
          <w:sz w:val="24"/>
        </w:rPr>
        <w:t>familias colimenses.</w:t>
      </w:r>
    </w:p>
    <w:p w14:paraId="2338F3AD" w14:textId="77777777" w:rsidR="00B076A2" w:rsidRDefault="00B076A2" w:rsidP="00B076A2">
      <w:pPr>
        <w:spacing w:after="0" w:line="240" w:lineRule="auto"/>
        <w:jc w:val="both"/>
        <w:rPr>
          <w:rFonts w:ascii="Arial" w:hAnsi="Arial" w:cs="Arial"/>
          <w:sz w:val="24"/>
        </w:rPr>
      </w:pPr>
    </w:p>
    <w:p w14:paraId="5AE8EA2B" w14:textId="77777777" w:rsidR="00B076A2" w:rsidRPr="004967B8" w:rsidRDefault="00B076A2" w:rsidP="00B076A2">
      <w:pPr>
        <w:spacing w:after="0" w:line="240" w:lineRule="auto"/>
        <w:jc w:val="both"/>
        <w:rPr>
          <w:rFonts w:ascii="Arial" w:hAnsi="Arial" w:cs="Arial"/>
          <w:i/>
          <w:sz w:val="24"/>
        </w:rPr>
      </w:pPr>
      <w:r>
        <w:rPr>
          <w:rFonts w:ascii="Arial" w:hAnsi="Arial" w:cs="Arial"/>
          <w:i/>
          <w:sz w:val="24"/>
        </w:rPr>
        <w:t xml:space="preserve">Estrategia </w:t>
      </w:r>
      <w:r w:rsidRPr="004967B8">
        <w:rPr>
          <w:rFonts w:ascii="Arial" w:hAnsi="Arial" w:cs="Arial"/>
          <w:i/>
          <w:sz w:val="24"/>
        </w:rPr>
        <w:t>4. Mejora en la asignación de recursos destinados a programas y proyectos.</w:t>
      </w:r>
    </w:p>
    <w:p w14:paraId="346C67E9" w14:textId="77777777" w:rsidR="00B076A2" w:rsidRDefault="00B076A2" w:rsidP="00B076A2">
      <w:pPr>
        <w:spacing w:after="0" w:line="240" w:lineRule="auto"/>
        <w:jc w:val="both"/>
        <w:rPr>
          <w:rFonts w:ascii="Arial" w:hAnsi="Arial" w:cs="Arial"/>
          <w:sz w:val="24"/>
        </w:rPr>
      </w:pPr>
    </w:p>
    <w:p w14:paraId="3DDB2BE3" w14:textId="77777777" w:rsidR="00B076A2" w:rsidRDefault="00B076A2" w:rsidP="00B076A2">
      <w:pPr>
        <w:spacing w:after="0" w:line="240" w:lineRule="auto"/>
        <w:jc w:val="both"/>
        <w:rPr>
          <w:rFonts w:ascii="Arial" w:hAnsi="Arial" w:cs="Arial"/>
          <w:sz w:val="24"/>
        </w:rPr>
      </w:pPr>
      <w:r>
        <w:rPr>
          <w:rFonts w:ascii="Arial" w:hAnsi="Arial" w:cs="Arial"/>
          <w:sz w:val="24"/>
        </w:rPr>
        <w:t>E</w:t>
      </w:r>
      <w:r w:rsidRPr="00E57FA3">
        <w:rPr>
          <w:rFonts w:ascii="Arial" w:hAnsi="Arial" w:cs="Arial"/>
          <w:sz w:val="24"/>
        </w:rPr>
        <w:t>n la definición de las prioridades estatales plasmadas en el PED</w:t>
      </w:r>
      <w:r>
        <w:rPr>
          <w:rFonts w:ascii="Arial" w:hAnsi="Arial" w:cs="Arial"/>
          <w:sz w:val="24"/>
        </w:rPr>
        <w:t xml:space="preserve"> y </w:t>
      </w:r>
      <w:r w:rsidRPr="00E57FA3">
        <w:rPr>
          <w:rFonts w:ascii="Arial" w:hAnsi="Arial" w:cs="Arial"/>
          <w:sz w:val="24"/>
        </w:rPr>
        <w:t>en el</w:t>
      </w:r>
      <w:r>
        <w:rPr>
          <w:rFonts w:ascii="Arial" w:hAnsi="Arial" w:cs="Arial"/>
          <w:sz w:val="24"/>
        </w:rPr>
        <w:t xml:space="preserve"> </w:t>
      </w:r>
      <w:r w:rsidRPr="00E57FA3">
        <w:rPr>
          <w:rFonts w:ascii="Arial" w:hAnsi="Arial" w:cs="Arial"/>
          <w:sz w:val="24"/>
        </w:rPr>
        <w:t>marco de la Gestión para Resultados, se fortalecieron las acciones con el propósito</w:t>
      </w:r>
      <w:r>
        <w:rPr>
          <w:rFonts w:ascii="Arial" w:hAnsi="Arial" w:cs="Arial"/>
          <w:sz w:val="24"/>
        </w:rPr>
        <w:t xml:space="preserve"> </w:t>
      </w:r>
      <w:r w:rsidRPr="00E57FA3">
        <w:rPr>
          <w:rFonts w:ascii="Arial" w:hAnsi="Arial" w:cs="Arial"/>
          <w:sz w:val="24"/>
        </w:rPr>
        <w:t xml:space="preserve">de mejorar la asignación de recursos a los programas y proyectos, a fin de priorizar </w:t>
      </w:r>
      <w:r w:rsidRPr="00E57FA3">
        <w:rPr>
          <w:rFonts w:ascii="Arial" w:hAnsi="Arial" w:cs="Arial"/>
          <w:sz w:val="24"/>
        </w:rPr>
        <w:lastRenderedPageBreak/>
        <w:t>los de mayor potencial y</w:t>
      </w:r>
      <w:r>
        <w:rPr>
          <w:rFonts w:ascii="Arial" w:hAnsi="Arial" w:cs="Arial"/>
          <w:sz w:val="24"/>
        </w:rPr>
        <w:t xml:space="preserve"> </w:t>
      </w:r>
      <w:r w:rsidRPr="00E57FA3">
        <w:rPr>
          <w:rFonts w:ascii="Arial" w:hAnsi="Arial" w:cs="Arial"/>
          <w:sz w:val="24"/>
        </w:rPr>
        <w:t>rentabilidad social, generadores de valor público, para incidir en el crecimiento y</w:t>
      </w:r>
      <w:r>
        <w:rPr>
          <w:rFonts w:ascii="Arial" w:hAnsi="Arial" w:cs="Arial"/>
          <w:sz w:val="24"/>
        </w:rPr>
        <w:t xml:space="preserve"> </w:t>
      </w:r>
      <w:r w:rsidRPr="00E57FA3">
        <w:rPr>
          <w:rFonts w:ascii="Arial" w:hAnsi="Arial" w:cs="Arial"/>
          <w:sz w:val="24"/>
        </w:rPr>
        <w:t>desa</w:t>
      </w:r>
      <w:r>
        <w:rPr>
          <w:rFonts w:ascii="Arial" w:hAnsi="Arial" w:cs="Arial"/>
          <w:sz w:val="24"/>
        </w:rPr>
        <w:t>rrollo económico, para</w:t>
      </w:r>
      <w:r w:rsidRPr="00E57FA3">
        <w:rPr>
          <w:rFonts w:ascii="Arial" w:hAnsi="Arial" w:cs="Arial"/>
          <w:sz w:val="24"/>
        </w:rPr>
        <w:t xml:space="preserve"> el cumplimiento de los objetivos y metas</w:t>
      </w:r>
      <w:r>
        <w:rPr>
          <w:rFonts w:ascii="Arial" w:hAnsi="Arial" w:cs="Arial"/>
          <w:sz w:val="24"/>
        </w:rPr>
        <w:t xml:space="preserve"> planteadas en el PE</w:t>
      </w:r>
      <w:r w:rsidRPr="00E57FA3">
        <w:rPr>
          <w:rFonts w:ascii="Arial" w:hAnsi="Arial" w:cs="Arial"/>
          <w:sz w:val="24"/>
        </w:rPr>
        <w:t>D, así como de los Programas</w:t>
      </w:r>
      <w:r>
        <w:rPr>
          <w:rFonts w:ascii="Arial" w:hAnsi="Arial" w:cs="Arial"/>
          <w:sz w:val="24"/>
        </w:rPr>
        <w:t xml:space="preserve"> </w:t>
      </w:r>
      <w:r w:rsidRPr="00E57FA3">
        <w:rPr>
          <w:rFonts w:ascii="Arial" w:hAnsi="Arial" w:cs="Arial"/>
          <w:sz w:val="24"/>
        </w:rPr>
        <w:t>Sectoriales, Especiales, Regionales e Institucionales que de él emanan.</w:t>
      </w:r>
    </w:p>
    <w:p w14:paraId="1C2F7FEE" w14:textId="77777777" w:rsidR="00B076A2" w:rsidRPr="00E57FA3" w:rsidRDefault="00B076A2" w:rsidP="00B076A2">
      <w:pPr>
        <w:spacing w:after="0" w:line="240" w:lineRule="auto"/>
        <w:jc w:val="both"/>
        <w:rPr>
          <w:rFonts w:ascii="Arial" w:hAnsi="Arial" w:cs="Arial"/>
          <w:sz w:val="24"/>
        </w:rPr>
      </w:pPr>
    </w:p>
    <w:p w14:paraId="654B867B" w14:textId="77777777" w:rsidR="00B076A2" w:rsidRPr="00E57FA3" w:rsidRDefault="00B076A2" w:rsidP="00B076A2">
      <w:pPr>
        <w:spacing w:after="0" w:line="240" w:lineRule="auto"/>
        <w:jc w:val="both"/>
        <w:rPr>
          <w:rFonts w:ascii="Arial" w:hAnsi="Arial" w:cs="Arial"/>
          <w:sz w:val="24"/>
        </w:rPr>
      </w:pPr>
      <w:r>
        <w:rPr>
          <w:rFonts w:ascii="Arial" w:hAnsi="Arial" w:cs="Arial"/>
          <w:sz w:val="24"/>
        </w:rPr>
        <w:t xml:space="preserve">Para el Ejercicio Fiscal 2021 se priorizarán los proyectos </w:t>
      </w:r>
      <w:r w:rsidRPr="00E57FA3">
        <w:rPr>
          <w:rFonts w:ascii="Arial" w:hAnsi="Arial" w:cs="Arial"/>
          <w:sz w:val="24"/>
        </w:rPr>
        <w:t>que generan mayores</w:t>
      </w:r>
      <w:r>
        <w:rPr>
          <w:rFonts w:ascii="Arial" w:hAnsi="Arial" w:cs="Arial"/>
          <w:sz w:val="24"/>
        </w:rPr>
        <w:t xml:space="preserve"> </w:t>
      </w:r>
      <w:r w:rsidRPr="00E57FA3">
        <w:rPr>
          <w:rFonts w:ascii="Arial" w:hAnsi="Arial" w:cs="Arial"/>
          <w:sz w:val="24"/>
        </w:rPr>
        <w:t>beneficios y atienden las problemáticas sociales sentidas por la</w:t>
      </w:r>
      <w:r>
        <w:rPr>
          <w:rFonts w:ascii="Arial" w:hAnsi="Arial" w:cs="Arial"/>
          <w:sz w:val="24"/>
        </w:rPr>
        <w:t xml:space="preserve"> </w:t>
      </w:r>
      <w:r w:rsidRPr="00E57FA3">
        <w:rPr>
          <w:rFonts w:ascii="Arial" w:hAnsi="Arial" w:cs="Arial"/>
          <w:sz w:val="24"/>
        </w:rPr>
        <w:t>ciudada</w:t>
      </w:r>
      <w:r>
        <w:rPr>
          <w:rFonts w:ascii="Arial" w:hAnsi="Arial" w:cs="Arial"/>
          <w:sz w:val="24"/>
        </w:rPr>
        <w:t xml:space="preserve">nía. Tal ha sido el caso de la inversión destinada a la construcción, instalación y futura puesta en marcha de todo el aparato institucional que será el </w:t>
      </w:r>
      <w:r w:rsidRPr="00DB4F60">
        <w:rPr>
          <w:rFonts w:ascii="Arial" w:hAnsi="Arial" w:cs="Arial"/>
          <w:sz w:val="24"/>
        </w:rPr>
        <w:t>Centro de Coordinación, Comando, Control, Comunicaciones, Cómputo e Inteligencia (C5i)</w:t>
      </w:r>
      <w:r>
        <w:rPr>
          <w:rFonts w:ascii="Arial" w:hAnsi="Arial" w:cs="Arial"/>
          <w:sz w:val="24"/>
        </w:rPr>
        <w:t xml:space="preserve"> y también las obras de servicios básicos en la vivienda y de mejoramiento de vivienda.</w:t>
      </w:r>
    </w:p>
    <w:p w14:paraId="1D72FF4B" w14:textId="77777777" w:rsidR="00B076A2" w:rsidRDefault="00B076A2" w:rsidP="00B076A2">
      <w:pPr>
        <w:spacing w:after="0" w:line="240" w:lineRule="auto"/>
        <w:jc w:val="both"/>
        <w:rPr>
          <w:rFonts w:ascii="Arial" w:hAnsi="Arial" w:cs="Arial"/>
          <w:sz w:val="24"/>
        </w:rPr>
      </w:pPr>
    </w:p>
    <w:p w14:paraId="5FB89538" w14:textId="77777777" w:rsidR="00B076A2" w:rsidRDefault="00B076A2" w:rsidP="00B076A2">
      <w:pPr>
        <w:spacing w:after="0" w:line="240" w:lineRule="auto"/>
        <w:jc w:val="both"/>
        <w:rPr>
          <w:rFonts w:ascii="Arial" w:hAnsi="Arial" w:cs="Arial"/>
          <w:sz w:val="24"/>
        </w:rPr>
      </w:pPr>
      <w:r>
        <w:rPr>
          <w:rFonts w:ascii="Arial" w:hAnsi="Arial" w:cs="Arial"/>
          <w:sz w:val="24"/>
        </w:rPr>
        <w:t>S</w:t>
      </w:r>
      <w:r w:rsidRPr="00E57FA3">
        <w:rPr>
          <w:rFonts w:ascii="Arial" w:hAnsi="Arial" w:cs="Arial"/>
          <w:sz w:val="24"/>
        </w:rPr>
        <w:t>e implementarán acciones</w:t>
      </w:r>
      <w:r>
        <w:rPr>
          <w:rFonts w:ascii="Arial" w:hAnsi="Arial" w:cs="Arial"/>
          <w:sz w:val="24"/>
        </w:rPr>
        <w:t xml:space="preserve"> para avanzar en los siguientes aspectos, c</w:t>
      </w:r>
      <w:r w:rsidRPr="00E57FA3">
        <w:rPr>
          <w:rFonts w:ascii="Arial" w:hAnsi="Arial" w:cs="Arial"/>
          <w:sz w:val="24"/>
        </w:rPr>
        <w:t>on anterioridad al ejercicio o contratación de cualquier programa o proyecto de</w:t>
      </w:r>
      <w:r>
        <w:rPr>
          <w:rFonts w:ascii="Arial" w:hAnsi="Arial" w:cs="Arial"/>
          <w:sz w:val="24"/>
        </w:rPr>
        <w:t xml:space="preserve"> </w:t>
      </w:r>
      <w:r w:rsidRPr="00E57FA3">
        <w:rPr>
          <w:rFonts w:ascii="Arial" w:hAnsi="Arial" w:cs="Arial"/>
          <w:sz w:val="24"/>
        </w:rPr>
        <w:t>inversión cuyo monto rebase el equivalente a 10 millones de Unidades de Inversión,</w:t>
      </w:r>
      <w:r>
        <w:rPr>
          <w:rFonts w:ascii="Arial" w:hAnsi="Arial" w:cs="Arial"/>
          <w:sz w:val="24"/>
        </w:rPr>
        <w:t xml:space="preserve"> </w:t>
      </w:r>
      <w:r w:rsidRPr="00E57FA3">
        <w:rPr>
          <w:rFonts w:ascii="Arial" w:hAnsi="Arial" w:cs="Arial"/>
          <w:sz w:val="24"/>
        </w:rPr>
        <w:t>se realizará un análisis costo y beneficio, en donde se muestre que dichos</w:t>
      </w:r>
      <w:r>
        <w:rPr>
          <w:rFonts w:ascii="Arial" w:hAnsi="Arial" w:cs="Arial"/>
          <w:sz w:val="24"/>
        </w:rPr>
        <w:t xml:space="preserve"> </w:t>
      </w:r>
      <w:r w:rsidRPr="00E57FA3">
        <w:rPr>
          <w:rFonts w:ascii="Arial" w:hAnsi="Arial" w:cs="Arial"/>
          <w:sz w:val="24"/>
        </w:rPr>
        <w:t>programas y proyectos son susceptibles de generar, en cada caso, un beneficio</w:t>
      </w:r>
      <w:r>
        <w:rPr>
          <w:rFonts w:ascii="Arial" w:hAnsi="Arial" w:cs="Arial"/>
          <w:sz w:val="24"/>
        </w:rPr>
        <w:t xml:space="preserve"> </w:t>
      </w:r>
      <w:r w:rsidRPr="00E57FA3">
        <w:rPr>
          <w:rFonts w:ascii="Arial" w:hAnsi="Arial" w:cs="Arial"/>
          <w:sz w:val="24"/>
        </w:rPr>
        <w:t>social neto bajo supuestos razonables. Dicho análisis no se requerirá en el caso del</w:t>
      </w:r>
      <w:r>
        <w:rPr>
          <w:rFonts w:ascii="Arial" w:hAnsi="Arial" w:cs="Arial"/>
          <w:sz w:val="24"/>
        </w:rPr>
        <w:t xml:space="preserve"> </w:t>
      </w:r>
      <w:r w:rsidRPr="00E57FA3">
        <w:rPr>
          <w:rFonts w:ascii="Arial" w:hAnsi="Arial" w:cs="Arial"/>
          <w:sz w:val="24"/>
        </w:rPr>
        <w:t>gasto de inversión que se destine a la atención prioritaria de desastres naturales</w:t>
      </w:r>
      <w:r>
        <w:rPr>
          <w:rFonts w:ascii="Arial" w:hAnsi="Arial" w:cs="Arial"/>
          <w:sz w:val="24"/>
        </w:rPr>
        <w:t xml:space="preserve"> </w:t>
      </w:r>
      <w:r w:rsidRPr="00E57FA3">
        <w:rPr>
          <w:rFonts w:ascii="Arial" w:hAnsi="Arial" w:cs="Arial"/>
          <w:sz w:val="24"/>
        </w:rPr>
        <w:t>declarados en los términos de la Ley General de Protección Civil.</w:t>
      </w:r>
    </w:p>
    <w:p w14:paraId="47416F4B" w14:textId="77777777" w:rsidR="00B076A2" w:rsidRDefault="00B076A2" w:rsidP="00B076A2">
      <w:pPr>
        <w:spacing w:after="0" w:line="240" w:lineRule="auto"/>
        <w:jc w:val="both"/>
        <w:rPr>
          <w:rFonts w:ascii="Arial" w:hAnsi="Arial" w:cs="Arial"/>
          <w:sz w:val="24"/>
        </w:rPr>
      </w:pPr>
    </w:p>
    <w:p w14:paraId="345763F1" w14:textId="77777777" w:rsidR="00B076A2" w:rsidRDefault="00B076A2" w:rsidP="00B076A2">
      <w:pPr>
        <w:spacing w:after="0" w:line="240" w:lineRule="auto"/>
        <w:jc w:val="both"/>
        <w:rPr>
          <w:rFonts w:ascii="Arial" w:hAnsi="Arial" w:cs="Arial"/>
          <w:sz w:val="24"/>
        </w:rPr>
      </w:pPr>
      <w:r w:rsidRPr="00E57FA3">
        <w:rPr>
          <w:rFonts w:ascii="Arial" w:hAnsi="Arial" w:cs="Arial"/>
          <w:sz w:val="24"/>
        </w:rPr>
        <w:t>En materia de proyectos de inversión pública productiva que se pretendan contratar</w:t>
      </w:r>
      <w:r>
        <w:rPr>
          <w:rFonts w:ascii="Arial" w:hAnsi="Arial" w:cs="Arial"/>
          <w:sz w:val="24"/>
        </w:rPr>
        <w:t xml:space="preserve"> </w:t>
      </w:r>
      <w:r w:rsidRPr="00E57FA3">
        <w:rPr>
          <w:rFonts w:ascii="Arial" w:hAnsi="Arial" w:cs="Arial"/>
          <w:sz w:val="24"/>
        </w:rPr>
        <w:t>bajo un esquema de Asociación Público-Privada, se deberá acreditar, por lo menos,</w:t>
      </w:r>
      <w:r>
        <w:rPr>
          <w:rFonts w:ascii="Arial" w:hAnsi="Arial" w:cs="Arial"/>
          <w:sz w:val="24"/>
        </w:rPr>
        <w:t xml:space="preserve"> </w:t>
      </w:r>
      <w:r w:rsidRPr="00E57FA3">
        <w:rPr>
          <w:rFonts w:ascii="Arial" w:hAnsi="Arial" w:cs="Arial"/>
          <w:sz w:val="24"/>
        </w:rPr>
        <w:t>un análisis de conveniencia para llevar a cabo el proyecto a través de dicho</w:t>
      </w:r>
      <w:r>
        <w:rPr>
          <w:rFonts w:ascii="Arial" w:hAnsi="Arial" w:cs="Arial"/>
          <w:sz w:val="24"/>
        </w:rPr>
        <w:t xml:space="preserve"> </w:t>
      </w:r>
      <w:r w:rsidRPr="00E57FA3">
        <w:rPr>
          <w:rFonts w:ascii="Arial" w:hAnsi="Arial" w:cs="Arial"/>
          <w:sz w:val="24"/>
        </w:rPr>
        <w:t>esquema, en comparación con un mecanismo de obra pública tradicional y un</w:t>
      </w:r>
      <w:r>
        <w:rPr>
          <w:rFonts w:ascii="Arial" w:hAnsi="Arial" w:cs="Arial"/>
          <w:sz w:val="24"/>
        </w:rPr>
        <w:t xml:space="preserve"> </w:t>
      </w:r>
      <w:r w:rsidRPr="00E57FA3">
        <w:rPr>
          <w:rFonts w:ascii="Arial" w:hAnsi="Arial" w:cs="Arial"/>
          <w:sz w:val="24"/>
        </w:rPr>
        <w:t>análisis de transferencia de riesgos al sector privado. Dichas evaluaciones serán</w:t>
      </w:r>
      <w:r>
        <w:rPr>
          <w:rFonts w:ascii="Arial" w:hAnsi="Arial" w:cs="Arial"/>
          <w:sz w:val="24"/>
        </w:rPr>
        <w:t xml:space="preserve"> </w:t>
      </w:r>
      <w:r w:rsidRPr="00E57FA3">
        <w:rPr>
          <w:rFonts w:ascii="Arial" w:hAnsi="Arial" w:cs="Arial"/>
          <w:sz w:val="24"/>
        </w:rPr>
        <w:t>públicas. Ello en acatamiento a lo previsto en la Ley de Asociaciones Público</w:t>
      </w:r>
      <w:r>
        <w:rPr>
          <w:rFonts w:ascii="Arial" w:hAnsi="Arial" w:cs="Arial"/>
          <w:sz w:val="24"/>
        </w:rPr>
        <w:t xml:space="preserve"> Privadas del Estado de Colima.</w:t>
      </w:r>
    </w:p>
    <w:p w14:paraId="17A1EA46" w14:textId="77777777" w:rsidR="00B076A2" w:rsidRDefault="00B076A2" w:rsidP="00B076A2">
      <w:pPr>
        <w:spacing w:after="0" w:line="240" w:lineRule="auto"/>
        <w:jc w:val="both"/>
        <w:rPr>
          <w:rFonts w:ascii="Arial" w:hAnsi="Arial" w:cs="Arial"/>
          <w:sz w:val="24"/>
        </w:rPr>
      </w:pPr>
    </w:p>
    <w:p w14:paraId="39A52B1D" w14:textId="77777777" w:rsidR="00B076A2" w:rsidRPr="00416978" w:rsidRDefault="00B076A2" w:rsidP="00B076A2">
      <w:pPr>
        <w:spacing w:after="0" w:line="240" w:lineRule="auto"/>
        <w:jc w:val="both"/>
        <w:rPr>
          <w:rFonts w:ascii="Arial" w:hAnsi="Arial" w:cs="Arial"/>
          <w:i/>
          <w:sz w:val="24"/>
        </w:rPr>
      </w:pPr>
      <w:r w:rsidRPr="00416978">
        <w:rPr>
          <w:rFonts w:ascii="Arial" w:hAnsi="Arial" w:cs="Arial"/>
          <w:i/>
          <w:sz w:val="24"/>
        </w:rPr>
        <w:t>Evaluación y monitoreo de los programas de la administración pública</w:t>
      </w:r>
    </w:p>
    <w:p w14:paraId="1073CD68" w14:textId="77777777" w:rsidR="00B076A2" w:rsidRDefault="00B076A2" w:rsidP="00B076A2">
      <w:pPr>
        <w:spacing w:after="0" w:line="240" w:lineRule="auto"/>
        <w:jc w:val="both"/>
        <w:rPr>
          <w:rFonts w:ascii="Arial" w:hAnsi="Arial" w:cs="Arial"/>
          <w:sz w:val="24"/>
        </w:rPr>
      </w:pPr>
    </w:p>
    <w:p w14:paraId="459BC867" w14:textId="77777777" w:rsidR="00B076A2" w:rsidRDefault="00B076A2" w:rsidP="00B076A2">
      <w:pPr>
        <w:spacing w:after="0" w:line="240" w:lineRule="auto"/>
        <w:jc w:val="both"/>
        <w:rPr>
          <w:rFonts w:ascii="Arial" w:hAnsi="Arial" w:cs="Arial"/>
          <w:sz w:val="24"/>
        </w:rPr>
      </w:pPr>
      <w:r w:rsidRPr="007F7AE9">
        <w:rPr>
          <w:rFonts w:ascii="Arial" w:hAnsi="Arial" w:cs="Arial"/>
          <w:sz w:val="24"/>
        </w:rPr>
        <w:t>La evaluación es uno de los pilares de la gestión pública y su aplicación tiene que</w:t>
      </w:r>
      <w:r>
        <w:rPr>
          <w:rFonts w:ascii="Arial" w:hAnsi="Arial" w:cs="Arial"/>
          <w:sz w:val="24"/>
        </w:rPr>
        <w:t xml:space="preserve"> </w:t>
      </w:r>
      <w:r w:rsidRPr="007F7AE9">
        <w:rPr>
          <w:rFonts w:ascii="Arial" w:hAnsi="Arial" w:cs="Arial"/>
          <w:sz w:val="24"/>
        </w:rPr>
        <w:t>ver con “la apreciación sistemática y objetiva de un proyecto, programa o política en</w:t>
      </w:r>
      <w:r>
        <w:rPr>
          <w:rFonts w:ascii="Arial" w:hAnsi="Arial" w:cs="Arial"/>
          <w:sz w:val="24"/>
        </w:rPr>
        <w:t xml:space="preserve"> </w:t>
      </w:r>
      <w:r w:rsidRPr="007F7AE9">
        <w:rPr>
          <w:rFonts w:ascii="Arial" w:hAnsi="Arial" w:cs="Arial"/>
          <w:sz w:val="24"/>
        </w:rPr>
        <w:t>curso o concluido, de su diseño, su puesta en práctica y sus resultados</w:t>
      </w:r>
      <w:r>
        <w:rPr>
          <w:rFonts w:ascii="Arial" w:hAnsi="Arial" w:cs="Arial"/>
          <w:sz w:val="24"/>
        </w:rPr>
        <w:t>”</w:t>
      </w:r>
      <w:r w:rsidRPr="007F7AE9">
        <w:rPr>
          <w:rFonts w:ascii="Arial" w:hAnsi="Arial" w:cs="Arial"/>
          <w:sz w:val="24"/>
        </w:rPr>
        <w:t xml:space="preserve">. El </w:t>
      </w:r>
      <w:r>
        <w:rPr>
          <w:rFonts w:ascii="Arial" w:hAnsi="Arial" w:cs="Arial"/>
          <w:sz w:val="24"/>
        </w:rPr>
        <w:t xml:space="preserve">fin </w:t>
      </w:r>
      <w:r w:rsidRPr="007F7AE9">
        <w:rPr>
          <w:rFonts w:ascii="Arial" w:hAnsi="Arial" w:cs="Arial"/>
          <w:sz w:val="24"/>
        </w:rPr>
        <w:t>es determinar la pertinencia y el logro de los objetivos, así como la eficiencia, la</w:t>
      </w:r>
      <w:r>
        <w:rPr>
          <w:rFonts w:ascii="Arial" w:hAnsi="Arial" w:cs="Arial"/>
          <w:sz w:val="24"/>
        </w:rPr>
        <w:t xml:space="preserve"> </w:t>
      </w:r>
      <w:r w:rsidRPr="007F7AE9">
        <w:rPr>
          <w:rFonts w:ascii="Arial" w:hAnsi="Arial" w:cs="Arial"/>
          <w:sz w:val="24"/>
        </w:rPr>
        <w:t>eficacia, el impacto y la sostenibilidad para el desarrollo. Una evaluación deberá</w:t>
      </w:r>
      <w:r>
        <w:rPr>
          <w:rFonts w:ascii="Arial" w:hAnsi="Arial" w:cs="Arial"/>
          <w:sz w:val="24"/>
        </w:rPr>
        <w:t xml:space="preserve"> </w:t>
      </w:r>
      <w:r w:rsidRPr="007F7AE9">
        <w:rPr>
          <w:rFonts w:ascii="Arial" w:hAnsi="Arial" w:cs="Arial"/>
          <w:sz w:val="24"/>
        </w:rPr>
        <w:t>proporcionar información creíble y útil, que permita incorporar las enseñanzas</w:t>
      </w:r>
      <w:r>
        <w:rPr>
          <w:rFonts w:ascii="Arial" w:hAnsi="Arial" w:cs="Arial"/>
          <w:sz w:val="24"/>
        </w:rPr>
        <w:t xml:space="preserve"> </w:t>
      </w:r>
      <w:r w:rsidRPr="007F7AE9">
        <w:rPr>
          <w:rFonts w:ascii="Arial" w:hAnsi="Arial" w:cs="Arial"/>
          <w:sz w:val="24"/>
        </w:rPr>
        <w:t>aprendidas en el proceso de toma de decisiones</w:t>
      </w:r>
      <w:r>
        <w:rPr>
          <w:rFonts w:ascii="Arial" w:hAnsi="Arial" w:cs="Arial"/>
          <w:sz w:val="24"/>
        </w:rPr>
        <w:t>.</w:t>
      </w:r>
    </w:p>
    <w:p w14:paraId="0463E50C" w14:textId="77777777" w:rsidR="00B076A2" w:rsidRDefault="00B076A2" w:rsidP="00B076A2">
      <w:pPr>
        <w:spacing w:after="0" w:line="240" w:lineRule="auto"/>
        <w:jc w:val="both"/>
        <w:rPr>
          <w:rFonts w:ascii="Arial" w:hAnsi="Arial" w:cs="Arial"/>
          <w:sz w:val="24"/>
        </w:rPr>
      </w:pPr>
    </w:p>
    <w:p w14:paraId="0756B7BB" w14:textId="77777777" w:rsidR="00B076A2" w:rsidRDefault="00B076A2" w:rsidP="00B076A2">
      <w:pPr>
        <w:spacing w:after="0" w:line="240" w:lineRule="auto"/>
        <w:jc w:val="both"/>
        <w:rPr>
          <w:rFonts w:ascii="Arial" w:hAnsi="Arial" w:cs="Arial"/>
          <w:sz w:val="24"/>
        </w:rPr>
      </w:pPr>
      <w:r w:rsidRPr="00A5300E">
        <w:rPr>
          <w:rFonts w:ascii="Arial" w:hAnsi="Arial" w:cs="Arial"/>
          <w:sz w:val="24"/>
        </w:rPr>
        <w:t>Por ello, en el proceso de integración del presente proyec</w:t>
      </w:r>
      <w:r>
        <w:rPr>
          <w:rFonts w:ascii="Arial" w:hAnsi="Arial" w:cs="Arial"/>
          <w:sz w:val="24"/>
        </w:rPr>
        <w:t xml:space="preserve">to, se otorgó especial atención a las evaluaciones realizadas y </w:t>
      </w:r>
      <w:r w:rsidRPr="00A5300E">
        <w:rPr>
          <w:rFonts w:ascii="Arial" w:hAnsi="Arial" w:cs="Arial"/>
          <w:sz w:val="24"/>
        </w:rPr>
        <w:t>se tomaron en consideración lo</w:t>
      </w:r>
      <w:r>
        <w:rPr>
          <w:rFonts w:ascii="Arial" w:hAnsi="Arial" w:cs="Arial"/>
          <w:sz w:val="24"/>
        </w:rPr>
        <w:t xml:space="preserve">s resultados de estas sobre los </w:t>
      </w:r>
      <w:r w:rsidRPr="00A5300E">
        <w:rPr>
          <w:rFonts w:ascii="Arial" w:hAnsi="Arial" w:cs="Arial"/>
          <w:sz w:val="24"/>
        </w:rPr>
        <w:t>programas prioritarios que fueron evaluados po</w:t>
      </w:r>
      <w:r>
        <w:rPr>
          <w:rFonts w:ascii="Arial" w:hAnsi="Arial" w:cs="Arial"/>
          <w:sz w:val="24"/>
        </w:rPr>
        <w:t xml:space="preserve">r agentes externos, actividades </w:t>
      </w:r>
      <w:r w:rsidRPr="00A5300E">
        <w:rPr>
          <w:rFonts w:ascii="Arial" w:hAnsi="Arial" w:cs="Arial"/>
          <w:sz w:val="24"/>
        </w:rPr>
        <w:t>que fueron incluidas en los programas anuales de evaluación correspondientes a los ejercicios 2016, 2017, 2018 y 2019. Con esta acción se atiende a lo previsto en la materia en el artículo 108 de la Constitución Política del Estado Libre y Soberano de Colima.</w:t>
      </w:r>
    </w:p>
    <w:p w14:paraId="24D34785" w14:textId="77777777" w:rsidR="00B076A2" w:rsidRPr="0069764F" w:rsidRDefault="00B076A2" w:rsidP="00B076A2">
      <w:pPr>
        <w:spacing w:after="0" w:line="240" w:lineRule="auto"/>
        <w:jc w:val="both"/>
        <w:rPr>
          <w:rFonts w:ascii="Arial" w:hAnsi="Arial" w:cs="Arial"/>
          <w:sz w:val="24"/>
        </w:rPr>
      </w:pPr>
    </w:p>
    <w:p w14:paraId="586B70D6" w14:textId="77777777" w:rsidR="00B076A2" w:rsidRDefault="00B076A2" w:rsidP="00B076A2">
      <w:pPr>
        <w:spacing w:after="0" w:line="240" w:lineRule="auto"/>
        <w:jc w:val="both"/>
        <w:rPr>
          <w:rFonts w:ascii="Arial" w:hAnsi="Arial" w:cs="Arial"/>
          <w:sz w:val="24"/>
        </w:rPr>
      </w:pPr>
      <w:r w:rsidRPr="005C4E24">
        <w:rPr>
          <w:rFonts w:ascii="Arial" w:hAnsi="Arial" w:cs="Arial"/>
          <w:sz w:val="24"/>
        </w:rPr>
        <w:t>De igual forma, con la evaluación</w:t>
      </w:r>
      <w:r>
        <w:rPr>
          <w:rFonts w:ascii="Arial" w:hAnsi="Arial" w:cs="Arial"/>
          <w:sz w:val="24"/>
        </w:rPr>
        <w:t xml:space="preserve"> de programas señalado en supra</w:t>
      </w:r>
      <w:r w:rsidRPr="005C4E24">
        <w:rPr>
          <w:rFonts w:ascii="Arial" w:hAnsi="Arial" w:cs="Arial"/>
          <w:sz w:val="24"/>
        </w:rPr>
        <w:t>líneas, se</w:t>
      </w:r>
      <w:r>
        <w:rPr>
          <w:rFonts w:ascii="Arial" w:hAnsi="Arial" w:cs="Arial"/>
          <w:sz w:val="24"/>
        </w:rPr>
        <w:t xml:space="preserve"> atiende lo señalado</w:t>
      </w:r>
      <w:r w:rsidRPr="005C4E24">
        <w:rPr>
          <w:rFonts w:ascii="Arial" w:hAnsi="Arial" w:cs="Arial"/>
          <w:sz w:val="24"/>
        </w:rPr>
        <w:t xml:space="preserve"> en la Ley de Presupuesto y Responsabilidad Hacendaria del</w:t>
      </w:r>
      <w:r>
        <w:rPr>
          <w:rFonts w:ascii="Arial" w:hAnsi="Arial" w:cs="Arial"/>
          <w:sz w:val="24"/>
        </w:rPr>
        <w:t xml:space="preserve"> </w:t>
      </w:r>
      <w:r w:rsidRPr="005C4E24">
        <w:rPr>
          <w:rFonts w:ascii="Arial" w:hAnsi="Arial" w:cs="Arial"/>
          <w:sz w:val="24"/>
        </w:rPr>
        <w:t>Estado de Colima, la cual prevé que se deben tomar en cuenta los resultados de la</w:t>
      </w:r>
      <w:r>
        <w:rPr>
          <w:rFonts w:ascii="Arial" w:hAnsi="Arial" w:cs="Arial"/>
          <w:sz w:val="24"/>
        </w:rPr>
        <w:t xml:space="preserve"> </w:t>
      </w:r>
      <w:r w:rsidRPr="005C4E24">
        <w:rPr>
          <w:rFonts w:ascii="Arial" w:hAnsi="Arial" w:cs="Arial"/>
          <w:sz w:val="24"/>
        </w:rPr>
        <w:t>implementación del Sistema de Evaluación del Desempeño, para la elaboración del</w:t>
      </w:r>
      <w:r>
        <w:rPr>
          <w:rFonts w:ascii="Arial" w:hAnsi="Arial" w:cs="Arial"/>
          <w:sz w:val="24"/>
        </w:rPr>
        <w:t xml:space="preserve"> </w:t>
      </w:r>
      <w:r w:rsidRPr="005C4E24">
        <w:rPr>
          <w:rFonts w:ascii="Arial" w:hAnsi="Arial" w:cs="Arial"/>
          <w:sz w:val="24"/>
        </w:rPr>
        <w:t>Anteproyecto de Presupuesto de Egresos.</w:t>
      </w:r>
    </w:p>
    <w:p w14:paraId="2CD4B270" w14:textId="77777777" w:rsidR="00B076A2" w:rsidRDefault="00B076A2" w:rsidP="00B076A2">
      <w:pPr>
        <w:spacing w:after="0" w:line="240" w:lineRule="auto"/>
        <w:jc w:val="both"/>
        <w:rPr>
          <w:rFonts w:ascii="Arial" w:hAnsi="Arial" w:cs="Arial"/>
          <w:sz w:val="24"/>
        </w:rPr>
      </w:pPr>
    </w:p>
    <w:p w14:paraId="76CE2D5A" w14:textId="77777777" w:rsidR="00B076A2" w:rsidRPr="002B3DAE" w:rsidRDefault="00B076A2" w:rsidP="00B076A2">
      <w:pPr>
        <w:spacing w:after="0" w:line="240" w:lineRule="auto"/>
        <w:jc w:val="both"/>
        <w:rPr>
          <w:rFonts w:ascii="Arial" w:hAnsi="Arial" w:cs="Arial"/>
          <w:sz w:val="24"/>
        </w:rPr>
      </w:pPr>
      <w:r w:rsidRPr="00C9727D">
        <w:rPr>
          <w:rFonts w:ascii="Arial" w:hAnsi="Arial" w:cs="Arial"/>
          <w:sz w:val="24"/>
        </w:rPr>
        <w:t xml:space="preserve">En ese sentido, al año 2020, se tienen 33 evaluaciones externas, de las cuales 14 corresponden al Programa Anual de Evaluación </w:t>
      </w:r>
      <w:r>
        <w:rPr>
          <w:rFonts w:ascii="Arial" w:hAnsi="Arial" w:cs="Arial"/>
          <w:sz w:val="24"/>
        </w:rPr>
        <w:t>2016; 9 al de 2017; 9</w:t>
      </w:r>
      <w:r w:rsidRPr="002B3DAE">
        <w:rPr>
          <w:rFonts w:ascii="Arial" w:hAnsi="Arial" w:cs="Arial"/>
          <w:sz w:val="24"/>
        </w:rPr>
        <w:t xml:space="preserve"> al Programa Anual de Evaluación 2018</w:t>
      </w:r>
      <w:r>
        <w:rPr>
          <w:rFonts w:ascii="Arial" w:hAnsi="Arial" w:cs="Arial"/>
          <w:sz w:val="24"/>
        </w:rPr>
        <w:t>; y una del Programa Anual de Evaluación 2019</w:t>
      </w:r>
      <w:r w:rsidRPr="002B3DAE">
        <w:rPr>
          <w:rFonts w:ascii="Arial" w:hAnsi="Arial" w:cs="Arial"/>
          <w:sz w:val="24"/>
        </w:rPr>
        <w:t xml:space="preserve">, </w:t>
      </w:r>
      <w:r>
        <w:rPr>
          <w:rFonts w:ascii="Arial" w:hAnsi="Arial" w:cs="Arial"/>
          <w:sz w:val="24"/>
        </w:rPr>
        <w:t>en 2018</w:t>
      </w:r>
      <w:r w:rsidRPr="002B3DAE">
        <w:rPr>
          <w:rFonts w:ascii="Arial" w:hAnsi="Arial" w:cs="Arial"/>
          <w:sz w:val="24"/>
        </w:rPr>
        <w:t xml:space="preserve"> se incluyó la evaluación específica de 69 Programas Presupuestarios y de sus respectivas Matrices de Indicadores para Resultados</w:t>
      </w:r>
      <w:r>
        <w:rPr>
          <w:rFonts w:ascii="Arial" w:hAnsi="Arial" w:cs="Arial"/>
          <w:sz w:val="24"/>
        </w:rPr>
        <w:t>. Existe un Programa Anual de Evaluación para el ejercicio fiscal 2020 y contempla 8 evaluaciones de desempeño, a continuación se muestran las evaluaciones que han realizado:</w:t>
      </w:r>
    </w:p>
    <w:p w14:paraId="5EAEDE83" w14:textId="77777777" w:rsidR="00B076A2" w:rsidRDefault="00B076A2" w:rsidP="00B076A2">
      <w:pPr>
        <w:spacing w:after="0" w:line="240" w:lineRule="auto"/>
        <w:jc w:val="both"/>
        <w:rPr>
          <w:rFonts w:ascii="Arial" w:hAnsi="Arial" w:cs="Arial"/>
          <w:b/>
          <w:sz w:val="24"/>
        </w:rPr>
      </w:pPr>
    </w:p>
    <w:tbl>
      <w:tblPr>
        <w:tblW w:w="8660" w:type="dxa"/>
        <w:tblCellMar>
          <w:left w:w="70" w:type="dxa"/>
          <w:right w:w="70" w:type="dxa"/>
        </w:tblCellMar>
        <w:tblLook w:val="04A0" w:firstRow="1" w:lastRow="0" w:firstColumn="1" w:lastColumn="0" w:noHBand="0" w:noVBand="1"/>
      </w:tblPr>
      <w:tblGrid>
        <w:gridCol w:w="620"/>
        <w:gridCol w:w="2919"/>
        <w:gridCol w:w="2081"/>
        <w:gridCol w:w="1340"/>
        <w:gridCol w:w="1700"/>
      </w:tblGrid>
      <w:tr w:rsidR="00B076A2" w:rsidRPr="00B401A6" w14:paraId="5F469DA0" w14:textId="77777777" w:rsidTr="00B3646C">
        <w:trPr>
          <w:trHeight w:val="322"/>
          <w:tblHeader/>
        </w:trPr>
        <w:tc>
          <w:tcPr>
            <w:tcW w:w="8660" w:type="dxa"/>
            <w:gridSpan w:val="5"/>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59B3B80" w14:textId="77777777" w:rsidR="00B076A2" w:rsidRPr="00B401A6" w:rsidRDefault="00B076A2" w:rsidP="00B3646C">
            <w:pPr>
              <w:spacing w:after="0" w:line="240" w:lineRule="auto"/>
              <w:jc w:val="center"/>
              <w:rPr>
                <w:rFonts w:ascii="Arial" w:eastAsia="Times New Roman" w:hAnsi="Arial" w:cs="Arial"/>
                <w:b/>
                <w:bCs/>
                <w:color w:val="000000"/>
                <w:sz w:val="28"/>
                <w:szCs w:val="28"/>
              </w:rPr>
            </w:pPr>
            <w:r w:rsidRPr="00B401A6">
              <w:rPr>
                <w:rFonts w:ascii="Arial" w:eastAsia="Times New Roman" w:hAnsi="Arial" w:cs="Arial"/>
                <w:b/>
                <w:bCs/>
                <w:color w:val="000000"/>
                <w:sz w:val="28"/>
                <w:szCs w:val="28"/>
              </w:rPr>
              <w:t>Evaluaciones del Desempeño de Programas Presupuestarios 2016-2019</w:t>
            </w:r>
          </w:p>
        </w:tc>
      </w:tr>
      <w:tr w:rsidR="00B076A2" w:rsidRPr="00B401A6" w14:paraId="05BF990E" w14:textId="77777777" w:rsidTr="00B3646C">
        <w:trPr>
          <w:trHeight w:val="450"/>
          <w:tblHeader/>
        </w:trPr>
        <w:tc>
          <w:tcPr>
            <w:tcW w:w="8660" w:type="dxa"/>
            <w:gridSpan w:val="5"/>
            <w:vMerge/>
            <w:tcBorders>
              <w:top w:val="single" w:sz="4" w:space="0" w:color="auto"/>
              <w:left w:val="single" w:sz="4" w:space="0" w:color="auto"/>
              <w:bottom w:val="single" w:sz="4" w:space="0" w:color="auto"/>
              <w:right w:val="single" w:sz="4" w:space="0" w:color="auto"/>
            </w:tcBorders>
            <w:vAlign w:val="center"/>
            <w:hideMark/>
          </w:tcPr>
          <w:p w14:paraId="3319F458" w14:textId="77777777" w:rsidR="00B076A2" w:rsidRPr="00B401A6" w:rsidRDefault="00B076A2" w:rsidP="00B3646C">
            <w:pPr>
              <w:spacing w:after="0" w:line="240" w:lineRule="auto"/>
              <w:rPr>
                <w:rFonts w:ascii="Arial" w:eastAsia="Times New Roman" w:hAnsi="Arial" w:cs="Arial"/>
                <w:b/>
                <w:bCs/>
                <w:color w:val="000000"/>
                <w:sz w:val="28"/>
                <w:szCs w:val="28"/>
              </w:rPr>
            </w:pPr>
          </w:p>
        </w:tc>
      </w:tr>
      <w:tr w:rsidR="00B076A2" w:rsidRPr="00B401A6" w14:paraId="0BDA46AE" w14:textId="77777777" w:rsidTr="00B3646C">
        <w:trPr>
          <w:trHeight w:val="660"/>
          <w:tblHeader/>
        </w:trPr>
        <w:tc>
          <w:tcPr>
            <w:tcW w:w="620" w:type="dxa"/>
            <w:tcBorders>
              <w:top w:val="nil"/>
              <w:left w:val="single" w:sz="4" w:space="0" w:color="auto"/>
              <w:bottom w:val="single" w:sz="4" w:space="0" w:color="auto"/>
              <w:right w:val="single" w:sz="4" w:space="0" w:color="auto"/>
            </w:tcBorders>
            <w:shd w:val="clear" w:color="000000" w:fill="F2F2F2"/>
            <w:vAlign w:val="center"/>
            <w:hideMark/>
          </w:tcPr>
          <w:p w14:paraId="225F73B2" w14:textId="77777777" w:rsidR="00B076A2" w:rsidRPr="00B401A6" w:rsidRDefault="00B076A2" w:rsidP="00B3646C">
            <w:pPr>
              <w:spacing w:after="0" w:line="240" w:lineRule="auto"/>
              <w:jc w:val="center"/>
              <w:rPr>
                <w:rFonts w:ascii="Arial" w:eastAsia="Times New Roman" w:hAnsi="Arial" w:cs="Arial"/>
                <w:b/>
                <w:bCs/>
                <w:color w:val="000000"/>
                <w:sz w:val="20"/>
                <w:szCs w:val="20"/>
              </w:rPr>
            </w:pPr>
            <w:r w:rsidRPr="00B401A6">
              <w:rPr>
                <w:rFonts w:ascii="Arial" w:eastAsia="Times New Roman" w:hAnsi="Arial" w:cs="Arial"/>
                <w:b/>
                <w:bCs/>
                <w:color w:val="000000"/>
                <w:sz w:val="20"/>
                <w:szCs w:val="20"/>
              </w:rPr>
              <w:t>Año</w:t>
            </w:r>
          </w:p>
        </w:tc>
        <w:tc>
          <w:tcPr>
            <w:tcW w:w="2919" w:type="dxa"/>
            <w:tcBorders>
              <w:top w:val="nil"/>
              <w:left w:val="nil"/>
              <w:bottom w:val="single" w:sz="4" w:space="0" w:color="auto"/>
              <w:right w:val="single" w:sz="4" w:space="0" w:color="auto"/>
            </w:tcBorders>
            <w:shd w:val="clear" w:color="000000" w:fill="F2F2F2"/>
            <w:vAlign w:val="center"/>
            <w:hideMark/>
          </w:tcPr>
          <w:p w14:paraId="42E643B0" w14:textId="77777777" w:rsidR="00B076A2" w:rsidRPr="00B401A6" w:rsidRDefault="00B076A2" w:rsidP="00B3646C">
            <w:pPr>
              <w:spacing w:after="0" w:line="240" w:lineRule="auto"/>
              <w:jc w:val="center"/>
              <w:rPr>
                <w:rFonts w:ascii="Arial" w:eastAsia="Times New Roman" w:hAnsi="Arial" w:cs="Arial"/>
                <w:b/>
                <w:bCs/>
                <w:color w:val="000000"/>
                <w:sz w:val="20"/>
                <w:szCs w:val="20"/>
              </w:rPr>
            </w:pPr>
            <w:r w:rsidRPr="00B401A6">
              <w:rPr>
                <w:rFonts w:ascii="Arial" w:eastAsia="Times New Roman" w:hAnsi="Arial" w:cs="Arial"/>
                <w:b/>
                <w:bCs/>
                <w:color w:val="000000"/>
                <w:sz w:val="20"/>
                <w:szCs w:val="20"/>
              </w:rPr>
              <w:t>Fondo/Fuente de Financiamiento/Dependencia</w:t>
            </w:r>
          </w:p>
        </w:tc>
        <w:tc>
          <w:tcPr>
            <w:tcW w:w="2081" w:type="dxa"/>
            <w:tcBorders>
              <w:top w:val="nil"/>
              <w:left w:val="nil"/>
              <w:bottom w:val="single" w:sz="4" w:space="0" w:color="auto"/>
              <w:right w:val="single" w:sz="4" w:space="0" w:color="auto"/>
            </w:tcBorders>
            <w:shd w:val="clear" w:color="000000" w:fill="F2F2F2"/>
            <w:vAlign w:val="center"/>
            <w:hideMark/>
          </w:tcPr>
          <w:p w14:paraId="16BF907B" w14:textId="77777777" w:rsidR="00B076A2" w:rsidRPr="00B401A6" w:rsidRDefault="00B076A2" w:rsidP="00B3646C">
            <w:pPr>
              <w:spacing w:after="0" w:line="240" w:lineRule="auto"/>
              <w:jc w:val="center"/>
              <w:rPr>
                <w:rFonts w:ascii="Arial" w:eastAsia="Times New Roman" w:hAnsi="Arial" w:cs="Arial"/>
                <w:b/>
                <w:bCs/>
                <w:color w:val="000000"/>
                <w:sz w:val="20"/>
                <w:szCs w:val="20"/>
              </w:rPr>
            </w:pPr>
            <w:r w:rsidRPr="00B401A6">
              <w:rPr>
                <w:rFonts w:ascii="Arial" w:eastAsia="Times New Roman" w:hAnsi="Arial" w:cs="Arial"/>
                <w:b/>
                <w:bCs/>
                <w:color w:val="000000"/>
                <w:sz w:val="20"/>
                <w:szCs w:val="20"/>
              </w:rPr>
              <w:t xml:space="preserve">Programa Evaluado </w:t>
            </w:r>
          </w:p>
        </w:tc>
        <w:tc>
          <w:tcPr>
            <w:tcW w:w="1340" w:type="dxa"/>
            <w:tcBorders>
              <w:top w:val="nil"/>
              <w:left w:val="nil"/>
              <w:bottom w:val="single" w:sz="4" w:space="0" w:color="auto"/>
              <w:right w:val="single" w:sz="4" w:space="0" w:color="auto"/>
            </w:tcBorders>
            <w:shd w:val="clear" w:color="000000" w:fill="F2F2F2"/>
            <w:vAlign w:val="center"/>
            <w:hideMark/>
          </w:tcPr>
          <w:p w14:paraId="4E16747B" w14:textId="77777777" w:rsidR="00B076A2" w:rsidRPr="00B401A6" w:rsidRDefault="00B076A2" w:rsidP="00B3646C">
            <w:pPr>
              <w:spacing w:after="0" w:line="240" w:lineRule="auto"/>
              <w:jc w:val="center"/>
              <w:rPr>
                <w:rFonts w:ascii="Arial" w:eastAsia="Times New Roman" w:hAnsi="Arial" w:cs="Arial"/>
                <w:b/>
                <w:bCs/>
                <w:color w:val="000000"/>
                <w:sz w:val="20"/>
                <w:szCs w:val="20"/>
              </w:rPr>
            </w:pPr>
            <w:r w:rsidRPr="00B401A6">
              <w:rPr>
                <w:rFonts w:ascii="Arial" w:eastAsia="Times New Roman" w:hAnsi="Arial" w:cs="Arial"/>
                <w:b/>
                <w:bCs/>
                <w:color w:val="000000"/>
                <w:sz w:val="20"/>
                <w:szCs w:val="20"/>
              </w:rPr>
              <w:t>Tipo de Evaluación</w:t>
            </w:r>
          </w:p>
        </w:tc>
        <w:tc>
          <w:tcPr>
            <w:tcW w:w="1700" w:type="dxa"/>
            <w:tcBorders>
              <w:top w:val="nil"/>
              <w:left w:val="nil"/>
              <w:bottom w:val="single" w:sz="4" w:space="0" w:color="auto"/>
              <w:right w:val="single" w:sz="4" w:space="0" w:color="auto"/>
            </w:tcBorders>
            <w:shd w:val="clear" w:color="000000" w:fill="F2F2F2"/>
            <w:vAlign w:val="center"/>
            <w:hideMark/>
          </w:tcPr>
          <w:p w14:paraId="4E7F7C8F" w14:textId="77777777" w:rsidR="00B076A2" w:rsidRPr="00B401A6" w:rsidRDefault="00B076A2" w:rsidP="00B3646C">
            <w:pPr>
              <w:spacing w:after="0" w:line="240" w:lineRule="auto"/>
              <w:jc w:val="center"/>
              <w:rPr>
                <w:rFonts w:ascii="Arial" w:eastAsia="Times New Roman" w:hAnsi="Arial" w:cs="Arial"/>
                <w:b/>
                <w:bCs/>
                <w:color w:val="000000"/>
                <w:sz w:val="20"/>
                <w:szCs w:val="20"/>
              </w:rPr>
            </w:pPr>
            <w:r w:rsidRPr="00B401A6">
              <w:rPr>
                <w:rFonts w:ascii="Arial" w:eastAsia="Times New Roman" w:hAnsi="Arial" w:cs="Arial"/>
                <w:b/>
                <w:bCs/>
                <w:color w:val="000000"/>
                <w:sz w:val="20"/>
                <w:szCs w:val="20"/>
              </w:rPr>
              <w:t>Ente Evaluador</w:t>
            </w:r>
          </w:p>
        </w:tc>
      </w:tr>
      <w:tr w:rsidR="00B076A2" w:rsidRPr="00B401A6" w14:paraId="14FBFC05" w14:textId="77777777" w:rsidTr="00B3646C">
        <w:trPr>
          <w:trHeight w:val="395"/>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14:paraId="4FD634B0" w14:textId="77777777" w:rsidR="00B076A2" w:rsidRPr="00B401A6" w:rsidRDefault="00B076A2" w:rsidP="00B3646C">
            <w:pPr>
              <w:spacing w:after="0" w:line="240" w:lineRule="auto"/>
              <w:jc w:val="center"/>
              <w:rPr>
                <w:rFonts w:ascii="Arial" w:eastAsia="Times New Roman" w:hAnsi="Arial" w:cs="Arial"/>
                <w:sz w:val="18"/>
                <w:szCs w:val="18"/>
              </w:rPr>
            </w:pPr>
            <w:r w:rsidRPr="00B401A6">
              <w:rPr>
                <w:rFonts w:ascii="Arial" w:eastAsia="Times New Roman" w:hAnsi="Arial" w:cs="Arial"/>
                <w:sz w:val="18"/>
                <w:szCs w:val="18"/>
              </w:rPr>
              <w:t>2016</w:t>
            </w:r>
          </w:p>
        </w:tc>
        <w:tc>
          <w:tcPr>
            <w:tcW w:w="2919" w:type="dxa"/>
            <w:tcBorders>
              <w:top w:val="nil"/>
              <w:left w:val="nil"/>
              <w:bottom w:val="single" w:sz="4" w:space="0" w:color="auto"/>
              <w:right w:val="single" w:sz="4" w:space="0" w:color="auto"/>
            </w:tcBorders>
            <w:shd w:val="clear" w:color="000000" w:fill="FFFFFF"/>
            <w:vAlign w:val="center"/>
            <w:hideMark/>
          </w:tcPr>
          <w:p w14:paraId="67B0159B" w14:textId="77777777" w:rsidR="00B076A2" w:rsidRPr="00B401A6" w:rsidRDefault="00B076A2" w:rsidP="00B3646C">
            <w:pPr>
              <w:spacing w:after="0" w:line="240" w:lineRule="auto"/>
              <w:rPr>
                <w:rFonts w:ascii="Arial" w:eastAsia="Times New Roman" w:hAnsi="Arial" w:cs="Arial"/>
                <w:sz w:val="18"/>
                <w:szCs w:val="18"/>
              </w:rPr>
            </w:pPr>
            <w:r w:rsidRPr="00B401A6">
              <w:rPr>
                <w:rFonts w:ascii="Arial" w:eastAsia="Times New Roman" w:hAnsi="Arial" w:cs="Arial"/>
                <w:sz w:val="18"/>
                <w:szCs w:val="18"/>
              </w:rPr>
              <w:t xml:space="preserve"> Sistema de Protección Social en Salud (Seguro Popular).</w:t>
            </w:r>
          </w:p>
        </w:tc>
        <w:tc>
          <w:tcPr>
            <w:tcW w:w="2081" w:type="dxa"/>
            <w:tcBorders>
              <w:top w:val="nil"/>
              <w:left w:val="nil"/>
              <w:bottom w:val="single" w:sz="4" w:space="0" w:color="auto"/>
              <w:right w:val="single" w:sz="4" w:space="0" w:color="auto"/>
            </w:tcBorders>
            <w:shd w:val="clear" w:color="000000" w:fill="FFFFFF"/>
            <w:vAlign w:val="center"/>
            <w:hideMark/>
          </w:tcPr>
          <w:p w14:paraId="6939DB0F" w14:textId="77777777" w:rsidR="00B076A2" w:rsidRPr="00B401A6" w:rsidRDefault="00B076A2" w:rsidP="00B3646C">
            <w:pPr>
              <w:spacing w:after="0" w:line="240" w:lineRule="auto"/>
              <w:rPr>
                <w:rFonts w:ascii="Arial" w:eastAsia="Times New Roman" w:hAnsi="Arial" w:cs="Arial"/>
                <w:sz w:val="18"/>
                <w:szCs w:val="18"/>
              </w:rPr>
            </w:pPr>
            <w:r w:rsidRPr="00B401A6">
              <w:rPr>
                <w:rFonts w:ascii="Arial" w:eastAsia="Times New Roman" w:hAnsi="Arial" w:cs="Arial"/>
                <w:sz w:val="18"/>
                <w:szCs w:val="18"/>
              </w:rPr>
              <w:t>Promoción y Afiliación.</w:t>
            </w:r>
          </w:p>
        </w:tc>
        <w:tc>
          <w:tcPr>
            <w:tcW w:w="1340" w:type="dxa"/>
            <w:tcBorders>
              <w:top w:val="nil"/>
              <w:left w:val="nil"/>
              <w:bottom w:val="single" w:sz="4" w:space="0" w:color="auto"/>
              <w:right w:val="single" w:sz="4" w:space="0" w:color="auto"/>
            </w:tcBorders>
            <w:shd w:val="clear" w:color="000000" w:fill="FFFFFF"/>
            <w:vAlign w:val="center"/>
            <w:hideMark/>
          </w:tcPr>
          <w:p w14:paraId="6B95C309" w14:textId="77777777" w:rsidR="00B076A2" w:rsidRPr="00B401A6" w:rsidRDefault="00B076A2" w:rsidP="00B3646C">
            <w:pPr>
              <w:spacing w:after="0" w:line="240" w:lineRule="auto"/>
              <w:rPr>
                <w:rFonts w:ascii="Arial" w:eastAsia="Times New Roman" w:hAnsi="Arial" w:cs="Arial"/>
                <w:sz w:val="18"/>
                <w:szCs w:val="18"/>
              </w:rPr>
            </w:pPr>
            <w:r w:rsidRPr="00B401A6">
              <w:rPr>
                <w:rFonts w:ascii="Arial" w:eastAsia="Times New Roman" w:hAnsi="Arial" w:cs="Arial"/>
                <w:sz w:val="18"/>
                <w:szCs w:val="18"/>
              </w:rPr>
              <w:t>Evaluación de Consistencia y Resultados.</w:t>
            </w:r>
          </w:p>
        </w:tc>
        <w:tc>
          <w:tcPr>
            <w:tcW w:w="1700" w:type="dxa"/>
            <w:tcBorders>
              <w:top w:val="nil"/>
              <w:left w:val="nil"/>
              <w:bottom w:val="single" w:sz="4" w:space="0" w:color="auto"/>
              <w:right w:val="single" w:sz="4" w:space="0" w:color="auto"/>
            </w:tcBorders>
            <w:shd w:val="clear" w:color="000000" w:fill="FFFFFF"/>
            <w:vAlign w:val="center"/>
            <w:hideMark/>
          </w:tcPr>
          <w:p w14:paraId="6B682262" w14:textId="77777777" w:rsidR="00B076A2" w:rsidRPr="00B401A6" w:rsidRDefault="00B076A2" w:rsidP="00B3646C">
            <w:pPr>
              <w:spacing w:after="0" w:line="240" w:lineRule="auto"/>
              <w:jc w:val="center"/>
              <w:rPr>
                <w:rFonts w:ascii="Arial" w:eastAsia="Times New Roman" w:hAnsi="Arial" w:cs="Arial"/>
                <w:sz w:val="18"/>
                <w:szCs w:val="18"/>
              </w:rPr>
            </w:pPr>
            <w:r w:rsidRPr="00B401A6">
              <w:rPr>
                <w:rFonts w:ascii="Arial" w:eastAsia="Times New Roman" w:hAnsi="Arial" w:cs="Arial"/>
                <w:sz w:val="18"/>
                <w:szCs w:val="18"/>
              </w:rPr>
              <w:t xml:space="preserve">Tecnología Social para el Desarrollo, S.A de C.V. </w:t>
            </w:r>
          </w:p>
        </w:tc>
      </w:tr>
      <w:tr w:rsidR="00B076A2" w:rsidRPr="00B401A6" w14:paraId="0032CD9D" w14:textId="77777777" w:rsidTr="00B3646C">
        <w:trPr>
          <w:trHeight w:val="692"/>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14:paraId="22000D61" w14:textId="77777777" w:rsidR="00B076A2" w:rsidRPr="00B401A6" w:rsidRDefault="00B076A2" w:rsidP="00B3646C">
            <w:pPr>
              <w:spacing w:after="0" w:line="240" w:lineRule="auto"/>
              <w:jc w:val="center"/>
              <w:rPr>
                <w:rFonts w:ascii="Arial" w:eastAsia="Times New Roman" w:hAnsi="Arial" w:cs="Arial"/>
                <w:sz w:val="18"/>
                <w:szCs w:val="18"/>
              </w:rPr>
            </w:pPr>
            <w:r w:rsidRPr="00B401A6">
              <w:rPr>
                <w:rFonts w:ascii="Arial" w:eastAsia="Times New Roman" w:hAnsi="Arial" w:cs="Arial"/>
                <w:sz w:val="18"/>
                <w:szCs w:val="18"/>
              </w:rPr>
              <w:t>2016</w:t>
            </w:r>
          </w:p>
        </w:tc>
        <w:tc>
          <w:tcPr>
            <w:tcW w:w="2919" w:type="dxa"/>
            <w:tcBorders>
              <w:top w:val="nil"/>
              <w:left w:val="nil"/>
              <w:bottom w:val="single" w:sz="4" w:space="0" w:color="auto"/>
              <w:right w:val="single" w:sz="4" w:space="0" w:color="auto"/>
            </w:tcBorders>
            <w:shd w:val="clear" w:color="000000" w:fill="FFFFFF"/>
            <w:vAlign w:val="center"/>
            <w:hideMark/>
          </w:tcPr>
          <w:p w14:paraId="770E199A" w14:textId="77777777" w:rsidR="00B076A2" w:rsidRPr="00B401A6" w:rsidRDefault="00B076A2" w:rsidP="00B3646C">
            <w:pPr>
              <w:spacing w:after="0" w:line="240" w:lineRule="auto"/>
              <w:rPr>
                <w:rFonts w:ascii="Arial" w:eastAsia="Times New Roman" w:hAnsi="Arial" w:cs="Arial"/>
                <w:sz w:val="18"/>
                <w:szCs w:val="18"/>
              </w:rPr>
            </w:pPr>
            <w:r w:rsidRPr="00B401A6">
              <w:rPr>
                <w:rFonts w:ascii="Arial" w:eastAsia="Times New Roman" w:hAnsi="Arial" w:cs="Arial"/>
                <w:sz w:val="18"/>
                <w:szCs w:val="18"/>
              </w:rPr>
              <w:t>Sistema de Protección Social en Salud (Seguro Popular).</w:t>
            </w:r>
          </w:p>
        </w:tc>
        <w:tc>
          <w:tcPr>
            <w:tcW w:w="2081" w:type="dxa"/>
            <w:tcBorders>
              <w:top w:val="nil"/>
              <w:left w:val="nil"/>
              <w:bottom w:val="single" w:sz="4" w:space="0" w:color="auto"/>
              <w:right w:val="single" w:sz="4" w:space="0" w:color="auto"/>
            </w:tcBorders>
            <w:shd w:val="clear" w:color="000000" w:fill="FFFFFF"/>
            <w:vAlign w:val="center"/>
            <w:hideMark/>
          </w:tcPr>
          <w:p w14:paraId="72F92134" w14:textId="77777777" w:rsidR="00B076A2" w:rsidRPr="00B401A6" w:rsidRDefault="00B076A2" w:rsidP="00B3646C">
            <w:pPr>
              <w:spacing w:after="0" w:line="240" w:lineRule="auto"/>
              <w:rPr>
                <w:rFonts w:ascii="Arial" w:eastAsia="Times New Roman" w:hAnsi="Arial" w:cs="Arial"/>
                <w:sz w:val="18"/>
                <w:szCs w:val="18"/>
              </w:rPr>
            </w:pPr>
            <w:r w:rsidRPr="00B401A6">
              <w:rPr>
                <w:rFonts w:ascii="Arial" w:eastAsia="Times New Roman" w:hAnsi="Arial" w:cs="Arial"/>
                <w:sz w:val="18"/>
                <w:szCs w:val="18"/>
              </w:rPr>
              <w:t>Fondo de Protección contra Gastos Catastróficos (FPGC).</w:t>
            </w:r>
          </w:p>
        </w:tc>
        <w:tc>
          <w:tcPr>
            <w:tcW w:w="1340" w:type="dxa"/>
            <w:tcBorders>
              <w:top w:val="nil"/>
              <w:left w:val="nil"/>
              <w:bottom w:val="single" w:sz="4" w:space="0" w:color="auto"/>
              <w:right w:val="single" w:sz="4" w:space="0" w:color="auto"/>
            </w:tcBorders>
            <w:shd w:val="clear" w:color="000000" w:fill="FFFFFF"/>
            <w:vAlign w:val="center"/>
            <w:hideMark/>
          </w:tcPr>
          <w:p w14:paraId="5A7BB642" w14:textId="77777777" w:rsidR="00B076A2" w:rsidRPr="00B401A6" w:rsidRDefault="00B076A2" w:rsidP="00B3646C">
            <w:pPr>
              <w:spacing w:after="0" w:line="240" w:lineRule="auto"/>
              <w:rPr>
                <w:rFonts w:ascii="Arial" w:eastAsia="Times New Roman" w:hAnsi="Arial" w:cs="Arial"/>
                <w:sz w:val="18"/>
                <w:szCs w:val="18"/>
              </w:rPr>
            </w:pPr>
            <w:r w:rsidRPr="00B401A6">
              <w:rPr>
                <w:rFonts w:ascii="Arial" w:eastAsia="Times New Roman" w:hAnsi="Arial" w:cs="Arial"/>
                <w:sz w:val="18"/>
                <w:szCs w:val="18"/>
              </w:rPr>
              <w:t>Evaluación de consistencia y Resultados.</w:t>
            </w:r>
          </w:p>
        </w:tc>
        <w:tc>
          <w:tcPr>
            <w:tcW w:w="1700" w:type="dxa"/>
            <w:tcBorders>
              <w:top w:val="nil"/>
              <w:left w:val="nil"/>
              <w:bottom w:val="single" w:sz="4" w:space="0" w:color="auto"/>
              <w:right w:val="single" w:sz="4" w:space="0" w:color="auto"/>
            </w:tcBorders>
            <w:shd w:val="clear" w:color="000000" w:fill="FFFFFF"/>
            <w:vAlign w:val="center"/>
            <w:hideMark/>
          </w:tcPr>
          <w:p w14:paraId="570BF13E" w14:textId="77777777" w:rsidR="00B076A2" w:rsidRPr="00B401A6" w:rsidRDefault="00B076A2" w:rsidP="00B3646C">
            <w:pPr>
              <w:spacing w:after="0" w:line="240" w:lineRule="auto"/>
              <w:jc w:val="center"/>
              <w:rPr>
                <w:rFonts w:ascii="Arial" w:eastAsia="Times New Roman" w:hAnsi="Arial" w:cs="Arial"/>
                <w:sz w:val="18"/>
                <w:szCs w:val="18"/>
              </w:rPr>
            </w:pPr>
            <w:r w:rsidRPr="00B401A6">
              <w:rPr>
                <w:rFonts w:ascii="Arial" w:eastAsia="Times New Roman" w:hAnsi="Arial" w:cs="Arial"/>
                <w:sz w:val="18"/>
                <w:szCs w:val="18"/>
              </w:rPr>
              <w:t xml:space="preserve">Tecnología Social para el Desarrollo, S.A de C.V. </w:t>
            </w:r>
          </w:p>
        </w:tc>
      </w:tr>
      <w:tr w:rsidR="00B076A2" w:rsidRPr="00B401A6" w14:paraId="4B447561" w14:textId="77777777" w:rsidTr="00B3646C">
        <w:trPr>
          <w:trHeight w:val="635"/>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14:paraId="3806BDB4" w14:textId="77777777" w:rsidR="00B076A2" w:rsidRPr="00B401A6" w:rsidRDefault="00B076A2" w:rsidP="00B3646C">
            <w:pPr>
              <w:spacing w:after="0" w:line="240" w:lineRule="auto"/>
              <w:jc w:val="center"/>
              <w:rPr>
                <w:rFonts w:ascii="Arial" w:eastAsia="Times New Roman" w:hAnsi="Arial" w:cs="Arial"/>
                <w:sz w:val="18"/>
                <w:szCs w:val="18"/>
              </w:rPr>
            </w:pPr>
            <w:r w:rsidRPr="00B401A6">
              <w:rPr>
                <w:rFonts w:ascii="Arial" w:eastAsia="Times New Roman" w:hAnsi="Arial" w:cs="Arial"/>
                <w:sz w:val="18"/>
                <w:szCs w:val="18"/>
              </w:rPr>
              <w:t>2016</w:t>
            </w:r>
          </w:p>
        </w:tc>
        <w:tc>
          <w:tcPr>
            <w:tcW w:w="2919" w:type="dxa"/>
            <w:tcBorders>
              <w:top w:val="nil"/>
              <w:left w:val="nil"/>
              <w:bottom w:val="single" w:sz="4" w:space="0" w:color="auto"/>
              <w:right w:val="single" w:sz="4" w:space="0" w:color="auto"/>
            </w:tcBorders>
            <w:shd w:val="clear" w:color="000000" w:fill="FFFFFF"/>
            <w:vAlign w:val="center"/>
            <w:hideMark/>
          </w:tcPr>
          <w:p w14:paraId="75A868AC" w14:textId="77777777" w:rsidR="00B076A2" w:rsidRPr="00B401A6" w:rsidRDefault="00B076A2" w:rsidP="00B3646C">
            <w:pPr>
              <w:spacing w:after="0" w:line="240" w:lineRule="auto"/>
              <w:rPr>
                <w:rFonts w:ascii="Arial" w:eastAsia="Times New Roman" w:hAnsi="Arial" w:cs="Arial"/>
                <w:sz w:val="18"/>
                <w:szCs w:val="18"/>
              </w:rPr>
            </w:pPr>
            <w:r w:rsidRPr="00B401A6">
              <w:rPr>
                <w:rFonts w:ascii="Arial" w:eastAsia="Times New Roman" w:hAnsi="Arial" w:cs="Arial"/>
                <w:sz w:val="18"/>
                <w:szCs w:val="18"/>
              </w:rPr>
              <w:t>Sistema de Protección Social en Salud (Seguro Popular).</w:t>
            </w:r>
          </w:p>
        </w:tc>
        <w:tc>
          <w:tcPr>
            <w:tcW w:w="2081" w:type="dxa"/>
            <w:tcBorders>
              <w:top w:val="nil"/>
              <w:left w:val="nil"/>
              <w:bottom w:val="single" w:sz="4" w:space="0" w:color="auto"/>
              <w:right w:val="single" w:sz="4" w:space="0" w:color="auto"/>
            </w:tcBorders>
            <w:shd w:val="clear" w:color="000000" w:fill="FFFFFF"/>
            <w:vAlign w:val="center"/>
            <w:hideMark/>
          </w:tcPr>
          <w:p w14:paraId="58C4853F" w14:textId="77777777" w:rsidR="00B076A2" w:rsidRPr="00B401A6" w:rsidRDefault="00B076A2" w:rsidP="00B3646C">
            <w:pPr>
              <w:spacing w:after="0" w:line="240" w:lineRule="auto"/>
              <w:rPr>
                <w:rFonts w:ascii="Arial" w:eastAsia="Times New Roman" w:hAnsi="Arial" w:cs="Arial"/>
                <w:sz w:val="18"/>
                <w:szCs w:val="18"/>
              </w:rPr>
            </w:pPr>
            <w:r w:rsidRPr="00B401A6">
              <w:rPr>
                <w:rFonts w:ascii="Arial" w:eastAsia="Times New Roman" w:hAnsi="Arial" w:cs="Arial"/>
                <w:sz w:val="18"/>
                <w:szCs w:val="18"/>
              </w:rPr>
              <w:t>Sistema de Gestión para la Atención de Quejas, Sugerencias y Felicitaciones (MANDE).</w:t>
            </w:r>
          </w:p>
        </w:tc>
        <w:tc>
          <w:tcPr>
            <w:tcW w:w="1340" w:type="dxa"/>
            <w:tcBorders>
              <w:top w:val="nil"/>
              <w:left w:val="nil"/>
              <w:bottom w:val="single" w:sz="4" w:space="0" w:color="auto"/>
              <w:right w:val="single" w:sz="4" w:space="0" w:color="auto"/>
            </w:tcBorders>
            <w:shd w:val="clear" w:color="000000" w:fill="FFFFFF"/>
            <w:vAlign w:val="center"/>
            <w:hideMark/>
          </w:tcPr>
          <w:p w14:paraId="063897FC" w14:textId="77777777" w:rsidR="00B076A2" w:rsidRPr="00B401A6" w:rsidRDefault="00B076A2" w:rsidP="00B3646C">
            <w:pPr>
              <w:spacing w:after="0" w:line="240" w:lineRule="auto"/>
              <w:rPr>
                <w:rFonts w:ascii="Arial" w:eastAsia="Times New Roman" w:hAnsi="Arial" w:cs="Arial"/>
                <w:sz w:val="18"/>
                <w:szCs w:val="18"/>
              </w:rPr>
            </w:pPr>
            <w:r w:rsidRPr="00B401A6">
              <w:rPr>
                <w:rFonts w:ascii="Arial" w:eastAsia="Times New Roman" w:hAnsi="Arial" w:cs="Arial"/>
                <w:sz w:val="18"/>
                <w:szCs w:val="18"/>
              </w:rPr>
              <w:t>Evaluación de Consistencia y Resultados.</w:t>
            </w:r>
          </w:p>
        </w:tc>
        <w:tc>
          <w:tcPr>
            <w:tcW w:w="1700" w:type="dxa"/>
            <w:tcBorders>
              <w:top w:val="nil"/>
              <w:left w:val="nil"/>
              <w:bottom w:val="single" w:sz="4" w:space="0" w:color="auto"/>
              <w:right w:val="single" w:sz="4" w:space="0" w:color="auto"/>
            </w:tcBorders>
            <w:shd w:val="clear" w:color="000000" w:fill="FFFFFF"/>
            <w:vAlign w:val="center"/>
            <w:hideMark/>
          </w:tcPr>
          <w:p w14:paraId="442B46B5" w14:textId="77777777" w:rsidR="00B076A2" w:rsidRPr="00B401A6" w:rsidRDefault="00B076A2" w:rsidP="00B3646C">
            <w:pPr>
              <w:spacing w:after="0" w:line="240" w:lineRule="auto"/>
              <w:jc w:val="center"/>
              <w:rPr>
                <w:rFonts w:ascii="Arial" w:eastAsia="Times New Roman" w:hAnsi="Arial" w:cs="Arial"/>
                <w:sz w:val="18"/>
                <w:szCs w:val="18"/>
              </w:rPr>
            </w:pPr>
            <w:r w:rsidRPr="00B401A6">
              <w:rPr>
                <w:rFonts w:ascii="Arial" w:eastAsia="Times New Roman" w:hAnsi="Arial" w:cs="Arial"/>
                <w:sz w:val="18"/>
                <w:szCs w:val="18"/>
              </w:rPr>
              <w:t xml:space="preserve">Tecnología Social para el Desarrollo, S.A de C.V. </w:t>
            </w:r>
          </w:p>
        </w:tc>
      </w:tr>
      <w:tr w:rsidR="00B076A2" w:rsidRPr="00B401A6" w14:paraId="028EC283" w14:textId="77777777" w:rsidTr="00B3646C">
        <w:trPr>
          <w:trHeight w:val="506"/>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14:paraId="1C57EC19" w14:textId="77777777" w:rsidR="00B076A2" w:rsidRPr="00B401A6" w:rsidRDefault="00B076A2" w:rsidP="00B3646C">
            <w:pPr>
              <w:spacing w:after="0" w:line="240" w:lineRule="auto"/>
              <w:jc w:val="center"/>
              <w:rPr>
                <w:rFonts w:ascii="Arial" w:eastAsia="Times New Roman" w:hAnsi="Arial" w:cs="Arial"/>
                <w:sz w:val="18"/>
                <w:szCs w:val="18"/>
              </w:rPr>
            </w:pPr>
            <w:r w:rsidRPr="00B401A6">
              <w:rPr>
                <w:rFonts w:ascii="Arial" w:eastAsia="Times New Roman" w:hAnsi="Arial" w:cs="Arial"/>
                <w:sz w:val="18"/>
                <w:szCs w:val="18"/>
              </w:rPr>
              <w:t>2016</w:t>
            </w:r>
          </w:p>
        </w:tc>
        <w:tc>
          <w:tcPr>
            <w:tcW w:w="2919" w:type="dxa"/>
            <w:tcBorders>
              <w:top w:val="nil"/>
              <w:left w:val="nil"/>
              <w:bottom w:val="single" w:sz="4" w:space="0" w:color="auto"/>
              <w:right w:val="single" w:sz="4" w:space="0" w:color="auto"/>
            </w:tcBorders>
            <w:shd w:val="clear" w:color="000000" w:fill="FFFFFF"/>
            <w:vAlign w:val="center"/>
            <w:hideMark/>
          </w:tcPr>
          <w:p w14:paraId="74093719" w14:textId="77777777" w:rsidR="00B076A2" w:rsidRPr="00B401A6" w:rsidRDefault="00B076A2" w:rsidP="00B3646C">
            <w:pPr>
              <w:spacing w:after="0" w:line="240" w:lineRule="auto"/>
              <w:rPr>
                <w:rFonts w:ascii="Arial" w:eastAsia="Times New Roman" w:hAnsi="Arial" w:cs="Arial"/>
                <w:sz w:val="18"/>
                <w:szCs w:val="18"/>
              </w:rPr>
            </w:pPr>
            <w:r w:rsidRPr="00B401A6">
              <w:rPr>
                <w:rFonts w:ascii="Arial" w:eastAsia="Times New Roman" w:hAnsi="Arial" w:cs="Arial"/>
                <w:sz w:val="18"/>
                <w:szCs w:val="18"/>
              </w:rPr>
              <w:t>Sistema de Protección Social en Salud (Seguro Popular).</w:t>
            </w:r>
          </w:p>
        </w:tc>
        <w:tc>
          <w:tcPr>
            <w:tcW w:w="2081" w:type="dxa"/>
            <w:tcBorders>
              <w:top w:val="nil"/>
              <w:left w:val="nil"/>
              <w:bottom w:val="single" w:sz="4" w:space="0" w:color="auto"/>
              <w:right w:val="single" w:sz="4" w:space="0" w:color="auto"/>
            </w:tcBorders>
            <w:shd w:val="clear" w:color="000000" w:fill="FFFFFF"/>
            <w:vAlign w:val="center"/>
            <w:hideMark/>
          </w:tcPr>
          <w:p w14:paraId="2093A6E1" w14:textId="77777777" w:rsidR="00B076A2" w:rsidRPr="00B401A6" w:rsidRDefault="00B076A2" w:rsidP="00B3646C">
            <w:pPr>
              <w:spacing w:after="0" w:line="240" w:lineRule="auto"/>
              <w:rPr>
                <w:rFonts w:ascii="Arial" w:eastAsia="Times New Roman" w:hAnsi="Arial" w:cs="Arial"/>
                <w:sz w:val="18"/>
                <w:szCs w:val="18"/>
              </w:rPr>
            </w:pPr>
            <w:r w:rsidRPr="00B401A6">
              <w:rPr>
                <w:rFonts w:ascii="Arial" w:eastAsia="Times New Roman" w:hAnsi="Arial" w:cs="Arial"/>
                <w:sz w:val="18"/>
                <w:szCs w:val="18"/>
              </w:rPr>
              <w:t xml:space="preserve">Recepción, Ejercicio y Comprobación de los </w:t>
            </w:r>
            <w:r w:rsidRPr="00B401A6">
              <w:rPr>
                <w:rFonts w:ascii="Arial" w:eastAsia="Times New Roman" w:hAnsi="Arial" w:cs="Arial"/>
                <w:sz w:val="18"/>
                <w:szCs w:val="18"/>
              </w:rPr>
              <w:lastRenderedPageBreak/>
              <w:t>Recursos de la Cuota Social.</w:t>
            </w:r>
          </w:p>
        </w:tc>
        <w:tc>
          <w:tcPr>
            <w:tcW w:w="1340" w:type="dxa"/>
            <w:tcBorders>
              <w:top w:val="nil"/>
              <w:left w:val="nil"/>
              <w:bottom w:val="single" w:sz="4" w:space="0" w:color="auto"/>
              <w:right w:val="single" w:sz="4" w:space="0" w:color="auto"/>
            </w:tcBorders>
            <w:shd w:val="clear" w:color="000000" w:fill="FFFFFF"/>
            <w:vAlign w:val="center"/>
            <w:hideMark/>
          </w:tcPr>
          <w:p w14:paraId="5B75D5AF" w14:textId="77777777" w:rsidR="00B076A2" w:rsidRPr="00B401A6" w:rsidRDefault="00B076A2" w:rsidP="00B3646C">
            <w:pPr>
              <w:spacing w:after="0" w:line="240" w:lineRule="auto"/>
              <w:rPr>
                <w:rFonts w:ascii="Arial" w:eastAsia="Times New Roman" w:hAnsi="Arial" w:cs="Arial"/>
                <w:sz w:val="18"/>
                <w:szCs w:val="18"/>
              </w:rPr>
            </w:pPr>
            <w:r w:rsidRPr="00B401A6">
              <w:rPr>
                <w:rFonts w:ascii="Arial" w:eastAsia="Times New Roman" w:hAnsi="Arial" w:cs="Arial"/>
                <w:sz w:val="18"/>
                <w:szCs w:val="18"/>
              </w:rPr>
              <w:lastRenderedPageBreak/>
              <w:t>Evaluación de Procesos.</w:t>
            </w:r>
          </w:p>
        </w:tc>
        <w:tc>
          <w:tcPr>
            <w:tcW w:w="1700" w:type="dxa"/>
            <w:tcBorders>
              <w:top w:val="nil"/>
              <w:left w:val="nil"/>
              <w:bottom w:val="single" w:sz="4" w:space="0" w:color="auto"/>
              <w:right w:val="single" w:sz="4" w:space="0" w:color="auto"/>
            </w:tcBorders>
            <w:shd w:val="clear" w:color="000000" w:fill="FFFFFF"/>
            <w:vAlign w:val="center"/>
            <w:hideMark/>
          </w:tcPr>
          <w:p w14:paraId="52939382" w14:textId="77777777" w:rsidR="00B076A2" w:rsidRPr="00B401A6" w:rsidRDefault="00B076A2" w:rsidP="00B3646C">
            <w:pPr>
              <w:spacing w:after="0" w:line="240" w:lineRule="auto"/>
              <w:jc w:val="center"/>
              <w:rPr>
                <w:rFonts w:ascii="Arial" w:eastAsia="Times New Roman" w:hAnsi="Arial" w:cs="Arial"/>
                <w:sz w:val="18"/>
                <w:szCs w:val="18"/>
              </w:rPr>
            </w:pPr>
            <w:r w:rsidRPr="00B401A6">
              <w:rPr>
                <w:rFonts w:ascii="Arial" w:eastAsia="Times New Roman" w:hAnsi="Arial" w:cs="Arial"/>
                <w:sz w:val="18"/>
                <w:szCs w:val="18"/>
              </w:rPr>
              <w:t xml:space="preserve">Tecnología Social para el Desarrollo, S.A de C.V. </w:t>
            </w:r>
          </w:p>
        </w:tc>
      </w:tr>
      <w:tr w:rsidR="00B076A2" w:rsidRPr="00B401A6" w14:paraId="72E2F16F" w14:textId="77777777" w:rsidTr="00B3646C">
        <w:trPr>
          <w:trHeight w:val="659"/>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14:paraId="39C8DEBA" w14:textId="77777777" w:rsidR="00B076A2" w:rsidRPr="00B401A6" w:rsidRDefault="00B076A2" w:rsidP="00B3646C">
            <w:pPr>
              <w:spacing w:after="0" w:line="240" w:lineRule="auto"/>
              <w:jc w:val="center"/>
              <w:rPr>
                <w:rFonts w:ascii="Arial" w:eastAsia="Times New Roman" w:hAnsi="Arial" w:cs="Arial"/>
                <w:color w:val="000000"/>
                <w:sz w:val="18"/>
                <w:szCs w:val="18"/>
              </w:rPr>
            </w:pPr>
            <w:r w:rsidRPr="00B401A6">
              <w:rPr>
                <w:rFonts w:ascii="Arial" w:eastAsia="Times New Roman" w:hAnsi="Arial" w:cs="Arial"/>
                <w:color w:val="000000"/>
                <w:sz w:val="18"/>
                <w:szCs w:val="18"/>
              </w:rPr>
              <w:t>2016</w:t>
            </w:r>
          </w:p>
        </w:tc>
        <w:tc>
          <w:tcPr>
            <w:tcW w:w="2919" w:type="dxa"/>
            <w:tcBorders>
              <w:top w:val="nil"/>
              <w:left w:val="nil"/>
              <w:bottom w:val="single" w:sz="4" w:space="0" w:color="auto"/>
              <w:right w:val="single" w:sz="4" w:space="0" w:color="auto"/>
            </w:tcBorders>
            <w:shd w:val="clear" w:color="000000" w:fill="FFFFFF"/>
            <w:vAlign w:val="center"/>
            <w:hideMark/>
          </w:tcPr>
          <w:p w14:paraId="6A1555D2" w14:textId="77777777" w:rsidR="00B076A2" w:rsidRPr="00B401A6" w:rsidRDefault="00B076A2" w:rsidP="00B3646C">
            <w:pPr>
              <w:spacing w:after="0" w:line="240" w:lineRule="auto"/>
              <w:rPr>
                <w:rFonts w:ascii="Arial" w:eastAsia="Times New Roman" w:hAnsi="Arial" w:cs="Arial"/>
                <w:color w:val="000000"/>
                <w:sz w:val="18"/>
                <w:szCs w:val="18"/>
              </w:rPr>
            </w:pPr>
            <w:r w:rsidRPr="00B401A6">
              <w:rPr>
                <w:rFonts w:ascii="Arial" w:eastAsia="Times New Roman" w:hAnsi="Arial" w:cs="Arial"/>
                <w:color w:val="000000"/>
                <w:sz w:val="18"/>
                <w:szCs w:val="18"/>
              </w:rPr>
              <w:t>Fondo de Aportaciones para los Servicios de Salud (FASSA). Secretaría de Salud y Bienestar Social.</w:t>
            </w:r>
          </w:p>
        </w:tc>
        <w:tc>
          <w:tcPr>
            <w:tcW w:w="2081" w:type="dxa"/>
            <w:tcBorders>
              <w:top w:val="nil"/>
              <w:left w:val="nil"/>
              <w:bottom w:val="single" w:sz="4" w:space="0" w:color="auto"/>
              <w:right w:val="single" w:sz="4" w:space="0" w:color="auto"/>
            </w:tcBorders>
            <w:shd w:val="clear" w:color="000000" w:fill="FFFFFF"/>
            <w:vAlign w:val="center"/>
            <w:hideMark/>
          </w:tcPr>
          <w:p w14:paraId="4F8A385F" w14:textId="77777777" w:rsidR="00B076A2" w:rsidRPr="00B401A6" w:rsidRDefault="00B076A2" w:rsidP="00B3646C">
            <w:pPr>
              <w:spacing w:after="0" w:line="240" w:lineRule="auto"/>
              <w:rPr>
                <w:rFonts w:ascii="Arial" w:eastAsia="Times New Roman" w:hAnsi="Arial" w:cs="Arial"/>
                <w:color w:val="000000"/>
                <w:sz w:val="18"/>
                <w:szCs w:val="18"/>
              </w:rPr>
            </w:pPr>
            <w:r w:rsidRPr="00B401A6">
              <w:rPr>
                <w:rFonts w:ascii="Arial" w:eastAsia="Times New Roman" w:hAnsi="Arial" w:cs="Arial"/>
                <w:color w:val="000000"/>
                <w:sz w:val="18"/>
                <w:szCs w:val="18"/>
              </w:rPr>
              <w:t>Fondo de Aportaciones para los Servicios de Salud (FASSA).</w:t>
            </w:r>
          </w:p>
        </w:tc>
        <w:tc>
          <w:tcPr>
            <w:tcW w:w="1340" w:type="dxa"/>
            <w:tcBorders>
              <w:top w:val="nil"/>
              <w:left w:val="nil"/>
              <w:bottom w:val="single" w:sz="4" w:space="0" w:color="auto"/>
              <w:right w:val="single" w:sz="4" w:space="0" w:color="auto"/>
            </w:tcBorders>
            <w:shd w:val="clear" w:color="000000" w:fill="FFFFFF"/>
            <w:vAlign w:val="center"/>
            <w:hideMark/>
          </w:tcPr>
          <w:p w14:paraId="04A1819C" w14:textId="77777777" w:rsidR="00B076A2" w:rsidRPr="00B401A6" w:rsidRDefault="00B076A2" w:rsidP="00B3646C">
            <w:pPr>
              <w:spacing w:after="0" w:line="240" w:lineRule="auto"/>
              <w:rPr>
                <w:rFonts w:ascii="Arial" w:eastAsia="Times New Roman" w:hAnsi="Arial" w:cs="Arial"/>
                <w:color w:val="000000"/>
                <w:sz w:val="18"/>
                <w:szCs w:val="18"/>
              </w:rPr>
            </w:pPr>
            <w:r w:rsidRPr="00B401A6">
              <w:rPr>
                <w:rFonts w:ascii="Arial" w:eastAsia="Times New Roman" w:hAnsi="Arial" w:cs="Arial"/>
                <w:color w:val="000000"/>
                <w:sz w:val="18"/>
                <w:szCs w:val="18"/>
              </w:rPr>
              <w:t>Evaluación de Consistencia y Resultados.</w:t>
            </w:r>
          </w:p>
        </w:tc>
        <w:tc>
          <w:tcPr>
            <w:tcW w:w="1700" w:type="dxa"/>
            <w:tcBorders>
              <w:top w:val="nil"/>
              <w:left w:val="nil"/>
              <w:bottom w:val="single" w:sz="4" w:space="0" w:color="auto"/>
              <w:right w:val="single" w:sz="4" w:space="0" w:color="auto"/>
            </w:tcBorders>
            <w:shd w:val="clear" w:color="000000" w:fill="FFFFFF"/>
            <w:vAlign w:val="center"/>
            <w:hideMark/>
          </w:tcPr>
          <w:p w14:paraId="42F60321" w14:textId="77777777" w:rsidR="00B076A2" w:rsidRPr="00B401A6" w:rsidRDefault="00B076A2" w:rsidP="00B3646C">
            <w:pPr>
              <w:spacing w:after="0" w:line="240" w:lineRule="auto"/>
              <w:jc w:val="center"/>
              <w:rPr>
                <w:rFonts w:ascii="Arial" w:eastAsia="Times New Roman" w:hAnsi="Arial" w:cs="Arial"/>
                <w:sz w:val="18"/>
                <w:szCs w:val="18"/>
              </w:rPr>
            </w:pPr>
            <w:r w:rsidRPr="00B401A6">
              <w:rPr>
                <w:rFonts w:ascii="Arial" w:eastAsia="Times New Roman" w:hAnsi="Arial" w:cs="Arial"/>
                <w:sz w:val="18"/>
                <w:szCs w:val="18"/>
              </w:rPr>
              <w:t xml:space="preserve">Tecnología Social para el Desarrollo, S.A de C.V. </w:t>
            </w:r>
          </w:p>
        </w:tc>
      </w:tr>
      <w:tr w:rsidR="00B076A2" w:rsidRPr="00B401A6" w14:paraId="4BDAA470" w14:textId="77777777" w:rsidTr="00B3646C">
        <w:trPr>
          <w:trHeight w:val="404"/>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14:paraId="07553779" w14:textId="77777777" w:rsidR="00B076A2" w:rsidRPr="00B401A6" w:rsidRDefault="00B076A2" w:rsidP="00B3646C">
            <w:pPr>
              <w:spacing w:after="0" w:line="240" w:lineRule="auto"/>
              <w:jc w:val="center"/>
              <w:rPr>
                <w:rFonts w:ascii="Arial" w:eastAsia="Times New Roman" w:hAnsi="Arial" w:cs="Arial"/>
                <w:sz w:val="18"/>
                <w:szCs w:val="18"/>
              </w:rPr>
            </w:pPr>
            <w:r w:rsidRPr="00B401A6">
              <w:rPr>
                <w:rFonts w:ascii="Arial" w:eastAsia="Times New Roman" w:hAnsi="Arial" w:cs="Arial"/>
                <w:sz w:val="18"/>
                <w:szCs w:val="18"/>
              </w:rPr>
              <w:t>2016</w:t>
            </w:r>
          </w:p>
        </w:tc>
        <w:tc>
          <w:tcPr>
            <w:tcW w:w="2919" w:type="dxa"/>
            <w:tcBorders>
              <w:top w:val="nil"/>
              <w:left w:val="nil"/>
              <w:bottom w:val="single" w:sz="4" w:space="0" w:color="auto"/>
              <w:right w:val="single" w:sz="4" w:space="0" w:color="auto"/>
            </w:tcBorders>
            <w:shd w:val="clear" w:color="000000" w:fill="FFFFFF"/>
            <w:vAlign w:val="center"/>
            <w:hideMark/>
          </w:tcPr>
          <w:p w14:paraId="6B3DD214" w14:textId="77777777" w:rsidR="00B076A2" w:rsidRPr="00B401A6" w:rsidRDefault="00B076A2" w:rsidP="00B3646C">
            <w:pPr>
              <w:spacing w:after="0" w:line="240" w:lineRule="auto"/>
              <w:rPr>
                <w:rFonts w:ascii="Arial" w:eastAsia="Times New Roman" w:hAnsi="Arial" w:cs="Arial"/>
                <w:sz w:val="18"/>
                <w:szCs w:val="18"/>
              </w:rPr>
            </w:pPr>
            <w:r w:rsidRPr="00B401A6">
              <w:rPr>
                <w:rFonts w:ascii="Arial" w:eastAsia="Times New Roman" w:hAnsi="Arial" w:cs="Arial"/>
                <w:sz w:val="18"/>
                <w:szCs w:val="18"/>
              </w:rPr>
              <w:t>Fondo de Aportaciones para la Nómina Educativa y Gasto Operativo (FONE). Secretaría de Educación.</w:t>
            </w:r>
          </w:p>
        </w:tc>
        <w:tc>
          <w:tcPr>
            <w:tcW w:w="2081" w:type="dxa"/>
            <w:tcBorders>
              <w:top w:val="nil"/>
              <w:left w:val="nil"/>
              <w:bottom w:val="single" w:sz="4" w:space="0" w:color="auto"/>
              <w:right w:val="single" w:sz="4" w:space="0" w:color="auto"/>
            </w:tcBorders>
            <w:shd w:val="clear" w:color="000000" w:fill="FFFFFF"/>
            <w:vAlign w:val="center"/>
            <w:hideMark/>
          </w:tcPr>
          <w:p w14:paraId="3DB14127" w14:textId="77777777" w:rsidR="00B076A2" w:rsidRPr="00B401A6" w:rsidRDefault="00B076A2" w:rsidP="00B3646C">
            <w:pPr>
              <w:spacing w:after="0" w:line="240" w:lineRule="auto"/>
              <w:rPr>
                <w:rFonts w:ascii="Arial" w:eastAsia="Times New Roman" w:hAnsi="Arial" w:cs="Arial"/>
                <w:sz w:val="18"/>
                <w:szCs w:val="18"/>
              </w:rPr>
            </w:pPr>
            <w:r w:rsidRPr="00B401A6">
              <w:rPr>
                <w:rFonts w:ascii="Arial" w:eastAsia="Times New Roman" w:hAnsi="Arial" w:cs="Arial"/>
                <w:sz w:val="18"/>
                <w:szCs w:val="18"/>
              </w:rPr>
              <w:t>Arraigo del Maestro en el Medio Rural.</w:t>
            </w:r>
          </w:p>
        </w:tc>
        <w:tc>
          <w:tcPr>
            <w:tcW w:w="1340" w:type="dxa"/>
            <w:tcBorders>
              <w:top w:val="nil"/>
              <w:left w:val="nil"/>
              <w:bottom w:val="single" w:sz="4" w:space="0" w:color="auto"/>
              <w:right w:val="single" w:sz="4" w:space="0" w:color="auto"/>
            </w:tcBorders>
            <w:shd w:val="clear" w:color="000000" w:fill="FFFFFF"/>
            <w:vAlign w:val="center"/>
            <w:hideMark/>
          </w:tcPr>
          <w:p w14:paraId="541D409F" w14:textId="77777777" w:rsidR="00B076A2" w:rsidRPr="00B401A6" w:rsidRDefault="00B076A2" w:rsidP="00B3646C">
            <w:pPr>
              <w:spacing w:after="0" w:line="240" w:lineRule="auto"/>
              <w:rPr>
                <w:rFonts w:ascii="Arial" w:eastAsia="Times New Roman" w:hAnsi="Arial" w:cs="Arial"/>
                <w:color w:val="000000"/>
                <w:sz w:val="18"/>
                <w:szCs w:val="18"/>
              </w:rPr>
            </w:pPr>
            <w:r w:rsidRPr="00B401A6">
              <w:rPr>
                <w:rFonts w:ascii="Arial" w:eastAsia="Times New Roman" w:hAnsi="Arial" w:cs="Arial"/>
                <w:color w:val="000000"/>
                <w:sz w:val="18"/>
                <w:szCs w:val="18"/>
              </w:rPr>
              <w:t>Evaluación de Consistencia y Resultados.</w:t>
            </w:r>
          </w:p>
        </w:tc>
        <w:tc>
          <w:tcPr>
            <w:tcW w:w="1700" w:type="dxa"/>
            <w:tcBorders>
              <w:top w:val="nil"/>
              <w:left w:val="nil"/>
              <w:bottom w:val="single" w:sz="4" w:space="0" w:color="auto"/>
              <w:right w:val="single" w:sz="4" w:space="0" w:color="auto"/>
            </w:tcBorders>
            <w:shd w:val="clear" w:color="000000" w:fill="FFFFFF"/>
            <w:vAlign w:val="center"/>
            <w:hideMark/>
          </w:tcPr>
          <w:p w14:paraId="0144EA3C" w14:textId="77777777" w:rsidR="00B076A2" w:rsidRPr="00B401A6" w:rsidRDefault="00B076A2" w:rsidP="00B3646C">
            <w:pPr>
              <w:spacing w:after="0" w:line="240" w:lineRule="auto"/>
              <w:jc w:val="center"/>
              <w:rPr>
                <w:rFonts w:ascii="Arial" w:eastAsia="Times New Roman" w:hAnsi="Arial" w:cs="Arial"/>
                <w:sz w:val="18"/>
                <w:szCs w:val="18"/>
              </w:rPr>
            </w:pPr>
            <w:r w:rsidRPr="00B401A6">
              <w:rPr>
                <w:rFonts w:ascii="Arial" w:eastAsia="Times New Roman" w:hAnsi="Arial" w:cs="Arial"/>
                <w:sz w:val="18"/>
                <w:szCs w:val="18"/>
              </w:rPr>
              <w:t xml:space="preserve">Tecnología Social para el Desarrollo, S.A de C.V. </w:t>
            </w:r>
          </w:p>
        </w:tc>
      </w:tr>
      <w:tr w:rsidR="00B076A2" w:rsidRPr="00B401A6" w14:paraId="75498307" w14:textId="77777777" w:rsidTr="00B3646C">
        <w:trPr>
          <w:trHeight w:val="6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14:paraId="1DE32FB6" w14:textId="77777777" w:rsidR="00B076A2" w:rsidRPr="00B401A6" w:rsidRDefault="00B076A2" w:rsidP="00B3646C">
            <w:pPr>
              <w:spacing w:after="0" w:line="240" w:lineRule="auto"/>
              <w:jc w:val="center"/>
              <w:rPr>
                <w:rFonts w:ascii="Arial" w:eastAsia="Times New Roman" w:hAnsi="Arial" w:cs="Arial"/>
                <w:sz w:val="18"/>
                <w:szCs w:val="18"/>
              </w:rPr>
            </w:pPr>
            <w:r w:rsidRPr="00B401A6">
              <w:rPr>
                <w:rFonts w:ascii="Arial" w:eastAsia="Times New Roman" w:hAnsi="Arial" w:cs="Arial"/>
                <w:sz w:val="18"/>
                <w:szCs w:val="18"/>
              </w:rPr>
              <w:t>2016</w:t>
            </w:r>
          </w:p>
        </w:tc>
        <w:tc>
          <w:tcPr>
            <w:tcW w:w="2919" w:type="dxa"/>
            <w:tcBorders>
              <w:top w:val="nil"/>
              <w:left w:val="nil"/>
              <w:bottom w:val="single" w:sz="4" w:space="0" w:color="auto"/>
              <w:right w:val="single" w:sz="4" w:space="0" w:color="auto"/>
            </w:tcBorders>
            <w:shd w:val="clear" w:color="000000" w:fill="FFFFFF"/>
            <w:vAlign w:val="center"/>
            <w:hideMark/>
          </w:tcPr>
          <w:p w14:paraId="2FAA21F3" w14:textId="77777777" w:rsidR="00B076A2" w:rsidRPr="00B401A6" w:rsidRDefault="00B076A2" w:rsidP="00B3646C">
            <w:pPr>
              <w:spacing w:after="0" w:line="240" w:lineRule="auto"/>
              <w:rPr>
                <w:rFonts w:ascii="Arial" w:eastAsia="Times New Roman" w:hAnsi="Arial" w:cs="Arial"/>
                <w:sz w:val="18"/>
                <w:szCs w:val="18"/>
              </w:rPr>
            </w:pPr>
            <w:r w:rsidRPr="00B401A6">
              <w:rPr>
                <w:rFonts w:ascii="Arial" w:eastAsia="Times New Roman" w:hAnsi="Arial" w:cs="Arial"/>
                <w:sz w:val="18"/>
                <w:szCs w:val="18"/>
              </w:rPr>
              <w:t>Fondo de Aportaciones para la Nómina Educativa y Gasto Operativo (FONE). Secretaría de Educación.</w:t>
            </w:r>
          </w:p>
        </w:tc>
        <w:tc>
          <w:tcPr>
            <w:tcW w:w="2081" w:type="dxa"/>
            <w:tcBorders>
              <w:top w:val="nil"/>
              <w:left w:val="nil"/>
              <w:bottom w:val="single" w:sz="4" w:space="0" w:color="auto"/>
              <w:right w:val="single" w:sz="4" w:space="0" w:color="auto"/>
            </w:tcBorders>
            <w:shd w:val="clear" w:color="000000" w:fill="FFFFFF"/>
            <w:vAlign w:val="center"/>
            <w:hideMark/>
          </w:tcPr>
          <w:p w14:paraId="2CE53009" w14:textId="77777777" w:rsidR="00B076A2" w:rsidRPr="00B401A6" w:rsidRDefault="00B076A2" w:rsidP="00B3646C">
            <w:pPr>
              <w:spacing w:after="0" w:line="240" w:lineRule="auto"/>
              <w:rPr>
                <w:rFonts w:ascii="Arial" w:eastAsia="Times New Roman" w:hAnsi="Arial" w:cs="Arial"/>
                <w:sz w:val="18"/>
                <w:szCs w:val="18"/>
              </w:rPr>
            </w:pPr>
            <w:r w:rsidRPr="00B401A6">
              <w:rPr>
                <w:rFonts w:ascii="Arial" w:eastAsia="Times New Roman" w:hAnsi="Arial" w:cs="Arial"/>
                <w:sz w:val="18"/>
                <w:szCs w:val="18"/>
              </w:rPr>
              <w:t>Educación Inicial Escolarizada.</w:t>
            </w:r>
          </w:p>
        </w:tc>
        <w:tc>
          <w:tcPr>
            <w:tcW w:w="1340" w:type="dxa"/>
            <w:tcBorders>
              <w:top w:val="nil"/>
              <w:left w:val="nil"/>
              <w:bottom w:val="single" w:sz="4" w:space="0" w:color="auto"/>
              <w:right w:val="single" w:sz="4" w:space="0" w:color="auto"/>
            </w:tcBorders>
            <w:shd w:val="clear" w:color="000000" w:fill="FFFFFF"/>
            <w:vAlign w:val="center"/>
            <w:hideMark/>
          </w:tcPr>
          <w:p w14:paraId="6F708B0E" w14:textId="77777777" w:rsidR="00B076A2" w:rsidRPr="00B401A6" w:rsidRDefault="00B076A2" w:rsidP="00B3646C">
            <w:pPr>
              <w:spacing w:after="0" w:line="240" w:lineRule="auto"/>
              <w:rPr>
                <w:rFonts w:ascii="Arial" w:eastAsia="Times New Roman" w:hAnsi="Arial" w:cs="Arial"/>
                <w:color w:val="000000"/>
                <w:sz w:val="18"/>
                <w:szCs w:val="18"/>
              </w:rPr>
            </w:pPr>
            <w:r w:rsidRPr="00B401A6">
              <w:rPr>
                <w:rFonts w:ascii="Arial" w:eastAsia="Times New Roman" w:hAnsi="Arial" w:cs="Arial"/>
                <w:color w:val="000000"/>
                <w:sz w:val="18"/>
                <w:szCs w:val="18"/>
              </w:rPr>
              <w:t>Evaluación de Consistencia y Resultados.</w:t>
            </w:r>
          </w:p>
        </w:tc>
        <w:tc>
          <w:tcPr>
            <w:tcW w:w="1700" w:type="dxa"/>
            <w:tcBorders>
              <w:top w:val="nil"/>
              <w:left w:val="nil"/>
              <w:bottom w:val="single" w:sz="4" w:space="0" w:color="auto"/>
              <w:right w:val="single" w:sz="4" w:space="0" w:color="auto"/>
            </w:tcBorders>
            <w:shd w:val="clear" w:color="000000" w:fill="FFFFFF"/>
            <w:vAlign w:val="center"/>
            <w:hideMark/>
          </w:tcPr>
          <w:p w14:paraId="4B93845B" w14:textId="77777777" w:rsidR="00B076A2" w:rsidRPr="00B401A6" w:rsidRDefault="00B076A2" w:rsidP="00B3646C">
            <w:pPr>
              <w:spacing w:after="0" w:line="240" w:lineRule="auto"/>
              <w:jc w:val="center"/>
              <w:rPr>
                <w:rFonts w:ascii="Arial" w:eastAsia="Times New Roman" w:hAnsi="Arial" w:cs="Arial"/>
                <w:sz w:val="18"/>
                <w:szCs w:val="18"/>
              </w:rPr>
            </w:pPr>
            <w:r w:rsidRPr="00B401A6">
              <w:rPr>
                <w:rFonts w:ascii="Arial" w:eastAsia="Times New Roman" w:hAnsi="Arial" w:cs="Arial"/>
                <w:sz w:val="18"/>
                <w:szCs w:val="18"/>
              </w:rPr>
              <w:t xml:space="preserve">Tecnología Social para el Desarrollo, S.A de C.V. </w:t>
            </w:r>
          </w:p>
        </w:tc>
      </w:tr>
      <w:tr w:rsidR="00B076A2" w:rsidRPr="00B401A6" w14:paraId="14D873F5" w14:textId="77777777" w:rsidTr="00B3646C">
        <w:trPr>
          <w:trHeight w:val="6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14:paraId="203499EF" w14:textId="77777777" w:rsidR="00B076A2" w:rsidRPr="00B401A6" w:rsidRDefault="00B076A2" w:rsidP="00B3646C">
            <w:pPr>
              <w:spacing w:after="0" w:line="240" w:lineRule="auto"/>
              <w:jc w:val="center"/>
              <w:rPr>
                <w:rFonts w:ascii="Arial" w:eastAsia="Times New Roman" w:hAnsi="Arial" w:cs="Arial"/>
                <w:sz w:val="18"/>
                <w:szCs w:val="18"/>
              </w:rPr>
            </w:pPr>
            <w:r w:rsidRPr="00B401A6">
              <w:rPr>
                <w:rFonts w:ascii="Arial" w:eastAsia="Times New Roman" w:hAnsi="Arial" w:cs="Arial"/>
                <w:sz w:val="18"/>
                <w:szCs w:val="18"/>
              </w:rPr>
              <w:t>2016</w:t>
            </w:r>
          </w:p>
        </w:tc>
        <w:tc>
          <w:tcPr>
            <w:tcW w:w="2919" w:type="dxa"/>
            <w:tcBorders>
              <w:top w:val="nil"/>
              <w:left w:val="nil"/>
              <w:bottom w:val="single" w:sz="4" w:space="0" w:color="auto"/>
              <w:right w:val="single" w:sz="4" w:space="0" w:color="auto"/>
            </w:tcBorders>
            <w:shd w:val="clear" w:color="000000" w:fill="FFFFFF"/>
            <w:vAlign w:val="center"/>
            <w:hideMark/>
          </w:tcPr>
          <w:p w14:paraId="1D021901" w14:textId="77777777" w:rsidR="00B076A2" w:rsidRPr="00B401A6" w:rsidRDefault="00B076A2" w:rsidP="00B3646C">
            <w:pPr>
              <w:spacing w:after="0" w:line="240" w:lineRule="auto"/>
              <w:rPr>
                <w:rFonts w:ascii="Arial" w:eastAsia="Times New Roman" w:hAnsi="Arial" w:cs="Arial"/>
                <w:sz w:val="18"/>
                <w:szCs w:val="18"/>
              </w:rPr>
            </w:pPr>
            <w:r w:rsidRPr="00B401A6">
              <w:rPr>
                <w:rFonts w:ascii="Arial" w:eastAsia="Times New Roman" w:hAnsi="Arial" w:cs="Arial"/>
                <w:sz w:val="18"/>
                <w:szCs w:val="18"/>
              </w:rPr>
              <w:t>Fondo de Aportaciones para la Nómina Educativa y Gasto Operativo (FONE). Secretaría de Educación.</w:t>
            </w:r>
          </w:p>
        </w:tc>
        <w:tc>
          <w:tcPr>
            <w:tcW w:w="2081" w:type="dxa"/>
            <w:tcBorders>
              <w:top w:val="nil"/>
              <w:left w:val="nil"/>
              <w:bottom w:val="single" w:sz="4" w:space="0" w:color="auto"/>
              <w:right w:val="single" w:sz="4" w:space="0" w:color="auto"/>
            </w:tcBorders>
            <w:shd w:val="clear" w:color="000000" w:fill="FFFFFF"/>
            <w:vAlign w:val="center"/>
            <w:hideMark/>
          </w:tcPr>
          <w:p w14:paraId="7485F129" w14:textId="77777777" w:rsidR="00B076A2" w:rsidRPr="00B401A6" w:rsidRDefault="00B076A2" w:rsidP="00B3646C">
            <w:pPr>
              <w:spacing w:after="0" w:line="240" w:lineRule="auto"/>
              <w:rPr>
                <w:rFonts w:ascii="Arial" w:eastAsia="Times New Roman" w:hAnsi="Arial" w:cs="Arial"/>
                <w:sz w:val="18"/>
                <w:szCs w:val="18"/>
              </w:rPr>
            </w:pPr>
            <w:r w:rsidRPr="00B401A6">
              <w:rPr>
                <w:rFonts w:ascii="Arial" w:eastAsia="Times New Roman" w:hAnsi="Arial" w:cs="Arial"/>
                <w:sz w:val="18"/>
                <w:szCs w:val="18"/>
              </w:rPr>
              <w:t>Educación Inicial No Escolarizada.</w:t>
            </w:r>
          </w:p>
        </w:tc>
        <w:tc>
          <w:tcPr>
            <w:tcW w:w="1340" w:type="dxa"/>
            <w:tcBorders>
              <w:top w:val="nil"/>
              <w:left w:val="nil"/>
              <w:bottom w:val="single" w:sz="4" w:space="0" w:color="auto"/>
              <w:right w:val="single" w:sz="4" w:space="0" w:color="auto"/>
            </w:tcBorders>
            <w:shd w:val="clear" w:color="000000" w:fill="FFFFFF"/>
            <w:vAlign w:val="center"/>
            <w:hideMark/>
          </w:tcPr>
          <w:p w14:paraId="51819BC4" w14:textId="77777777" w:rsidR="00B076A2" w:rsidRPr="00B401A6" w:rsidRDefault="00B076A2" w:rsidP="00B3646C">
            <w:pPr>
              <w:spacing w:after="0" w:line="240" w:lineRule="auto"/>
              <w:rPr>
                <w:rFonts w:ascii="Arial" w:eastAsia="Times New Roman" w:hAnsi="Arial" w:cs="Arial"/>
                <w:color w:val="000000"/>
                <w:sz w:val="18"/>
                <w:szCs w:val="18"/>
              </w:rPr>
            </w:pPr>
            <w:r w:rsidRPr="00B401A6">
              <w:rPr>
                <w:rFonts w:ascii="Arial" w:eastAsia="Times New Roman" w:hAnsi="Arial" w:cs="Arial"/>
                <w:color w:val="000000"/>
                <w:sz w:val="18"/>
                <w:szCs w:val="18"/>
              </w:rPr>
              <w:t>Evaluación de Consistencia y Resultados.</w:t>
            </w:r>
          </w:p>
        </w:tc>
        <w:tc>
          <w:tcPr>
            <w:tcW w:w="1700" w:type="dxa"/>
            <w:tcBorders>
              <w:top w:val="nil"/>
              <w:left w:val="nil"/>
              <w:bottom w:val="single" w:sz="4" w:space="0" w:color="auto"/>
              <w:right w:val="single" w:sz="4" w:space="0" w:color="auto"/>
            </w:tcBorders>
            <w:shd w:val="clear" w:color="000000" w:fill="FFFFFF"/>
            <w:vAlign w:val="center"/>
            <w:hideMark/>
          </w:tcPr>
          <w:p w14:paraId="7441A15D" w14:textId="77777777" w:rsidR="00B076A2" w:rsidRPr="00B401A6" w:rsidRDefault="00B076A2" w:rsidP="00B3646C">
            <w:pPr>
              <w:spacing w:after="0" w:line="240" w:lineRule="auto"/>
              <w:jc w:val="center"/>
              <w:rPr>
                <w:rFonts w:ascii="Arial" w:eastAsia="Times New Roman" w:hAnsi="Arial" w:cs="Arial"/>
                <w:sz w:val="18"/>
                <w:szCs w:val="18"/>
              </w:rPr>
            </w:pPr>
            <w:r w:rsidRPr="00B401A6">
              <w:rPr>
                <w:rFonts w:ascii="Arial" w:eastAsia="Times New Roman" w:hAnsi="Arial" w:cs="Arial"/>
                <w:sz w:val="18"/>
                <w:szCs w:val="18"/>
              </w:rPr>
              <w:t xml:space="preserve">Tecnología Social para el Desarrollo, S.A de C.V. </w:t>
            </w:r>
          </w:p>
        </w:tc>
      </w:tr>
      <w:tr w:rsidR="00B076A2" w:rsidRPr="00B401A6" w14:paraId="7F7E0B63" w14:textId="77777777" w:rsidTr="00B3646C">
        <w:trPr>
          <w:trHeight w:val="6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14:paraId="4EE54B8E" w14:textId="77777777" w:rsidR="00B076A2" w:rsidRPr="00B401A6" w:rsidRDefault="00B076A2" w:rsidP="00B3646C">
            <w:pPr>
              <w:spacing w:after="0" w:line="240" w:lineRule="auto"/>
              <w:jc w:val="center"/>
              <w:rPr>
                <w:rFonts w:ascii="Arial" w:eastAsia="Times New Roman" w:hAnsi="Arial" w:cs="Arial"/>
                <w:color w:val="000000"/>
                <w:sz w:val="18"/>
                <w:szCs w:val="18"/>
              </w:rPr>
            </w:pPr>
            <w:r w:rsidRPr="00B401A6">
              <w:rPr>
                <w:rFonts w:ascii="Arial" w:eastAsia="Times New Roman" w:hAnsi="Arial" w:cs="Arial"/>
                <w:color w:val="000000"/>
                <w:sz w:val="18"/>
                <w:szCs w:val="18"/>
              </w:rPr>
              <w:t>2016</w:t>
            </w:r>
          </w:p>
        </w:tc>
        <w:tc>
          <w:tcPr>
            <w:tcW w:w="2919" w:type="dxa"/>
            <w:tcBorders>
              <w:top w:val="nil"/>
              <w:left w:val="nil"/>
              <w:bottom w:val="single" w:sz="4" w:space="0" w:color="auto"/>
              <w:right w:val="single" w:sz="4" w:space="0" w:color="auto"/>
            </w:tcBorders>
            <w:shd w:val="clear" w:color="000000" w:fill="FFFFFF"/>
            <w:vAlign w:val="center"/>
            <w:hideMark/>
          </w:tcPr>
          <w:p w14:paraId="4D906059" w14:textId="77777777" w:rsidR="00B076A2" w:rsidRPr="00B401A6" w:rsidRDefault="00B076A2" w:rsidP="00B3646C">
            <w:pPr>
              <w:spacing w:after="0" w:line="240" w:lineRule="auto"/>
              <w:rPr>
                <w:rFonts w:ascii="Arial" w:eastAsia="Times New Roman" w:hAnsi="Arial" w:cs="Arial"/>
                <w:color w:val="000000"/>
                <w:sz w:val="18"/>
                <w:szCs w:val="18"/>
              </w:rPr>
            </w:pPr>
            <w:r w:rsidRPr="00B401A6">
              <w:rPr>
                <w:rFonts w:ascii="Arial" w:eastAsia="Times New Roman" w:hAnsi="Arial" w:cs="Arial"/>
                <w:color w:val="000000"/>
                <w:sz w:val="18"/>
                <w:szCs w:val="18"/>
              </w:rPr>
              <w:t>Fondo de Aportaciones para la Educación Tecnológica y de Adultos (FAETA). Instituto Estatal de Educación para Adultos.</w:t>
            </w:r>
          </w:p>
        </w:tc>
        <w:tc>
          <w:tcPr>
            <w:tcW w:w="2081" w:type="dxa"/>
            <w:tcBorders>
              <w:top w:val="nil"/>
              <w:left w:val="nil"/>
              <w:bottom w:val="single" w:sz="4" w:space="0" w:color="auto"/>
              <w:right w:val="single" w:sz="4" w:space="0" w:color="auto"/>
            </w:tcBorders>
            <w:shd w:val="clear" w:color="000000" w:fill="FFFFFF"/>
            <w:vAlign w:val="center"/>
            <w:hideMark/>
          </w:tcPr>
          <w:p w14:paraId="36CD2766" w14:textId="77777777" w:rsidR="00B076A2" w:rsidRPr="00B401A6" w:rsidRDefault="00B076A2" w:rsidP="00B3646C">
            <w:pPr>
              <w:spacing w:after="0" w:line="240" w:lineRule="auto"/>
              <w:rPr>
                <w:rFonts w:ascii="Arial" w:eastAsia="Times New Roman" w:hAnsi="Arial" w:cs="Arial"/>
                <w:sz w:val="18"/>
                <w:szCs w:val="18"/>
              </w:rPr>
            </w:pPr>
            <w:r w:rsidRPr="00B401A6">
              <w:rPr>
                <w:rFonts w:ascii="Arial" w:eastAsia="Times New Roman" w:hAnsi="Arial" w:cs="Arial"/>
                <w:sz w:val="18"/>
                <w:szCs w:val="18"/>
              </w:rPr>
              <w:t>Educación para Adultos.</w:t>
            </w:r>
          </w:p>
        </w:tc>
        <w:tc>
          <w:tcPr>
            <w:tcW w:w="1340" w:type="dxa"/>
            <w:tcBorders>
              <w:top w:val="nil"/>
              <w:left w:val="nil"/>
              <w:bottom w:val="single" w:sz="4" w:space="0" w:color="auto"/>
              <w:right w:val="single" w:sz="4" w:space="0" w:color="auto"/>
            </w:tcBorders>
            <w:shd w:val="clear" w:color="000000" w:fill="FFFFFF"/>
            <w:vAlign w:val="center"/>
            <w:hideMark/>
          </w:tcPr>
          <w:p w14:paraId="776D5190" w14:textId="77777777" w:rsidR="00B076A2" w:rsidRPr="00B401A6" w:rsidRDefault="00B076A2" w:rsidP="00B3646C">
            <w:pPr>
              <w:spacing w:after="0" w:line="240" w:lineRule="auto"/>
              <w:rPr>
                <w:rFonts w:ascii="Arial" w:eastAsia="Times New Roman" w:hAnsi="Arial" w:cs="Arial"/>
                <w:color w:val="000000"/>
                <w:sz w:val="18"/>
                <w:szCs w:val="18"/>
              </w:rPr>
            </w:pPr>
            <w:r w:rsidRPr="00B401A6">
              <w:rPr>
                <w:rFonts w:ascii="Arial" w:eastAsia="Times New Roman" w:hAnsi="Arial" w:cs="Arial"/>
                <w:color w:val="000000"/>
                <w:sz w:val="18"/>
                <w:szCs w:val="18"/>
              </w:rPr>
              <w:t>Evaluación de Consistencia y Resultados.</w:t>
            </w:r>
          </w:p>
        </w:tc>
        <w:tc>
          <w:tcPr>
            <w:tcW w:w="1700" w:type="dxa"/>
            <w:tcBorders>
              <w:top w:val="nil"/>
              <w:left w:val="nil"/>
              <w:bottom w:val="single" w:sz="4" w:space="0" w:color="auto"/>
              <w:right w:val="single" w:sz="4" w:space="0" w:color="auto"/>
            </w:tcBorders>
            <w:shd w:val="clear" w:color="000000" w:fill="FFFFFF"/>
            <w:vAlign w:val="center"/>
            <w:hideMark/>
          </w:tcPr>
          <w:p w14:paraId="37DEF587" w14:textId="77777777" w:rsidR="00B076A2" w:rsidRPr="00B401A6" w:rsidRDefault="00B076A2" w:rsidP="00B3646C">
            <w:pPr>
              <w:spacing w:after="0" w:line="240" w:lineRule="auto"/>
              <w:jc w:val="center"/>
              <w:rPr>
                <w:rFonts w:ascii="Arial" w:eastAsia="Times New Roman" w:hAnsi="Arial" w:cs="Arial"/>
                <w:sz w:val="18"/>
                <w:szCs w:val="18"/>
              </w:rPr>
            </w:pPr>
            <w:r w:rsidRPr="00B401A6">
              <w:rPr>
                <w:rFonts w:ascii="Arial" w:eastAsia="Times New Roman" w:hAnsi="Arial" w:cs="Arial"/>
                <w:sz w:val="18"/>
                <w:szCs w:val="18"/>
              </w:rPr>
              <w:t xml:space="preserve">Tecnología Social para el Desarrollo, S.A de C.V. </w:t>
            </w:r>
          </w:p>
        </w:tc>
      </w:tr>
      <w:tr w:rsidR="00B076A2" w:rsidRPr="00B401A6" w14:paraId="21CA3837" w14:textId="77777777" w:rsidTr="00B3646C">
        <w:trPr>
          <w:trHeight w:val="6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14:paraId="2187E2E2" w14:textId="77777777" w:rsidR="00B076A2" w:rsidRPr="00B401A6" w:rsidRDefault="00B076A2" w:rsidP="00B3646C">
            <w:pPr>
              <w:spacing w:after="0" w:line="240" w:lineRule="auto"/>
              <w:jc w:val="center"/>
              <w:rPr>
                <w:rFonts w:ascii="Arial" w:eastAsia="Times New Roman" w:hAnsi="Arial" w:cs="Arial"/>
                <w:color w:val="000000"/>
                <w:sz w:val="18"/>
                <w:szCs w:val="18"/>
              </w:rPr>
            </w:pPr>
            <w:r w:rsidRPr="00B401A6">
              <w:rPr>
                <w:rFonts w:ascii="Arial" w:eastAsia="Times New Roman" w:hAnsi="Arial" w:cs="Arial"/>
                <w:color w:val="000000"/>
                <w:sz w:val="18"/>
                <w:szCs w:val="18"/>
              </w:rPr>
              <w:t>2016</w:t>
            </w:r>
          </w:p>
        </w:tc>
        <w:tc>
          <w:tcPr>
            <w:tcW w:w="2919" w:type="dxa"/>
            <w:tcBorders>
              <w:top w:val="nil"/>
              <w:left w:val="nil"/>
              <w:bottom w:val="single" w:sz="4" w:space="0" w:color="auto"/>
              <w:right w:val="single" w:sz="4" w:space="0" w:color="auto"/>
            </w:tcBorders>
            <w:shd w:val="clear" w:color="000000" w:fill="FFFFFF"/>
            <w:vAlign w:val="center"/>
            <w:hideMark/>
          </w:tcPr>
          <w:p w14:paraId="7517ACC6" w14:textId="77777777" w:rsidR="00B076A2" w:rsidRPr="00B401A6" w:rsidRDefault="00B076A2" w:rsidP="00B3646C">
            <w:pPr>
              <w:spacing w:after="0" w:line="240" w:lineRule="auto"/>
              <w:rPr>
                <w:rFonts w:ascii="Arial" w:eastAsia="Times New Roman" w:hAnsi="Arial" w:cs="Arial"/>
                <w:color w:val="000000"/>
                <w:sz w:val="18"/>
                <w:szCs w:val="18"/>
              </w:rPr>
            </w:pPr>
            <w:r w:rsidRPr="00B401A6">
              <w:rPr>
                <w:rFonts w:ascii="Arial" w:eastAsia="Times New Roman" w:hAnsi="Arial" w:cs="Arial"/>
                <w:color w:val="000000"/>
                <w:sz w:val="18"/>
                <w:szCs w:val="18"/>
              </w:rPr>
              <w:t>Fondo de Aportaciones para la Educación Tecnológica y de Adultos (FAETA). Colegio de Educación Profesional Técnica del Estado de Colima.</w:t>
            </w:r>
          </w:p>
        </w:tc>
        <w:tc>
          <w:tcPr>
            <w:tcW w:w="2081" w:type="dxa"/>
            <w:tcBorders>
              <w:top w:val="nil"/>
              <w:left w:val="nil"/>
              <w:bottom w:val="single" w:sz="4" w:space="0" w:color="auto"/>
              <w:right w:val="single" w:sz="4" w:space="0" w:color="auto"/>
            </w:tcBorders>
            <w:shd w:val="clear" w:color="000000" w:fill="FFFFFF"/>
            <w:vAlign w:val="center"/>
            <w:hideMark/>
          </w:tcPr>
          <w:p w14:paraId="284C1C5F" w14:textId="77777777" w:rsidR="00B076A2" w:rsidRPr="00B401A6" w:rsidRDefault="00B076A2" w:rsidP="00B3646C">
            <w:pPr>
              <w:spacing w:after="0" w:line="240" w:lineRule="auto"/>
              <w:rPr>
                <w:rFonts w:ascii="Arial" w:eastAsia="Times New Roman" w:hAnsi="Arial" w:cs="Arial"/>
                <w:color w:val="000000"/>
                <w:sz w:val="18"/>
                <w:szCs w:val="18"/>
              </w:rPr>
            </w:pPr>
            <w:r w:rsidRPr="00B401A6">
              <w:rPr>
                <w:rFonts w:ascii="Arial" w:eastAsia="Times New Roman" w:hAnsi="Arial" w:cs="Arial"/>
                <w:color w:val="000000"/>
                <w:sz w:val="18"/>
                <w:szCs w:val="18"/>
              </w:rPr>
              <w:t>Educación Tecnológica del Colegio de Educación Profesional Técnica del Estado de Colima.</w:t>
            </w:r>
          </w:p>
        </w:tc>
        <w:tc>
          <w:tcPr>
            <w:tcW w:w="1340" w:type="dxa"/>
            <w:tcBorders>
              <w:top w:val="nil"/>
              <w:left w:val="nil"/>
              <w:bottom w:val="single" w:sz="4" w:space="0" w:color="auto"/>
              <w:right w:val="single" w:sz="4" w:space="0" w:color="auto"/>
            </w:tcBorders>
            <w:shd w:val="clear" w:color="000000" w:fill="FFFFFF"/>
            <w:vAlign w:val="center"/>
            <w:hideMark/>
          </w:tcPr>
          <w:p w14:paraId="0AE9267B" w14:textId="77777777" w:rsidR="00B076A2" w:rsidRPr="00B401A6" w:rsidRDefault="00B076A2" w:rsidP="00B3646C">
            <w:pPr>
              <w:spacing w:after="0" w:line="240" w:lineRule="auto"/>
              <w:rPr>
                <w:rFonts w:ascii="Arial" w:eastAsia="Times New Roman" w:hAnsi="Arial" w:cs="Arial"/>
                <w:color w:val="000000"/>
                <w:sz w:val="18"/>
                <w:szCs w:val="18"/>
              </w:rPr>
            </w:pPr>
            <w:r w:rsidRPr="00B401A6">
              <w:rPr>
                <w:rFonts w:ascii="Arial" w:eastAsia="Times New Roman" w:hAnsi="Arial" w:cs="Arial"/>
                <w:color w:val="000000"/>
                <w:sz w:val="18"/>
                <w:szCs w:val="18"/>
              </w:rPr>
              <w:t>Evaluación de Consistencia y Resultados.</w:t>
            </w:r>
          </w:p>
        </w:tc>
        <w:tc>
          <w:tcPr>
            <w:tcW w:w="1700" w:type="dxa"/>
            <w:tcBorders>
              <w:top w:val="nil"/>
              <w:left w:val="nil"/>
              <w:bottom w:val="single" w:sz="4" w:space="0" w:color="auto"/>
              <w:right w:val="single" w:sz="4" w:space="0" w:color="auto"/>
            </w:tcBorders>
            <w:shd w:val="clear" w:color="000000" w:fill="FFFFFF"/>
            <w:vAlign w:val="center"/>
            <w:hideMark/>
          </w:tcPr>
          <w:p w14:paraId="2D75F87A" w14:textId="77777777" w:rsidR="00B076A2" w:rsidRPr="00B401A6" w:rsidRDefault="00B076A2" w:rsidP="00B3646C">
            <w:pPr>
              <w:spacing w:after="0" w:line="240" w:lineRule="auto"/>
              <w:jc w:val="center"/>
              <w:rPr>
                <w:rFonts w:ascii="Arial" w:eastAsia="Times New Roman" w:hAnsi="Arial" w:cs="Arial"/>
                <w:sz w:val="18"/>
                <w:szCs w:val="18"/>
              </w:rPr>
            </w:pPr>
            <w:r w:rsidRPr="00B401A6">
              <w:rPr>
                <w:rFonts w:ascii="Arial" w:eastAsia="Times New Roman" w:hAnsi="Arial" w:cs="Arial"/>
                <w:sz w:val="18"/>
                <w:szCs w:val="18"/>
              </w:rPr>
              <w:t xml:space="preserve">Tecnología Social para el Desarrollo, S.A de C.V. </w:t>
            </w:r>
          </w:p>
        </w:tc>
      </w:tr>
      <w:tr w:rsidR="00B076A2" w:rsidRPr="00B401A6" w14:paraId="2B05993D" w14:textId="77777777" w:rsidTr="00B3646C">
        <w:trPr>
          <w:trHeight w:val="54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14:paraId="65DB4BED" w14:textId="77777777" w:rsidR="00B076A2" w:rsidRPr="00B401A6" w:rsidRDefault="00B076A2" w:rsidP="00B3646C">
            <w:pPr>
              <w:spacing w:after="0" w:line="240" w:lineRule="auto"/>
              <w:jc w:val="center"/>
              <w:rPr>
                <w:rFonts w:ascii="Arial" w:eastAsia="Times New Roman" w:hAnsi="Arial" w:cs="Arial"/>
                <w:color w:val="000000"/>
                <w:sz w:val="18"/>
                <w:szCs w:val="18"/>
              </w:rPr>
            </w:pPr>
            <w:r w:rsidRPr="00B401A6">
              <w:rPr>
                <w:rFonts w:ascii="Arial" w:eastAsia="Times New Roman" w:hAnsi="Arial" w:cs="Arial"/>
                <w:color w:val="000000"/>
                <w:sz w:val="18"/>
                <w:szCs w:val="18"/>
              </w:rPr>
              <w:t>2016</w:t>
            </w:r>
          </w:p>
        </w:tc>
        <w:tc>
          <w:tcPr>
            <w:tcW w:w="2919" w:type="dxa"/>
            <w:tcBorders>
              <w:top w:val="nil"/>
              <w:left w:val="nil"/>
              <w:bottom w:val="single" w:sz="4" w:space="0" w:color="auto"/>
              <w:right w:val="single" w:sz="4" w:space="0" w:color="auto"/>
            </w:tcBorders>
            <w:shd w:val="clear" w:color="000000" w:fill="FFFFFF"/>
            <w:vAlign w:val="center"/>
            <w:hideMark/>
          </w:tcPr>
          <w:p w14:paraId="28FCBAE9" w14:textId="77777777" w:rsidR="00B076A2" w:rsidRPr="00B401A6" w:rsidRDefault="00B076A2" w:rsidP="00B3646C">
            <w:pPr>
              <w:spacing w:after="0" w:line="240" w:lineRule="auto"/>
              <w:rPr>
                <w:rFonts w:ascii="Arial" w:eastAsia="Times New Roman" w:hAnsi="Arial" w:cs="Arial"/>
                <w:color w:val="000000"/>
                <w:sz w:val="18"/>
                <w:szCs w:val="18"/>
              </w:rPr>
            </w:pPr>
            <w:r w:rsidRPr="00B401A6">
              <w:rPr>
                <w:rFonts w:ascii="Arial" w:eastAsia="Times New Roman" w:hAnsi="Arial" w:cs="Arial"/>
                <w:color w:val="000000"/>
                <w:sz w:val="18"/>
                <w:szCs w:val="18"/>
              </w:rPr>
              <w:t>Fondo de Aportaciones Múltiples (FAM). Sistema Estatal para el Desarrollo Integral de la Familia en Colima.</w:t>
            </w:r>
          </w:p>
        </w:tc>
        <w:tc>
          <w:tcPr>
            <w:tcW w:w="2081" w:type="dxa"/>
            <w:tcBorders>
              <w:top w:val="nil"/>
              <w:left w:val="nil"/>
              <w:bottom w:val="single" w:sz="4" w:space="0" w:color="auto"/>
              <w:right w:val="single" w:sz="4" w:space="0" w:color="auto"/>
            </w:tcBorders>
            <w:shd w:val="clear" w:color="000000" w:fill="FFFFFF"/>
            <w:vAlign w:val="center"/>
            <w:hideMark/>
          </w:tcPr>
          <w:p w14:paraId="029B4122" w14:textId="77777777" w:rsidR="00B076A2" w:rsidRPr="00B401A6" w:rsidRDefault="00B076A2" w:rsidP="00B3646C">
            <w:pPr>
              <w:spacing w:after="0" w:line="240" w:lineRule="auto"/>
              <w:rPr>
                <w:rFonts w:ascii="Arial" w:eastAsia="Times New Roman" w:hAnsi="Arial" w:cs="Arial"/>
                <w:color w:val="000000"/>
                <w:sz w:val="18"/>
                <w:szCs w:val="18"/>
              </w:rPr>
            </w:pPr>
            <w:r w:rsidRPr="00B401A6">
              <w:rPr>
                <w:rFonts w:ascii="Arial" w:eastAsia="Times New Roman" w:hAnsi="Arial" w:cs="Arial"/>
                <w:color w:val="000000"/>
                <w:sz w:val="18"/>
                <w:szCs w:val="18"/>
              </w:rPr>
              <w:t>Desayunos Escolares.</w:t>
            </w:r>
          </w:p>
        </w:tc>
        <w:tc>
          <w:tcPr>
            <w:tcW w:w="1340" w:type="dxa"/>
            <w:tcBorders>
              <w:top w:val="nil"/>
              <w:left w:val="nil"/>
              <w:bottom w:val="single" w:sz="4" w:space="0" w:color="auto"/>
              <w:right w:val="single" w:sz="4" w:space="0" w:color="auto"/>
            </w:tcBorders>
            <w:shd w:val="clear" w:color="000000" w:fill="FFFFFF"/>
            <w:vAlign w:val="center"/>
            <w:hideMark/>
          </w:tcPr>
          <w:p w14:paraId="191E6994" w14:textId="77777777" w:rsidR="00B076A2" w:rsidRPr="00B401A6" w:rsidRDefault="00B076A2" w:rsidP="00B3646C">
            <w:pPr>
              <w:spacing w:after="0" w:line="240" w:lineRule="auto"/>
              <w:rPr>
                <w:rFonts w:ascii="Arial" w:eastAsia="Times New Roman" w:hAnsi="Arial" w:cs="Arial"/>
                <w:color w:val="000000"/>
                <w:sz w:val="18"/>
                <w:szCs w:val="18"/>
              </w:rPr>
            </w:pPr>
            <w:r w:rsidRPr="00B401A6">
              <w:rPr>
                <w:rFonts w:ascii="Arial" w:eastAsia="Times New Roman" w:hAnsi="Arial" w:cs="Arial"/>
                <w:color w:val="000000"/>
                <w:sz w:val="18"/>
                <w:szCs w:val="18"/>
              </w:rPr>
              <w:t>Evaluación de Consistencia y Resultados.</w:t>
            </w:r>
          </w:p>
        </w:tc>
        <w:tc>
          <w:tcPr>
            <w:tcW w:w="1700" w:type="dxa"/>
            <w:tcBorders>
              <w:top w:val="nil"/>
              <w:left w:val="nil"/>
              <w:bottom w:val="single" w:sz="4" w:space="0" w:color="auto"/>
              <w:right w:val="single" w:sz="4" w:space="0" w:color="auto"/>
            </w:tcBorders>
            <w:shd w:val="clear" w:color="000000" w:fill="FFFFFF"/>
            <w:vAlign w:val="center"/>
            <w:hideMark/>
          </w:tcPr>
          <w:p w14:paraId="3EC51D66" w14:textId="77777777" w:rsidR="00B076A2" w:rsidRPr="00B401A6" w:rsidRDefault="00B076A2" w:rsidP="00B3646C">
            <w:pPr>
              <w:spacing w:after="0" w:line="240" w:lineRule="auto"/>
              <w:jc w:val="center"/>
              <w:rPr>
                <w:rFonts w:ascii="Arial" w:eastAsia="Times New Roman" w:hAnsi="Arial" w:cs="Arial"/>
                <w:sz w:val="18"/>
                <w:szCs w:val="18"/>
              </w:rPr>
            </w:pPr>
            <w:r w:rsidRPr="00B401A6">
              <w:rPr>
                <w:rFonts w:ascii="Arial" w:eastAsia="Times New Roman" w:hAnsi="Arial" w:cs="Arial"/>
                <w:sz w:val="18"/>
                <w:szCs w:val="18"/>
              </w:rPr>
              <w:t xml:space="preserve">Tecnología Social para el Desarrollo, S.A de C.V. </w:t>
            </w:r>
          </w:p>
        </w:tc>
      </w:tr>
      <w:tr w:rsidR="00B076A2" w:rsidRPr="00B401A6" w14:paraId="0DD4FB3A" w14:textId="77777777" w:rsidTr="00B3646C">
        <w:trPr>
          <w:trHeight w:val="551"/>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14:paraId="10D48212" w14:textId="77777777" w:rsidR="00B076A2" w:rsidRPr="00B401A6" w:rsidRDefault="00B076A2" w:rsidP="00B3646C">
            <w:pPr>
              <w:spacing w:after="0" w:line="240" w:lineRule="auto"/>
              <w:jc w:val="center"/>
              <w:rPr>
                <w:rFonts w:ascii="Arial" w:eastAsia="Times New Roman" w:hAnsi="Arial" w:cs="Arial"/>
                <w:color w:val="000000"/>
                <w:sz w:val="18"/>
                <w:szCs w:val="18"/>
              </w:rPr>
            </w:pPr>
            <w:r w:rsidRPr="00B401A6">
              <w:rPr>
                <w:rFonts w:ascii="Arial" w:eastAsia="Times New Roman" w:hAnsi="Arial" w:cs="Arial"/>
                <w:color w:val="000000"/>
                <w:sz w:val="18"/>
                <w:szCs w:val="18"/>
              </w:rPr>
              <w:t>2016</w:t>
            </w:r>
          </w:p>
        </w:tc>
        <w:tc>
          <w:tcPr>
            <w:tcW w:w="2919" w:type="dxa"/>
            <w:tcBorders>
              <w:top w:val="nil"/>
              <w:left w:val="nil"/>
              <w:bottom w:val="single" w:sz="4" w:space="0" w:color="auto"/>
              <w:right w:val="single" w:sz="4" w:space="0" w:color="auto"/>
            </w:tcBorders>
            <w:shd w:val="clear" w:color="000000" w:fill="FFFFFF"/>
            <w:vAlign w:val="center"/>
            <w:hideMark/>
          </w:tcPr>
          <w:p w14:paraId="438E95E6" w14:textId="77777777" w:rsidR="00B076A2" w:rsidRPr="00B401A6" w:rsidRDefault="00B076A2" w:rsidP="00B3646C">
            <w:pPr>
              <w:spacing w:after="0" w:line="240" w:lineRule="auto"/>
              <w:rPr>
                <w:rFonts w:ascii="Arial" w:eastAsia="Times New Roman" w:hAnsi="Arial" w:cs="Arial"/>
                <w:color w:val="000000"/>
                <w:sz w:val="18"/>
                <w:szCs w:val="18"/>
              </w:rPr>
            </w:pPr>
            <w:r w:rsidRPr="00B401A6">
              <w:rPr>
                <w:rFonts w:ascii="Arial" w:eastAsia="Times New Roman" w:hAnsi="Arial" w:cs="Arial"/>
                <w:color w:val="000000"/>
                <w:sz w:val="18"/>
                <w:szCs w:val="18"/>
              </w:rPr>
              <w:t>Fondo de Aportaciones Múltiples (FAM). Instituto Colimense de la Infraestructura Física Educativa.</w:t>
            </w:r>
          </w:p>
        </w:tc>
        <w:tc>
          <w:tcPr>
            <w:tcW w:w="2081" w:type="dxa"/>
            <w:tcBorders>
              <w:top w:val="nil"/>
              <w:left w:val="nil"/>
              <w:bottom w:val="single" w:sz="4" w:space="0" w:color="auto"/>
              <w:right w:val="single" w:sz="4" w:space="0" w:color="auto"/>
            </w:tcBorders>
            <w:shd w:val="clear" w:color="000000" w:fill="FFFFFF"/>
            <w:vAlign w:val="center"/>
            <w:hideMark/>
          </w:tcPr>
          <w:p w14:paraId="50197C95" w14:textId="77777777" w:rsidR="00B076A2" w:rsidRPr="00B401A6" w:rsidRDefault="00B076A2" w:rsidP="00B3646C">
            <w:pPr>
              <w:spacing w:after="0" w:line="240" w:lineRule="auto"/>
              <w:rPr>
                <w:rFonts w:ascii="Arial" w:eastAsia="Times New Roman" w:hAnsi="Arial" w:cs="Arial"/>
                <w:color w:val="000000"/>
                <w:sz w:val="18"/>
                <w:szCs w:val="18"/>
              </w:rPr>
            </w:pPr>
            <w:r w:rsidRPr="00B401A6">
              <w:rPr>
                <w:rFonts w:ascii="Arial" w:eastAsia="Times New Roman" w:hAnsi="Arial" w:cs="Arial"/>
                <w:color w:val="000000"/>
                <w:sz w:val="18"/>
                <w:szCs w:val="18"/>
              </w:rPr>
              <w:t>Infraestructura Educativa Básica.</w:t>
            </w:r>
          </w:p>
        </w:tc>
        <w:tc>
          <w:tcPr>
            <w:tcW w:w="1340" w:type="dxa"/>
            <w:tcBorders>
              <w:top w:val="nil"/>
              <w:left w:val="nil"/>
              <w:bottom w:val="single" w:sz="4" w:space="0" w:color="auto"/>
              <w:right w:val="single" w:sz="4" w:space="0" w:color="auto"/>
            </w:tcBorders>
            <w:shd w:val="clear" w:color="000000" w:fill="FFFFFF"/>
            <w:vAlign w:val="center"/>
            <w:hideMark/>
          </w:tcPr>
          <w:p w14:paraId="7CCD4CC6" w14:textId="77777777" w:rsidR="00B076A2" w:rsidRPr="00B401A6" w:rsidRDefault="00B076A2" w:rsidP="00B3646C">
            <w:pPr>
              <w:spacing w:after="0" w:line="240" w:lineRule="auto"/>
              <w:rPr>
                <w:rFonts w:ascii="Arial" w:eastAsia="Times New Roman" w:hAnsi="Arial" w:cs="Arial"/>
                <w:color w:val="000000"/>
                <w:sz w:val="18"/>
                <w:szCs w:val="18"/>
              </w:rPr>
            </w:pPr>
            <w:r w:rsidRPr="00B401A6">
              <w:rPr>
                <w:rFonts w:ascii="Arial" w:eastAsia="Times New Roman" w:hAnsi="Arial" w:cs="Arial"/>
                <w:color w:val="000000"/>
                <w:sz w:val="18"/>
                <w:szCs w:val="18"/>
              </w:rPr>
              <w:t>Evaluación de Consistencia y Resultados en Materia de Diseño.</w:t>
            </w:r>
          </w:p>
        </w:tc>
        <w:tc>
          <w:tcPr>
            <w:tcW w:w="1700" w:type="dxa"/>
            <w:tcBorders>
              <w:top w:val="nil"/>
              <w:left w:val="nil"/>
              <w:bottom w:val="single" w:sz="4" w:space="0" w:color="auto"/>
              <w:right w:val="single" w:sz="4" w:space="0" w:color="auto"/>
            </w:tcBorders>
            <w:shd w:val="clear" w:color="000000" w:fill="FFFFFF"/>
            <w:vAlign w:val="center"/>
            <w:hideMark/>
          </w:tcPr>
          <w:p w14:paraId="6B07304D" w14:textId="77777777" w:rsidR="00B076A2" w:rsidRPr="00B401A6" w:rsidRDefault="00B076A2" w:rsidP="00B3646C">
            <w:pPr>
              <w:spacing w:after="0" w:line="240" w:lineRule="auto"/>
              <w:jc w:val="center"/>
              <w:rPr>
                <w:rFonts w:ascii="Arial" w:eastAsia="Times New Roman" w:hAnsi="Arial" w:cs="Arial"/>
                <w:sz w:val="18"/>
                <w:szCs w:val="18"/>
              </w:rPr>
            </w:pPr>
            <w:r w:rsidRPr="00B401A6">
              <w:rPr>
                <w:rFonts w:ascii="Arial" w:eastAsia="Times New Roman" w:hAnsi="Arial" w:cs="Arial"/>
                <w:sz w:val="18"/>
                <w:szCs w:val="18"/>
              </w:rPr>
              <w:t xml:space="preserve">Tecnología Social para el Desarrollo, S.A de C.V. </w:t>
            </w:r>
          </w:p>
        </w:tc>
      </w:tr>
      <w:tr w:rsidR="00B076A2" w:rsidRPr="00B401A6" w14:paraId="58143599" w14:textId="77777777" w:rsidTr="00B3646C">
        <w:trPr>
          <w:trHeight w:val="637"/>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14:paraId="3EB6A049" w14:textId="77777777" w:rsidR="00B076A2" w:rsidRPr="00B401A6" w:rsidRDefault="00B076A2" w:rsidP="00B3646C">
            <w:pPr>
              <w:spacing w:after="0" w:line="240" w:lineRule="auto"/>
              <w:jc w:val="center"/>
              <w:rPr>
                <w:rFonts w:ascii="Arial" w:eastAsia="Times New Roman" w:hAnsi="Arial" w:cs="Arial"/>
                <w:color w:val="000000"/>
                <w:sz w:val="18"/>
                <w:szCs w:val="18"/>
              </w:rPr>
            </w:pPr>
            <w:r w:rsidRPr="00B401A6">
              <w:rPr>
                <w:rFonts w:ascii="Arial" w:eastAsia="Times New Roman" w:hAnsi="Arial" w:cs="Arial"/>
                <w:color w:val="000000"/>
                <w:sz w:val="18"/>
                <w:szCs w:val="18"/>
              </w:rPr>
              <w:t>2016</w:t>
            </w:r>
          </w:p>
        </w:tc>
        <w:tc>
          <w:tcPr>
            <w:tcW w:w="2919" w:type="dxa"/>
            <w:tcBorders>
              <w:top w:val="nil"/>
              <w:left w:val="nil"/>
              <w:bottom w:val="single" w:sz="4" w:space="0" w:color="auto"/>
              <w:right w:val="single" w:sz="4" w:space="0" w:color="auto"/>
            </w:tcBorders>
            <w:shd w:val="clear" w:color="000000" w:fill="FFFFFF"/>
            <w:vAlign w:val="center"/>
            <w:hideMark/>
          </w:tcPr>
          <w:p w14:paraId="7F2FDD8B" w14:textId="77777777" w:rsidR="00B076A2" w:rsidRPr="00B401A6" w:rsidRDefault="00B076A2" w:rsidP="00B3646C">
            <w:pPr>
              <w:spacing w:after="0" w:line="240" w:lineRule="auto"/>
              <w:rPr>
                <w:rFonts w:ascii="Arial" w:eastAsia="Times New Roman" w:hAnsi="Arial" w:cs="Arial"/>
                <w:color w:val="000000"/>
                <w:sz w:val="18"/>
                <w:szCs w:val="18"/>
              </w:rPr>
            </w:pPr>
            <w:r w:rsidRPr="00B401A6">
              <w:rPr>
                <w:rFonts w:ascii="Arial" w:eastAsia="Times New Roman" w:hAnsi="Arial" w:cs="Arial"/>
                <w:color w:val="000000"/>
                <w:sz w:val="18"/>
                <w:szCs w:val="18"/>
              </w:rPr>
              <w:t>Fondo de Infraestructura Social para las Entidades (FISE). Secretaría de Infraestructura y Desarrollo Urbano.</w:t>
            </w:r>
          </w:p>
        </w:tc>
        <w:tc>
          <w:tcPr>
            <w:tcW w:w="2081" w:type="dxa"/>
            <w:tcBorders>
              <w:top w:val="nil"/>
              <w:left w:val="nil"/>
              <w:bottom w:val="single" w:sz="4" w:space="0" w:color="auto"/>
              <w:right w:val="single" w:sz="4" w:space="0" w:color="auto"/>
            </w:tcBorders>
            <w:shd w:val="clear" w:color="000000" w:fill="FFFFFF"/>
            <w:vAlign w:val="center"/>
            <w:hideMark/>
          </w:tcPr>
          <w:p w14:paraId="6A531335" w14:textId="77777777" w:rsidR="00B076A2" w:rsidRPr="00B401A6" w:rsidRDefault="00B076A2" w:rsidP="00B3646C">
            <w:pPr>
              <w:spacing w:after="0" w:line="240" w:lineRule="auto"/>
              <w:rPr>
                <w:rFonts w:ascii="Arial" w:eastAsia="Times New Roman" w:hAnsi="Arial" w:cs="Arial"/>
                <w:color w:val="000000"/>
                <w:sz w:val="18"/>
                <w:szCs w:val="18"/>
              </w:rPr>
            </w:pPr>
            <w:r w:rsidRPr="00B401A6">
              <w:rPr>
                <w:rFonts w:ascii="Arial" w:eastAsia="Times New Roman" w:hAnsi="Arial" w:cs="Arial"/>
                <w:color w:val="000000"/>
                <w:sz w:val="18"/>
                <w:szCs w:val="18"/>
              </w:rPr>
              <w:t>Construcción, Modernización y  Mantenimiento de la Infraestructura para el Desarrollo.</w:t>
            </w:r>
          </w:p>
        </w:tc>
        <w:tc>
          <w:tcPr>
            <w:tcW w:w="1340" w:type="dxa"/>
            <w:tcBorders>
              <w:top w:val="nil"/>
              <w:left w:val="nil"/>
              <w:bottom w:val="single" w:sz="4" w:space="0" w:color="auto"/>
              <w:right w:val="single" w:sz="4" w:space="0" w:color="auto"/>
            </w:tcBorders>
            <w:shd w:val="clear" w:color="000000" w:fill="FFFFFF"/>
            <w:vAlign w:val="center"/>
            <w:hideMark/>
          </w:tcPr>
          <w:p w14:paraId="1014BFE2" w14:textId="77777777" w:rsidR="00B076A2" w:rsidRPr="00B401A6" w:rsidRDefault="00B076A2" w:rsidP="00B3646C">
            <w:pPr>
              <w:spacing w:after="0" w:line="240" w:lineRule="auto"/>
              <w:rPr>
                <w:rFonts w:ascii="Arial" w:eastAsia="Times New Roman" w:hAnsi="Arial" w:cs="Arial"/>
                <w:color w:val="000000"/>
                <w:sz w:val="18"/>
                <w:szCs w:val="18"/>
              </w:rPr>
            </w:pPr>
            <w:r w:rsidRPr="00B401A6">
              <w:rPr>
                <w:rFonts w:ascii="Arial" w:eastAsia="Times New Roman" w:hAnsi="Arial" w:cs="Arial"/>
                <w:color w:val="000000"/>
                <w:sz w:val="18"/>
                <w:szCs w:val="18"/>
              </w:rPr>
              <w:t xml:space="preserve">Evaluación de Procesos </w:t>
            </w:r>
          </w:p>
        </w:tc>
        <w:tc>
          <w:tcPr>
            <w:tcW w:w="1700" w:type="dxa"/>
            <w:tcBorders>
              <w:top w:val="nil"/>
              <w:left w:val="nil"/>
              <w:bottom w:val="single" w:sz="4" w:space="0" w:color="auto"/>
              <w:right w:val="single" w:sz="4" w:space="0" w:color="auto"/>
            </w:tcBorders>
            <w:shd w:val="clear" w:color="000000" w:fill="FFFFFF"/>
            <w:vAlign w:val="center"/>
            <w:hideMark/>
          </w:tcPr>
          <w:p w14:paraId="0711FC99" w14:textId="77777777" w:rsidR="00B076A2" w:rsidRPr="00B401A6" w:rsidRDefault="00B076A2" w:rsidP="00B3646C">
            <w:pPr>
              <w:spacing w:after="0" w:line="240" w:lineRule="auto"/>
              <w:jc w:val="center"/>
              <w:rPr>
                <w:rFonts w:ascii="Arial" w:eastAsia="Times New Roman" w:hAnsi="Arial" w:cs="Arial"/>
                <w:sz w:val="18"/>
                <w:szCs w:val="18"/>
              </w:rPr>
            </w:pPr>
            <w:r w:rsidRPr="00B401A6">
              <w:rPr>
                <w:rFonts w:ascii="Arial" w:eastAsia="Times New Roman" w:hAnsi="Arial" w:cs="Arial"/>
                <w:sz w:val="18"/>
                <w:szCs w:val="18"/>
              </w:rPr>
              <w:t xml:space="preserve">Tecnología Social para el Desarrollo, S.A de C.V. </w:t>
            </w:r>
          </w:p>
        </w:tc>
      </w:tr>
      <w:tr w:rsidR="00B076A2" w:rsidRPr="00B401A6" w14:paraId="56703051" w14:textId="77777777" w:rsidTr="00B3646C">
        <w:trPr>
          <w:trHeight w:val="18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14:paraId="1A591B61" w14:textId="77777777" w:rsidR="00B076A2" w:rsidRPr="00B401A6" w:rsidRDefault="00B076A2" w:rsidP="00B3646C">
            <w:pPr>
              <w:spacing w:after="0" w:line="240" w:lineRule="auto"/>
              <w:jc w:val="center"/>
              <w:rPr>
                <w:rFonts w:ascii="Arial" w:eastAsia="Times New Roman" w:hAnsi="Arial" w:cs="Arial"/>
                <w:sz w:val="18"/>
                <w:szCs w:val="18"/>
              </w:rPr>
            </w:pPr>
            <w:r w:rsidRPr="00B401A6">
              <w:rPr>
                <w:rFonts w:ascii="Arial" w:eastAsia="Times New Roman" w:hAnsi="Arial" w:cs="Arial"/>
                <w:sz w:val="18"/>
                <w:szCs w:val="18"/>
              </w:rPr>
              <w:t>2016</w:t>
            </w:r>
          </w:p>
        </w:tc>
        <w:tc>
          <w:tcPr>
            <w:tcW w:w="2919" w:type="dxa"/>
            <w:tcBorders>
              <w:top w:val="nil"/>
              <w:left w:val="nil"/>
              <w:bottom w:val="single" w:sz="4" w:space="0" w:color="auto"/>
              <w:right w:val="single" w:sz="4" w:space="0" w:color="auto"/>
            </w:tcBorders>
            <w:shd w:val="clear" w:color="000000" w:fill="FFFFFF"/>
            <w:vAlign w:val="center"/>
            <w:hideMark/>
          </w:tcPr>
          <w:p w14:paraId="677C282F" w14:textId="77777777" w:rsidR="00B076A2" w:rsidRPr="00B401A6" w:rsidRDefault="00B076A2" w:rsidP="00B3646C">
            <w:pPr>
              <w:spacing w:after="0" w:line="240" w:lineRule="auto"/>
              <w:rPr>
                <w:rFonts w:ascii="Arial" w:eastAsia="Times New Roman" w:hAnsi="Arial" w:cs="Arial"/>
                <w:sz w:val="18"/>
                <w:szCs w:val="18"/>
              </w:rPr>
            </w:pPr>
            <w:r w:rsidRPr="00B401A6">
              <w:rPr>
                <w:rFonts w:ascii="Arial" w:eastAsia="Times New Roman" w:hAnsi="Arial" w:cs="Arial"/>
                <w:sz w:val="18"/>
                <w:szCs w:val="18"/>
              </w:rPr>
              <w:t>Fondo de Aportaciones para el Fortalecimiento de las Entidades Federativas (FAFEF). Secretaría de Planeación y Finanzas.</w:t>
            </w:r>
          </w:p>
        </w:tc>
        <w:tc>
          <w:tcPr>
            <w:tcW w:w="2081" w:type="dxa"/>
            <w:tcBorders>
              <w:top w:val="nil"/>
              <w:left w:val="nil"/>
              <w:bottom w:val="single" w:sz="4" w:space="0" w:color="auto"/>
              <w:right w:val="single" w:sz="4" w:space="0" w:color="auto"/>
            </w:tcBorders>
            <w:shd w:val="clear" w:color="000000" w:fill="FFFFFF"/>
            <w:vAlign w:val="center"/>
            <w:hideMark/>
          </w:tcPr>
          <w:p w14:paraId="211E8C03" w14:textId="77777777" w:rsidR="00B076A2" w:rsidRPr="00B401A6" w:rsidRDefault="00B076A2" w:rsidP="00B3646C">
            <w:pPr>
              <w:spacing w:after="0" w:line="240" w:lineRule="auto"/>
              <w:rPr>
                <w:rFonts w:ascii="Arial" w:eastAsia="Times New Roman" w:hAnsi="Arial" w:cs="Arial"/>
                <w:sz w:val="18"/>
                <w:szCs w:val="18"/>
              </w:rPr>
            </w:pPr>
            <w:r w:rsidRPr="00B401A6">
              <w:rPr>
                <w:rFonts w:ascii="Arial" w:eastAsia="Times New Roman" w:hAnsi="Arial" w:cs="Arial"/>
                <w:sz w:val="18"/>
                <w:szCs w:val="18"/>
              </w:rPr>
              <w:t>Saneamiento Financiero.</w:t>
            </w:r>
          </w:p>
        </w:tc>
        <w:tc>
          <w:tcPr>
            <w:tcW w:w="1340" w:type="dxa"/>
            <w:tcBorders>
              <w:top w:val="nil"/>
              <w:left w:val="nil"/>
              <w:bottom w:val="single" w:sz="4" w:space="0" w:color="auto"/>
              <w:right w:val="single" w:sz="4" w:space="0" w:color="auto"/>
            </w:tcBorders>
            <w:shd w:val="clear" w:color="000000" w:fill="FFFFFF"/>
            <w:vAlign w:val="center"/>
            <w:hideMark/>
          </w:tcPr>
          <w:p w14:paraId="2BEE0903" w14:textId="77777777" w:rsidR="00B076A2" w:rsidRPr="00B401A6" w:rsidRDefault="00B076A2" w:rsidP="00B3646C">
            <w:pPr>
              <w:spacing w:after="0" w:line="240" w:lineRule="auto"/>
              <w:rPr>
                <w:rFonts w:ascii="Arial" w:eastAsia="Times New Roman" w:hAnsi="Arial" w:cs="Arial"/>
                <w:sz w:val="18"/>
                <w:szCs w:val="18"/>
              </w:rPr>
            </w:pPr>
            <w:r w:rsidRPr="00B401A6">
              <w:rPr>
                <w:rFonts w:ascii="Arial" w:eastAsia="Times New Roman" w:hAnsi="Arial" w:cs="Arial"/>
                <w:sz w:val="18"/>
                <w:szCs w:val="18"/>
              </w:rPr>
              <w:t>Evaluación de Consistencia y Resultados en Materia de Diseño.</w:t>
            </w:r>
          </w:p>
        </w:tc>
        <w:tc>
          <w:tcPr>
            <w:tcW w:w="1700" w:type="dxa"/>
            <w:tcBorders>
              <w:top w:val="nil"/>
              <w:left w:val="nil"/>
              <w:bottom w:val="single" w:sz="4" w:space="0" w:color="auto"/>
              <w:right w:val="single" w:sz="4" w:space="0" w:color="auto"/>
            </w:tcBorders>
            <w:shd w:val="clear" w:color="000000" w:fill="FFFFFF"/>
            <w:vAlign w:val="center"/>
            <w:hideMark/>
          </w:tcPr>
          <w:p w14:paraId="65DC7B39" w14:textId="77777777" w:rsidR="00B076A2" w:rsidRPr="00B401A6" w:rsidRDefault="00B076A2" w:rsidP="00B3646C">
            <w:pPr>
              <w:spacing w:after="0" w:line="240" w:lineRule="auto"/>
              <w:jc w:val="center"/>
              <w:rPr>
                <w:rFonts w:ascii="Arial" w:eastAsia="Times New Roman" w:hAnsi="Arial" w:cs="Arial"/>
                <w:sz w:val="18"/>
                <w:szCs w:val="18"/>
              </w:rPr>
            </w:pPr>
            <w:r w:rsidRPr="00B401A6">
              <w:rPr>
                <w:rFonts w:ascii="Arial" w:eastAsia="Times New Roman" w:hAnsi="Arial" w:cs="Arial"/>
                <w:sz w:val="18"/>
                <w:szCs w:val="18"/>
              </w:rPr>
              <w:t xml:space="preserve">Tecnología Social para el Desarrollo, S.A de C.V. </w:t>
            </w:r>
          </w:p>
        </w:tc>
      </w:tr>
      <w:tr w:rsidR="00B076A2" w:rsidRPr="00B401A6" w14:paraId="0382EC3C" w14:textId="77777777" w:rsidTr="00B3646C">
        <w:trPr>
          <w:trHeight w:val="682"/>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14:paraId="28FA81DF" w14:textId="77777777" w:rsidR="00B076A2" w:rsidRPr="00B401A6" w:rsidRDefault="00B076A2" w:rsidP="00B3646C">
            <w:pPr>
              <w:spacing w:after="0" w:line="240" w:lineRule="auto"/>
              <w:jc w:val="center"/>
              <w:rPr>
                <w:rFonts w:ascii="Arial" w:eastAsia="Times New Roman" w:hAnsi="Arial" w:cs="Arial"/>
                <w:color w:val="000000"/>
                <w:sz w:val="18"/>
                <w:szCs w:val="18"/>
              </w:rPr>
            </w:pPr>
            <w:r w:rsidRPr="00B401A6">
              <w:rPr>
                <w:rFonts w:ascii="Arial" w:eastAsia="Times New Roman" w:hAnsi="Arial" w:cs="Arial"/>
                <w:color w:val="000000"/>
                <w:sz w:val="18"/>
                <w:szCs w:val="18"/>
              </w:rPr>
              <w:lastRenderedPageBreak/>
              <w:t>2017</w:t>
            </w:r>
          </w:p>
        </w:tc>
        <w:tc>
          <w:tcPr>
            <w:tcW w:w="2919" w:type="dxa"/>
            <w:tcBorders>
              <w:top w:val="nil"/>
              <w:left w:val="nil"/>
              <w:bottom w:val="single" w:sz="4" w:space="0" w:color="auto"/>
              <w:right w:val="single" w:sz="4" w:space="0" w:color="auto"/>
            </w:tcBorders>
            <w:shd w:val="clear" w:color="000000" w:fill="FFFFFF"/>
            <w:vAlign w:val="center"/>
            <w:hideMark/>
          </w:tcPr>
          <w:p w14:paraId="2D5517D0" w14:textId="77777777" w:rsidR="00B076A2" w:rsidRPr="00B401A6" w:rsidRDefault="00B076A2" w:rsidP="00B3646C">
            <w:pPr>
              <w:spacing w:after="0" w:line="240" w:lineRule="auto"/>
              <w:rPr>
                <w:rFonts w:ascii="Arial" w:eastAsia="Times New Roman" w:hAnsi="Arial" w:cs="Arial"/>
                <w:color w:val="000000"/>
                <w:sz w:val="18"/>
                <w:szCs w:val="18"/>
              </w:rPr>
            </w:pPr>
            <w:r w:rsidRPr="00B401A6">
              <w:rPr>
                <w:rFonts w:ascii="Arial" w:eastAsia="Times New Roman" w:hAnsi="Arial" w:cs="Arial"/>
                <w:color w:val="000000"/>
                <w:sz w:val="18"/>
                <w:szCs w:val="18"/>
              </w:rPr>
              <w:t>Sistema de Protección Social en Salud. (Seguro Popular).</w:t>
            </w:r>
          </w:p>
        </w:tc>
        <w:tc>
          <w:tcPr>
            <w:tcW w:w="2081" w:type="dxa"/>
            <w:tcBorders>
              <w:top w:val="nil"/>
              <w:left w:val="nil"/>
              <w:bottom w:val="single" w:sz="4" w:space="0" w:color="auto"/>
              <w:right w:val="single" w:sz="4" w:space="0" w:color="auto"/>
            </w:tcBorders>
            <w:shd w:val="clear" w:color="000000" w:fill="FFFFFF"/>
            <w:vAlign w:val="center"/>
            <w:hideMark/>
          </w:tcPr>
          <w:p w14:paraId="347F4B33" w14:textId="77777777" w:rsidR="00B076A2" w:rsidRPr="00B401A6" w:rsidRDefault="00B076A2" w:rsidP="00B3646C">
            <w:pPr>
              <w:spacing w:after="0" w:line="240" w:lineRule="auto"/>
              <w:rPr>
                <w:rFonts w:ascii="Arial" w:eastAsia="Times New Roman" w:hAnsi="Arial" w:cs="Arial"/>
                <w:sz w:val="18"/>
                <w:szCs w:val="18"/>
              </w:rPr>
            </w:pPr>
            <w:r w:rsidRPr="00B401A6">
              <w:rPr>
                <w:rFonts w:ascii="Arial" w:eastAsia="Times New Roman" w:hAnsi="Arial" w:cs="Arial"/>
                <w:sz w:val="18"/>
                <w:szCs w:val="18"/>
              </w:rPr>
              <w:t>Seguro Médico Siglo XXI.</w:t>
            </w:r>
          </w:p>
        </w:tc>
        <w:tc>
          <w:tcPr>
            <w:tcW w:w="1340" w:type="dxa"/>
            <w:tcBorders>
              <w:top w:val="nil"/>
              <w:left w:val="nil"/>
              <w:bottom w:val="single" w:sz="4" w:space="0" w:color="auto"/>
              <w:right w:val="single" w:sz="4" w:space="0" w:color="auto"/>
            </w:tcBorders>
            <w:shd w:val="clear" w:color="000000" w:fill="FFFFFF"/>
            <w:vAlign w:val="center"/>
            <w:hideMark/>
          </w:tcPr>
          <w:p w14:paraId="1274A5B1" w14:textId="77777777" w:rsidR="00B076A2" w:rsidRPr="00B401A6" w:rsidRDefault="00B076A2" w:rsidP="00B3646C">
            <w:pPr>
              <w:spacing w:after="0" w:line="240" w:lineRule="auto"/>
              <w:rPr>
                <w:rFonts w:ascii="Arial" w:eastAsia="Times New Roman" w:hAnsi="Arial" w:cs="Arial"/>
                <w:color w:val="000000"/>
                <w:sz w:val="18"/>
                <w:szCs w:val="18"/>
              </w:rPr>
            </w:pPr>
            <w:r w:rsidRPr="00B401A6">
              <w:rPr>
                <w:rFonts w:ascii="Arial" w:eastAsia="Times New Roman" w:hAnsi="Arial" w:cs="Arial"/>
                <w:color w:val="000000"/>
                <w:sz w:val="18"/>
                <w:szCs w:val="18"/>
              </w:rPr>
              <w:t>Evaluación de Consistencia y Resultados en Materia de Diseño.</w:t>
            </w:r>
          </w:p>
        </w:tc>
        <w:tc>
          <w:tcPr>
            <w:tcW w:w="1700" w:type="dxa"/>
            <w:tcBorders>
              <w:top w:val="nil"/>
              <w:left w:val="nil"/>
              <w:bottom w:val="single" w:sz="4" w:space="0" w:color="auto"/>
              <w:right w:val="single" w:sz="4" w:space="0" w:color="auto"/>
            </w:tcBorders>
            <w:shd w:val="clear" w:color="000000" w:fill="FFFFFF"/>
            <w:vAlign w:val="center"/>
            <w:hideMark/>
          </w:tcPr>
          <w:p w14:paraId="200539B1" w14:textId="77777777" w:rsidR="00B076A2" w:rsidRPr="00B401A6" w:rsidRDefault="00B076A2" w:rsidP="00B3646C">
            <w:pPr>
              <w:spacing w:after="0" w:line="240" w:lineRule="auto"/>
              <w:jc w:val="center"/>
              <w:rPr>
                <w:rFonts w:ascii="Arial" w:eastAsia="Times New Roman" w:hAnsi="Arial" w:cs="Arial"/>
                <w:sz w:val="18"/>
                <w:szCs w:val="18"/>
              </w:rPr>
            </w:pPr>
            <w:r w:rsidRPr="00B401A6">
              <w:rPr>
                <w:rFonts w:ascii="Arial" w:eastAsia="Times New Roman" w:hAnsi="Arial" w:cs="Arial"/>
                <w:sz w:val="18"/>
                <w:szCs w:val="18"/>
              </w:rPr>
              <w:t xml:space="preserve">Tecnología Social para el Desarrollo, S.A de C.V. </w:t>
            </w:r>
          </w:p>
        </w:tc>
      </w:tr>
      <w:tr w:rsidR="00B076A2" w:rsidRPr="00B401A6" w14:paraId="2E3F846E" w14:textId="77777777" w:rsidTr="00B3646C">
        <w:trPr>
          <w:trHeight w:val="6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14:paraId="50AD5E5C" w14:textId="77777777" w:rsidR="00B076A2" w:rsidRPr="00B401A6" w:rsidRDefault="00B076A2" w:rsidP="00B3646C">
            <w:pPr>
              <w:spacing w:after="0" w:line="240" w:lineRule="auto"/>
              <w:jc w:val="center"/>
              <w:rPr>
                <w:rFonts w:ascii="Arial" w:eastAsia="Times New Roman" w:hAnsi="Arial" w:cs="Arial"/>
                <w:color w:val="000000"/>
                <w:sz w:val="18"/>
                <w:szCs w:val="18"/>
              </w:rPr>
            </w:pPr>
            <w:r w:rsidRPr="00B401A6">
              <w:rPr>
                <w:rFonts w:ascii="Arial" w:eastAsia="Times New Roman" w:hAnsi="Arial" w:cs="Arial"/>
                <w:color w:val="000000"/>
                <w:sz w:val="18"/>
                <w:szCs w:val="18"/>
              </w:rPr>
              <w:t>2017</w:t>
            </w:r>
          </w:p>
        </w:tc>
        <w:tc>
          <w:tcPr>
            <w:tcW w:w="2919" w:type="dxa"/>
            <w:tcBorders>
              <w:top w:val="nil"/>
              <w:left w:val="nil"/>
              <w:bottom w:val="single" w:sz="4" w:space="0" w:color="auto"/>
              <w:right w:val="single" w:sz="4" w:space="0" w:color="auto"/>
            </w:tcBorders>
            <w:shd w:val="clear" w:color="000000" w:fill="FFFFFF"/>
            <w:vAlign w:val="center"/>
            <w:hideMark/>
          </w:tcPr>
          <w:p w14:paraId="2609E1D7" w14:textId="77777777" w:rsidR="00B076A2" w:rsidRPr="00B401A6" w:rsidRDefault="00B076A2" w:rsidP="00B3646C">
            <w:pPr>
              <w:spacing w:after="0" w:line="240" w:lineRule="auto"/>
              <w:rPr>
                <w:rFonts w:ascii="Arial" w:eastAsia="Times New Roman" w:hAnsi="Arial" w:cs="Arial"/>
                <w:color w:val="000000"/>
                <w:sz w:val="18"/>
                <w:szCs w:val="18"/>
              </w:rPr>
            </w:pPr>
            <w:r w:rsidRPr="00B401A6">
              <w:rPr>
                <w:rFonts w:ascii="Arial" w:eastAsia="Times New Roman" w:hAnsi="Arial" w:cs="Arial"/>
                <w:color w:val="000000"/>
                <w:sz w:val="18"/>
                <w:szCs w:val="18"/>
              </w:rPr>
              <w:t xml:space="preserve"> Fondo de Aportaciones para la Nómina Educativa y Gasto Operativo (FONE). Secretaría de Educación.</w:t>
            </w:r>
          </w:p>
        </w:tc>
        <w:tc>
          <w:tcPr>
            <w:tcW w:w="2081" w:type="dxa"/>
            <w:tcBorders>
              <w:top w:val="nil"/>
              <w:left w:val="nil"/>
              <w:bottom w:val="single" w:sz="4" w:space="0" w:color="auto"/>
              <w:right w:val="single" w:sz="4" w:space="0" w:color="auto"/>
            </w:tcBorders>
            <w:shd w:val="clear" w:color="000000" w:fill="FFFFFF"/>
            <w:vAlign w:val="center"/>
            <w:hideMark/>
          </w:tcPr>
          <w:p w14:paraId="6429B697" w14:textId="77777777" w:rsidR="00B076A2" w:rsidRPr="00B401A6" w:rsidRDefault="00B076A2" w:rsidP="00B3646C">
            <w:pPr>
              <w:spacing w:after="0" w:line="240" w:lineRule="auto"/>
              <w:rPr>
                <w:rFonts w:ascii="Arial" w:eastAsia="Times New Roman" w:hAnsi="Arial" w:cs="Arial"/>
                <w:color w:val="000000"/>
                <w:sz w:val="18"/>
                <w:szCs w:val="18"/>
              </w:rPr>
            </w:pPr>
            <w:r w:rsidRPr="00B401A6">
              <w:rPr>
                <w:rFonts w:ascii="Arial" w:eastAsia="Times New Roman" w:hAnsi="Arial" w:cs="Arial"/>
                <w:color w:val="000000"/>
                <w:sz w:val="18"/>
                <w:szCs w:val="18"/>
              </w:rPr>
              <w:t>Fondo de Aportaciones para la Nómina Educativa y Gasto Operativo (FONE).</w:t>
            </w:r>
          </w:p>
        </w:tc>
        <w:tc>
          <w:tcPr>
            <w:tcW w:w="1340" w:type="dxa"/>
            <w:tcBorders>
              <w:top w:val="nil"/>
              <w:left w:val="nil"/>
              <w:bottom w:val="single" w:sz="4" w:space="0" w:color="auto"/>
              <w:right w:val="single" w:sz="4" w:space="0" w:color="auto"/>
            </w:tcBorders>
            <w:shd w:val="clear" w:color="000000" w:fill="FFFFFF"/>
            <w:vAlign w:val="center"/>
            <w:hideMark/>
          </w:tcPr>
          <w:p w14:paraId="2F4EB59E" w14:textId="77777777" w:rsidR="00B076A2" w:rsidRPr="00B401A6" w:rsidRDefault="00B076A2" w:rsidP="00B3646C">
            <w:pPr>
              <w:spacing w:after="0" w:line="240" w:lineRule="auto"/>
              <w:rPr>
                <w:rFonts w:ascii="Arial" w:eastAsia="Times New Roman" w:hAnsi="Arial" w:cs="Arial"/>
                <w:color w:val="000000"/>
                <w:sz w:val="18"/>
                <w:szCs w:val="18"/>
              </w:rPr>
            </w:pPr>
            <w:r w:rsidRPr="00B401A6">
              <w:rPr>
                <w:rFonts w:ascii="Arial" w:eastAsia="Times New Roman" w:hAnsi="Arial" w:cs="Arial"/>
                <w:color w:val="000000"/>
                <w:sz w:val="16"/>
                <w:szCs w:val="18"/>
              </w:rPr>
              <w:t>Evaluación  de Desempeño Conforme al Modelo de Términos de Referencia del Coneval.</w:t>
            </w:r>
          </w:p>
        </w:tc>
        <w:tc>
          <w:tcPr>
            <w:tcW w:w="1700" w:type="dxa"/>
            <w:tcBorders>
              <w:top w:val="nil"/>
              <w:left w:val="nil"/>
              <w:bottom w:val="single" w:sz="4" w:space="0" w:color="auto"/>
              <w:right w:val="single" w:sz="4" w:space="0" w:color="auto"/>
            </w:tcBorders>
            <w:shd w:val="clear" w:color="000000" w:fill="FFFFFF"/>
            <w:vAlign w:val="center"/>
            <w:hideMark/>
          </w:tcPr>
          <w:p w14:paraId="799A446A" w14:textId="77777777" w:rsidR="00B076A2" w:rsidRPr="00B401A6" w:rsidRDefault="00B076A2" w:rsidP="00B3646C">
            <w:pPr>
              <w:spacing w:after="0" w:line="240" w:lineRule="auto"/>
              <w:jc w:val="center"/>
              <w:rPr>
                <w:rFonts w:ascii="Arial" w:eastAsia="Times New Roman" w:hAnsi="Arial" w:cs="Arial"/>
                <w:sz w:val="18"/>
                <w:szCs w:val="18"/>
              </w:rPr>
            </w:pPr>
            <w:r w:rsidRPr="00B401A6">
              <w:rPr>
                <w:rFonts w:ascii="Arial" w:eastAsia="Times New Roman" w:hAnsi="Arial" w:cs="Arial"/>
                <w:sz w:val="18"/>
                <w:szCs w:val="18"/>
              </w:rPr>
              <w:t xml:space="preserve">Tecnología Social para el Desarrollo, S.A de C.V. </w:t>
            </w:r>
          </w:p>
        </w:tc>
      </w:tr>
      <w:tr w:rsidR="00B076A2" w:rsidRPr="00B401A6" w14:paraId="15F30714" w14:textId="77777777" w:rsidTr="00B3646C">
        <w:trPr>
          <w:trHeight w:val="6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14:paraId="55C8356B" w14:textId="77777777" w:rsidR="00B076A2" w:rsidRPr="00B401A6" w:rsidRDefault="00B076A2" w:rsidP="00B3646C">
            <w:pPr>
              <w:spacing w:after="0" w:line="240" w:lineRule="auto"/>
              <w:jc w:val="center"/>
              <w:rPr>
                <w:rFonts w:ascii="Arial" w:eastAsia="Times New Roman" w:hAnsi="Arial" w:cs="Arial"/>
                <w:color w:val="000000"/>
                <w:sz w:val="18"/>
                <w:szCs w:val="18"/>
              </w:rPr>
            </w:pPr>
            <w:r w:rsidRPr="00B401A6">
              <w:rPr>
                <w:rFonts w:ascii="Arial" w:eastAsia="Times New Roman" w:hAnsi="Arial" w:cs="Arial"/>
                <w:color w:val="000000"/>
                <w:sz w:val="18"/>
                <w:szCs w:val="18"/>
              </w:rPr>
              <w:t>2017</w:t>
            </w:r>
          </w:p>
        </w:tc>
        <w:tc>
          <w:tcPr>
            <w:tcW w:w="2919" w:type="dxa"/>
            <w:tcBorders>
              <w:top w:val="nil"/>
              <w:left w:val="nil"/>
              <w:bottom w:val="single" w:sz="4" w:space="0" w:color="auto"/>
              <w:right w:val="single" w:sz="4" w:space="0" w:color="auto"/>
            </w:tcBorders>
            <w:shd w:val="clear" w:color="000000" w:fill="FFFFFF"/>
            <w:vAlign w:val="center"/>
            <w:hideMark/>
          </w:tcPr>
          <w:p w14:paraId="7CB63251" w14:textId="77777777" w:rsidR="00B076A2" w:rsidRPr="00B401A6" w:rsidRDefault="00B076A2" w:rsidP="00B3646C">
            <w:pPr>
              <w:spacing w:after="0" w:line="240" w:lineRule="auto"/>
              <w:rPr>
                <w:rFonts w:ascii="Arial" w:eastAsia="Times New Roman" w:hAnsi="Arial" w:cs="Arial"/>
                <w:color w:val="000000"/>
                <w:sz w:val="18"/>
                <w:szCs w:val="18"/>
              </w:rPr>
            </w:pPr>
            <w:r w:rsidRPr="00B401A6">
              <w:rPr>
                <w:rFonts w:ascii="Arial" w:eastAsia="Times New Roman" w:hAnsi="Arial" w:cs="Arial"/>
                <w:color w:val="000000"/>
                <w:sz w:val="18"/>
                <w:szCs w:val="18"/>
              </w:rPr>
              <w:t>Fondo de Aportaciones para los Servicios de Salud (FASSA). Secretaría de Salud y Bienestar Social.</w:t>
            </w:r>
          </w:p>
        </w:tc>
        <w:tc>
          <w:tcPr>
            <w:tcW w:w="2081" w:type="dxa"/>
            <w:tcBorders>
              <w:top w:val="nil"/>
              <w:left w:val="nil"/>
              <w:bottom w:val="single" w:sz="4" w:space="0" w:color="auto"/>
              <w:right w:val="single" w:sz="4" w:space="0" w:color="auto"/>
            </w:tcBorders>
            <w:shd w:val="clear" w:color="000000" w:fill="FFFFFF"/>
            <w:vAlign w:val="center"/>
            <w:hideMark/>
          </w:tcPr>
          <w:p w14:paraId="74B55591" w14:textId="77777777" w:rsidR="00B076A2" w:rsidRPr="00B401A6" w:rsidRDefault="00B076A2" w:rsidP="00B3646C">
            <w:pPr>
              <w:spacing w:after="0" w:line="240" w:lineRule="auto"/>
              <w:rPr>
                <w:rFonts w:ascii="Arial" w:eastAsia="Times New Roman" w:hAnsi="Arial" w:cs="Arial"/>
                <w:color w:val="000000"/>
                <w:sz w:val="18"/>
                <w:szCs w:val="18"/>
              </w:rPr>
            </w:pPr>
            <w:r w:rsidRPr="00B401A6">
              <w:rPr>
                <w:rFonts w:ascii="Arial" w:eastAsia="Times New Roman" w:hAnsi="Arial" w:cs="Arial"/>
                <w:color w:val="000000"/>
                <w:sz w:val="18"/>
                <w:szCs w:val="18"/>
              </w:rPr>
              <w:t>Salud Materna y  Perinatal.</w:t>
            </w:r>
          </w:p>
        </w:tc>
        <w:tc>
          <w:tcPr>
            <w:tcW w:w="1340" w:type="dxa"/>
            <w:tcBorders>
              <w:top w:val="nil"/>
              <w:left w:val="nil"/>
              <w:bottom w:val="single" w:sz="4" w:space="0" w:color="auto"/>
              <w:right w:val="single" w:sz="4" w:space="0" w:color="auto"/>
            </w:tcBorders>
            <w:shd w:val="clear" w:color="000000" w:fill="FFFFFF"/>
            <w:vAlign w:val="center"/>
            <w:hideMark/>
          </w:tcPr>
          <w:p w14:paraId="6BA09D86" w14:textId="77777777" w:rsidR="00B076A2" w:rsidRPr="00B401A6" w:rsidRDefault="00B076A2" w:rsidP="00B3646C">
            <w:pPr>
              <w:spacing w:after="0" w:line="240" w:lineRule="auto"/>
              <w:rPr>
                <w:rFonts w:ascii="Arial" w:eastAsia="Times New Roman" w:hAnsi="Arial" w:cs="Arial"/>
                <w:color w:val="000000"/>
                <w:sz w:val="18"/>
                <w:szCs w:val="18"/>
              </w:rPr>
            </w:pPr>
            <w:r w:rsidRPr="00B401A6">
              <w:rPr>
                <w:rFonts w:ascii="Arial" w:eastAsia="Times New Roman" w:hAnsi="Arial" w:cs="Arial"/>
                <w:color w:val="000000"/>
                <w:sz w:val="18"/>
                <w:szCs w:val="18"/>
              </w:rPr>
              <w:t>Evaluación de Consistencia y Resultados.</w:t>
            </w:r>
          </w:p>
        </w:tc>
        <w:tc>
          <w:tcPr>
            <w:tcW w:w="1700" w:type="dxa"/>
            <w:tcBorders>
              <w:top w:val="nil"/>
              <w:left w:val="nil"/>
              <w:bottom w:val="single" w:sz="4" w:space="0" w:color="auto"/>
              <w:right w:val="single" w:sz="4" w:space="0" w:color="auto"/>
            </w:tcBorders>
            <w:shd w:val="clear" w:color="000000" w:fill="FFFFFF"/>
            <w:vAlign w:val="center"/>
            <w:hideMark/>
          </w:tcPr>
          <w:p w14:paraId="0BC815A5" w14:textId="77777777" w:rsidR="00B076A2" w:rsidRPr="00B401A6" w:rsidRDefault="00B076A2" w:rsidP="00B3646C">
            <w:pPr>
              <w:spacing w:after="0" w:line="240" w:lineRule="auto"/>
              <w:jc w:val="center"/>
              <w:rPr>
                <w:rFonts w:ascii="Arial" w:eastAsia="Times New Roman" w:hAnsi="Arial" w:cs="Arial"/>
                <w:sz w:val="18"/>
                <w:szCs w:val="18"/>
              </w:rPr>
            </w:pPr>
            <w:r w:rsidRPr="00B401A6">
              <w:rPr>
                <w:rFonts w:ascii="Arial" w:eastAsia="Times New Roman" w:hAnsi="Arial" w:cs="Arial"/>
                <w:sz w:val="18"/>
                <w:szCs w:val="18"/>
              </w:rPr>
              <w:t>Tecnología Social pa</w:t>
            </w:r>
            <w:r>
              <w:rPr>
                <w:rFonts w:ascii="Arial" w:eastAsia="Times New Roman" w:hAnsi="Arial" w:cs="Arial"/>
                <w:sz w:val="18"/>
                <w:szCs w:val="18"/>
              </w:rPr>
              <w:t>ra el Desarrollo, S.A de C.V.</w:t>
            </w:r>
          </w:p>
        </w:tc>
      </w:tr>
      <w:tr w:rsidR="00B076A2" w:rsidRPr="00B401A6" w14:paraId="6FEBD18E" w14:textId="77777777" w:rsidTr="00B3646C">
        <w:trPr>
          <w:trHeight w:val="6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14:paraId="27633D38" w14:textId="77777777" w:rsidR="00B076A2" w:rsidRPr="00B401A6" w:rsidRDefault="00B076A2" w:rsidP="00B3646C">
            <w:pPr>
              <w:spacing w:after="0" w:line="240" w:lineRule="auto"/>
              <w:jc w:val="center"/>
              <w:rPr>
                <w:rFonts w:ascii="Arial" w:eastAsia="Times New Roman" w:hAnsi="Arial" w:cs="Arial"/>
                <w:color w:val="000000"/>
                <w:sz w:val="18"/>
                <w:szCs w:val="18"/>
              </w:rPr>
            </w:pPr>
            <w:r w:rsidRPr="00B401A6">
              <w:rPr>
                <w:rFonts w:ascii="Arial" w:eastAsia="Times New Roman" w:hAnsi="Arial" w:cs="Arial"/>
                <w:color w:val="000000"/>
                <w:sz w:val="18"/>
                <w:szCs w:val="18"/>
              </w:rPr>
              <w:t>2017</w:t>
            </w:r>
          </w:p>
        </w:tc>
        <w:tc>
          <w:tcPr>
            <w:tcW w:w="2919" w:type="dxa"/>
            <w:tcBorders>
              <w:top w:val="nil"/>
              <w:left w:val="nil"/>
              <w:bottom w:val="single" w:sz="4" w:space="0" w:color="auto"/>
              <w:right w:val="single" w:sz="4" w:space="0" w:color="auto"/>
            </w:tcBorders>
            <w:shd w:val="clear" w:color="000000" w:fill="FFFFFF"/>
            <w:vAlign w:val="center"/>
            <w:hideMark/>
          </w:tcPr>
          <w:p w14:paraId="2530549A" w14:textId="77777777" w:rsidR="00B076A2" w:rsidRPr="00B401A6" w:rsidRDefault="00B076A2" w:rsidP="00B3646C">
            <w:pPr>
              <w:spacing w:after="0" w:line="240" w:lineRule="auto"/>
              <w:rPr>
                <w:rFonts w:ascii="Arial" w:eastAsia="Times New Roman" w:hAnsi="Arial" w:cs="Arial"/>
                <w:color w:val="000000"/>
                <w:sz w:val="18"/>
                <w:szCs w:val="18"/>
              </w:rPr>
            </w:pPr>
            <w:r w:rsidRPr="00B401A6">
              <w:rPr>
                <w:rFonts w:ascii="Arial" w:eastAsia="Times New Roman" w:hAnsi="Arial" w:cs="Arial"/>
                <w:color w:val="000000"/>
                <w:sz w:val="18"/>
                <w:szCs w:val="18"/>
              </w:rPr>
              <w:t>Convenio Alianza para el Campo. Secretaría de Desarrollo Rural.</w:t>
            </w:r>
          </w:p>
        </w:tc>
        <w:tc>
          <w:tcPr>
            <w:tcW w:w="2081" w:type="dxa"/>
            <w:tcBorders>
              <w:top w:val="nil"/>
              <w:left w:val="nil"/>
              <w:bottom w:val="single" w:sz="4" w:space="0" w:color="auto"/>
              <w:right w:val="single" w:sz="4" w:space="0" w:color="auto"/>
            </w:tcBorders>
            <w:shd w:val="clear" w:color="000000" w:fill="FFFFFF"/>
            <w:vAlign w:val="center"/>
            <w:hideMark/>
          </w:tcPr>
          <w:p w14:paraId="4A2A67D2" w14:textId="77777777" w:rsidR="00B076A2" w:rsidRPr="00B401A6" w:rsidRDefault="00B076A2" w:rsidP="00B3646C">
            <w:pPr>
              <w:spacing w:after="0" w:line="240" w:lineRule="auto"/>
              <w:rPr>
                <w:rFonts w:ascii="Arial" w:eastAsia="Times New Roman" w:hAnsi="Arial" w:cs="Arial"/>
                <w:color w:val="000000"/>
                <w:sz w:val="18"/>
                <w:szCs w:val="18"/>
              </w:rPr>
            </w:pPr>
            <w:r w:rsidRPr="00B401A6">
              <w:rPr>
                <w:rFonts w:ascii="Arial" w:eastAsia="Times New Roman" w:hAnsi="Arial" w:cs="Arial"/>
                <w:color w:val="000000"/>
                <w:sz w:val="18"/>
                <w:szCs w:val="18"/>
              </w:rPr>
              <w:t>Apoyo a la Inversión en Equipamiento e Infraestructura.</w:t>
            </w:r>
          </w:p>
        </w:tc>
        <w:tc>
          <w:tcPr>
            <w:tcW w:w="1340" w:type="dxa"/>
            <w:tcBorders>
              <w:top w:val="nil"/>
              <w:left w:val="nil"/>
              <w:bottom w:val="single" w:sz="4" w:space="0" w:color="auto"/>
              <w:right w:val="single" w:sz="4" w:space="0" w:color="auto"/>
            </w:tcBorders>
            <w:shd w:val="clear" w:color="000000" w:fill="FFFFFF"/>
            <w:vAlign w:val="center"/>
            <w:hideMark/>
          </w:tcPr>
          <w:p w14:paraId="57DDAEE4" w14:textId="77777777" w:rsidR="00B076A2" w:rsidRPr="00B401A6" w:rsidRDefault="00B076A2" w:rsidP="00B3646C">
            <w:pPr>
              <w:spacing w:after="0" w:line="240" w:lineRule="auto"/>
              <w:rPr>
                <w:rFonts w:ascii="Arial" w:eastAsia="Times New Roman" w:hAnsi="Arial" w:cs="Arial"/>
                <w:color w:val="000000"/>
                <w:sz w:val="18"/>
                <w:szCs w:val="18"/>
              </w:rPr>
            </w:pPr>
            <w:r w:rsidRPr="00B401A6">
              <w:rPr>
                <w:rFonts w:ascii="Arial" w:eastAsia="Times New Roman" w:hAnsi="Arial" w:cs="Arial"/>
                <w:color w:val="000000"/>
                <w:sz w:val="18"/>
                <w:szCs w:val="18"/>
              </w:rPr>
              <w:t>Evaluación de Consistencia y Resultados.</w:t>
            </w:r>
          </w:p>
        </w:tc>
        <w:tc>
          <w:tcPr>
            <w:tcW w:w="1700" w:type="dxa"/>
            <w:tcBorders>
              <w:top w:val="nil"/>
              <w:left w:val="nil"/>
              <w:bottom w:val="single" w:sz="4" w:space="0" w:color="auto"/>
              <w:right w:val="single" w:sz="4" w:space="0" w:color="auto"/>
            </w:tcBorders>
            <w:shd w:val="clear" w:color="000000" w:fill="FFFFFF"/>
            <w:vAlign w:val="center"/>
            <w:hideMark/>
          </w:tcPr>
          <w:p w14:paraId="6E8B453B" w14:textId="77777777" w:rsidR="00B076A2" w:rsidRPr="00B401A6" w:rsidRDefault="00B076A2" w:rsidP="00B3646C">
            <w:pPr>
              <w:spacing w:after="0" w:line="240" w:lineRule="auto"/>
              <w:jc w:val="center"/>
              <w:rPr>
                <w:rFonts w:ascii="Arial" w:eastAsia="Times New Roman" w:hAnsi="Arial" w:cs="Arial"/>
                <w:sz w:val="18"/>
                <w:szCs w:val="18"/>
              </w:rPr>
            </w:pPr>
            <w:r w:rsidRPr="00B401A6">
              <w:rPr>
                <w:rFonts w:ascii="Arial" w:eastAsia="Times New Roman" w:hAnsi="Arial" w:cs="Arial"/>
                <w:sz w:val="18"/>
                <w:szCs w:val="18"/>
              </w:rPr>
              <w:t xml:space="preserve">Tecnología Social para el Desarrollo, S.A de C.V. </w:t>
            </w:r>
          </w:p>
        </w:tc>
      </w:tr>
      <w:tr w:rsidR="00B076A2" w:rsidRPr="00B401A6" w14:paraId="1E2CEEA6" w14:textId="77777777" w:rsidTr="00B3646C">
        <w:trPr>
          <w:trHeight w:val="6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14:paraId="44D32ECB" w14:textId="77777777" w:rsidR="00B076A2" w:rsidRPr="00B401A6" w:rsidRDefault="00B076A2" w:rsidP="00B3646C">
            <w:pPr>
              <w:spacing w:after="0" w:line="240" w:lineRule="auto"/>
              <w:jc w:val="center"/>
              <w:rPr>
                <w:rFonts w:ascii="Arial" w:eastAsia="Times New Roman" w:hAnsi="Arial" w:cs="Arial"/>
                <w:color w:val="000000"/>
                <w:sz w:val="18"/>
                <w:szCs w:val="18"/>
              </w:rPr>
            </w:pPr>
            <w:r w:rsidRPr="00B401A6">
              <w:rPr>
                <w:rFonts w:ascii="Arial" w:eastAsia="Times New Roman" w:hAnsi="Arial" w:cs="Arial"/>
                <w:color w:val="000000"/>
                <w:sz w:val="18"/>
                <w:szCs w:val="18"/>
              </w:rPr>
              <w:t>2017</w:t>
            </w:r>
          </w:p>
        </w:tc>
        <w:tc>
          <w:tcPr>
            <w:tcW w:w="2919" w:type="dxa"/>
            <w:tcBorders>
              <w:top w:val="nil"/>
              <w:left w:val="nil"/>
              <w:bottom w:val="single" w:sz="4" w:space="0" w:color="auto"/>
              <w:right w:val="single" w:sz="4" w:space="0" w:color="auto"/>
            </w:tcBorders>
            <w:shd w:val="clear" w:color="000000" w:fill="FFFFFF"/>
            <w:vAlign w:val="center"/>
            <w:hideMark/>
          </w:tcPr>
          <w:p w14:paraId="74B70579" w14:textId="77777777" w:rsidR="00B076A2" w:rsidRPr="00B401A6" w:rsidRDefault="00B076A2" w:rsidP="00B3646C">
            <w:pPr>
              <w:spacing w:after="0" w:line="240" w:lineRule="auto"/>
              <w:rPr>
                <w:rFonts w:ascii="Arial" w:eastAsia="Times New Roman" w:hAnsi="Arial" w:cs="Arial"/>
                <w:color w:val="000000"/>
                <w:sz w:val="18"/>
                <w:szCs w:val="18"/>
              </w:rPr>
            </w:pPr>
            <w:r w:rsidRPr="00B401A6">
              <w:rPr>
                <w:rFonts w:ascii="Arial" w:eastAsia="Times New Roman" w:hAnsi="Arial" w:cs="Arial"/>
                <w:color w:val="000000"/>
                <w:sz w:val="18"/>
                <w:szCs w:val="18"/>
              </w:rPr>
              <w:t>Fondo de Aportaciones Múltiples (FAM). Instituto Colimense de la Infraestructura Física Educativa.</w:t>
            </w:r>
          </w:p>
        </w:tc>
        <w:tc>
          <w:tcPr>
            <w:tcW w:w="2081" w:type="dxa"/>
            <w:tcBorders>
              <w:top w:val="nil"/>
              <w:left w:val="nil"/>
              <w:bottom w:val="single" w:sz="4" w:space="0" w:color="auto"/>
              <w:right w:val="single" w:sz="4" w:space="0" w:color="auto"/>
            </w:tcBorders>
            <w:shd w:val="clear" w:color="000000" w:fill="FFFFFF"/>
            <w:vAlign w:val="center"/>
            <w:hideMark/>
          </w:tcPr>
          <w:p w14:paraId="2C59EA18" w14:textId="77777777" w:rsidR="00B076A2" w:rsidRPr="00B401A6" w:rsidRDefault="00B076A2" w:rsidP="00B3646C">
            <w:pPr>
              <w:spacing w:after="0" w:line="240" w:lineRule="auto"/>
              <w:rPr>
                <w:rFonts w:ascii="Arial" w:eastAsia="Times New Roman" w:hAnsi="Arial" w:cs="Arial"/>
                <w:color w:val="000000"/>
                <w:sz w:val="18"/>
                <w:szCs w:val="18"/>
              </w:rPr>
            </w:pPr>
            <w:r w:rsidRPr="00B401A6">
              <w:rPr>
                <w:rFonts w:ascii="Arial" w:eastAsia="Times New Roman" w:hAnsi="Arial" w:cs="Arial"/>
                <w:color w:val="000000"/>
                <w:sz w:val="18"/>
                <w:szCs w:val="18"/>
              </w:rPr>
              <w:t>Infraestructura Educativa Básica.</w:t>
            </w:r>
          </w:p>
        </w:tc>
        <w:tc>
          <w:tcPr>
            <w:tcW w:w="1340" w:type="dxa"/>
            <w:tcBorders>
              <w:top w:val="nil"/>
              <w:left w:val="nil"/>
              <w:bottom w:val="single" w:sz="4" w:space="0" w:color="auto"/>
              <w:right w:val="single" w:sz="4" w:space="0" w:color="auto"/>
            </w:tcBorders>
            <w:shd w:val="clear" w:color="000000" w:fill="FFFFFF"/>
            <w:vAlign w:val="center"/>
            <w:hideMark/>
          </w:tcPr>
          <w:p w14:paraId="10766D5E" w14:textId="77777777" w:rsidR="00B076A2" w:rsidRPr="00B401A6" w:rsidRDefault="00B076A2" w:rsidP="00B3646C">
            <w:pPr>
              <w:spacing w:after="0" w:line="240" w:lineRule="auto"/>
              <w:rPr>
                <w:rFonts w:ascii="Arial" w:eastAsia="Times New Roman" w:hAnsi="Arial" w:cs="Arial"/>
                <w:color w:val="000000"/>
                <w:sz w:val="18"/>
                <w:szCs w:val="18"/>
              </w:rPr>
            </w:pPr>
            <w:r w:rsidRPr="00B401A6">
              <w:rPr>
                <w:rFonts w:ascii="Arial" w:eastAsia="Times New Roman" w:hAnsi="Arial" w:cs="Arial"/>
                <w:color w:val="000000"/>
                <w:sz w:val="18"/>
                <w:szCs w:val="18"/>
              </w:rPr>
              <w:t>Evaluación de Procesos.</w:t>
            </w:r>
          </w:p>
        </w:tc>
        <w:tc>
          <w:tcPr>
            <w:tcW w:w="1700" w:type="dxa"/>
            <w:tcBorders>
              <w:top w:val="nil"/>
              <w:left w:val="nil"/>
              <w:bottom w:val="single" w:sz="4" w:space="0" w:color="auto"/>
              <w:right w:val="single" w:sz="4" w:space="0" w:color="auto"/>
            </w:tcBorders>
            <w:shd w:val="clear" w:color="000000" w:fill="FFFFFF"/>
            <w:vAlign w:val="center"/>
            <w:hideMark/>
          </w:tcPr>
          <w:p w14:paraId="2A4E700A" w14:textId="77777777" w:rsidR="00B076A2" w:rsidRPr="00B401A6" w:rsidRDefault="00B076A2" w:rsidP="00B3646C">
            <w:pPr>
              <w:spacing w:after="0" w:line="240" w:lineRule="auto"/>
              <w:jc w:val="center"/>
              <w:rPr>
                <w:rFonts w:ascii="Arial" w:eastAsia="Times New Roman" w:hAnsi="Arial" w:cs="Arial"/>
                <w:sz w:val="18"/>
                <w:szCs w:val="18"/>
              </w:rPr>
            </w:pPr>
            <w:r w:rsidRPr="00B401A6">
              <w:rPr>
                <w:rFonts w:ascii="Arial" w:eastAsia="Times New Roman" w:hAnsi="Arial" w:cs="Arial"/>
                <w:sz w:val="18"/>
                <w:szCs w:val="18"/>
              </w:rPr>
              <w:t xml:space="preserve">Tecnología Social para el Desarrollo, S.A de C.V. </w:t>
            </w:r>
          </w:p>
        </w:tc>
      </w:tr>
      <w:tr w:rsidR="00B076A2" w:rsidRPr="00B401A6" w14:paraId="4B53416B" w14:textId="77777777" w:rsidTr="00B3646C">
        <w:trPr>
          <w:trHeight w:val="6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14:paraId="3CCC26EE" w14:textId="77777777" w:rsidR="00B076A2" w:rsidRPr="00B401A6" w:rsidRDefault="00B076A2" w:rsidP="00B3646C">
            <w:pPr>
              <w:spacing w:after="0" w:line="240" w:lineRule="auto"/>
              <w:jc w:val="center"/>
              <w:rPr>
                <w:rFonts w:ascii="Arial" w:eastAsia="Times New Roman" w:hAnsi="Arial" w:cs="Arial"/>
                <w:sz w:val="18"/>
                <w:szCs w:val="18"/>
              </w:rPr>
            </w:pPr>
            <w:r w:rsidRPr="00B401A6">
              <w:rPr>
                <w:rFonts w:ascii="Arial" w:eastAsia="Times New Roman" w:hAnsi="Arial" w:cs="Arial"/>
                <w:sz w:val="18"/>
                <w:szCs w:val="18"/>
              </w:rPr>
              <w:t>2017</w:t>
            </w:r>
          </w:p>
        </w:tc>
        <w:tc>
          <w:tcPr>
            <w:tcW w:w="2919" w:type="dxa"/>
            <w:tcBorders>
              <w:top w:val="nil"/>
              <w:left w:val="nil"/>
              <w:bottom w:val="single" w:sz="4" w:space="0" w:color="auto"/>
              <w:right w:val="single" w:sz="4" w:space="0" w:color="auto"/>
            </w:tcBorders>
            <w:shd w:val="clear" w:color="000000" w:fill="FFFFFF"/>
            <w:vAlign w:val="center"/>
            <w:hideMark/>
          </w:tcPr>
          <w:p w14:paraId="7EFE3D04" w14:textId="77777777" w:rsidR="00B076A2" w:rsidRPr="00B401A6" w:rsidRDefault="00B076A2" w:rsidP="00B3646C">
            <w:pPr>
              <w:spacing w:after="0" w:line="240" w:lineRule="auto"/>
              <w:rPr>
                <w:rFonts w:ascii="Arial" w:eastAsia="Times New Roman" w:hAnsi="Arial" w:cs="Arial"/>
                <w:sz w:val="18"/>
                <w:szCs w:val="18"/>
              </w:rPr>
            </w:pPr>
            <w:r w:rsidRPr="00B401A6">
              <w:rPr>
                <w:rFonts w:ascii="Arial" w:eastAsia="Times New Roman" w:hAnsi="Arial" w:cs="Arial"/>
                <w:sz w:val="18"/>
                <w:szCs w:val="18"/>
              </w:rPr>
              <w:t>Fondo de Aportaciones para el Fortalecimiento de las Entidades Federativas (FAFEF). Secretaría de Infraestructura y Desarrollo Urbano.</w:t>
            </w:r>
          </w:p>
        </w:tc>
        <w:tc>
          <w:tcPr>
            <w:tcW w:w="2081" w:type="dxa"/>
            <w:tcBorders>
              <w:top w:val="nil"/>
              <w:left w:val="nil"/>
              <w:bottom w:val="single" w:sz="4" w:space="0" w:color="auto"/>
              <w:right w:val="single" w:sz="4" w:space="0" w:color="auto"/>
            </w:tcBorders>
            <w:shd w:val="clear" w:color="000000" w:fill="FFFFFF"/>
            <w:vAlign w:val="center"/>
            <w:hideMark/>
          </w:tcPr>
          <w:p w14:paraId="7A77CA5F" w14:textId="77777777" w:rsidR="00B076A2" w:rsidRPr="00B401A6" w:rsidRDefault="00B076A2" w:rsidP="00B3646C">
            <w:pPr>
              <w:spacing w:after="0" w:line="240" w:lineRule="auto"/>
              <w:rPr>
                <w:rFonts w:ascii="Arial" w:eastAsia="Times New Roman" w:hAnsi="Arial" w:cs="Arial"/>
                <w:sz w:val="18"/>
                <w:szCs w:val="18"/>
              </w:rPr>
            </w:pPr>
            <w:r w:rsidRPr="00B401A6">
              <w:rPr>
                <w:rFonts w:ascii="Arial" w:eastAsia="Times New Roman" w:hAnsi="Arial" w:cs="Arial"/>
                <w:sz w:val="18"/>
                <w:szCs w:val="18"/>
              </w:rPr>
              <w:t>Infraestructura No Habitacional.</w:t>
            </w:r>
          </w:p>
        </w:tc>
        <w:tc>
          <w:tcPr>
            <w:tcW w:w="1340" w:type="dxa"/>
            <w:tcBorders>
              <w:top w:val="nil"/>
              <w:left w:val="nil"/>
              <w:bottom w:val="single" w:sz="4" w:space="0" w:color="auto"/>
              <w:right w:val="single" w:sz="4" w:space="0" w:color="auto"/>
            </w:tcBorders>
            <w:shd w:val="clear" w:color="000000" w:fill="FFFFFF"/>
            <w:vAlign w:val="center"/>
            <w:hideMark/>
          </w:tcPr>
          <w:p w14:paraId="609B8B88" w14:textId="77777777" w:rsidR="00B076A2" w:rsidRPr="00B401A6" w:rsidRDefault="00B076A2" w:rsidP="00B3646C">
            <w:pPr>
              <w:spacing w:after="0" w:line="240" w:lineRule="auto"/>
              <w:rPr>
                <w:rFonts w:ascii="Arial" w:eastAsia="Times New Roman" w:hAnsi="Arial" w:cs="Arial"/>
                <w:sz w:val="18"/>
                <w:szCs w:val="18"/>
              </w:rPr>
            </w:pPr>
            <w:r w:rsidRPr="00B401A6">
              <w:rPr>
                <w:rFonts w:ascii="Arial" w:eastAsia="Times New Roman" w:hAnsi="Arial" w:cs="Arial"/>
                <w:sz w:val="18"/>
                <w:szCs w:val="18"/>
              </w:rPr>
              <w:t>Evaluación de Consistencia y Resultados.</w:t>
            </w:r>
          </w:p>
        </w:tc>
        <w:tc>
          <w:tcPr>
            <w:tcW w:w="1700" w:type="dxa"/>
            <w:tcBorders>
              <w:top w:val="nil"/>
              <w:left w:val="nil"/>
              <w:bottom w:val="single" w:sz="4" w:space="0" w:color="auto"/>
              <w:right w:val="single" w:sz="4" w:space="0" w:color="auto"/>
            </w:tcBorders>
            <w:shd w:val="clear" w:color="000000" w:fill="FFFFFF"/>
            <w:vAlign w:val="center"/>
            <w:hideMark/>
          </w:tcPr>
          <w:p w14:paraId="4A44C556" w14:textId="77777777" w:rsidR="00B076A2" w:rsidRPr="00B401A6" w:rsidRDefault="00B076A2" w:rsidP="00B3646C">
            <w:pPr>
              <w:spacing w:after="0" w:line="240" w:lineRule="auto"/>
              <w:jc w:val="center"/>
              <w:rPr>
                <w:rFonts w:ascii="Arial" w:eastAsia="Times New Roman" w:hAnsi="Arial" w:cs="Arial"/>
                <w:sz w:val="18"/>
                <w:szCs w:val="18"/>
              </w:rPr>
            </w:pPr>
            <w:r w:rsidRPr="00B401A6">
              <w:rPr>
                <w:rFonts w:ascii="Arial" w:eastAsia="Times New Roman" w:hAnsi="Arial" w:cs="Arial"/>
                <w:sz w:val="18"/>
                <w:szCs w:val="18"/>
              </w:rPr>
              <w:t>Tecnología Social p</w:t>
            </w:r>
            <w:r>
              <w:rPr>
                <w:rFonts w:ascii="Arial" w:eastAsia="Times New Roman" w:hAnsi="Arial" w:cs="Arial"/>
                <w:sz w:val="18"/>
                <w:szCs w:val="18"/>
              </w:rPr>
              <w:t>ara el Desarrollo, S.A de C.V.</w:t>
            </w:r>
          </w:p>
        </w:tc>
      </w:tr>
      <w:tr w:rsidR="00B076A2" w:rsidRPr="00B401A6" w14:paraId="429CDE31" w14:textId="77777777" w:rsidTr="00B3646C">
        <w:trPr>
          <w:trHeight w:val="6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14:paraId="54018328" w14:textId="77777777" w:rsidR="00B076A2" w:rsidRPr="00B401A6" w:rsidRDefault="00B076A2" w:rsidP="00B3646C">
            <w:pPr>
              <w:spacing w:after="0" w:line="240" w:lineRule="auto"/>
              <w:jc w:val="center"/>
              <w:rPr>
                <w:rFonts w:ascii="Arial" w:eastAsia="Times New Roman" w:hAnsi="Arial" w:cs="Arial"/>
                <w:sz w:val="18"/>
                <w:szCs w:val="18"/>
              </w:rPr>
            </w:pPr>
            <w:r w:rsidRPr="00B401A6">
              <w:rPr>
                <w:rFonts w:ascii="Arial" w:eastAsia="Times New Roman" w:hAnsi="Arial" w:cs="Arial"/>
                <w:sz w:val="18"/>
                <w:szCs w:val="18"/>
              </w:rPr>
              <w:t>2017</w:t>
            </w:r>
          </w:p>
        </w:tc>
        <w:tc>
          <w:tcPr>
            <w:tcW w:w="2919" w:type="dxa"/>
            <w:tcBorders>
              <w:top w:val="nil"/>
              <w:left w:val="nil"/>
              <w:bottom w:val="single" w:sz="4" w:space="0" w:color="auto"/>
              <w:right w:val="single" w:sz="4" w:space="0" w:color="auto"/>
            </w:tcBorders>
            <w:shd w:val="clear" w:color="000000" w:fill="FFFFFF"/>
            <w:vAlign w:val="center"/>
            <w:hideMark/>
          </w:tcPr>
          <w:p w14:paraId="591174D7" w14:textId="77777777" w:rsidR="00B076A2" w:rsidRPr="00B401A6" w:rsidRDefault="00B076A2" w:rsidP="00B3646C">
            <w:pPr>
              <w:spacing w:after="0" w:line="240" w:lineRule="auto"/>
              <w:rPr>
                <w:rFonts w:ascii="Arial" w:eastAsia="Times New Roman" w:hAnsi="Arial" w:cs="Arial"/>
                <w:sz w:val="18"/>
                <w:szCs w:val="18"/>
              </w:rPr>
            </w:pPr>
            <w:r w:rsidRPr="00B401A6">
              <w:rPr>
                <w:rFonts w:ascii="Arial" w:eastAsia="Times New Roman" w:hAnsi="Arial" w:cs="Arial"/>
                <w:sz w:val="18"/>
                <w:szCs w:val="18"/>
              </w:rPr>
              <w:t>Fondo de Infraestructura Social para las Entidades (FISE). Instituto de Suelo, Urbanización y Vivienda del Estado de Colima.</w:t>
            </w:r>
          </w:p>
        </w:tc>
        <w:tc>
          <w:tcPr>
            <w:tcW w:w="2081" w:type="dxa"/>
            <w:tcBorders>
              <w:top w:val="nil"/>
              <w:left w:val="nil"/>
              <w:bottom w:val="single" w:sz="4" w:space="0" w:color="auto"/>
              <w:right w:val="single" w:sz="4" w:space="0" w:color="auto"/>
            </w:tcBorders>
            <w:shd w:val="clear" w:color="000000" w:fill="FFFFFF"/>
            <w:vAlign w:val="center"/>
            <w:hideMark/>
          </w:tcPr>
          <w:p w14:paraId="0DBC37BF" w14:textId="77777777" w:rsidR="00B076A2" w:rsidRPr="00B401A6" w:rsidRDefault="00B076A2" w:rsidP="00B3646C">
            <w:pPr>
              <w:spacing w:after="0" w:line="240" w:lineRule="auto"/>
              <w:rPr>
                <w:rFonts w:ascii="Arial" w:eastAsia="Times New Roman" w:hAnsi="Arial" w:cs="Arial"/>
                <w:sz w:val="18"/>
                <w:szCs w:val="18"/>
              </w:rPr>
            </w:pPr>
            <w:r w:rsidRPr="00B401A6">
              <w:rPr>
                <w:rFonts w:ascii="Arial" w:eastAsia="Times New Roman" w:hAnsi="Arial" w:cs="Arial"/>
                <w:sz w:val="18"/>
                <w:szCs w:val="18"/>
              </w:rPr>
              <w:t>Programa de Atención al Indicador de Calidad y Espacios en la Vivienda.</w:t>
            </w:r>
          </w:p>
        </w:tc>
        <w:tc>
          <w:tcPr>
            <w:tcW w:w="1340" w:type="dxa"/>
            <w:tcBorders>
              <w:top w:val="nil"/>
              <w:left w:val="nil"/>
              <w:bottom w:val="single" w:sz="4" w:space="0" w:color="auto"/>
              <w:right w:val="single" w:sz="4" w:space="0" w:color="auto"/>
            </w:tcBorders>
            <w:shd w:val="clear" w:color="000000" w:fill="FFFFFF"/>
            <w:vAlign w:val="center"/>
            <w:hideMark/>
          </w:tcPr>
          <w:p w14:paraId="08B3537C" w14:textId="77777777" w:rsidR="00B076A2" w:rsidRPr="00B401A6" w:rsidRDefault="00B076A2" w:rsidP="00B3646C">
            <w:pPr>
              <w:spacing w:after="0" w:line="240" w:lineRule="auto"/>
              <w:rPr>
                <w:rFonts w:ascii="Arial" w:eastAsia="Times New Roman" w:hAnsi="Arial" w:cs="Arial"/>
                <w:sz w:val="18"/>
                <w:szCs w:val="18"/>
              </w:rPr>
            </w:pPr>
            <w:r w:rsidRPr="00B401A6">
              <w:rPr>
                <w:rFonts w:ascii="Arial" w:eastAsia="Times New Roman" w:hAnsi="Arial" w:cs="Arial"/>
                <w:sz w:val="18"/>
                <w:szCs w:val="18"/>
              </w:rPr>
              <w:t>Evaluación de Consistencia y Resultados.</w:t>
            </w:r>
          </w:p>
        </w:tc>
        <w:tc>
          <w:tcPr>
            <w:tcW w:w="1700" w:type="dxa"/>
            <w:tcBorders>
              <w:top w:val="nil"/>
              <w:left w:val="nil"/>
              <w:bottom w:val="single" w:sz="4" w:space="0" w:color="auto"/>
              <w:right w:val="single" w:sz="4" w:space="0" w:color="auto"/>
            </w:tcBorders>
            <w:shd w:val="clear" w:color="000000" w:fill="FFFFFF"/>
            <w:vAlign w:val="center"/>
            <w:hideMark/>
          </w:tcPr>
          <w:p w14:paraId="62967F41" w14:textId="77777777" w:rsidR="00B076A2" w:rsidRPr="00B401A6" w:rsidRDefault="00B076A2" w:rsidP="00B3646C">
            <w:pPr>
              <w:spacing w:after="0" w:line="240" w:lineRule="auto"/>
              <w:jc w:val="center"/>
              <w:rPr>
                <w:rFonts w:ascii="Arial" w:eastAsia="Times New Roman" w:hAnsi="Arial" w:cs="Arial"/>
                <w:sz w:val="18"/>
                <w:szCs w:val="18"/>
              </w:rPr>
            </w:pPr>
            <w:r w:rsidRPr="00B401A6">
              <w:rPr>
                <w:rFonts w:ascii="Arial" w:eastAsia="Times New Roman" w:hAnsi="Arial" w:cs="Arial"/>
                <w:sz w:val="18"/>
                <w:szCs w:val="18"/>
              </w:rPr>
              <w:t xml:space="preserve">Tecnología Social para el Desarrollo, S.A de C.V. </w:t>
            </w:r>
          </w:p>
        </w:tc>
      </w:tr>
      <w:tr w:rsidR="00B076A2" w:rsidRPr="00B401A6" w14:paraId="288D8740" w14:textId="77777777" w:rsidTr="00B3646C">
        <w:trPr>
          <w:trHeight w:val="6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14:paraId="1704E820" w14:textId="77777777" w:rsidR="00B076A2" w:rsidRPr="00B401A6" w:rsidRDefault="00B076A2" w:rsidP="00B3646C">
            <w:pPr>
              <w:spacing w:after="0" w:line="240" w:lineRule="auto"/>
              <w:jc w:val="center"/>
              <w:rPr>
                <w:rFonts w:ascii="Arial" w:eastAsia="Times New Roman" w:hAnsi="Arial" w:cs="Arial"/>
                <w:color w:val="000000"/>
                <w:sz w:val="18"/>
                <w:szCs w:val="18"/>
              </w:rPr>
            </w:pPr>
            <w:r w:rsidRPr="00B401A6">
              <w:rPr>
                <w:rFonts w:ascii="Arial" w:eastAsia="Times New Roman" w:hAnsi="Arial" w:cs="Arial"/>
                <w:color w:val="000000"/>
                <w:sz w:val="18"/>
                <w:szCs w:val="18"/>
              </w:rPr>
              <w:t>2017</w:t>
            </w:r>
          </w:p>
        </w:tc>
        <w:tc>
          <w:tcPr>
            <w:tcW w:w="2919" w:type="dxa"/>
            <w:tcBorders>
              <w:top w:val="nil"/>
              <w:left w:val="nil"/>
              <w:bottom w:val="single" w:sz="4" w:space="0" w:color="auto"/>
              <w:right w:val="single" w:sz="4" w:space="0" w:color="auto"/>
            </w:tcBorders>
            <w:shd w:val="clear" w:color="000000" w:fill="FFFFFF"/>
            <w:vAlign w:val="center"/>
            <w:hideMark/>
          </w:tcPr>
          <w:p w14:paraId="3249E3CD" w14:textId="77777777" w:rsidR="00B076A2" w:rsidRPr="00B401A6" w:rsidRDefault="00B076A2" w:rsidP="00B3646C">
            <w:pPr>
              <w:spacing w:after="0" w:line="240" w:lineRule="auto"/>
              <w:rPr>
                <w:rFonts w:ascii="Arial" w:eastAsia="Times New Roman" w:hAnsi="Arial" w:cs="Arial"/>
                <w:color w:val="000000"/>
                <w:sz w:val="18"/>
                <w:szCs w:val="18"/>
              </w:rPr>
            </w:pPr>
            <w:r w:rsidRPr="00B401A6">
              <w:rPr>
                <w:rFonts w:ascii="Arial" w:eastAsia="Times New Roman" w:hAnsi="Arial" w:cs="Arial"/>
                <w:color w:val="000000"/>
                <w:sz w:val="18"/>
                <w:szCs w:val="18"/>
              </w:rPr>
              <w:t>Fondo de Aportaciones para la Seguridad Pública de los Estados y del Distrito Federal (FASP). Secretariado Ejecutivo del Sistema Estatal de Seguridad Pública.</w:t>
            </w:r>
          </w:p>
        </w:tc>
        <w:tc>
          <w:tcPr>
            <w:tcW w:w="2081" w:type="dxa"/>
            <w:tcBorders>
              <w:top w:val="nil"/>
              <w:left w:val="nil"/>
              <w:bottom w:val="single" w:sz="4" w:space="0" w:color="auto"/>
              <w:right w:val="single" w:sz="4" w:space="0" w:color="auto"/>
            </w:tcBorders>
            <w:shd w:val="clear" w:color="000000" w:fill="FFFFFF"/>
            <w:vAlign w:val="center"/>
            <w:hideMark/>
          </w:tcPr>
          <w:p w14:paraId="57B4F096" w14:textId="77777777" w:rsidR="00B076A2" w:rsidRPr="00B401A6" w:rsidRDefault="00B076A2" w:rsidP="00B3646C">
            <w:pPr>
              <w:spacing w:after="0" w:line="240" w:lineRule="auto"/>
              <w:rPr>
                <w:rFonts w:ascii="Arial" w:eastAsia="Times New Roman" w:hAnsi="Arial" w:cs="Arial"/>
                <w:color w:val="000000"/>
                <w:sz w:val="18"/>
                <w:szCs w:val="18"/>
              </w:rPr>
            </w:pPr>
            <w:r w:rsidRPr="00B401A6">
              <w:rPr>
                <w:rFonts w:ascii="Arial" w:eastAsia="Times New Roman" w:hAnsi="Arial" w:cs="Arial"/>
                <w:color w:val="000000"/>
                <w:sz w:val="18"/>
                <w:szCs w:val="18"/>
              </w:rPr>
              <w:t>Fondo de Aportaciones para la Seguridad Pública de los Estados y del Distrito Federal (FASP).</w:t>
            </w:r>
          </w:p>
        </w:tc>
        <w:tc>
          <w:tcPr>
            <w:tcW w:w="1340" w:type="dxa"/>
            <w:tcBorders>
              <w:top w:val="nil"/>
              <w:left w:val="nil"/>
              <w:bottom w:val="single" w:sz="4" w:space="0" w:color="auto"/>
              <w:right w:val="single" w:sz="4" w:space="0" w:color="auto"/>
            </w:tcBorders>
            <w:shd w:val="clear" w:color="000000" w:fill="FFFFFF"/>
            <w:vAlign w:val="center"/>
            <w:hideMark/>
          </w:tcPr>
          <w:p w14:paraId="537E7E69" w14:textId="77777777" w:rsidR="00B076A2" w:rsidRPr="00B401A6" w:rsidRDefault="00B076A2" w:rsidP="00B3646C">
            <w:pPr>
              <w:spacing w:after="0" w:line="240" w:lineRule="auto"/>
              <w:rPr>
                <w:rFonts w:ascii="Arial" w:eastAsia="Times New Roman" w:hAnsi="Arial" w:cs="Arial"/>
                <w:color w:val="000000"/>
                <w:sz w:val="18"/>
                <w:szCs w:val="18"/>
              </w:rPr>
            </w:pPr>
            <w:r w:rsidRPr="00B401A6">
              <w:rPr>
                <w:rFonts w:ascii="Arial" w:eastAsia="Times New Roman" w:hAnsi="Arial" w:cs="Arial"/>
                <w:color w:val="000000"/>
                <w:sz w:val="18"/>
                <w:szCs w:val="18"/>
              </w:rPr>
              <w:t>Evaluación de Consistencia y Resultados.</w:t>
            </w:r>
          </w:p>
        </w:tc>
        <w:tc>
          <w:tcPr>
            <w:tcW w:w="1700" w:type="dxa"/>
            <w:tcBorders>
              <w:top w:val="nil"/>
              <w:left w:val="nil"/>
              <w:bottom w:val="single" w:sz="4" w:space="0" w:color="auto"/>
              <w:right w:val="single" w:sz="4" w:space="0" w:color="auto"/>
            </w:tcBorders>
            <w:shd w:val="clear" w:color="000000" w:fill="FFFFFF"/>
            <w:vAlign w:val="center"/>
            <w:hideMark/>
          </w:tcPr>
          <w:p w14:paraId="36C46CC5" w14:textId="77777777" w:rsidR="00B076A2" w:rsidRPr="00B401A6" w:rsidRDefault="00B076A2" w:rsidP="00B3646C">
            <w:pPr>
              <w:spacing w:after="0" w:line="240" w:lineRule="auto"/>
              <w:jc w:val="center"/>
              <w:rPr>
                <w:rFonts w:ascii="Arial" w:eastAsia="Times New Roman" w:hAnsi="Arial" w:cs="Arial"/>
                <w:sz w:val="18"/>
                <w:szCs w:val="18"/>
              </w:rPr>
            </w:pPr>
            <w:r w:rsidRPr="00B401A6">
              <w:rPr>
                <w:rFonts w:ascii="Arial" w:eastAsia="Times New Roman" w:hAnsi="Arial" w:cs="Arial"/>
                <w:sz w:val="18"/>
                <w:szCs w:val="18"/>
              </w:rPr>
              <w:t>Prospectiva Financiera.</w:t>
            </w:r>
          </w:p>
        </w:tc>
      </w:tr>
      <w:tr w:rsidR="00B076A2" w:rsidRPr="00B401A6" w14:paraId="7825CBDA" w14:textId="77777777" w:rsidTr="00B3646C">
        <w:trPr>
          <w:trHeight w:val="704"/>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14:paraId="588A793E" w14:textId="77777777" w:rsidR="00B076A2" w:rsidRPr="00B401A6" w:rsidRDefault="00B076A2" w:rsidP="00B3646C">
            <w:pPr>
              <w:spacing w:after="0" w:line="240" w:lineRule="auto"/>
              <w:jc w:val="center"/>
              <w:rPr>
                <w:rFonts w:ascii="Arial" w:eastAsia="Times New Roman" w:hAnsi="Arial" w:cs="Arial"/>
                <w:color w:val="000000"/>
                <w:sz w:val="18"/>
                <w:szCs w:val="18"/>
              </w:rPr>
            </w:pPr>
            <w:r w:rsidRPr="00B401A6">
              <w:rPr>
                <w:rFonts w:ascii="Arial" w:eastAsia="Times New Roman" w:hAnsi="Arial" w:cs="Arial"/>
                <w:color w:val="000000"/>
                <w:sz w:val="18"/>
                <w:szCs w:val="18"/>
              </w:rPr>
              <w:t>2017</w:t>
            </w:r>
          </w:p>
        </w:tc>
        <w:tc>
          <w:tcPr>
            <w:tcW w:w="2919" w:type="dxa"/>
            <w:tcBorders>
              <w:top w:val="nil"/>
              <w:left w:val="nil"/>
              <w:bottom w:val="single" w:sz="4" w:space="0" w:color="auto"/>
              <w:right w:val="single" w:sz="4" w:space="0" w:color="auto"/>
            </w:tcBorders>
            <w:shd w:val="clear" w:color="000000" w:fill="FFFFFF"/>
            <w:vAlign w:val="center"/>
            <w:hideMark/>
          </w:tcPr>
          <w:p w14:paraId="535A14F1" w14:textId="77777777" w:rsidR="00B076A2" w:rsidRPr="00B401A6" w:rsidRDefault="00B076A2" w:rsidP="00B3646C">
            <w:pPr>
              <w:spacing w:after="0" w:line="240" w:lineRule="auto"/>
              <w:rPr>
                <w:rFonts w:ascii="Arial" w:eastAsia="Times New Roman" w:hAnsi="Arial" w:cs="Arial"/>
                <w:color w:val="000000"/>
                <w:sz w:val="18"/>
                <w:szCs w:val="18"/>
              </w:rPr>
            </w:pPr>
            <w:r w:rsidRPr="00B401A6">
              <w:rPr>
                <w:rFonts w:ascii="Arial" w:eastAsia="Times New Roman" w:hAnsi="Arial" w:cs="Arial"/>
                <w:color w:val="000000"/>
                <w:sz w:val="18"/>
                <w:szCs w:val="18"/>
              </w:rPr>
              <w:t>Programa de Fortalecimiento para la Seguridad (FORTASEG). Secretaría de Seguridad Pública.</w:t>
            </w:r>
          </w:p>
        </w:tc>
        <w:tc>
          <w:tcPr>
            <w:tcW w:w="2081" w:type="dxa"/>
            <w:tcBorders>
              <w:top w:val="nil"/>
              <w:left w:val="nil"/>
              <w:bottom w:val="single" w:sz="4" w:space="0" w:color="auto"/>
              <w:right w:val="single" w:sz="4" w:space="0" w:color="auto"/>
            </w:tcBorders>
            <w:shd w:val="clear" w:color="000000" w:fill="FFFFFF"/>
            <w:vAlign w:val="center"/>
            <w:hideMark/>
          </w:tcPr>
          <w:p w14:paraId="41E23E16" w14:textId="77777777" w:rsidR="00B076A2" w:rsidRPr="00B401A6" w:rsidRDefault="00B076A2" w:rsidP="00B3646C">
            <w:pPr>
              <w:spacing w:after="0" w:line="240" w:lineRule="auto"/>
              <w:rPr>
                <w:rFonts w:ascii="Arial" w:eastAsia="Times New Roman" w:hAnsi="Arial" w:cs="Arial"/>
                <w:color w:val="000000"/>
                <w:sz w:val="18"/>
                <w:szCs w:val="18"/>
              </w:rPr>
            </w:pPr>
            <w:r w:rsidRPr="00B401A6">
              <w:rPr>
                <w:rFonts w:ascii="Arial" w:eastAsia="Times New Roman" w:hAnsi="Arial" w:cs="Arial"/>
                <w:color w:val="000000"/>
                <w:sz w:val="18"/>
                <w:szCs w:val="18"/>
              </w:rPr>
              <w:t>Programa de Fortalecimiento para la Seguridad (FORTASEG).</w:t>
            </w:r>
          </w:p>
        </w:tc>
        <w:tc>
          <w:tcPr>
            <w:tcW w:w="1340" w:type="dxa"/>
            <w:tcBorders>
              <w:top w:val="nil"/>
              <w:left w:val="nil"/>
              <w:bottom w:val="single" w:sz="4" w:space="0" w:color="auto"/>
              <w:right w:val="single" w:sz="4" w:space="0" w:color="auto"/>
            </w:tcBorders>
            <w:shd w:val="clear" w:color="000000" w:fill="FFFFFF"/>
            <w:vAlign w:val="center"/>
            <w:hideMark/>
          </w:tcPr>
          <w:p w14:paraId="1F74B859" w14:textId="77777777" w:rsidR="00B076A2" w:rsidRPr="00B401A6" w:rsidRDefault="00B076A2" w:rsidP="00B3646C">
            <w:pPr>
              <w:spacing w:after="0" w:line="240" w:lineRule="auto"/>
              <w:rPr>
                <w:rFonts w:ascii="Arial" w:eastAsia="Times New Roman" w:hAnsi="Arial" w:cs="Arial"/>
                <w:color w:val="000000"/>
                <w:sz w:val="18"/>
                <w:szCs w:val="18"/>
              </w:rPr>
            </w:pPr>
            <w:r w:rsidRPr="00B401A6">
              <w:rPr>
                <w:rFonts w:ascii="Arial" w:eastAsia="Times New Roman" w:hAnsi="Arial" w:cs="Arial"/>
                <w:color w:val="000000"/>
                <w:sz w:val="18"/>
                <w:szCs w:val="18"/>
              </w:rPr>
              <w:t>Evaluación de Procesos.</w:t>
            </w:r>
          </w:p>
        </w:tc>
        <w:tc>
          <w:tcPr>
            <w:tcW w:w="1700" w:type="dxa"/>
            <w:tcBorders>
              <w:top w:val="nil"/>
              <w:left w:val="nil"/>
              <w:bottom w:val="single" w:sz="4" w:space="0" w:color="auto"/>
              <w:right w:val="single" w:sz="4" w:space="0" w:color="auto"/>
            </w:tcBorders>
            <w:shd w:val="clear" w:color="000000" w:fill="FFFFFF"/>
            <w:vAlign w:val="center"/>
            <w:hideMark/>
          </w:tcPr>
          <w:p w14:paraId="5BD0E674" w14:textId="77777777" w:rsidR="00B076A2" w:rsidRPr="00B401A6" w:rsidRDefault="00B076A2" w:rsidP="00B3646C">
            <w:pPr>
              <w:spacing w:after="0" w:line="240" w:lineRule="auto"/>
              <w:jc w:val="center"/>
              <w:rPr>
                <w:rFonts w:ascii="Arial" w:eastAsia="Times New Roman" w:hAnsi="Arial" w:cs="Arial"/>
                <w:sz w:val="18"/>
                <w:szCs w:val="18"/>
              </w:rPr>
            </w:pPr>
            <w:r w:rsidRPr="00B401A6">
              <w:rPr>
                <w:rFonts w:ascii="Arial" w:eastAsia="Times New Roman" w:hAnsi="Arial" w:cs="Arial"/>
                <w:sz w:val="18"/>
                <w:szCs w:val="18"/>
              </w:rPr>
              <w:t>Integración de Servicios Accesa S de R</w:t>
            </w:r>
            <w:r>
              <w:rPr>
                <w:rFonts w:ascii="Arial" w:eastAsia="Times New Roman" w:hAnsi="Arial" w:cs="Arial"/>
                <w:sz w:val="18"/>
                <w:szCs w:val="18"/>
              </w:rPr>
              <w:t>.</w:t>
            </w:r>
            <w:r w:rsidRPr="00B401A6">
              <w:rPr>
                <w:rFonts w:ascii="Arial" w:eastAsia="Times New Roman" w:hAnsi="Arial" w:cs="Arial"/>
                <w:sz w:val="18"/>
                <w:szCs w:val="18"/>
              </w:rPr>
              <w:t>L</w:t>
            </w:r>
            <w:r>
              <w:rPr>
                <w:rFonts w:ascii="Arial" w:eastAsia="Times New Roman" w:hAnsi="Arial" w:cs="Arial"/>
                <w:sz w:val="18"/>
                <w:szCs w:val="18"/>
              </w:rPr>
              <w:t>.</w:t>
            </w:r>
            <w:r w:rsidRPr="00B401A6">
              <w:rPr>
                <w:rFonts w:ascii="Arial" w:eastAsia="Times New Roman" w:hAnsi="Arial" w:cs="Arial"/>
                <w:sz w:val="18"/>
                <w:szCs w:val="18"/>
              </w:rPr>
              <w:t xml:space="preserve"> de C</w:t>
            </w:r>
            <w:r>
              <w:rPr>
                <w:rFonts w:ascii="Arial" w:eastAsia="Times New Roman" w:hAnsi="Arial" w:cs="Arial"/>
                <w:sz w:val="18"/>
                <w:szCs w:val="18"/>
              </w:rPr>
              <w:t>.</w:t>
            </w:r>
            <w:r w:rsidRPr="00B401A6">
              <w:rPr>
                <w:rFonts w:ascii="Arial" w:eastAsia="Times New Roman" w:hAnsi="Arial" w:cs="Arial"/>
                <w:sz w:val="18"/>
                <w:szCs w:val="18"/>
              </w:rPr>
              <w:t>V.</w:t>
            </w:r>
          </w:p>
        </w:tc>
      </w:tr>
      <w:tr w:rsidR="00B076A2" w:rsidRPr="00B401A6" w14:paraId="773B20C4" w14:textId="77777777" w:rsidTr="00B3646C">
        <w:trPr>
          <w:trHeight w:val="263"/>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14:paraId="5D0A509F" w14:textId="77777777" w:rsidR="00B076A2" w:rsidRPr="00B401A6" w:rsidRDefault="00B076A2" w:rsidP="00B3646C">
            <w:pPr>
              <w:spacing w:after="0" w:line="240" w:lineRule="auto"/>
              <w:jc w:val="center"/>
              <w:rPr>
                <w:rFonts w:ascii="Arial" w:eastAsia="Times New Roman" w:hAnsi="Arial" w:cs="Arial"/>
                <w:sz w:val="18"/>
                <w:szCs w:val="18"/>
              </w:rPr>
            </w:pPr>
            <w:r w:rsidRPr="00B401A6">
              <w:rPr>
                <w:rFonts w:ascii="Arial" w:eastAsia="Times New Roman" w:hAnsi="Arial" w:cs="Arial"/>
                <w:sz w:val="18"/>
                <w:szCs w:val="18"/>
              </w:rPr>
              <w:t>2018</w:t>
            </w:r>
          </w:p>
        </w:tc>
        <w:tc>
          <w:tcPr>
            <w:tcW w:w="2919" w:type="dxa"/>
            <w:tcBorders>
              <w:top w:val="nil"/>
              <w:left w:val="nil"/>
              <w:bottom w:val="single" w:sz="4" w:space="0" w:color="auto"/>
              <w:right w:val="single" w:sz="4" w:space="0" w:color="auto"/>
            </w:tcBorders>
            <w:shd w:val="clear" w:color="000000" w:fill="FFFFFF"/>
            <w:vAlign w:val="center"/>
            <w:hideMark/>
          </w:tcPr>
          <w:p w14:paraId="6FC3C949" w14:textId="77777777" w:rsidR="00B076A2" w:rsidRPr="00B401A6" w:rsidRDefault="00B076A2" w:rsidP="00B3646C">
            <w:pPr>
              <w:spacing w:after="0" w:line="240" w:lineRule="auto"/>
              <w:rPr>
                <w:rFonts w:ascii="Arial" w:eastAsia="Times New Roman" w:hAnsi="Arial" w:cs="Arial"/>
                <w:color w:val="000000"/>
                <w:sz w:val="18"/>
                <w:szCs w:val="18"/>
              </w:rPr>
            </w:pPr>
            <w:r w:rsidRPr="00B401A6">
              <w:rPr>
                <w:rFonts w:ascii="Arial" w:eastAsia="Times New Roman" w:hAnsi="Arial" w:cs="Arial"/>
                <w:color w:val="000000"/>
                <w:sz w:val="18"/>
                <w:szCs w:val="18"/>
              </w:rPr>
              <w:t>Evaluación de 69 Programas Presupuestarios del Presupuesto de Egresos Estatal 2018, Marco Lógico y Matriz de Indicadores para Resultados. Secretaría de Planeación y Finanzas.</w:t>
            </w:r>
          </w:p>
        </w:tc>
        <w:tc>
          <w:tcPr>
            <w:tcW w:w="2081" w:type="dxa"/>
            <w:tcBorders>
              <w:top w:val="nil"/>
              <w:left w:val="nil"/>
              <w:bottom w:val="single" w:sz="4" w:space="0" w:color="auto"/>
              <w:right w:val="single" w:sz="4" w:space="0" w:color="auto"/>
            </w:tcBorders>
            <w:shd w:val="clear" w:color="000000" w:fill="FFFFFF"/>
            <w:vAlign w:val="center"/>
            <w:hideMark/>
          </w:tcPr>
          <w:p w14:paraId="450DFA71" w14:textId="77777777" w:rsidR="00B076A2" w:rsidRPr="00B401A6" w:rsidRDefault="00B076A2" w:rsidP="00B3646C">
            <w:pPr>
              <w:spacing w:after="0" w:line="240" w:lineRule="auto"/>
              <w:rPr>
                <w:rFonts w:ascii="Arial" w:eastAsia="Times New Roman" w:hAnsi="Arial" w:cs="Arial"/>
                <w:color w:val="000000"/>
                <w:sz w:val="18"/>
                <w:szCs w:val="18"/>
              </w:rPr>
            </w:pPr>
            <w:r w:rsidRPr="00B401A6">
              <w:rPr>
                <w:rFonts w:ascii="Arial" w:eastAsia="Times New Roman" w:hAnsi="Arial" w:cs="Arial"/>
                <w:color w:val="000000"/>
                <w:sz w:val="18"/>
                <w:szCs w:val="18"/>
              </w:rPr>
              <w:t>69 Programas Presupuestarios.</w:t>
            </w:r>
          </w:p>
        </w:tc>
        <w:tc>
          <w:tcPr>
            <w:tcW w:w="1340" w:type="dxa"/>
            <w:tcBorders>
              <w:top w:val="nil"/>
              <w:left w:val="nil"/>
              <w:bottom w:val="single" w:sz="4" w:space="0" w:color="auto"/>
              <w:right w:val="single" w:sz="4" w:space="0" w:color="auto"/>
            </w:tcBorders>
            <w:shd w:val="clear" w:color="000000" w:fill="FFFFFF"/>
            <w:vAlign w:val="center"/>
            <w:hideMark/>
          </w:tcPr>
          <w:p w14:paraId="444DA3E2" w14:textId="77777777" w:rsidR="00B076A2" w:rsidRPr="00B401A6" w:rsidRDefault="00B076A2" w:rsidP="00B3646C">
            <w:pPr>
              <w:spacing w:after="0" w:line="240" w:lineRule="auto"/>
              <w:rPr>
                <w:rFonts w:ascii="Arial" w:eastAsia="Times New Roman" w:hAnsi="Arial" w:cs="Arial"/>
                <w:color w:val="000000"/>
                <w:sz w:val="18"/>
                <w:szCs w:val="18"/>
              </w:rPr>
            </w:pPr>
            <w:r w:rsidRPr="00B401A6">
              <w:rPr>
                <w:rFonts w:ascii="Arial" w:eastAsia="Times New Roman" w:hAnsi="Arial" w:cs="Arial"/>
                <w:color w:val="000000"/>
                <w:sz w:val="18"/>
                <w:szCs w:val="18"/>
              </w:rPr>
              <w:t>Evaluación Específica de la MIR.</w:t>
            </w:r>
          </w:p>
        </w:tc>
        <w:tc>
          <w:tcPr>
            <w:tcW w:w="1700" w:type="dxa"/>
            <w:tcBorders>
              <w:top w:val="nil"/>
              <w:left w:val="nil"/>
              <w:bottom w:val="single" w:sz="4" w:space="0" w:color="auto"/>
              <w:right w:val="single" w:sz="4" w:space="0" w:color="auto"/>
            </w:tcBorders>
            <w:shd w:val="clear" w:color="000000" w:fill="FFFFFF"/>
            <w:vAlign w:val="center"/>
            <w:hideMark/>
          </w:tcPr>
          <w:p w14:paraId="7194DEFA" w14:textId="77777777" w:rsidR="00B076A2" w:rsidRPr="00B401A6" w:rsidRDefault="00B076A2" w:rsidP="00B3646C">
            <w:pPr>
              <w:spacing w:after="0" w:line="240" w:lineRule="auto"/>
              <w:jc w:val="center"/>
              <w:rPr>
                <w:rFonts w:ascii="Arial" w:eastAsia="Times New Roman" w:hAnsi="Arial" w:cs="Arial"/>
                <w:sz w:val="18"/>
                <w:szCs w:val="18"/>
              </w:rPr>
            </w:pPr>
            <w:r w:rsidRPr="00B401A6">
              <w:rPr>
                <w:rFonts w:ascii="Arial" w:eastAsia="Times New Roman" w:hAnsi="Arial" w:cs="Arial"/>
                <w:sz w:val="18"/>
                <w:szCs w:val="18"/>
              </w:rPr>
              <w:t>Servicios de Información Estratégica, S.C.</w:t>
            </w:r>
          </w:p>
        </w:tc>
      </w:tr>
      <w:tr w:rsidR="00B076A2" w:rsidRPr="00B401A6" w14:paraId="0D605FD5" w14:textId="77777777" w:rsidTr="00B3646C">
        <w:trPr>
          <w:trHeight w:val="1255"/>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14:paraId="3264FA76" w14:textId="77777777" w:rsidR="00B076A2" w:rsidRPr="00B401A6" w:rsidRDefault="00B076A2" w:rsidP="00B3646C">
            <w:pPr>
              <w:spacing w:after="0" w:line="240" w:lineRule="auto"/>
              <w:jc w:val="center"/>
              <w:rPr>
                <w:rFonts w:ascii="Arial" w:eastAsia="Times New Roman" w:hAnsi="Arial" w:cs="Arial"/>
                <w:sz w:val="18"/>
                <w:szCs w:val="18"/>
              </w:rPr>
            </w:pPr>
            <w:r w:rsidRPr="00B401A6">
              <w:rPr>
                <w:rFonts w:ascii="Arial" w:eastAsia="Times New Roman" w:hAnsi="Arial" w:cs="Arial"/>
                <w:sz w:val="18"/>
                <w:szCs w:val="18"/>
              </w:rPr>
              <w:lastRenderedPageBreak/>
              <w:t>2018</w:t>
            </w:r>
          </w:p>
        </w:tc>
        <w:tc>
          <w:tcPr>
            <w:tcW w:w="2919" w:type="dxa"/>
            <w:tcBorders>
              <w:top w:val="nil"/>
              <w:left w:val="nil"/>
              <w:bottom w:val="single" w:sz="4" w:space="0" w:color="auto"/>
              <w:right w:val="single" w:sz="4" w:space="0" w:color="auto"/>
            </w:tcBorders>
            <w:shd w:val="clear" w:color="000000" w:fill="FFFFFF"/>
            <w:vAlign w:val="center"/>
            <w:hideMark/>
          </w:tcPr>
          <w:p w14:paraId="66E95310" w14:textId="77777777" w:rsidR="00B076A2" w:rsidRPr="00B401A6" w:rsidRDefault="00B076A2" w:rsidP="00B3646C">
            <w:pPr>
              <w:spacing w:after="0" w:line="240" w:lineRule="auto"/>
              <w:rPr>
                <w:rFonts w:ascii="Arial" w:eastAsia="Times New Roman" w:hAnsi="Arial" w:cs="Arial"/>
                <w:color w:val="000000"/>
                <w:sz w:val="18"/>
                <w:szCs w:val="18"/>
              </w:rPr>
            </w:pPr>
            <w:r w:rsidRPr="00B401A6">
              <w:rPr>
                <w:rFonts w:ascii="Arial" w:eastAsia="Times New Roman" w:hAnsi="Arial" w:cs="Arial"/>
                <w:color w:val="000000"/>
                <w:sz w:val="18"/>
                <w:szCs w:val="18"/>
              </w:rPr>
              <w:t>Fondo de Fomento Agropecuario del Estado de Colima (FOFAE). SEDER.</w:t>
            </w:r>
          </w:p>
        </w:tc>
        <w:tc>
          <w:tcPr>
            <w:tcW w:w="2081" w:type="dxa"/>
            <w:tcBorders>
              <w:top w:val="nil"/>
              <w:left w:val="nil"/>
              <w:bottom w:val="single" w:sz="4" w:space="0" w:color="auto"/>
              <w:right w:val="single" w:sz="4" w:space="0" w:color="auto"/>
            </w:tcBorders>
            <w:shd w:val="clear" w:color="000000" w:fill="FFFFFF"/>
            <w:vAlign w:val="center"/>
            <w:hideMark/>
          </w:tcPr>
          <w:p w14:paraId="2024709F" w14:textId="77777777" w:rsidR="00B076A2" w:rsidRPr="00B401A6" w:rsidRDefault="00B076A2" w:rsidP="00B3646C">
            <w:pPr>
              <w:spacing w:after="0" w:line="240" w:lineRule="auto"/>
              <w:rPr>
                <w:rFonts w:ascii="Arial" w:eastAsia="Times New Roman" w:hAnsi="Arial" w:cs="Arial"/>
                <w:color w:val="000000"/>
                <w:sz w:val="18"/>
                <w:szCs w:val="18"/>
              </w:rPr>
            </w:pPr>
            <w:r w:rsidRPr="00B401A6">
              <w:rPr>
                <w:rFonts w:ascii="Arial" w:eastAsia="Times New Roman" w:hAnsi="Arial" w:cs="Arial"/>
                <w:color w:val="000000"/>
                <w:sz w:val="18"/>
                <w:szCs w:val="18"/>
              </w:rPr>
              <w:t>Programa de Concurrencia con las Entidades Federativas: Compendio de Indicadores 2016 y Análisis de los Procesos  2016-2017.</w:t>
            </w:r>
          </w:p>
        </w:tc>
        <w:tc>
          <w:tcPr>
            <w:tcW w:w="1340" w:type="dxa"/>
            <w:tcBorders>
              <w:top w:val="nil"/>
              <w:left w:val="nil"/>
              <w:bottom w:val="single" w:sz="4" w:space="0" w:color="auto"/>
              <w:right w:val="single" w:sz="4" w:space="0" w:color="auto"/>
            </w:tcBorders>
            <w:shd w:val="clear" w:color="000000" w:fill="FFFFFF"/>
            <w:vAlign w:val="center"/>
            <w:hideMark/>
          </w:tcPr>
          <w:p w14:paraId="31013524" w14:textId="77777777" w:rsidR="00B076A2" w:rsidRPr="00B401A6" w:rsidRDefault="00B076A2" w:rsidP="00B3646C">
            <w:pPr>
              <w:spacing w:after="0" w:line="240" w:lineRule="auto"/>
              <w:rPr>
                <w:rFonts w:ascii="Arial" w:eastAsia="Times New Roman" w:hAnsi="Arial" w:cs="Arial"/>
                <w:color w:val="000000"/>
                <w:sz w:val="18"/>
                <w:szCs w:val="18"/>
              </w:rPr>
            </w:pPr>
            <w:r w:rsidRPr="00B401A6">
              <w:rPr>
                <w:rFonts w:ascii="Arial" w:eastAsia="Times New Roman" w:hAnsi="Arial" w:cs="Arial"/>
                <w:color w:val="000000"/>
                <w:sz w:val="18"/>
                <w:szCs w:val="18"/>
              </w:rPr>
              <w:t>Evaluación Específica de Indicadores y Procesos.</w:t>
            </w:r>
          </w:p>
        </w:tc>
        <w:tc>
          <w:tcPr>
            <w:tcW w:w="1700" w:type="dxa"/>
            <w:tcBorders>
              <w:top w:val="nil"/>
              <w:left w:val="nil"/>
              <w:bottom w:val="single" w:sz="4" w:space="0" w:color="auto"/>
              <w:right w:val="single" w:sz="4" w:space="0" w:color="auto"/>
            </w:tcBorders>
            <w:shd w:val="clear" w:color="000000" w:fill="FFFFFF"/>
            <w:vAlign w:val="center"/>
            <w:hideMark/>
          </w:tcPr>
          <w:p w14:paraId="16607475" w14:textId="77777777" w:rsidR="00B076A2" w:rsidRPr="00B401A6" w:rsidRDefault="00B076A2" w:rsidP="00B3646C">
            <w:pPr>
              <w:spacing w:after="0" w:line="240" w:lineRule="auto"/>
              <w:jc w:val="center"/>
              <w:rPr>
                <w:rFonts w:ascii="Arial" w:eastAsia="Times New Roman" w:hAnsi="Arial" w:cs="Arial"/>
                <w:sz w:val="18"/>
                <w:szCs w:val="18"/>
              </w:rPr>
            </w:pPr>
            <w:r w:rsidRPr="00B401A6">
              <w:rPr>
                <w:rFonts w:ascii="Arial" w:eastAsia="Times New Roman" w:hAnsi="Arial" w:cs="Arial"/>
                <w:sz w:val="18"/>
                <w:szCs w:val="18"/>
              </w:rPr>
              <w:t>Universidad de Colima.</w:t>
            </w:r>
          </w:p>
        </w:tc>
      </w:tr>
      <w:tr w:rsidR="00B076A2" w:rsidRPr="00B401A6" w14:paraId="3375D773" w14:textId="77777777" w:rsidTr="00B3646C">
        <w:trPr>
          <w:trHeight w:val="263"/>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14:paraId="4549321D" w14:textId="77777777" w:rsidR="00B076A2" w:rsidRPr="00B401A6" w:rsidRDefault="00B076A2" w:rsidP="00B3646C">
            <w:pPr>
              <w:spacing w:after="0" w:line="240" w:lineRule="auto"/>
              <w:jc w:val="center"/>
              <w:rPr>
                <w:rFonts w:ascii="Arial" w:eastAsia="Times New Roman" w:hAnsi="Arial" w:cs="Arial"/>
                <w:sz w:val="18"/>
                <w:szCs w:val="18"/>
              </w:rPr>
            </w:pPr>
            <w:r w:rsidRPr="00B401A6">
              <w:rPr>
                <w:rFonts w:ascii="Arial" w:eastAsia="Times New Roman" w:hAnsi="Arial" w:cs="Arial"/>
                <w:sz w:val="18"/>
                <w:szCs w:val="18"/>
              </w:rPr>
              <w:t>2018</w:t>
            </w:r>
          </w:p>
        </w:tc>
        <w:tc>
          <w:tcPr>
            <w:tcW w:w="2919" w:type="dxa"/>
            <w:tcBorders>
              <w:top w:val="nil"/>
              <w:left w:val="nil"/>
              <w:bottom w:val="single" w:sz="4" w:space="0" w:color="auto"/>
              <w:right w:val="single" w:sz="4" w:space="0" w:color="auto"/>
            </w:tcBorders>
            <w:shd w:val="clear" w:color="000000" w:fill="FFFFFF"/>
            <w:vAlign w:val="center"/>
            <w:hideMark/>
          </w:tcPr>
          <w:p w14:paraId="2414642B" w14:textId="77777777" w:rsidR="00B076A2" w:rsidRPr="00B401A6" w:rsidRDefault="00B076A2" w:rsidP="00B3646C">
            <w:pPr>
              <w:spacing w:after="0" w:line="240" w:lineRule="auto"/>
              <w:rPr>
                <w:rFonts w:ascii="Arial" w:eastAsia="Times New Roman" w:hAnsi="Arial" w:cs="Arial"/>
                <w:color w:val="000000"/>
                <w:sz w:val="18"/>
                <w:szCs w:val="18"/>
              </w:rPr>
            </w:pPr>
            <w:r w:rsidRPr="00B401A6">
              <w:rPr>
                <w:rFonts w:ascii="Arial" w:eastAsia="Times New Roman" w:hAnsi="Arial" w:cs="Arial"/>
                <w:color w:val="000000"/>
                <w:sz w:val="18"/>
                <w:szCs w:val="18"/>
              </w:rPr>
              <w:t>Fondo de Aportaciones para la Nómina Educativa y Gasto Operativo (FONE). Coordinación de los Servicios Educativos del Estado de Colima.</w:t>
            </w:r>
          </w:p>
        </w:tc>
        <w:tc>
          <w:tcPr>
            <w:tcW w:w="2081" w:type="dxa"/>
            <w:tcBorders>
              <w:top w:val="nil"/>
              <w:left w:val="nil"/>
              <w:bottom w:val="single" w:sz="4" w:space="0" w:color="auto"/>
              <w:right w:val="single" w:sz="4" w:space="0" w:color="auto"/>
            </w:tcBorders>
            <w:shd w:val="clear" w:color="000000" w:fill="FFFFFF"/>
            <w:vAlign w:val="center"/>
            <w:hideMark/>
          </w:tcPr>
          <w:p w14:paraId="3D539319" w14:textId="77777777" w:rsidR="00B076A2" w:rsidRPr="00B401A6" w:rsidRDefault="00B076A2" w:rsidP="00B3646C">
            <w:pPr>
              <w:spacing w:after="0" w:line="240" w:lineRule="auto"/>
              <w:rPr>
                <w:rFonts w:ascii="Arial" w:eastAsia="Times New Roman" w:hAnsi="Arial" w:cs="Arial"/>
                <w:color w:val="000000"/>
                <w:sz w:val="18"/>
                <w:szCs w:val="18"/>
              </w:rPr>
            </w:pPr>
            <w:r w:rsidRPr="00B401A6">
              <w:rPr>
                <w:rFonts w:ascii="Arial" w:eastAsia="Times New Roman" w:hAnsi="Arial" w:cs="Arial"/>
                <w:color w:val="000000"/>
                <w:sz w:val="16"/>
                <w:szCs w:val="18"/>
              </w:rPr>
              <w:t>Programa Educación Básica operación del servicio educativo de primaria federalizada a la población de 6 a 11 años de edad, operado con recursos del FONE para el ejercicio fiscal 2018.</w:t>
            </w:r>
          </w:p>
        </w:tc>
        <w:tc>
          <w:tcPr>
            <w:tcW w:w="1340" w:type="dxa"/>
            <w:tcBorders>
              <w:top w:val="nil"/>
              <w:left w:val="nil"/>
              <w:bottom w:val="single" w:sz="4" w:space="0" w:color="auto"/>
              <w:right w:val="single" w:sz="4" w:space="0" w:color="auto"/>
            </w:tcBorders>
            <w:shd w:val="clear" w:color="000000" w:fill="FFFFFF"/>
            <w:vAlign w:val="center"/>
            <w:hideMark/>
          </w:tcPr>
          <w:p w14:paraId="4A3EF8E1" w14:textId="77777777" w:rsidR="00B076A2" w:rsidRPr="00B401A6" w:rsidRDefault="00B076A2" w:rsidP="00B3646C">
            <w:pPr>
              <w:spacing w:after="0" w:line="240" w:lineRule="auto"/>
              <w:rPr>
                <w:rFonts w:ascii="Arial" w:eastAsia="Times New Roman" w:hAnsi="Arial" w:cs="Arial"/>
                <w:color w:val="000000"/>
                <w:sz w:val="18"/>
                <w:szCs w:val="18"/>
              </w:rPr>
            </w:pPr>
            <w:r w:rsidRPr="00B401A6">
              <w:rPr>
                <w:rFonts w:ascii="Arial" w:eastAsia="Times New Roman" w:hAnsi="Arial" w:cs="Arial"/>
                <w:color w:val="000000"/>
                <w:sz w:val="18"/>
                <w:szCs w:val="18"/>
              </w:rPr>
              <w:t>Evaluación de Consistencia y Resultados.</w:t>
            </w:r>
          </w:p>
        </w:tc>
        <w:tc>
          <w:tcPr>
            <w:tcW w:w="1700" w:type="dxa"/>
            <w:tcBorders>
              <w:top w:val="nil"/>
              <w:left w:val="nil"/>
              <w:bottom w:val="single" w:sz="4" w:space="0" w:color="auto"/>
              <w:right w:val="single" w:sz="4" w:space="0" w:color="auto"/>
            </w:tcBorders>
            <w:shd w:val="clear" w:color="000000" w:fill="FFFFFF"/>
            <w:vAlign w:val="center"/>
            <w:hideMark/>
          </w:tcPr>
          <w:p w14:paraId="6CDE9E8F" w14:textId="77777777" w:rsidR="00B076A2" w:rsidRPr="00B401A6" w:rsidRDefault="00B076A2" w:rsidP="00B3646C">
            <w:pPr>
              <w:spacing w:after="0" w:line="240" w:lineRule="auto"/>
              <w:jc w:val="center"/>
              <w:rPr>
                <w:rFonts w:ascii="Arial" w:eastAsia="Times New Roman" w:hAnsi="Arial" w:cs="Arial"/>
                <w:sz w:val="18"/>
                <w:szCs w:val="18"/>
              </w:rPr>
            </w:pPr>
            <w:r w:rsidRPr="00B401A6">
              <w:rPr>
                <w:rFonts w:ascii="Arial" w:eastAsia="Times New Roman" w:hAnsi="Arial" w:cs="Arial"/>
                <w:sz w:val="18"/>
                <w:szCs w:val="18"/>
              </w:rPr>
              <w:t xml:space="preserve">Tecnología Social para el Desarrollo, S.A de C.V. </w:t>
            </w:r>
          </w:p>
        </w:tc>
      </w:tr>
      <w:tr w:rsidR="00B076A2" w:rsidRPr="00B401A6" w14:paraId="2AEEB9D5" w14:textId="77777777" w:rsidTr="00B3646C">
        <w:trPr>
          <w:trHeight w:val="852"/>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14:paraId="4AD72839" w14:textId="77777777" w:rsidR="00B076A2" w:rsidRPr="00B401A6" w:rsidRDefault="00B076A2" w:rsidP="00B3646C">
            <w:pPr>
              <w:spacing w:after="0" w:line="240" w:lineRule="auto"/>
              <w:jc w:val="center"/>
              <w:rPr>
                <w:rFonts w:ascii="Arial" w:eastAsia="Times New Roman" w:hAnsi="Arial" w:cs="Arial"/>
                <w:sz w:val="18"/>
                <w:szCs w:val="18"/>
              </w:rPr>
            </w:pPr>
            <w:r w:rsidRPr="00B401A6">
              <w:rPr>
                <w:rFonts w:ascii="Arial" w:eastAsia="Times New Roman" w:hAnsi="Arial" w:cs="Arial"/>
                <w:sz w:val="18"/>
                <w:szCs w:val="18"/>
              </w:rPr>
              <w:t>2018</w:t>
            </w:r>
          </w:p>
        </w:tc>
        <w:tc>
          <w:tcPr>
            <w:tcW w:w="2919" w:type="dxa"/>
            <w:tcBorders>
              <w:top w:val="nil"/>
              <w:left w:val="nil"/>
              <w:bottom w:val="single" w:sz="4" w:space="0" w:color="auto"/>
              <w:right w:val="single" w:sz="4" w:space="0" w:color="auto"/>
            </w:tcBorders>
            <w:shd w:val="clear" w:color="000000" w:fill="FFFFFF"/>
            <w:vAlign w:val="center"/>
            <w:hideMark/>
          </w:tcPr>
          <w:p w14:paraId="3B2EFD8E" w14:textId="77777777" w:rsidR="00B076A2" w:rsidRPr="00B401A6" w:rsidRDefault="00B076A2" w:rsidP="00B3646C">
            <w:pPr>
              <w:spacing w:after="0" w:line="240" w:lineRule="auto"/>
              <w:rPr>
                <w:rFonts w:ascii="Arial" w:eastAsia="Times New Roman" w:hAnsi="Arial" w:cs="Arial"/>
                <w:color w:val="000000"/>
                <w:sz w:val="18"/>
                <w:szCs w:val="18"/>
              </w:rPr>
            </w:pPr>
            <w:r w:rsidRPr="00B401A6">
              <w:rPr>
                <w:rFonts w:ascii="Arial" w:eastAsia="Times New Roman" w:hAnsi="Arial" w:cs="Arial"/>
                <w:color w:val="000000"/>
                <w:sz w:val="18"/>
                <w:szCs w:val="18"/>
              </w:rPr>
              <w:t>Ramo 11. Coordinación de los Servicios Educativos del Estado de Colima.</w:t>
            </w:r>
          </w:p>
        </w:tc>
        <w:tc>
          <w:tcPr>
            <w:tcW w:w="2081" w:type="dxa"/>
            <w:tcBorders>
              <w:top w:val="nil"/>
              <w:left w:val="nil"/>
              <w:bottom w:val="single" w:sz="4" w:space="0" w:color="auto"/>
              <w:right w:val="single" w:sz="4" w:space="0" w:color="auto"/>
            </w:tcBorders>
            <w:shd w:val="clear" w:color="000000" w:fill="FFFFFF"/>
            <w:vAlign w:val="center"/>
            <w:hideMark/>
          </w:tcPr>
          <w:p w14:paraId="14C20B2D" w14:textId="77777777" w:rsidR="00B076A2" w:rsidRPr="00B401A6" w:rsidRDefault="00B076A2" w:rsidP="00B3646C">
            <w:pPr>
              <w:spacing w:after="0" w:line="240" w:lineRule="auto"/>
              <w:rPr>
                <w:rFonts w:ascii="Arial" w:eastAsia="Times New Roman" w:hAnsi="Arial" w:cs="Arial"/>
                <w:color w:val="000000"/>
                <w:sz w:val="18"/>
                <w:szCs w:val="18"/>
              </w:rPr>
            </w:pPr>
            <w:r w:rsidRPr="00B401A6">
              <w:rPr>
                <w:rFonts w:ascii="Arial" w:eastAsia="Times New Roman" w:hAnsi="Arial" w:cs="Arial"/>
                <w:color w:val="000000"/>
                <w:sz w:val="18"/>
                <w:szCs w:val="18"/>
              </w:rPr>
              <w:t>Programa Escuelas de Tiempo Completo, ejercicio fiscal 2018.</w:t>
            </w:r>
          </w:p>
        </w:tc>
        <w:tc>
          <w:tcPr>
            <w:tcW w:w="1340" w:type="dxa"/>
            <w:tcBorders>
              <w:top w:val="nil"/>
              <w:left w:val="nil"/>
              <w:bottom w:val="single" w:sz="4" w:space="0" w:color="auto"/>
              <w:right w:val="single" w:sz="4" w:space="0" w:color="auto"/>
            </w:tcBorders>
            <w:shd w:val="clear" w:color="000000" w:fill="FFFFFF"/>
            <w:vAlign w:val="center"/>
            <w:hideMark/>
          </w:tcPr>
          <w:p w14:paraId="733387F9" w14:textId="77777777" w:rsidR="00B076A2" w:rsidRPr="00B401A6" w:rsidRDefault="00B076A2" w:rsidP="00B3646C">
            <w:pPr>
              <w:spacing w:after="0" w:line="240" w:lineRule="auto"/>
              <w:rPr>
                <w:rFonts w:ascii="Arial" w:eastAsia="Times New Roman" w:hAnsi="Arial" w:cs="Arial"/>
                <w:color w:val="000000"/>
                <w:sz w:val="18"/>
                <w:szCs w:val="18"/>
              </w:rPr>
            </w:pPr>
            <w:r w:rsidRPr="00B401A6">
              <w:rPr>
                <w:rFonts w:ascii="Arial" w:eastAsia="Times New Roman" w:hAnsi="Arial" w:cs="Arial"/>
                <w:color w:val="000000"/>
                <w:sz w:val="18"/>
                <w:szCs w:val="18"/>
              </w:rPr>
              <w:t>Evaluación de Consistencia y Resultados en Materia de Diseño.</w:t>
            </w:r>
          </w:p>
        </w:tc>
        <w:tc>
          <w:tcPr>
            <w:tcW w:w="1700" w:type="dxa"/>
            <w:tcBorders>
              <w:top w:val="nil"/>
              <w:left w:val="nil"/>
              <w:bottom w:val="single" w:sz="4" w:space="0" w:color="auto"/>
              <w:right w:val="single" w:sz="4" w:space="0" w:color="auto"/>
            </w:tcBorders>
            <w:shd w:val="clear" w:color="000000" w:fill="FFFFFF"/>
            <w:vAlign w:val="center"/>
            <w:hideMark/>
          </w:tcPr>
          <w:p w14:paraId="1AF4585D" w14:textId="77777777" w:rsidR="00B076A2" w:rsidRPr="00B401A6" w:rsidRDefault="00B076A2" w:rsidP="00B3646C">
            <w:pPr>
              <w:spacing w:after="0" w:line="240" w:lineRule="auto"/>
              <w:jc w:val="center"/>
              <w:rPr>
                <w:rFonts w:ascii="Arial" w:eastAsia="Times New Roman" w:hAnsi="Arial" w:cs="Arial"/>
                <w:sz w:val="18"/>
                <w:szCs w:val="18"/>
              </w:rPr>
            </w:pPr>
            <w:r w:rsidRPr="00B401A6">
              <w:rPr>
                <w:rFonts w:ascii="Arial" w:eastAsia="Times New Roman" w:hAnsi="Arial" w:cs="Arial"/>
                <w:sz w:val="18"/>
                <w:szCs w:val="18"/>
              </w:rPr>
              <w:t xml:space="preserve">Tecnología Social para el Desarrollo, S.A de C.V. </w:t>
            </w:r>
          </w:p>
        </w:tc>
      </w:tr>
      <w:tr w:rsidR="00B076A2" w:rsidRPr="00B401A6" w14:paraId="722AC0AD" w14:textId="77777777" w:rsidTr="00B3646C">
        <w:trPr>
          <w:trHeight w:val="1079"/>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14:paraId="235BF640" w14:textId="77777777" w:rsidR="00B076A2" w:rsidRPr="00B401A6" w:rsidRDefault="00B076A2" w:rsidP="00B3646C">
            <w:pPr>
              <w:spacing w:after="0" w:line="240" w:lineRule="auto"/>
              <w:jc w:val="center"/>
              <w:rPr>
                <w:rFonts w:ascii="Arial" w:eastAsia="Times New Roman" w:hAnsi="Arial" w:cs="Arial"/>
                <w:sz w:val="18"/>
                <w:szCs w:val="18"/>
              </w:rPr>
            </w:pPr>
            <w:r w:rsidRPr="00B401A6">
              <w:rPr>
                <w:rFonts w:ascii="Arial" w:eastAsia="Times New Roman" w:hAnsi="Arial" w:cs="Arial"/>
                <w:sz w:val="18"/>
                <w:szCs w:val="18"/>
              </w:rPr>
              <w:t>2018</w:t>
            </w:r>
          </w:p>
        </w:tc>
        <w:tc>
          <w:tcPr>
            <w:tcW w:w="2919" w:type="dxa"/>
            <w:tcBorders>
              <w:top w:val="nil"/>
              <w:left w:val="nil"/>
              <w:bottom w:val="single" w:sz="4" w:space="0" w:color="auto"/>
              <w:right w:val="single" w:sz="4" w:space="0" w:color="auto"/>
            </w:tcBorders>
            <w:shd w:val="clear" w:color="000000" w:fill="FFFFFF"/>
            <w:vAlign w:val="center"/>
            <w:hideMark/>
          </w:tcPr>
          <w:p w14:paraId="1A02AEDF" w14:textId="77777777" w:rsidR="00B076A2" w:rsidRPr="00B401A6" w:rsidRDefault="00B076A2" w:rsidP="00B3646C">
            <w:pPr>
              <w:spacing w:after="0" w:line="240" w:lineRule="auto"/>
              <w:rPr>
                <w:rFonts w:ascii="Arial" w:eastAsia="Times New Roman" w:hAnsi="Arial" w:cs="Arial"/>
                <w:color w:val="000000"/>
                <w:sz w:val="18"/>
                <w:szCs w:val="18"/>
              </w:rPr>
            </w:pPr>
            <w:r w:rsidRPr="00B401A6">
              <w:rPr>
                <w:rFonts w:ascii="Arial" w:eastAsia="Times New Roman" w:hAnsi="Arial" w:cs="Arial"/>
                <w:color w:val="000000"/>
                <w:sz w:val="18"/>
                <w:szCs w:val="18"/>
              </w:rPr>
              <w:t>Fondo de Aportaciones para la Educación Tecnológica y de Adultos (FAETA). Instituto Estatal de Educación para Adultos.</w:t>
            </w:r>
          </w:p>
        </w:tc>
        <w:tc>
          <w:tcPr>
            <w:tcW w:w="2081" w:type="dxa"/>
            <w:tcBorders>
              <w:top w:val="nil"/>
              <w:left w:val="nil"/>
              <w:bottom w:val="single" w:sz="4" w:space="0" w:color="auto"/>
              <w:right w:val="single" w:sz="4" w:space="0" w:color="auto"/>
            </w:tcBorders>
            <w:shd w:val="clear" w:color="000000" w:fill="FFFFFF"/>
            <w:vAlign w:val="center"/>
            <w:hideMark/>
          </w:tcPr>
          <w:p w14:paraId="73FB6EA2" w14:textId="77777777" w:rsidR="00B076A2" w:rsidRPr="00B401A6" w:rsidRDefault="00B076A2" w:rsidP="00B3646C">
            <w:pPr>
              <w:spacing w:after="0" w:line="240" w:lineRule="auto"/>
              <w:rPr>
                <w:rFonts w:ascii="Arial" w:eastAsia="Times New Roman" w:hAnsi="Arial" w:cs="Arial"/>
                <w:color w:val="000000"/>
                <w:sz w:val="18"/>
                <w:szCs w:val="18"/>
              </w:rPr>
            </w:pPr>
            <w:r w:rsidRPr="00B401A6">
              <w:rPr>
                <w:rFonts w:ascii="Arial" w:eastAsia="Times New Roman" w:hAnsi="Arial" w:cs="Arial"/>
                <w:color w:val="000000"/>
                <w:sz w:val="18"/>
                <w:szCs w:val="18"/>
              </w:rPr>
              <w:t>Programa Educación para Adultos. Ejercicio Fiscal 2018.</w:t>
            </w:r>
          </w:p>
        </w:tc>
        <w:tc>
          <w:tcPr>
            <w:tcW w:w="1340" w:type="dxa"/>
            <w:tcBorders>
              <w:top w:val="nil"/>
              <w:left w:val="nil"/>
              <w:bottom w:val="single" w:sz="4" w:space="0" w:color="auto"/>
              <w:right w:val="single" w:sz="4" w:space="0" w:color="auto"/>
            </w:tcBorders>
            <w:shd w:val="clear" w:color="000000" w:fill="FFFFFF"/>
            <w:vAlign w:val="center"/>
            <w:hideMark/>
          </w:tcPr>
          <w:p w14:paraId="0FD043F3" w14:textId="77777777" w:rsidR="00B076A2" w:rsidRPr="00B401A6" w:rsidRDefault="00B076A2" w:rsidP="00B3646C">
            <w:pPr>
              <w:spacing w:after="0" w:line="240" w:lineRule="auto"/>
              <w:rPr>
                <w:rFonts w:ascii="Arial" w:eastAsia="Times New Roman" w:hAnsi="Arial" w:cs="Arial"/>
                <w:color w:val="000000"/>
                <w:sz w:val="18"/>
                <w:szCs w:val="18"/>
              </w:rPr>
            </w:pPr>
            <w:r w:rsidRPr="00B401A6">
              <w:rPr>
                <w:rFonts w:ascii="Arial" w:eastAsia="Times New Roman" w:hAnsi="Arial" w:cs="Arial"/>
                <w:color w:val="000000"/>
                <w:sz w:val="18"/>
                <w:szCs w:val="18"/>
              </w:rPr>
              <w:t>Evaluación Específica de Resultados de los Indicadores de Rezago Educativo.</w:t>
            </w:r>
          </w:p>
        </w:tc>
        <w:tc>
          <w:tcPr>
            <w:tcW w:w="1700" w:type="dxa"/>
            <w:tcBorders>
              <w:top w:val="nil"/>
              <w:left w:val="nil"/>
              <w:bottom w:val="single" w:sz="4" w:space="0" w:color="auto"/>
              <w:right w:val="single" w:sz="4" w:space="0" w:color="auto"/>
            </w:tcBorders>
            <w:shd w:val="clear" w:color="000000" w:fill="FFFFFF"/>
            <w:vAlign w:val="center"/>
            <w:hideMark/>
          </w:tcPr>
          <w:p w14:paraId="43CB87EF" w14:textId="77777777" w:rsidR="00B076A2" w:rsidRPr="00B401A6" w:rsidRDefault="00B076A2" w:rsidP="00B3646C">
            <w:pPr>
              <w:spacing w:after="0" w:line="240" w:lineRule="auto"/>
              <w:jc w:val="center"/>
              <w:rPr>
                <w:rFonts w:ascii="Arial" w:eastAsia="Times New Roman" w:hAnsi="Arial" w:cs="Arial"/>
                <w:sz w:val="18"/>
                <w:szCs w:val="18"/>
              </w:rPr>
            </w:pPr>
            <w:r w:rsidRPr="00B401A6">
              <w:rPr>
                <w:rFonts w:ascii="Arial" w:eastAsia="Times New Roman" w:hAnsi="Arial" w:cs="Arial"/>
                <w:sz w:val="18"/>
                <w:szCs w:val="18"/>
              </w:rPr>
              <w:t xml:space="preserve">Tecnología Social para el Desarrollo, S.A de C.V. </w:t>
            </w:r>
          </w:p>
        </w:tc>
      </w:tr>
      <w:tr w:rsidR="00B076A2" w:rsidRPr="00B401A6" w14:paraId="15C26421" w14:textId="77777777" w:rsidTr="00B3646C">
        <w:trPr>
          <w:trHeight w:val="629"/>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14:paraId="6D2E996B" w14:textId="77777777" w:rsidR="00B076A2" w:rsidRPr="00B401A6" w:rsidRDefault="00B076A2" w:rsidP="00B3646C">
            <w:pPr>
              <w:spacing w:after="0" w:line="240" w:lineRule="auto"/>
              <w:jc w:val="center"/>
              <w:rPr>
                <w:rFonts w:ascii="Arial" w:eastAsia="Times New Roman" w:hAnsi="Arial" w:cs="Arial"/>
                <w:sz w:val="18"/>
                <w:szCs w:val="18"/>
              </w:rPr>
            </w:pPr>
            <w:r w:rsidRPr="00B401A6">
              <w:rPr>
                <w:rFonts w:ascii="Arial" w:eastAsia="Times New Roman" w:hAnsi="Arial" w:cs="Arial"/>
                <w:sz w:val="18"/>
                <w:szCs w:val="18"/>
              </w:rPr>
              <w:t>2018</w:t>
            </w:r>
          </w:p>
        </w:tc>
        <w:tc>
          <w:tcPr>
            <w:tcW w:w="2919" w:type="dxa"/>
            <w:tcBorders>
              <w:top w:val="nil"/>
              <w:left w:val="nil"/>
              <w:bottom w:val="single" w:sz="4" w:space="0" w:color="auto"/>
              <w:right w:val="single" w:sz="4" w:space="0" w:color="auto"/>
            </w:tcBorders>
            <w:shd w:val="clear" w:color="000000" w:fill="FFFFFF"/>
            <w:vAlign w:val="center"/>
            <w:hideMark/>
          </w:tcPr>
          <w:p w14:paraId="2FC07F5B" w14:textId="77777777" w:rsidR="00B076A2" w:rsidRPr="00B401A6" w:rsidRDefault="00B076A2" w:rsidP="00B3646C">
            <w:pPr>
              <w:spacing w:after="0" w:line="240" w:lineRule="auto"/>
              <w:rPr>
                <w:rFonts w:ascii="Arial" w:eastAsia="Times New Roman" w:hAnsi="Arial" w:cs="Arial"/>
                <w:color w:val="000000"/>
                <w:sz w:val="18"/>
                <w:szCs w:val="18"/>
              </w:rPr>
            </w:pPr>
            <w:r w:rsidRPr="00B401A6">
              <w:rPr>
                <w:rFonts w:ascii="Arial" w:eastAsia="Times New Roman" w:hAnsi="Arial" w:cs="Arial"/>
                <w:color w:val="000000"/>
                <w:sz w:val="18"/>
                <w:szCs w:val="18"/>
              </w:rPr>
              <w:t>Fondo de Aportaciones para la Seguridad Pública de los Estados y del Distrito Federal (FASP). Secretariado Ejecutivo del Sistema Estatal de Seguridad Pública.</w:t>
            </w:r>
          </w:p>
        </w:tc>
        <w:tc>
          <w:tcPr>
            <w:tcW w:w="2081" w:type="dxa"/>
            <w:tcBorders>
              <w:top w:val="nil"/>
              <w:left w:val="nil"/>
              <w:bottom w:val="single" w:sz="4" w:space="0" w:color="auto"/>
              <w:right w:val="single" w:sz="4" w:space="0" w:color="auto"/>
            </w:tcBorders>
            <w:shd w:val="clear" w:color="000000" w:fill="FFFFFF"/>
            <w:vAlign w:val="center"/>
            <w:hideMark/>
          </w:tcPr>
          <w:p w14:paraId="06E285AD" w14:textId="77777777" w:rsidR="00B076A2" w:rsidRPr="00B401A6" w:rsidRDefault="00B076A2" w:rsidP="00B3646C">
            <w:pPr>
              <w:spacing w:after="0" w:line="240" w:lineRule="auto"/>
              <w:rPr>
                <w:rFonts w:ascii="Arial" w:eastAsia="Times New Roman" w:hAnsi="Arial" w:cs="Arial"/>
                <w:color w:val="000000"/>
                <w:sz w:val="18"/>
                <w:szCs w:val="18"/>
              </w:rPr>
            </w:pPr>
            <w:r w:rsidRPr="00B401A6">
              <w:rPr>
                <w:rFonts w:ascii="Arial" w:eastAsia="Times New Roman" w:hAnsi="Arial" w:cs="Arial"/>
                <w:color w:val="000000"/>
                <w:sz w:val="18"/>
                <w:szCs w:val="18"/>
              </w:rPr>
              <w:t>Fondo de Aportaciones para la Seguridad Pública de los Estados y del Distrito Federal (FASP). Ejercicio Fiscal 2018.</w:t>
            </w:r>
          </w:p>
        </w:tc>
        <w:tc>
          <w:tcPr>
            <w:tcW w:w="1340" w:type="dxa"/>
            <w:tcBorders>
              <w:top w:val="nil"/>
              <w:left w:val="nil"/>
              <w:bottom w:val="single" w:sz="4" w:space="0" w:color="auto"/>
              <w:right w:val="single" w:sz="4" w:space="0" w:color="auto"/>
            </w:tcBorders>
            <w:shd w:val="clear" w:color="000000" w:fill="FFFFFF"/>
            <w:vAlign w:val="center"/>
            <w:hideMark/>
          </w:tcPr>
          <w:p w14:paraId="3B2EF97E" w14:textId="77777777" w:rsidR="00B076A2" w:rsidRPr="00B401A6" w:rsidRDefault="00B076A2" w:rsidP="00B3646C">
            <w:pPr>
              <w:spacing w:after="0" w:line="240" w:lineRule="auto"/>
              <w:rPr>
                <w:rFonts w:ascii="Arial" w:eastAsia="Times New Roman" w:hAnsi="Arial" w:cs="Arial"/>
                <w:color w:val="000000"/>
                <w:sz w:val="18"/>
                <w:szCs w:val="18"/>
              </w:rPr>
            </w:pPr>
            <w:r w:rsidRPr="00B401A6">
              <w:rPr>
                <w:rFonts w:ascii="Arial" w:eastAsia="Times New Roman" w:hAnsi="Arial" w:cs="Arial"/>
                <w:color w:val="000000"/>
                <w:sz w:val="18"/>
                <w:szCs w:val="18"/>
              </w:rPr>
              <w:t>Evaluación Específica de Desempeño.</w:t>
            </w:r>
          </w:p>
        </w:tc>
        <w:tc>
          <w:tcPr>
            <w:tcW w:w="1700" w:type="dxa"/>
            <w:tcBorders>
              <w:top w:val="nil"/>
              <w:left w:val="nil"/>
              <w:bottom w:val="single" w:sz="4" w:space="0" w:color="auto"/>
              <w:right w:val="single" w:sz="4" w:space="0" w:color="auto"/>
            </w:tcBorders>
            <w:shd w:val="clear" w:color="000000" w:fill="FFFFFF"/>
            <w:vAlign w:val="center"/>
            <w:hideMark/>
          </w:tcPr>
          <w:p w14:paraId="142620BB" w14:textId="77777777" w:rsidR="00B076A2" w:rsidRPr="00B401A6" w:rsidRDefault="00B076A2" w:rsidP="00B3646C">
            <w:pPr>
              <w:spacing w:after="0" w:line="240" w:lineRule="auto"/>
              <w:jc w:val="center"/>
              <w:rPr>
                <w:rFonts w:ascii="Arial" w:eastAsia="Times New Roman" w:hAnsi="Arial" w:cs="Arial"/>
                <w:sz w:val="18"/>
                <w:szCs w:val="18"/>
              </w:rPr>
            </w:pPr>
            <w:r w:rsidRPr="00B401A6">
              <w:rPr>
                <w:rFonts w:ascii="Arial" w:eastAsia="Times New Roman" w:hAnsi="Arial" w:cs="Arial"/>
                <w:sz w:val="18"/>
                <w:szCs w:val="18"/>
              </w:rPr>
              <w:t>Prospectiva Financiera.</w:t>
            </w:r>
          </w:p>
        </w:tc>
      </w:tr>
      <w:tr w:rsidR="00B076A2" w:rsidRPr="00B401A6" w14:paraId="14976997" w14:textId="77777777" w:rsidTr="00B3646C">
        <w:trPr>
          <w:trHeight w:val="60"/>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14:paraId="5D87F052" w14:textId="77777777" w:rsidR="00B076A2" w:rsidRPr="00B401A6" w:rsidRDefault="00B076A2" w:rsidP="00B3646C">
            <w:pPr>
              <w:spacing w:after="0" w:line="240" w:lineRule="auto"/>
              <w:jc w:val="center"/>
              <w:rPr>
                <w:rFonts w:ascii="Arial" w:eastAsia="Times New Roman" w:hAnsi="Arial" w:cs="Arial"/>
                <w:sz w:val="18"/>
                <w:szCs w:val="18"/>
              </w:rPr>
            </w:pPr>
            <w:r w:rsidRPr="00B401A6">
              <w:rPr>
                <w:rFonts w:ascii="Arial" w:eastAsia="Times New Roman" w:hAnsi="Arial" w:cs="Arial"/>
                <w:sz w:val="18"/>
                <w:szCs w:val="18"/>
              </w:rPr>
              <w:t>2018</w:t>
            </w:r>
          </w:p>
        </w:tc>
        <w:tc>
          <w:tcPr>
            <w:tcW w:w="2919" w:type="dxa"/>
            <w:tcBorders>
              <w:top w:val="nil"/>
              <w:left w:val="nil"/>
              <w:bottom w:val="single" w:sz="4" w:space="0" w:color="auto"/>
              <w:right w:val="single" w:sz="4" w:space="0" w:color="auto"/>
            </w:tcBorders>
            <w:shd w:val="clear" w:color="000000" w:fill="FFFFFF"/>
            <w:vAlign w:val="center"/>
            <w:hideMark/>
          </w:tcPr>
          <w:p w14:paraId="431B6BAE" w14:textId="77777777" w:rsidR="00B076A2" w:rsidRPr="00B401A6" w:rsidRDefault="00B076A2" w:rsidP="00B3646C">
            <w:pPr>
              <w:spacing w:after="0" w:line="240" w:lineRule="auto"/>
              <w:rPr>
                <w:rFonts w:ascii="Arial" w:eastAsia="Times New Roman" w:hAnsi="Arial" w:cs="Arial"/>
                <w:color w:val="000000"/>
                <w:sz w:val="18"/>
                <w:szCs w:val="18"/>
              </w:rPr>
            </w:pPr>
            <w:r w:rsidRPr="00B401A6">
              <w:rPr>
                <w:rFonts w:ascii="Arial" w:eastAsia="Times New Roman" w:hAnsi="Arial" w:cs="Arial"/>
                <w:color w:val="000000"/>
                <w:sz w:val="18"/>
                <w:szCs w:val="18"/>
              </w:rPr>
              <w:t>Fondo de Aportaciones para la Educación Tecnológica y de Adultos (FAETA). Colegio de Educación Profesional Técnica del Estado de Colima.</w:t>
            </w:r>
          </w:p>
        </w:tc>
        <w:tc>
          <w:tcPr>
            <w:tcW w:w="2081" w:type="dxa"/>
            <w:tcBorders>
              <w:top w:val="nil"/>
              <w:left w:val="nil"/>
              <w:bottom w:val="single" w:sz="4" w:space="0" w:color="auto"/>
              <w:right w:val="single" w:sz="4" w:space="0" w:color="auto"/>
            </w:tcBorders>
            <w:shd w:val="clear" w:color="000000" w:fill="FFFFFF"/>
            <w:vAlign w:val="center"/>
            <w:hideMark/>
          </w:tcPr>
          <w:p w14:paraId="0DFECFA6" w14:textId="77777777" w:rsidR="00B076A2" w:rsidRPr="00B401A6" w:rsidRDefault="00B076A2" w:rsidP="00B3646C">
            <w:pPr>
              <w:spacing w:after="0" w:line="240" w:lineRule="auto"/>
              <w:rPr>
                <w:rFonts w:ascii="Arial" w:eastAsia="Times New Roman" w:hAnsi="Arial" w:cs="Arial"/>
                <w:color w:val="000000"/>
                <w:sz w:val="18"/>
                <w:szCs w:val="18"/>
              </w:rPr>
            </w:pPr>
            <w:r w:rsidRPr="00B401A6">
              <w:rPr>
                <w:rFonts w:ascii="Arial" w:eastAsia="Times New Roman" w:hAnsi="Arial" w:cs="Arial"/>
                <w:color w:val="000000"/>
                <w:sz w:val="18"/>
                <w:szCs w:val="18"/>
              </w:rPr>
              <w:t>Programa Educación Tecnológica. Ejercicios Fiscales 2017 y 2018.</w:t>
            </w:r>
          </w:p>
        </w:tc>
        <w:tc>
          <w:tcPr>
            <w:tcW w:w="1340" w:type="dxa"/>
            <w:tcBorders>
              <w:top w:val="nil"/>
              <w:left w:val="nil"/>
              <w:bottom w:val="single" w:sz="4" w:space="0" w:color="auto"/>
              <w:right w:val="single" w:sz="4" w:space="0" w:color="auto"/>
            </w:tcBorders>
            <w:shd w:val="clear" w:color="000000" w:fill="FFFFFF"/>
            <w:vAlign w:val="center"/>
            <w:hideMark/>
          </w:tcPr>
          <w:p w14:paraId="0370DA31" w14:textId="77777777" w:rsidR="00B076A2" w:rsidRPr="00B401A6" w:rsidRDefault="00B076A2" w:rsidP="00B3646C">
            <w:pPr>
              <w:spacing w:after="0" w:line="240" w:lineRule="auto"/>
              <w:rPr>
                <w:rFonts w:ascii="Arial" w:eastAsia="Times New Roman" w:hAnsi="Arial" w:cs="Arial"/>
                <w:color w:val="000000"/>
                <w:sz w:val="18"/>
                <w:szCs w:val="18"/>
              </w:rPr>
            </w:pPr>
            <w:r w:rsidRPr="00B401A6">
              <w:rPr>
                <w:rFonts w:ascii="Arial" w:eastAsia="Times New Roman" w:hAnsi="Arial" w:cs="Arial"/>
                <w:color w:val="000000"/>
                <w:sz w:val="18"/>
                <w:szCs w:val="18"/>
              </w:rPr>
              <w:t>Evaluación Específica de Resultados de los Indicadores Educativos.</w:t>
            </w:r>
          </w:p>
        </w:tc>
        <w:tc>
          <w:tcPr>
            <w:tcW w:w="1700" w:type="dxa"/>
            <w:tcBorders>
              <w:top w:val="nil"/>
              <w:left w:val="nil"/>
              <w:bottom w:val="single" w:sz="4" w:space="0" w:color="auto"/>
              <w:right w:val="single" w:sz="4" w:space="0" w:color="auto"/>
            </w:tcBorders>
            <w:shd w:val="clear" w:color="000000" w:fill="FFFFFF"/>
            <w:vAlign w:val="center"/>
            <w:hideMark/>
          </w:tcPr>
          <w:p w14:paraId="1B6F36D6" w14:textId="77777777" w:rsidR="00B076A2" w:rsidRPr="00B401A6" w:rsidRDefault="00B076A2" w:rsidP="00B3646C">
            <w:pPr>
              <w:spacing w:after="0" w:line="240" w:lineRule="auto"/>
              <w:jc w:val="center"/>
              <w:rPr>
                <w:rFonts w:ascii="Arial" w:eastAsia="Times New Roman" w:hAnsi="Arial" w:cs="Arial"/>
                <w:sz w:val="18"/>
                <w:szCs w:val="18"/>
              </w:rPr>
            </w:pPr>
            <w:r w:rsidRPr="00B401A6">
              <w:rPr>
                <w:rFonts w:ascii="Arial" w:eastAsia="Times New Roman" w:hAnsi="Arial" w:cs="Arial"/>
                <w:sz w:val="18"/>
                <w:szCs w:val="18"/>
              </w:rPr>
              <w:t xml:space="preserve">Tecnología Social para el Desarrollo, S.A de C.V. </w:t>
            </w:r>
          </w:p>
        </w:tc>
      </w:tr>
      <w:tr w:rsidR="00B076A2" w:rsidRPr="00B401A6" w14:paraId="3AEE2B07" w14:textId="77777777" w:rsidTr="00B3646C">
        <w:trPr>
          <w:trHeight w:val="688"/>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14:paraId="0FBA8207" w14:textId="77777777" w:rsidR="00B076A2" w:rsidRPr="00B401A6" w:rsidRDefault="00B076A2" w:rsidP="00B3646C">
            <w:pPr>
              <w:spacing w:after="0" w:line="240" w:lineRule="auto"/>
              <w:jc w:val="center"/>
              <w:rPr>
                <w:rFonts w:ascii="Arial" w:eastAsia="Times New Roman" w:hAnsi="Arial" w:cs="Arial"/>
                <w:sz w:val="18"/>
                <w:szCs w:val="18"/>
              </w:rPr>
            </w:pPr>
            <w:r w:rsidRPr="00B401A6">
              <w:rPr>
                <w:rFonts w:ascii="Arial" w:eastAsia="Times New Roman" w:hAnsi="Arial" w:cs="Arial"/>
                <w:sz w:val="18"/>
                <w:szCs w:val="18"/>
              </w:rPr>
              <w:t>2018</w:t>
            </w:r>
          </w:p>
        </w:tc>
        <w:tc>
          <w:tcPr>
            <w:tcW w:w="2919" w:type="dxa"/>
            <w:tcBorders>
              <w:top w:val="nil"/>
              <w:left w:val="nil"/>
              <w:bottom w:val="single" w:sz="4" w:space="0" w:color="auto"/>
              <w:right w:val="single" w:sz="4" w:space="0" w:color="auto"/>
            </w:tcBorders>
            <w:shd w:val="clear" w:color="000000" w:fill="FFFFFF"/>
            <w:vAlign w:val="center"/>
            <w:hideMark/>
          </w:tcPr>
          <w:p w14:paraId="011AF48E" w14:textId="77777777" w:rsidR="00B076A2" w:rsidRPr="00B401A6" w:rsidRDefault="00B076A2" w:rsidP="00B3646C">
            <w:pPr>
              <w:spacing w:after="0" w:line="240" w:lineRule="auto"/>
              <w:rPr>
                <w:rFonts w:ascii="Arial" w:eastAsia="Times New Roman" w:hAnsi="Arial" w:cs="Arial"/>
                <w:color w:val="000000"/>
                <w:sz w:val="18"/>
                <w:szCs w:val="18"/>
              </w:rPr>
            </w:pPr>
            <w:r w:rsidRPr="00B401A6">
              <w:rPr>
                <w:rFonts w:ascii="Arial" w:eastAsia="Times New Roman" w:hAnsi="Arial" w:cs="Arial"/>
                <w:color w:val="000000"/>
                <w:sz w:val="18"/>
                <w:szCs w:val="18"/>
              </w:rPr>
              <w:t>Fondo de Aportaciones Múltiples (FAM). Sistema Estatal para el Desarrollo Integral de la Familia en Colima.</w:t>
            </w:r>
          </w:p>
        </w:tc>
        <w:tc>
          <w:tcPr>
            <w:tcW w:w="2081" w:type="dxa"/>
            <w:tcBorders>
              <w:top w:val="nil"/>
              <w:left w:val="nil"/>
              <w:bottom w:val="single" w:sz="4" w:space="0" w:color="auto"/>
              <w:right w:val="single" w:sz="4" w:space="0" w:color="auto"/>
            </w:tcBorders>
            <w:shd w:val="clear" w:color="000000" w:fill="FFFFFF"/>
            <w:vAlign w:val="center"/>
            <w:hideMark/>
          </w:tcPr>
          <w:p w14:paraId="02248CEF" w14:textId="77777777" w:rsidR="00B076A2" w:rsidRPr="00B401A6" w:rsidRDefault="00B076A2" w:rsidP="00B3646C">
            <w:pPr>
              <w:spacing w:after="0" w:line="240" w:lineRule="auto"/>
              <w:rPr>
                <w:rFonts w:ascii="Arial" w:eastAsia="Times New Roman" w:hAnsi="Arial" w:cs="Arial"/>
                <w:color w:val="000000"/>
                <w:sz w:val="18"/>
                <w:szCs w:val="18"/>
              </w:rPr>
            </w:pPr>
            <w:r w:rsidRPr="00B401A6">
              <w:rPr>
                <w:rFonts w:ascii="Arial" w:eastAsia="Times New Roman" w:hAnsi="Arial" w:cs="Arial"/>
                <w:color w:val="000000"/>
                <w:sz w:val="18"/>
                <w:szCs w:val="18"/>
              </w:rPr>
              <w:t>Programa Presupuestario de Asistencia Alimentaria a Sujetos Vulnerables y Comedores Comunitarios.</w:t>
            </w:r>
          </w:p>
        </w:tc>
        <w:tc>
          <w:tcPr>
            <w:tcW w:w="1340" w:type="dxa"/>
            <w:tcBorders>
              <w:top w:val="nil"/>
              <w:left w:val="nil"/>
              <w:bottom w:val="single" w:sz="4" w:space="0" w:color="auto"/>
              <w:right w:val="single" w:sz="4" w:space="0" w:color="auto"/>
            </w:tcBorders>
            <w:shd w:val="clear" w:color="000000" w:fill="FFFFFF"/>
            <w:vAlign w:val="center"/>
            <w:hideMark/>
          </w:tcPr>
          <w:p w14:paraId="4F3F59C8" w14:textId="77777777" w:rsidR="00B076A2" w:rsidRPr="00B401A6" w:rsidRDefault="00B076A2" w:rsidP="00B3646C">
            <w:pPr>
              <w:spacing w:after="0" w:line="240" w:lineRule="auto"/>
              <w:rPr>
                <w:rFonts w:ascii="Arial" w:eastAsia="Times New Roman" w:hAnsi="Arial" w:cs="Arial"/>
                <w:color w:val="000000"/>
                <w:sz w:val="18"/>
                <w:szCs w:val="18"/>
              </w:rPr>
            </w:pPr>
            <w:r w:rsidRPr="00B401A6">
              <w:rPr>
                <w:rFonts w:ascii="Arial" w:eastAsia="Times New Roman" w:hAnsi="Arial" w:cs="Arial"/>
                <w:color w:val="000000"/>
                <w:sz w:val="18"/>
                <w:szCs w:val="18"/>
              </w:rPr>
              <w:t>Evaluación de Consistencia y Resultados.</w:t>
            </w:r>
          </w:p>
        </w:tc>
        <w:tc>
          <w:tcPr>
            <w:tcW w:w="1700" w:type="dxa"/>
            <w:tcBorders>
              <w:top w:val="nil"/>
              <w:left w:val="nil"/>
              <w:bottom w:val="single" w:sz="4" w:space="0" w:color="auto"/>
              <w:right w:val="single" w:sz="4" w:space="0" w:color="auto"/>
            </w:tcBorders>
            <w:shd w:val="clear" w:color="000000" w:fill="FFFFFF"/>
            <w:vAlign w:val="center"/>
            <w:hideMark/>
          </w:tcPr>
          <w:p w14:paraId="4C643265" w14:textId="77777777" w:rsidR="00B076A2" w:rsidRPr="00B401A6" w:rsidRDefault="00B076A2" w:rsidP="00B3646C">
            <w:pPr>
              <w:spacing w:after="0" w:line="240" w:lineRule="auto"/>
              <w:jc w:val="center"/>
              <w:rPr>
                <w:rFonts w:ascii="Arial" w:eastAsia="Times New Roman" w:hAnsi="Arial" w:cs="Arial"/>
                <w:sz w:val="18"/>
                <w:szCs w:val="18"/>
              </w:rPr>
            </w:pPr>
            <w:r w:rsidRPr="00B401A6">
              <w:rPr>
                <w:rFonts w:ascii="Arial" w:eastAsia="Times New Roman" w:hAnsi="Arial" w:cs="Arial"/>
                <w:sz w:val="18"/>
                <w:szCs w:val="18"/>
              </w:rPr>
              <w:t xml:space="preserve">Tecnología Social para el Desarrollo, S.A de C.V. </w:t>
            </w:r>
          </w:p>
        </w:tc>
      </w:tr>
      <w:tr w:rsidR="00B076A2" w:rsidRPr="00B401A6" w14:paraId="29EB34BE" w14:textId="77777777" w:rsidTr="00B3646C">
        <w:trPr>
          <w:trHeight w:val="85"/>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14:paraId="5DF57951" w14:textId="77777777" w:rsidR="00B076A2" w:rsidRPr="00B401A6" w:rsidRDefault="00B076A2" w:rsidP="00B3646C">
            <w:pPr>
              <w:spacing w:after="0" w:line="240" w:lineRule="auto"/>
              <w:jc w:val="center"/>
              <w:rPr>
                <w:rFonts w:ascii="Arial" w:eastAsia="Times New Roman" w:hAnsi="Arial" w:cs="Arial"/>
                <w:sz w:val="18"/>
                <w:szCs w:val="18"/>
              </w:rPr>
            </w:pPr>
            <w:r w:rsidRPr="00B401A6">
              <w:rPr>
                <w:rFonts w:ascii="Arial" w:eastAsia="Times New Roman" w:hAnsi="Arial" w:cs="Arial"/>
                <w:sz w:val="18"/>
                <w:szCs w:val="18"/>
              </w:rPr>
              <w:t>2018</w:t>
            </w:r>
          </w:p>
        </w:tc>
        <w:tc>
          <w:tcPr>
            <w:tcW w:w="2919" w:type="dxa"/>
            <w:tcBorders>
              <w:top w:val="nil"/>
              <w:left w:val="nil"/>
              <w:bottom w:val="single" w:sz="4" w:space="0" w:color="auto"/>
              <w:right w:val="single" w:sz="4" w:space="0" w:color="auto"/>
            </w:tcBorders>
            <w:shd w:val="clear" w:color="000000" w:fill="FFFFFF"/>
            <w:vAlign w:val="center"/>
            <w:hideMark/>
          </w:tcPr>
          <w:p w14:paraId="2D3C0719" w14:textId="77777777" w:rsidR="00B076A2" w:rsidRPr="00B401A6" w:rsidRDefault="00B076A2" w:rsidP="00B3646C">
            <w:pPr>
              <w:spacing w:after="0" w:line="240" w:lineRule="auto"/>
              <w:rPr>
                <w:rFonts w:ascii="Arial" w:eastAsia="Times New Roman" w:hAnsi="Arial" w:cs="Arial"/>
                <w:color w:val="000000"/>
                <w:sz w:val="18"/>
                <w:szCs w:val="18"/>
              </w:rPr>
            </w:pPr>
            <w:r w:rsidRPr="00B401A6">
              <w:rPr>
                <w:rFonts w:ascii="Arial" w:eastAsia="Times New Roman" w:hAnsi="Arial" w:cs="Arial"/>
                <w:color w:val="000000"/>
                <w:sz w:val="18"/>
                <w:szCs w:val="18"/>
              </w:rPr>
              <w:t xml:space="preserve">Ramo 11. Convenio de Coordinación en Materia de Reasignación de Recursos. </w:t>
            </w:r>
            <w:r w:rsidRPr="00B401A6">
              <w:rPr>
                <w:rFonts w:ascii="Arial" w:eastAsia="Times New Roman" w:hAnsi="Arial" w:cs="Arial"/>
                <w:color w:val="000000"/>
                <w:sz w:val="18"/>
                <w:szCs w:val="18"/>
              </w:rPr>
              <w:lastRenderedPageBreak/>
              <w:t>Secretaría de Infraestructura y Desarrollo Urbano.</w:t>
            </w:r>
          </w:p>
        </w:tc>
        <w:tc>
          <w:tcPr>
            <w:tcW w:w="2081" w:type="dxa"/>
            <w:tcBorders>
              <w:top w:val="nil"/>
              <w:left w:val="nil"/>
              <w:bottom w:val="single" w:sz="4" w:space="0" w:color="auto"/>
              <w:right w:val="single" w:sz="4" w:space="0" w:color="auto"/>
            </w:tcBorders>
            <w:shd w:val="clear" w:color="000000" w:fill="FFFFFF"/>
            <w:vAlign w:val="center"/>
            <w:hideMark/>
          </w:tcPr>
          <w:p w14:paraId="72E9086B" w14:textId="77777777" w:rsidR="00B076A2" w:rsidRPr="00B401A6" w:rsidRDefault="00B076A2" w:rsidP="00B3646C">
            <w:pPr>
              <w:spacing w:after="0" w:line="240" w:lineRule="auto"/>
              <w:rPr>
                <w:rFonts w:ascii="Arial" w:eastAsia="Times New Roman" w:hAnsi="Arial" w:cs="Arial"/>
                <w:color w:val="000000"/>
                <w:sz w:val="18"/>
                <w:szCs w:val="18"/>
              </w:rPr>
            </w:pPr>
            <w:r w:rsidRPr="00B401A6">
              <w:rPr>
                <w:rFonts w:ascii="Arial" w:eastAsia="Times New Roman" w:hAnsi="Arial" w:cs="Arial"/>
                <w:color w:val="000000"/>
                <w:sz w:val="18"/>
                <w:szCs w:val="18"/>
              </w:rPr>
              <w:lastRenderedPageBreak/>
              <w:t xml:space="preserve">Programa Presupuestario Infraestructura </w:t>
            </w:r>
            <w:r w:rsidRPr="00B401A6">
              <w:rPr>
                <w:rFonts w:ascii="Arial" w:eastAsia="Times New Roman" w:hAnsi="Arial" w:cs="Arial"/>
                <w:color w:val="000000"/>
                <w:sz w:val="18"/>
                <w:szCs w:val="18"/>
              </w:rPr>
              <w:lastRenderedPageBreak/>
              <w:t>Carretera. Ejercicio Fiscal 2018.</w:t>
            </w:r>
          </w:p>
        </w:tc>
        <w:tc>
          <w:tcPr>
            <w:tcW w:w="1340" w:type="dxa"/>
            <w:tcBorders>
              <w:top w:val="nil"/>
              <w:left w:val="nil"/>
              <w:bottom w:val="single" w:sz="4" w:space="0" w:color="auto"/>
              <w:right w:val="single" w:sz="4" w:space="0" w:color="auto"/>
            </w:tcBorders>
            <w:shd w:val="clear" w:color="000000" w:fill="FFFFFF"/>
            <w:vAlign w:val="center"/>
            <w:hideMark/>
          </w:tcPr>
          <w:p w14:paraId="70F4F5DE" w14:textId="77777777" w:rsidR="00B076A2" w:rsidRPr="00B401A6" w:rsidRDefault="00B076A2" w:rsidP="00B3646C">
            <w:pPr>
              <w:spacing w:after="0" w:line="240" w:lineRule="auto"/>
              <w:rPr>
                <w:rFonts w:ascii="Arial" w:eastAsia="Times New Roman" w:hAnsi="Arial" w:cs="Arial"/>
                <w:color w:val="000000"/>
                <w:sz w:val="18"/>
                <w:szCs w:val="18"/>
              </w:rPr>
            </w:pPr>
            <w:r w:rsidRPr="00B401A6">
              <w:rPr>
                <w:rFonts w:ascii="Arial" w:eastAsia="Times New Roman" w:hAnsi="Arial" w:cs="Arial"/>
                <w:color w:val="000000"/>
                <w:sz w:val="18"/>
                <w:szCs w:val="18"/>
              </w:rPr>
              <w:lastRenderedPageBreak/>
              <w:t>Evaluación de Consistencia y Resultados.</w:t>
            </w:r>
          </w:p>
        </w:tc>
        <w:tc>
          <w:tcPr>
            <w:tcW w:w="1700" w:type="dxa"/>
            <w:tcBorders>
              <w:top w:val="nil"/>
              <w:left w:val="nil"/>
              <w:bottom w:val="single" w:sz="4" w:space="0" w:color="auto"/>
              <w:right w:val="single" w:sz="4" w:space="0" w:color="auto"/>
            </w:tcBorders>
            <w:shd w:val="clear" w:color="000000" w:fill="FFFFFF"/>
            <w:vAlign w:val="center"/>
            <w:hideMark/>
          </w:tcPr>
          <w:p w14:paraId="00892F60" w14:textId="77777777" w:rsidR="00B076A2" w:rsidRPr="00B401A6" w:rsidRDefault="00B076A2" w:rsidP="00B3646C">
            <w:pPr>
              <w:spacing w:after="0" w:line="240" w:lineRule="auto"/>
              <w:jc w:val="center"/>
              <w:rPr>
                <w:rFonts w:ascii="Arial" w:eastAsia="Times New Roman" w:hAnsi="Arial" w:cs="Arial"/>
                <w:sz w:val="18"/>
                <w:szCs w:val="18"/>
              </w:rPr>
            </w:pPr>
            <w:r w:rsidRPr="00B401A6">
              <w:rPr>
                <w:rFonts w:ascii="Arial" w:eastAsia="Times New Roman" w:hAnsi="Arial" w:cs="Arial"/>
                <w:sz w:val="18"/>
                <w:szCs w:val="18"/>
              </w:rPr>
              <w:t xml:space="preserve">Tecnología Social para el Desarrollo, S.A de C.V. </w:t>
            </w:r>
          </w:p>
        </w:tc>
      </w:tr>
      <w:tr w:rsidR="00B076A2" w:rsidRPr="00B401A6" w14:paraId="588E94C1" w14:textId="77777777" w:rsidTr="00B3646C">
        <w:trPr>
          <w:trHeight w:val="454"/>
        </w:trPr>
        <w:tc>
          <w:tcPr>
            <w:tcW w:w="620" w:type="dxa"/>
            <w:tcBorders>
              <w:top w:val="nil"/>
              <w:left w:val="single" w:sz="4" w:space="0" w:color="auto"/>
              <w:bottom w:val="single" w:sz="4" w:space="0" w:color="auto"/>
              <w:right w:val="single" w:sz="4" w:space="0" w:color="auto"/>
            </w:tcBorders>
            <w:shd w:val="clear" w:color="000000" w:fill="FFFFFF"/>
            <w:noWrap/>
            <w:vAlign w:val="center"/>
            <w:hideMark/>
          </w:tcPr>
          <w:p w14:paraId="3F531FB6" w14:textId="77777777" w:rsidR="00B076A2" w:rsidRPr="00B401A6" w:rsidRDefault="00B076A2" w:rsidP="00B3646C">
            <w:pPr>
              <w:spacing w:after="0" w:line="240" w:lineRule="auto"/>
              <w:jc w:val="center"/>
              <w:rPr>
                <w:rFonts w:ascii="Arial" w:eastAsia="Times New Roman" w:hAnsi="Arial" w:cs="Arial"/>
                <w:sz w:val="18"/>
                <w:szCs w:val="18"/>
              </w:rPr>
            </w:pPr>
            <w:r w:rsidRPr="00B401A6">
              <w:rPr>
                <w:rFonts w:ascii="Arial" w:eastAsia="Times New Roman" w:hAnsi="Arial" w:cs="Arial"/>
                <w:sz w:val="18"/>
                <w:szCs w:val="18"/>
              </w:rPr>
              <w:t>2019</w:t>
            </w:r>
          </w:p>
        </w:tc>
        <w:tc>
          <w:tcPr>
            <w:tcW w:w="2919" w:type="dxa"/>
            <w:tcBorders>
              <w:top w:val="nil"/>
              <w:left w:val="nil"/>
              <w:bottom w:val="single" w:sz="4" w:space="0" w:color="auto"/>
              <w:right w:val="single" w:sz="4" w:space="0" w:color="auto"/>
            </w:tcBorders>
            <w:shd w:val="clear" w:color="000000" w:fill="FFFFFF"/>
            <w:vAlign w:val="center"/>
            <w:hideMark/>
          </w:tcPr>
          <w:p w14:paraId="72F4616B" w14:textId="77777777" w:rsidR="00B076A2" w:rsidRPr="00B401A6" w:rsidRDefault="00B076A2" w:rsidP="00B3646C">
            <w:pPr>
              <w:spacing w:after="0" w:line="240" w:lineRule="auto"/>
              <w:rPr>
                <w:rFonts w:ascii="Arial" w:eastAsia="Times New Roman" w:hAnsi="Arial" w:cs="Arial"/>
                <w:color w:val="000000"/>
                <w:sz w:val="18"/>
                <w:szCs w:val="18"/>
              </w:rPr>
            </w:pPr>
            <w:r w:rsidRPr="00B401A6">
              <w:rPr>
                <w:rFonts w:ascii="Arial" w:eastAsia="Times New Roman" w:hAnsi="Arial" w:cs="Arial"/>
                <w:color w:val="000000"/>
                <w:sz w:val="18"/>
                <w:szCs w:val="18"/>
              </w:rPr>
              <w:t>Fondo de Aportaciones para la Seguridad Pública de los Estados y del Distrito Federal (FASP). Secretariado Ejecutivo del Sistema Estatal de Seguridad Pública.</w:t>
            </w:r>
          </w:p>
        </w:tc>
        <w:tc>
          <w:tcPr>
            <w:tcW w:w="2081" w:type="dxa"/>
            <w:tcBorders>
              <w:top w:val="nil"/>
              <w:left w:val="nil"/>
              <w:bottom w:val="single" w:sz="4" w:space="0" w:color="auto"/>
              <w:right w:val="single" w:sz="4" w:space="0" w:color="auto"/>
            </w:tcBorders>
            <w:shd w:val="clear" w:color="000000" w:fill="FFFFFF"/>
            <w:vAlign w:val="center"/>
            <w:hideMark/>
          </w:tcPr>
          <w:p w14:paraId="244A355E" w14:textId="77777777" w:rsidR="00B076A2" w:rsidRPr="00B401A6" w:rsidRDefault="00B076A2" w:rsidP="00B3646C">
            <w:pPr>
              <w:spacing w:after="0" w:line="240" w:lineRule="auto"/>
              <w:rPr>
                <w:rFonts w:ascii="Arial" w:eastAsia="Times New Roman" w:hAnsi="Arial" w:cs="Arial"/>
                <w:color w:val="000000"/>
                <w:sz w:val="18"/>
                <w:szCs w:val="18"/>
              </w:rPr>
            </w:pPr>
            <w:r w:rsidRPr="00B401A6">
              <w:rPr>
                <w:rFonts w:ascii="Arial" w:eastAsia="Times New Roman" w:hAnsi="Arial" w:cs="Arial"/>
                <w:color w:val="000000"/>
                <w:sz w:val="18"/>
                <w:szCs w:val="18"/>
              </w:rPr>
              <w:t>Fondo de Aportaciones para la Seguridad Pública de los Estados y del Distrito Federal (FASP). Ejercicio Fiscal 2019.</w:t>
            </w:r>
          </w:p>
        </w:tc>
        <w:tc>
          <w:tcPr>
            <w:tcW w:w="1340" w:type="dxa"/>
            <w:tcBorders>
              <w:top w:val="nil"/>
              <w:left w:val="nil"/>
              <w:bottom w:val="single" w:sz="4" w:space="0" w:color="auto"/>
              <w:right w:val="single" w:sz="4" w:space="0" w:color="auto"/>
            </w:tcBorders>
            <w:shd w:val="clear" w:color="000000" w:fill="FFFFFF"/>
            <w:vAlign w:val="center"/>
            <w:hideMark/>
          </w:tcPr>
          <w:p w14:paraId="4DEE156A" w14:textId="77777777" w:rsidR="00B076A2" w:rsidRPr="00B401A6" w:rsidRDefault="00B076A2" w:rsidP="00B3646C">
            <w:pPr>
              <w:spacing w:after="0" w:line="240" w:lineRule="auto"/>
              <w:rPr>
                <w:rFonts w:ascii="Arial" w:eastAsia="Times New Roman" w:hAnsi="Arial" w:cs="Arial"/>
                <w:color w:val="000000"/>
                <w:sz w:val="18"/>
                <w:szCs w:val="18"/>
              </w:rPr>
            </w:pPr>
            <w:r w:rsidRPr="00B401A6">
              <w:rPr>
                <w:rFonts w:ascii="Arial" w:eastAsia="Times New Roman" w:hAnsi="Arial" w:cs="Arial"/>
                <w:color w:val="000000"/>
                <w:sz w:val="18"/>
                <w:szCs w:val="18"/>
              </w:rPr>
              <w:t>Evaluación de Consistencia y Resultados.</w:t>
            </w:r>
          </w:p>
        </w:tc>
        <w:tc>
          <w:tcPr>
            <w:tcW w:w="1700" w:type="dxa"/>
            <w:tcBorders>
              <w:top w:val="nil"/>
              <w:left w:val="nil"/>
              <w:bottom w:val="single" w:sz="4" w:space="0" w:color="auto"/>
              <w:right w:val="single" w:sz="4" w:space="0" w:color="auto"/>
            </w:tcBorders>
            <w:shd w:val="clear" w:color="000000" w:fill="FFFFFF"/>
            <w:vAlign w:val="center"/>
            <w:hideMark/>
          </w:tcPr>
          <w:p w14:paraId="41B85B2D" w14:textId="77777777" w:rsidR="00B076A2" w:rsidRPr="00B401A6" w:rsidRDefault="00B076A2" w:rsidP="00B3646C">
            <w:pPr>
              <w:spacing w:after="0" w:line="240" w:lineRule="auto"/>
              <w:jc w:val="center"/>
              <w:rPr>
                <w:rFonts w:ascii="Arial" w:eastAsia="Times New Roman" w:hAnsi="Arial" w:cs="Arial"/>
                <w:sz w:val="18"/>
                <w:szCs w:val="18"/>
              </w:rPr>
            </w:pPr>
            <w:r w:rsidRPr="00B401A6">
              <w:rPr>
                <w:rFonts w:ascii="Arial" w:eastAsia="Times New Roman" w:hAnsi="Arial" w:cs="Arial"/>
                <w:sz w:val="18"/>
                <w:szCs w:val="18"/>
              </w:rPr>
              <w:t>Numera, S.C.</w:t>
            </w:r>
          </w:p>
        </w:tc>
      </w:tr>
    </w:tbl>
    <w:p w14:paraId="70ED8DEC" w14:textId="77777777" w:rsidR="00B076A2" w:rsidRDefault="00B076A2" w:rsidP="00B076A2">
      <w:pPr>
        <w:spacing w:after="0" w:line="240" w:lineRule="auto"/>
        <w:jc w:val="both"/>
        <w:rPr>
          <w:rFonts w:ascii="Arial" w:hAnsi="Arial" w:cs="Arial"/>
          <w:color w:val="000000" w:themeColor="text1"/>
          <w:sz w:val="16"/>
        </w:rPr>
      </w:pPr>
      <w:r w:rsidRPr="006839F3">
        <w:rPr>
          <w:rFonts w:ascii="Arial" w:hAnsi="Arial" w:cs="Arial"/>
          <w:sz w:val="16"/>
        </w:rPr>
        <w:t>Fuente:</w:t>
      </w:r>
      <w:r>
        <w:rPr>
          <w:rFonts w:ascii="Arial" w:hAnsi="Arial" w:cs="Arial"/>
          <w:sz w:val="16"/>
        </w:rPr>
        <w:t xml:space="preserve"> Elaboración propia con base en: </w:t>
      </w:r>
      <w:hyperlink r:id="rId17" w:history="1">
        <w:r w:rsidRPr="006839F3">
          <w:rPr>
            <w:rStyle w:val="Hipervnculo"/>
            <w:rFonts w:ascii="Arial" w:hAnsi="Arial" w:cs="Arial"/>
            <w:color w:val="000000" w:themeColor="text1"/>
            <w:sz w:val="16"/>
            <w:u w:val="none"/>
          </w:rPr>
          <w:t>http://plancolima.col.gob.mx/pbrsed/</w:t>
        </w:r>
      </w:hyperlink>
      <w:r>
        <w:rPr>
          <w:rFonts w:ascii="Arial" w:hAnsi="Arial" w:cs="Arial"/>
          <w:color w:val="000000" w:themeColor="text1"/>
          <w:sz w:val="16"/>
        </w:rPr>
        <w:t xml:space="preserve"> con información al mes de octubre de 2020.</w:t>
      </w:r>
    </w:p>
    <w:p w14:paraId="646A8075" w14:textId="77777777" w:rsidR="00B076A2" w:rsidRDefault="00B076A2" w:rsidP="00B076A2">
      <w:pPr>
        <w:spacing w:after="0" w:line="240" w:lineRule="auto"/>
        <w:jc w:val="both"/>
        <w:rPr>
          <w:rFonts w:ascii="Arial" w:hAnsi="Arial" w:cs="Arial"/>
          <w:color w:val="000000" w:themeColor="text1"/>
          <w:sz w:val="24"/>
        </w:rPr>
      </w:pPr>
    </w:p>
    <w:p w14:paraId="64CEEDBB" w14:textId="77777777" w:rsidR="00B076A2" w:rsidRDefault="00B076A2" w:rsidP="00B076A2">
      <w:pPr>
        <w:spacing w:after="0" w:line="240" w:lineRule="auto"/>
        <w:jc w:val="both"/>
        <w:rPr>
          <w:rFonts w:ascii="Arial" w:hAnsi="Arial" w:cs="Arial"/>
          <w:color w:val="000000" w:themeColor="text1"/>
          <w:sz w:val="24"/>
        </w:rPr>
      </w:pPr>
      <w:r>
        <w:rPr>
          <w:rFonts w:ascii="Arial" w:hAnsi="Arial" w:cs="Arial"/>
          <w:color w:val="000000" w:themeColor="text1"/>
          <w:sz w:val="24"/>
        </w:rPr>
        <w:t>Con el resultado de los hallazgos y recomendaciones derivados de las evaluaciones realizadas a los programas presupuestarios previamente citados, las Dependencias Ejecutoras se encuentran trabajando en el perfeccionamiento de mecanismos para el seguimiento a los Aspectos Susceptibles de Mejora (ASM), con el propósito de encausar y fortalecer la gestión y prestación de los bienes y servicios públicos que se otorgan a la población mediante dichos programas.</w:t>
      </w:r>
    </w:p>
    <w:p w14:paraId="718307FB" w14:textId="77777777" w:rsidR="00B076A2" w:rsidRDefault="00B076A2" w:rsidP="00B076A2">
      <w:pPr>
        <w:tabs>
          <w:tab w:val="left" w:pos="2340"/>
        </w:tabs>
        <w:spacing w:after="0" w:line="240" w:lineRule="auto"/>
        <w:jc w:val="both"/>
        <w:rPr>
          <w:rFonts w:ascii="Arial" w:hAnsi="Arial" w:cs="Arial"/>
          <w:color w:val="000000" w:themeColor="text1"/>
          <w:sz w:val="24"/>
        </w:rPr>
      </w:pPr>
    </w:p>
    <w:p w14:paraId="4AD61B59" w14:textId="77777777" w:rsidR="00B076A2" w:rsidRDefault="00B076A2" w:rsidP="00B076A2">
      <w:pPr>
        <w:spacing w:after="0" w:line="240" w:lineRule="auto"/>
        <w:jc w:val="both"/>
        <w:rPr>
          <w:rFonts w:ascii="Arial" w:hAnsi="Arial" w:cs="Arial"/>
          <w:color w:val="000000" w:themeColor="text1"/>
          <w:sz w:val="24"/>
        </w:rPr>
      </w:pPr>
      <w:r>
        <w:rPr>
          <w:rFonts w:ascii="Arial" w:hAnsi="Arial" w:cs="Arial"/>
          <w:color w:val="000000" w:themeColor="text1"/>
          <w:sz w:val="24"/>
        </w:rPr>
        <w:t>Es pertinente recordar que la presente administración ha otorgado especial importancia a la evaluación de los programas, para medir los impactos en el desarrollo en favor de la población, como una cultura que no debe verse como fiscalización, sino como un instrumento para el aprendizaje y para la mejora continua del quehacer público.</w:t>
      </w:r>
    </w:p>
    <w:p w14:paraId="12E40638" w14:textId="77777777" w:rsidR="00B076A2" w:rsidRDefault="00B076A2" w:rsidP="00B076A2">
      <w:pPr>
        <w:spacing w:after="0" w:line="240" w:lineRule="auto"/>
        <w:jc w:val="both"/>
        <w:rPr>
          <w:rFonts w:ascii="Arial" w:hAnsi="Arial" w:cs="Arial"/>
          <w:color w:val="000000" w:themeColor="text1"/>
          <w:sz w:val="24"/>
        </w:rPr>
      </w:pPr>
    </w:p>
    <w:p w14:paraId="50CF4080" w14:textId="77777777" w:rsidR="00B076A2" w:rsidRDefault="00B076A2" w:rsidP="00B076A2">
      <w:pPr>
        <w:spacing w:after="0" w:line="240" w:lineRule="auto"/>
        <w:jc w:val="both"/>
        <w:rPr>
          <w:rFonts w:ascii="Arial" w:hAnsi="Arial" w:cs="Arial"/>
          <w:color w:val="000000" w:themeColor="text1"/>
          <w:sz w:val="24"/>
        </w:rPr>
      </w:pPr>
      <w:r>
        <w:rPr>
          <w:rFonts w:ascii="Arial" w:hAnsi="Arial" w:cs="Arial"/>
          <w:color w:val="000000" w:themeColor="text1"/>
          <w:sz w:val="24"/>
        </w:rPr>
        <w:t>Producto de lo anterior</w:t>
      </w:r>
      <w:r w:rsidRPr="00856CB2">
        <w:rPr>
          <w:rFonts w:ascii="Arial" w:hAnsi="Arial" w:cs="Arial"/>
          <w:color w:val="000000" w:themeColor="text1"/>
          <w:sz w:val="24"/>
        </w:rPr>
        <w:t>, se cuenta con la plataforma electrónica micro sitio PbR-SED de la Secretaría de Planeación y Finanzas</w:t>
      </w:r>
      <w:r>
        <w:rPr>
          <w:rFonts w:ascii="Arial" w:hAnsi="Arial" w:cs="Arial"/>
          <w:color w:val="000000" w:themeColor="text1"/>
          <w:sz w:val="24"/>
        </w:rPr>
        <w:t>, en donde se publican periódicamente los avances del seguimiento y evaluación a los programas presupuestarios, y demás elementos relacionados con el modelo del Presupuesto basado en Resultados y el Sistema de Evaluación del Desempeño.</w:t>
      </w:r>
    </w:p>
    <w:p w14:paraId="39EA4425" w14:textId="77777777" w:rsidR="00B076A2" w:rsidRDefault="00B076A2" w:rsidP="00B076A2">
      <w:pPr>
        <w:spacing w:after="0" w:line="240" w:lineRule="auto"/>
        <w:jc w:val="both"/>
        <w:rPr>
          <w:rFonts w:ascii="Arial" w:hAnsi="Arial" w:cs="Arial"/>
          <w:color w:val="000000" w:themeColor="text1"/>
          <w:sz w:val="24"/>
        </w:rPr>
      </w:pPr>
    </w:p>
    <w:p w14:paraId="6B450A84" w14:textId="77777777" w:rsidR="00B076A2" w:rsidRDefault="00B076A2" w:rsidP="00B076A2">
      <w:pPr>
        <w:spacing w:after="0" w:line="240" w:lineRule="auto"/>
        <w:jc w:val="both"/>
        <w:rPr>
          <w:rFonts w:ascii="Arial" w:hAnsi="Arial" w:cs="Arial"/>
          <w:color w:val="000000" w:themeColor="text1"/>
          <w:sz w:val="24"/>
        </w:rPr>
      </w:pPr>
      <w:r>
        <w:rPr>
          <w:rFonts w:ascii="Arial" w:hAnsi="Arial" w:cs="Arial"/>
          <w:sz w:val="24"/>
        </w:rPr>
        <w:t xml:space="preserve">En el referido micro sitio web, </w:t>
      </w:r>
      <w:r>
        <w:rPr>
          <w:rFonts w:ascii="Arial" w:hAnsi="Arial" w:cs="Arial"/>
          <w:color w:val="000000" w:themeColor="text1"/>
          <w:sz w:val="24"/>
        </w:rPr>
        <w:t xml:space="preserve">se puede encontrar a detalle cada una de las evaluaciones del desempeño realizadas a los programas presupuestarios desde el ejercicio fiscal 2016, el Formato para la Difusión de los Resultados de las Evaluaciones, el seguimiento a los Aspectos Susceptibles de Mejora (ASM), entre otros rubros de interés. </w:t>
      </w:r>
    </w:p>
    <w:p w14:paraId="52B16A4E" w14:textId="77777777" w:rsidR="00B076A2" w:rsidRDefault="00B076A2" w:rsidP="00B076A2">
      <w:pPr>
        <w:spacing w:after="0" w:line="240" w:lineRule="auto"/>
        <w:jc w:val="both"/>
        <w:rPr>
          <w:rFonts w:ascii="Arial" w:hAnsi="Arial" w:cs="Arial"/>
          <w:color w:val="000000" w:themeColor="text1"/>
          <w:sz w:val="24"/>
        </w:rPr>
      </w:pPr>
    </w:p>
    <w:p w14:paraId="7B481204" w14:textId="77777777" w:rsidR="00B076A2" w:rsidRDefault="00B076A2" w:rsidP="00B076A2">
      <w:pPr>
        <w:spacing w:after="0" w:line="240" w:lineRule="auto"/>
        <w:jc w:val="both"/>
        <w:rPr>
          <w:rFonts w:ascii="Arial" w:hAnsi="Arial" w:cs="Arial"/>
          <w:color w:val="000000" w:themeColor="text1"/>
          <w:sz w:val="24"/>
        </w:rPr>
      </w:pPr>
      <w:r>
        <w:rPr>
          <w:rFonts w:ascii="Arial" w:hAnsi="Arial" w:cs="Arial"/>
          <w:color w:val="000000" w:themeColor="text1"/>
          <w:sz w:val="24"/>
        </w:rPr>
        <w:lastRenderedPageBreak/>
        <w:t xml:space="preserve">Lo anterior constituye el resultado de las acciones emprendidas por la presente administración para contar con un Sistema de Monitoreo y Seguimiento como herramienta pública de gestión que permitirá mejorar los resultados de los programas, así mismo constituye una base sólida para la actividad que realizarán futuras administraciones. </w:t>
      </w:r>
    </w:p>
    <w:p w14:paraId="16E821EF" w14:textId="77777777" w:rsidR="00B076A2" w:rsidRDefault="00B076A2" w:rsidP="00B076A2">
      <w:pPr>
        <w:spacing w:after="0" w:line="240" w:lineRule="auto"/>
        <w:jc w:val="both"/>
        <w:rPr>
          <w:rFonts w:ascii="Arial" w:hAnsi="Arial" w:cs="Arial"/>
          <w:color w:val="000000" w:themeColor="text1"/>
          <w:sz w:val="24"/>
        </w:rPr>
      </w:pPr>
    </w:p>
    <w:p w14:paraId="626A98AD" w14:textId="77777777" w:rsidR="00B076A2" w:rsidRPr="00177B8A" w:rsidRDefault="00B076A2" w:rsidP="00B076A2">
      <w:pPr>
        <w:spacing w:after="0" w:line="240" w:lineRule="auto"/>
        <w:jc w:val="both"/>
        <w:rPr>
          <w:rFonts w:ascii="Arial" w:hAnsi="Arial" w:cs="Arial"/>
          <w:i/>
          <w:sz w:val="24"/>
        </w:rPr>
      </w:pPr>
      <w:r w:rsidRPr="00177B8A">
        <w:rPr>
          <w:rFonts w:ascii="Arial" w:hAnsi="Arial" w:cs="Arial"/>
          <w:i/>
          <w:sz w:val="24"/>
        </w:rPr>
        <w:t>Estrategia 5. Complementarias</w:t>
      </w:r>
    </w:p>
    <w:p w14:paraId="2E70104C" w14:textId="77777777" w:rsidR="00B076A2" w:rsidRDefault="00B076A2" w:rsidP="00B076A2">
      <w:pPr>
        <w:spacing w:after="0" w:line="240" w:lineRule="auto"/>
        <w:jc w:val="both"/>
        <w:rPr>
          <w:rFonts w:ascii="Arial" w:hAnsi="Arial" w:cs="Arial"/>
          <w:b/>
          <w:sz w:val="24"/>
        </w:rPr>
      </w:pPr>
    </w:p>
    <w:p w14:paraId="1C2DF938" w14:textId="77777777" w:rsidR="00B076A2" w:rsidRDefault="00B076A2" w:rsidP="00B076A2">
      <w:pPr>
        <w:spacing w:after="0" w:line="240" w:lineRule="auto"/>
        <w:jc w:val="both"/>
        <w:rPr>
          <w:rFonts w:ascii="Arial" w:hAnsi="Arial" w:cs="Arial"/>
          <w:sz w:val="24"/>
        </w:rPr>
      </w:pPr>
      <w:r>
        <w:rPr>
          <w:rFonts w:ascii="Arial" w:hAnsi="Arial" w:cs="Arial"/>
          <w:sz w:val="24"/>
        </w:rPr>
        <w:t>Se han fortalecido las finanzas públicas del estado mediante la revisión y estricto apego a las políticas de ingresos, egresos y deuda pública. Asimismo, se ha modernizado la gestión pública mediante la actualización del marco normativo, la implementación de mejoras regulatorias, la simplificación de trámites, la reducción de costos y la capacitación a servidores públicos, que a su vez ha permitido reducir la corrupción, a su tasa más baja, mediante mayor transparencia, rendición de cuentas, mecanismos de monitoreo y evaluación y el uso intensivo de las tecnologías de la información y comunicación, lo que ha concedido, además, mantener un estrecho contacto con la ciudadanía, aminorando la propagación de la pandemia del COVID-19, a través, de los tramites gubernamentales vía internet que actualmente se pueden realizar.</w:t>
      </w:r>
    </w:p>
    <w:p w14:paraId="2ABEA95E" w14:textId="77777777" w:rsidR="00B076A2" w:rsidRDefault="00B076A2" w:rsidP="00B076A2">
      <w:pPr>
        <w:spacing w:after="0" w:line="240" w:lineRule="auto"/>
        <w:jc w:val="both"/>
        <w:rPr>
          <w:rFonts w:ascii="Arial" w:hAnsi="Arial" w:cs="Arial"/>
          <w:sz w:val="24"/>
        </w:rPr>
      </w:pPr>
    </w:p>
    <w:p w14:paraId="6F7454AF" w14:textId="77777777" w:rsidR="00B076A2" w:rsidRPr="00E81180" w:rsidRDefault="00B076A2" w:rsidP="00B076A2">
      <w:pPr>
        <w:spacing w:after="0" w:line="240" w:lineRule="auto"/>
        <w:jc w:val="both"/>
        <w:rPr>
          <w:rFonts w:ascii="Arial" w:hAnsi="Arial" w:cs="Arial"/>
          <w:sz w:val="24"/>
        </w:rPr>
      </w:pPr>
      <w:r>
        <w:rPr>
          <w:rFonts w:ascii="Arial" w:hAnsi="Arial" w:cs="Arial"/>
          <w:sz w:val="24"/>
        </w:rPr>
        <w:t xml:space="preserve">Aunado a lo anterior, se continuará con el impulso a la equidad en el ámbito laboral y educativo, fortalecimiento a la inclusión de mujeres y personas con discapacidad, así como en acciones afirmativas y medidas para la prevención y atención a las víctimas de violencia de género. </w:t>
      </w:r>
    </w:p>
    <w:p w14:paraId="5CE1C019" w14:textId="77777777" w:rsidR="00B076A2" w:rsidRDefault="00B076A2" w:rsidP="00B076A2">
      <w:pPr>
        <w:spacing w:after="0" w:line="240" w:lineRule="auto"/>
        <w:jc w:val="both"/>
        <w:rPr>
          <w:rFonts w:ascii="Arial" w:hAnsi="Arial" w:cs="Arial"/>
          <w:b/>
          <w:sz w:val="24"/>
        </w:rPr>
      </w:pPr>
    </w:p>
    <w:p w14:paraId="5B93691B" w14:textId="77777777" w:rsidR="00B076A2" w:rsidRPr="00315F9F" w:rsidRDefault="00B076A2" w:rsidP="00B076A2">
      <w:pPr>
        <w:spacing w:after="0" w:line="240" w:lineRule="auto"/>
        <w:jc w:val="both"/>
        <w:rPr>
          <w:rFonts w:ascii="Arial" w:hAnsi="Arial" w:cs="Arial"/>
          <w:sz w:val="24"/>
        </w:rPr>
      </w:pPr>
      <w:r>
        <w:rPr>
          <w:rFonts w:ascii="Arial" w:hAnsi="Arial" w:cs="Arial"/>
          <w:sz w:val="24"/>
        </w:rPr>
        <w:t>Transversalmente, también, se continua asegurando que las políticas de desarrollo económico y social del estado sean sustentables y que brinden oportunidades a las comunidades más vulnerables, así como la utilización de medidas de manejo sustentable de los recursos naturales del estado, diseño e implementación de programas de mitigación del cambio climático, mejora en la educación ambiental de los colimenses y en garantizar la disponibilidad de sistemas de movilidad sustentable.</w:t>
      </w:r>
    </w:p>
    <w:p w14:paraId="41340B79" w14:textId="77777777" w:rsidR="00B076A2" w:rsidRDefault="00B076A2" w:rsidP="00B076A2">
      <w:pPr>
        <w:spacing w:after="0" w:line="240" w:lineRule="auto"/>
        <w:jc w:val="both"/>
        <w:rPr>
          <w:rFonts w:ascii="Arial" w:hAnsi="Arial" w:cs="Arial"/>
          <w:b/>
          <w:sz w:val="24"/>
        </w:rPr>
      </w:pPr>
    </w:p>
    <w:p w14:paraId="04A8F28F" w14:textId="77777777" w:rsidR="00B076A2" w:rsidRPr="00D46B00" w:rsidRDefault="00B076A2" w:rsidP="00B076A2">
      <w:pPr>
        <w:spacing w:after="0" w:line="240" w:lineRule="auto"/>
        <w:jc w:val="both"/>
        <w:rPr>
          <w:rFonts w:ascii="Arial" w:hAnsi="Arial" w:cs="Arial"/>
          <w:i/>
          <w:sz w:val="24"/>
        </w:rPr>
      </w:pPr>
      <w:r w:rsidRPr="00D46B00">
        <w:rPr>
          <w:rFonts w:ascii="Arial" w:hAnsi="Arial" w:cs="Arial"/>
          <w:i/>
          <w:sz w:val="24"/>
        </w:rPr>
        <w:t>Presupuesto basado en Resultados (PbR) y Sistema de Evaluación del Desempeño (SED).</w:t>
      </w:r>
    </w:p>
    <w:p w14:paraId="606E0401" w14:textId="77777777" w:rsidR="00B076A2" w:rsidRDefault="00B076A2" w:rsidP="00B076A2">
      <w:pPr>
        <w:spacing w:after="0" w:line="240" w:lineRule="auto"/>
        <w:jc w:val="both"/>
        <w:rPr>
          <w:rFonts w:ascii="Arial" w:hAnsi="Arial" w:cs="Arial"/>
          <w:b/>
          <w:sz w:val="24"/>
        </w:rPr>
      </w:pPr>
    </w:p>
    <w:p w14:paraId="779C9312" w14:textId="77777777" w:rsidR="00B076A2" w:rsidRDefault="00B076A2" w:rsidP="00B076A2">
      <w:pPr>
        <w:spacing w:after="0" w:line="240" w:lineRule="auto"/>
        <w:jc w:val="both"/>
        <w:rPr>
          <w:rFonts w:ascii="Arial" w:hAnsi="Arial" w:cs="Arial"/>
          <w:sz w:val="24"/>
        </w:rPr>
      </w:pPr>
      <w:r w:rsidRPr="00417E2C">
        <w:rPr>
          <w:rFonts w:ascii="Arial" w:hAnsi="Arial" w:cs="Arial"/>
          <w:sz w:val="24"/>
        </w:rPr>
        <w:t>El Presupuesto de Egresos, constituye uno de los principales instrumentos de</w:t>
      </w:r>
      <w:r>
        <w:rPr>
          <w:rFonts w:ascii="Arial" w:hAnsi="Arial" w:cs="Arial"/>
          <w:sz w:val="24"/>
        </w:rPr>
        <w:t xml:space="preserve"> </w:t>
      </w:r>
      <w:r w:rsidRPr="00417E2C">
        <w:rPr>
          <w:rFonts w:ascii="Arial" w:hAnsi="Arial" w:cs="Arial"/>
          <w:sz w:val="24"/>
        </w:rPr>
        <w:t>polít</w:t>
      </w:r>
      <w:r>
        <w:rPr>
          <w:rFonts w:ascii="Arial" w:hAnsi="Arial" w:cs="Arial"/>
          <w:sz w:val="24"/>
        </w:rPr>
        <w:t xml:space="preserve">ica de que dispone el gobierno </w:t>
      </w:r>
      <w:r w:rsidRPr="00417E2C">
        <w:rPr>
          <w:rFonts w:ascii="Arial" w:hAnsi="Arial" w:cs="Arial"/>
          <w:sz w:val="24"/>
        </w:rPr>
        <w:t>para alcanzar los objetivos plasmados en el</w:t>
      </w:r>
      <w:r>
        <w:rPr>
          <w:rFonts w:ascii="Arial" w:hAnsi="Arial" w:cs="Arial"/>
          <w:sz w:val="24"/>
        </w:rPr>
        <w:t xml:space="preserve"> </w:t>
      </w:r>
      <w:r w:rsidRPr="00417E2C">
        <w:rPr>
          <w:rFonts w:ascii="Arial" w:hAnsi="Arial" w:cs="Arial"/>
          <w:sz w:val="24"/>
        </w:rPr>
        <w:t>Plan Estatal de Desarrollo 2016-2021.</w:t>
      </w:r>
      <w:r>
        <w:rPr>
          <w:rFonts w:ascii="Arial" w:hAnsi="Arial" w:cs="Arial"/>
          <w:sz w:val="24"/>
        </w:rPr>
        <w:t xml:space="preserve"> Lo anterior implica</w:t>
      </w:r>
      <w:r w:rsidRPr="00002C28">
        <w:rPr>
          <w:rFonts w:ascii="Arial" w:hAnsi="Arial" w:cs="Arial"/>
          <w:sz w:val="24"/>
        </w:rPr>
        <w:t xml:space="preserve"> la necesidad de analizar la evolución del gasto público e</w:t>
      </w:r>
      <w:r>
        <w:rPr>
          <w:rFonts w:ascii="Arial" w:hAnsi="Arial" w:cs="Arial"/>
          <w:sz w:val="24"/>
        </w:rPr>
        <w:t xml:space="preserve"> </w:t>
      </w:r>
      <w:r w:rsidRPr="00002C28">
        <w:rPr>
          <w:rFonts w:ascii="Arial" w:hAnsi="Arial" w:cs="Arial"/>
          <w:sz w:val="24"/>
        </w:rPr>
        <w:t xml:space="preserve">identificar aquellos componentes que </w:t>
      </w:r>
      <w:r w:rsidRPr="00002C28">
        <w:rPr>
          <w:rFonts w:ascii="Arial" w:hAnsi="Arial" w:cs="Arial"/>
          <w:sz w:val="24"/>
        </w:rPr>
        <w:lastRenderedPageBreak/>
        <w:t>contribuyen a la consecución de las</w:t>
      </w:r>
      <w:r>
        <w:rPr>
          <w:rFonts w:ascii="Arial" w:hAnsi="Arial" w:cs="Arial"/>
          <w:sz w:val="24"/>
        </w:rPr>
        <w:t xml:space="preserve"> prioridades, especialmente, en aquellas relacionadas con la atención de la pandemia derivada del COVID-19 en todos su ámbitos, así como también aspectos relacionados con la activación de la economía a través de la acción gubernamental.</w:t>
      </w:r>
    </w:p>
    <w:p w14:paraId="4CC30B48" w14:textId="77777777" w:rsidR="00B076A2" w:rsidRDefault="00B076A2" w:rsidP="00B076A2">
      <w:pPr>
        <w:spacing w:after="0" w:line="240" w:lineRule="auto"/>
        <w:jc w:val="both"/>
        <w:rPr>
          <w:rFonts w:ascii="Arial" w:hAnsi="Arial" w:cs="Arial"/>
          <w:sz w:val="24"/>
        </w:rPr>
      </w:pPr>
    </w:p>
    <w:p w14:paraId="719498CD" w14:textId="77777777" w:rsidR="00B076A2" w:rsidRDefault="00B076A2" w:rsidP="00B076A2">
      <w:pPr>
        <w:spacing w:after="0" w:line="240" w:lineRule="auto"/>
        <w:jc w:val="both"/>
        <w:rPr>
          <w:rFonts w:ascii="Arial" w:hAnsi="Arial" w:cs="Arial"/>
          <w:sz w:val="24"/>
        </w:rPr>
      </w:pPr>
      <w:r w:rsidRPr="00002C28">
        <w:rPr>
          <w:rFonts w:ascii="Arial" w:hAnsi="Arial" w:cs="Arial"/>
          <w:sz w:val="24"/>
        </w:rPr>
        <w:t>Para ello, se llevó a cabo un análisis y reorganización de los diferentes componentes</w:t>
      </w:r>
      <w:r>
        <w:rPr>
          <w:rFonts w:ascii="Arial" w:hAnsi="Arial" w:cs="Arial"/>
          <w:sz w:val="24"/>
        </w:rPr>
        <w:t xml:space="preserve"> </w:t>
      </w:r>
      <w:r w:rsidRPr="00002C28">
        <w:rPr>
          <w:rFonts w:ascii="Arial" w:hAnsi="Arial" w:cs="Arial"/>
          <w:sz w:val="24"/>
        </w:rPr>
        <w:t>del gasto: programas, estructuras organizacionales, gastos de operación, y la forma</w:t>
      </w:r>
      <w:r>
        <w:rPr>
          <w:rFonts w:ascii="Arial" w:hAnsi="Arial" w:cs="Arial"/>
          <w:sz w:val="24"/>
        </w:rPr>
        <w:t xml:space="preserve"> </w:t>
      </w:r>
      <w:r w:rsidRPr="00002C28">
        <w:rPr>
          <w:rFonts w:ascii="Arial" w:hAnsi="Arial" w:cs="Arial"/>
          <w:sz w:val="24"/>
        </w:rPr>
        <w:t xml:space="preserve">en que se determinaron las asignaciones, privilegiando la </w:t>
      </w:r>
      <w:r w:rsidRPr="004C4AF5">
        <w:rPr>
          <w:rFonts w:ascii="Arial" w:hAnsi="Arial" w:cs="Arial"/>
          <w:sz w:val="24"/>
        </w:rPr>
        <w:t>determinación de un nivel óptimo de recursos para cada programa, con base en su potencial para la atención de las nuevas prioridades estatales, rompiendo inercias de asignación de</w:t>
      </w:r>
      <w:r>
        <w:rPr>
          <w:rFonts w:ascii="Arial" w:hAnsi="Arial" w:cs="Arial"/>
          <w:sz w:val="24"/>
        </w:rPr>
        <w:t xml:space="preserve"> recursos.</w:t>
      </w:r>
    </w:p>
    <w:p w14:paraId="6CB6F3E5" w14:textId="77777777" w:rsidR="00B076A2" w:rsidRDefault="00B076A2" w:rsidP="00B076A2">
      <w:pPr>
        <w:spacing w:after="0" w:line="240" w:lineRule="auto"/>
        <w:jc w:val="both"/>
        <w:rPr>
          <w:rFonts w:ascii="Arial" w:hAnsi="Arial" w:cs="Arial"/>
          <w:sz w:val="24"/>
        </w:rPr>
      </w:pPr>
    </w:p>
    <w:p w14:paraId="41B7891C" w14:textId="77777777" w:rsidR="00B076A2" w:rsidRDefault="00B076A2" w:rsidP="00B076A2">
      <w:pPr>
        <w:spacing w:after="0" w:line="240" w:lineRule="auto"/>
        <w:jc w:val="both"/>
        <w:rPr>
          <w:rFonts w:ascii="Arial" w:hAnsi="Arial" w:cs="Arial"/>
          <w:sz w:val="24"/>
        </w:rPr>
      </w:pPr>
      <w:r>
        <w:rPr>
          <w:rFonts w:ascii="Arial" w:hAnsi="Arial" w:cs="Arial"/>
          <w:sz w:val="24"/>
        </w:rPr>
        <w:t>Sumado a lo anterior</w:t>
      </w:r>
      <w:r w:rsidRPr="00002C28">
        <w:rPr>
          <w:rFonts w:ascii="Arial" w:hAnsi="Arial" w:cs="Arial"/>
          <w:sz w:val="24"/>
        </w:rPr>
        <w:t>, para potenciar el monitoreo del presupuesto, se aplicaron y se continuarán</w:t>
      </w:r>
      <w:r>
        <w:rPr>
          <w:rFonts w:ascii="Arial" w:hAnsi="Arial" w:cs="Arial"/>
          <w:sz w:val="24"/>
        </w:rPr>
        <w:t xml:space="preserve"> </w:t>
      </w:r>
      <w:r w:rsidRPr="00002C28">
        <w:rPr>
          <w:rFonts w:ascii="Arial" w:hAnsi="Arial" w:cs="Arial"/>
          <w:sz w:val="24"/>
        </w:rPr>
        <w:t>apli</w:t>
      </w:r>
      <w:r>
        <w:rPr>
          <w:rFonts w:ascii="Arial" w:hAnsi="Arial" w:cs="Arial"/>
          <w:sz w:val="24"/>
        </w:rPr>
        <w:t>cando y perfeccionando diversos</w:t>
      </w:r>
      <w:r w:rsidRPr="00002C28">
        <w:rPr>
          <w:rFonts w:ascii="Arial" w:hAnsi="Arial" w:cs="Arial"/>
          <w:sz w:val="24"/>
        </w:rPr>
        <w:t xml:space="preserve"> instrumentos con diferentes alcances y</w:t>
      </w:r>
      <w:r>
        <w:rPr>
          <w:rFonts w:ascii="Arial" w:hAnsi="Arial" w:cs="Arial"/>
          <w:sz w:val="24"/>
        </w:rPr>
        <w:t xml:space="preserve"> </w:t>
      </w:r>
      <w:r w:rsidRPr="00002C28">
        <w:rPr>
          <w:rFonts w:ascii="Arial" w:hAnsi="Arial" w:cs="Arial"/>
          <w:sz w:val="24"/>
        </w:rPr>
        <w:t>profundidad metodológica, con el objeto de obtener información de desempeño,</w:t>
      </w:r>
      <w:r>
        <w:rPr>
          <w:rFonts w:ascii="Arial" w:hAnsi="Arial" w:cs="Arial"/>
          <w:sz w:val="24"/>
        </w:rPr>
        <w:t xml:space="preserve"> </w:t>
      </w:r>
      <w:r w:rsidRPr="00002C28">
        <w:rPr>
          <w:rFonts w:ascii="Arial" w:hAnsi="Arial" w:cs="Arial"/>
          <w:sz w:val="24"/>
        </w:rPr>
        <w:t>entendido como la actuación o el funcionamiento en las acciones públicas, entre los</w:t>
      </w:r>
      <w:r>
        <w:rPr>
          <w:rFonts w:ascii="Arial" w:hAnsi="Arial" w:cs="Arial"/>
          <w:sz w:val="24"/>
        </w:rPr>
        <w:t xml:space="preserve"> </w:t>
      </w:r>
      <w:r w:rsidRPr="00002C28">
        <w:rPr>
          <w:rFonts w:ascii="Arial" w:hAnsi="Arial" w:cs="Arial"/>
          <w:sz w:val="24"/>
        </w:rPr>
        <w:t>que destacan:</w:t>
      </w:r>
      <w:r>
        <w:rPr>
          <w:rFonts w:ascii="Arial" w:hAnsi="Arial" w:cs="Arial"/>
          <w:sz w:val="24"/>
        </w:rPr>
        <w:t xml:space="preserve"> las Matrices del Marco Lógico y las Fichas Técnicas de Indicadores. </w:t>
      </w:r>
      <w:r w:rsidRPr="00002C28">
        <w:rPr>
          <w:rFonts w:ascii="Arial" w:hAnsi="Arial" w:cs="Arial"/>
          <w:sz w:val="24"/>
        </w:rPr>
        <w:t>Con ello se</w:t>
      </w:r>
      <w:r>
        <w:rPr>
          <w:rFonts w:ascii="Arial" w:hAnsi="Arial" w:cs="Arial"/>
          <w:sz w:val="24"/>
        </w:rPr>
        <w:t xml:space="preserve"> amplían y se</w:t>
      </w:r>
      <w:r w:rsidRPr="00002C28">
        <w:rPr>
          <w:rFonts w:ascii="Arial" w:hAnsi="Arial" w:cs="Arial"/>
          <w:sz w:val="24"/>
        </w:rPr>
        <w:t xml:space="preserve"> fortalecen las bases para futuros monitoreos y evaluaciones</w:t>
      </w:r>
      <w:r>
        <w:rPr>
          <w:rFonts w:ascii="Arial" w:hAnsi="Arial" w:cs="Arial"/>
          <w:sz w:val="24"/>
        </w:rPr>
        <w:t xml:space="preserve"> de programas, de proyectos y las </w:t>
      </w:r>
      <w:r w:rsidRPr="00002C28">
        <w:rPr>
          <w:rFonts w:ascii="Arial" w:hAnsi="Arial" w:cs="Arial"/>
          <w:sz w:val="24"/>
        </w:rPr>
        <w:t>revisiones de gasto.</w:t>
      </w:r>
    </w:p>
    <w:p w14:paraId="3913C6D2" w14:textId="77777777" w:rsidR="00B076A2" w:rsidRDefault="00B076A2" w:rsidP="00B076A2">
      <w:pPr>
        <w:spacing w:after="0" w:line="240" w:lineRule="auto"/>
        <w:jc w:val="both"/>
        <w:rPr>
          <w:rFonts w:ascii="Arial" w:hAnsi="Arial" w:cs="Arial"/>
          <w:sz w:val="24"/>
        </w:rPr>
      </w:pPr>
    </w:p>
    <w:p w14:paraId="46BF435A" w14:textId="77777777" w:rsidR="00B076A2" w:rsidRDefault="00B076A2" w:rsidP="00B076A2">
      <w:pPr>
        <w:spacing w:after="0" w:line="240" w:lineRule="auto"/>
        <w:jc w:val="both"/>
        <w:rPr>
          <w:rFonts w:ascii="Arial" w:hAnsi="Arial" w:cs="Arial"/>
          <w:sz w:val="24"/>
        </w:rPr>
      </w:pPr>
      <w:r>
        <w:rPr>
          <w:rFonts w:ascii="Arial" w:hAnsi="Arial" w:cs="Arial"/>
          <w:sz w:val="24"/>
        </w:rPr>
        <w:t>En el presente P</w:t>
      </w:r>
      <w:r w:rsidRPr="00002C28">
        <w:rPr>
          <w:rFonts w:ascii="Arial" w:hAnsi="Arial" w:cs="Arial"/>
          <w:sz w:val="24"/>
        </w:rPr>
        <w:t>royecto, se tiene claro que los resultados finales o impactos (fin</w:t>
      </w:r>
      <w:r>
        <w:rPr>
          <w:rFonts w:ascii="Arial" w:hAnsi="Arial" w:cs="Arial"/>
          <w:sz w:val="24"/>
        </w:rPr>
        <w:t xml:space="preserve"> </w:t>
      </w:r>
      <w:r w:rsidRPr="00002C28">
        <w:rPr>
          <w:rFonts w:ascii="Arial" w:hAnsi="Arial" w:cs="Arial"/>
          <w:sz w:val="24"/>
        </w:rPr>
        <w:t>superior de las políticas públicas) en general, ocurren en horizontes de tiempo</w:t>
      </w:r>
      <w:r>
        <w:rPr>
          <w:rFonts w:ascii="Arial" w:hAnsi="Arial" w:cs="Arial"/>
          <w:sz w:val="24"/>
        </w:rPr>
        <w:t xml:space="preserve"> </w:t>
      </w:r>
      <w:r w:rsidRPr="00002C28">
        <w:rPr>
          <w:rFonts w:ascii="Arial" w:hAnsi="Arial" w:cs="Arial"/>
          <w:sz w:val="24"/>
        </w:rPr>
        <w:t>mayores al período anual de un presupuesto, por ello</w:t>
      </w:r>
      <w:r>
        <w:rPr>
          <w:rFonts w:ascii="Arial" w:hAnsi="Arial" w:cs="Arial"/>
          <w:sz w:val="24"/>
        </w:rPr>
        <w:t xml:space="preserve">, se perfila el ejercicio anual </w:t>
      </w:r>
      <w:r w:rsidRPr="00002C28">
        <w:rPr>
          <w:rFonts w:ascii="Arial" w:hAnsi="Arial" w:cs="Arial"/>
          <w:sz w:val="24"/>
        </w:rPr>
        <w:t>con un horizonte de mediano plazo.</w:t>
      </w:r>
      <w:r>
        <w:rPr>
          <w:rFonts w:ascii="Arial" w:hAnsi="Arial" w:cs="Arial"/>
          <w:sz w:val="24"/>
        </w:rPr>
        <w:t xml:space="preserve"> Las estrategias tratada</w:t>
      </w:r>
      <w:r w:rsidRPr="00002C28">
        <w:rPr>
          <w:rFonts w:ascii="Arial" w:hAnsi="Arial" w:cs="Arial"/>
          <w:sz w:val="24"/>
        </w:rPr>
        <w:t>s en este apartado</w:t>
      </w:r>
      <w:r>
        <w:rPr>
          <w:rFonts w:ascii="Arial" w:hAnsi="Arial" w:cs="Arial"/>
          <w:sz w:val="24"/>
        </w:rPr>
        <w:t xml:space="preserve"> </w:t>
      </w:r>
      <w:r w:rsidRPr="00002C28">
        <w:rPr>
          <w:rFonts w:ascii="Arial" w:hAnsi="Arial" w:cs="Arial"/>
          <w:sz w:val="24"/>
        </w:rPr>
        <w:t>contribuyen a art</w:t>
      </w:r>
      <w:r>
        <w:rPr>
          <w:rFonts w:ascii="Arial" w:hAnsi="Arial" w:cs="Arial"/>
          <w:sz w:val="24"/>
        </w:rPr>
        <w:t>icular el compromiso de mantener</w:t>
      </w:r>
      <w:r w:rsidRPr="00002C28">
        <w:rPr>
          <w:rFonts w:ascii="Arial" w:hAnsi="Arial" w:cs="Arial"/>
          <w:sz w:val="24"/>
        </w:rPr>
        <w:t xml:space="preserve"> la </w:t>
      </w:r>
      <w:r>
        <w:rPr>
          <w:rFonts w:ascii="Arial" w:hAnsi="Arial" w:cs="Arial"/>
          <w:sz w:val="24"/>
        </w:rPr>
        <w:t xml:space="preserve">estabilidad fiscal y </w:t>
      </w:r>
      <w:r w:rsidRPr="009526E1">
        <w:rPr>
          <w:rFonts w:ascii="Arial" w:hAnsi="Arial" w:cs="Arial"/>
          <w:sz w:val="24"/>
        </w:rPr>
        <w:t>financiera y el equilibrio presupuestario</w:t>
      </w:r>
      <w:r>
        <w:rPr>
          <w:rFonts w:ascii="Arial" w:hAnsi="Arial" w:cs="Arial"/>
          <w:sz w:val="24"/>
        </w:rPr>
        <w:t xml:space="preserve">, abonando al </w:t>
      </w:r>
      <w:r w:rsidRPr="009526E1">
        <w:rPr>
          <w:rFonts w:ascii="Arial" w:hAnsi="Arial" w:cs="Arial"/>
          <w:sz w:val="24"/>
        </w:rPr>
        <w:t>desarrollo integral del estado.</w:t>
      </w:r>
    </w:p>
    <w:p w14:paraId="32879E1A" w14:textId="77777777" w:rsidR="00B076A2" w:rsidRDefault="00B076A2" w:rsidP="00B076A2">
      <w:pPr>
        <w:spacing w:after="0" w:line="240" w:lineRule="auto"/>
        <w:jc w:val="both"/>
        <w:rPr>
          <w:rFonts w:ascii="Arial" w:hAnsi="Arial" w:cs="Arial"/>
          <w:sz w:val="24"/>
        </w:rPr>
      </w:pPr>
    </w:p>
    <w:p w14:paraId="17C90D16" w14:textId="77777777" w:rsidR="00B076A2" w:rsidRDefault="00B076A2" w:rsidP="00B076A2">
      <w:pPr>
        <w:spacing w:after="0" w:line="240" w:lineRule="auto"/>
        <w:jc w:val="both"/>
        <w:rPr>
          <w:rFonts w:ascii="Arial" w:hAnsi="Arial" w:cs="Arial"/>
          <w:sz w:val="24"/>
        </w:rPr>
      </w:pPr>
      <w:r w:rsidRPr="00002C28">
        <w:rPr>
          <w:rFonts w:ascii="Arial" w:hAnsi="Arial" w:cs="Arial"/>
          <w:sz w:val="24"/>
        </w:rPr>
        <w:t>Considerando que el presupuesto constituye la expresión financiera de las políticas</w:t>
      </w:r>
      <w:r>
        <w:rPr>
          <w:rFonts w:ascii="Arial" w:hAnsi="Arial" w:cs="Arial"/>
          <w:sz w:val="24"/>
        </w:rPr>
        <w:t xml:space="preserve"> públicas, en</w:t>
      </w:r>
      <w:r w:rsidRPr="00002C28">
        <w:rPr>
          <w:rFonts w:ascii="Arial" w:hAnsi="Arial" w:cs="Arial"/>
          <w:sz w:val="24"/>
        </w:rPr>
        <w:t xml:space="preserve"> la administración actual se emprendieron acciones para lograr diversos</w:t>
      </w:r>
      <w:r>
        <w:rPr>
          <w:rFonts w:ascii="Arial" w:hAnsi="Arial" w:cs="Arial"/>
          <w:sz w:val="24"/>
        </w:rPr>
        <w:t xml:space="preserve"> </w:t>
      </w:r>
      <w:r w:rsidRPr="00002C28">
        <w:rPr>
          <w:rFonts w:ascii="Arial" w:hAnsi="Arial" w:cs="Arial"/>
          <w:sz w:val="24"/>
        </w:rPr>
        <w:t>objetivos con</w:t>
      </w:r>
      <w:r>
        <w:rPr>
          <w:rFonts w:ascii="Arial" w:hAnsi="Arial" w:cs="Arial"/>
          <w:sz w:val="24"/>
        </w:rPr>
        <w:t xml:space="preserve"> un presupuesto mejor integrado y sensible a las condiciones que imperan en la actualidad:</w:t>
      </w:r>
      <w:r w:rsidRPr="00002C28">
        <w:rPr>
          <w:rFonts w:ascii="Arial" w:hAnsi="Arial" w:cs="Arial"/>
          <w:sz w:val="24"/>
        </w:rPr>
        <w:cr/>
      </w:r>
    </w:p>
    <w:p w14:paraId="1707BCF7" w14:textId="77777777" w:rsidR="00B076A2" w:rsidRDefault="00B076A2" w:rsidP="00B076A2">
      <w:pPr>
        <w:pStyle w:val="Prrafodelista"/>
        <w:numPr>
          <w:ilvl w:val="0"/>
          <w:numId w:val="21"/>
        </w:numPr>
        <w:spacing w:after="0" w:line="240" w:lineRule="auto"/>
        <w:jc w:val="both"/>
        <w:rPr>
          <w:rFonts w:ascii="Arial" w:hAnsi="Arial" w:cs="Arial"/>
          <w:sz w:val="24"/>
        </w:rPr>
      </w:pPr>
      <w:r>
        <w:rPr>
          <w:rFonts w:ascii="Arial" w:hAnsi="Arial" w:cs="Arial"/>
          <w:sz w:val="24"/>
        </w:rPr>
        <w:t>Garantizar la atención médica a todos los colimenses y redoblar las acciones encaminadas a la contención de la pandemia derivada del COVID-19.</w:t>
      </w:r>
    </w:p>
    <w:p w14:paraId="1EE91D82" w14:textId="77777777" w:rsidR="00B076A2" w:rsidRDefault="00B076A2" w:rsidP="00B076A2">
      <w:pPr>
        <w:pStyle w:val="Prrafodelista"/>
        <w:numPr>
          <w:ilvl w:val="0"/>
          <w:numId w:val="21"/>
        </w:numPr>
        <w:spacing w:after="0" w:line="240" w:lineRule="auto"/>
        <w:jc w:val="both"/>
        <w:rPr>
          <w:rFonts w:ascii="Arial" w:hAnsi="Arial" w:cs="Arial"/>
          <w:sz w:val="24"/>
        </w:rPr>
      </w:pPr>
      <w:r>
        <w:rPr>
          <w:rFonts w:ascii="Arial" w:hAnsi="Arial" w:cs="Arial"/>
          <w:sz w:val="24"/>
        </w:rPr>
        <w:t>Continuar con la</w:t>
      </w:r>
      <w:r w:rsidRPr="00002C28">
        <w:rPr>
          <w:rFonts w:ascii="Arial" w:hAnsi="Arial" w:cs="Arial"/>
          <w:sz w:val="24"/>
        </w:rPr>
        <w:t xml:space="preserve"> di</w:t>
      </w:r>
      <w:r>
        <w:rPr>
          <w:rFonts w:ascii="Arial" w:hAnsi="Arial" w:cs="Arial"/>
          <w:sz w:val="24"/>
        </w:rPr>
        <w:t xml:space="preserve">sciplina fiscal para mantener el </w:t>
      </w:r>
      <w:r w:rsidRPr="00002C28">
        <w:rPr>
          <w:rFonts w:ascii="Arial" w:hAnsi="Arial" w:cs="Arial"/>
          <w:sz w:val="24"/>
        </w:rPr>
        <w:t>equilibrio entre los ingr</w:t>
      </w:r>
      <w:r>
        <w:rPr>
          <w:rFonts w:ascii="Arial" w:hAnsi="Arial" w:cs="Arial"/>
          <w:sz w:val="24"/>
        </w:rPr>
        <w:t xml:space="preserve">esos y los gastos públicos y </w:t>
      </w:r>
      <w:r w:rsidRPr="00002C28">
        <w:rPr>
          <w:rFonts w:ascii="Arial" w:hAnsi="Arial" w:cs="Arial"/>
          <w:sz w:val="24"/>
        </w:rPr>
        <w:t>contribuir a la estabilidad fiscal en el tiempo.</w:t>
      </w:r>
    </w:p>
    <w:p w14:paraId="701DCC88" w14:textId="77777777" w:rsidR="00B076A2" w:rsidRDefault="00B076A2" w:rsidP="00B076A2">
      <w:pPr>
        <w:pStyle w:val="Prrafodelista"/>
        <w:numPr>
          <w:ilvl w:val="0"/>
          <w:numId w:val="21"/>
        </w:numPr>
        <w:spacing w:after="0" w:line="240" w:lineRule="auto"/>
        <w:jc w:val="both"/>
        <w:rPr>
          <w:rFonts w:ascii="Arial" w:hAnsi="Arial" w:cs="Arial"/>
          <w:sz w:val="24"/>
        </w:rPr>
      </w:pPr>
      <w:r>
        <w:rPr>
          <w:rFonts w:ascii="Arial" w:hAnsi="Arial" w:cs="Arial"/>
          <w:sz w:val="24"/>
        </w:rPr>
        <w:lastRenderedPageBreak/>
        <w:t>Mantener la e</w:t>
      </w:r>
      <w:r w:rsidRPr="00691493">
        <w:rPr>
          <w:rFonts w:ascii="Arial" w:hAnsi="Arial" w:cs="Arial"/>
          <w:sz w:val="24"/>
        </w:rPr>
        <w:t>ficiencia en la asignación</w:t>
      </w:r>
      <w:r>
        <w:rPr>
          <w:rFonts w:ascii="Arial" w:hAnsi="Arial" w:cs="Arial"/>
          <w:sz w:val="24"/>
        </w:rPr>
        <w:t xml:space="preserve">, </w:t>
      </w:r>
      <w:r w:rsidRPr="00691493">
        <w:rPr>
          <w:rFonts w:ascii="Arial" w:hAnsi="Arial" w:cs="Arial"/>
          <w:sz w:val="24"/>
        </w:rPr>
        <w:t xml:space="preserve"> se refiere a la capacidad del presupuesto para responder a las prioridades de gobierno, en la asignación de recursos públicos a aquellos proyectos, programas y acciones donde sea posible obtener los mejores desempeños, es decir, las mayores contribucion</w:t>
      </w:r>
      <w:r>
        <w:rPr>
          <w:rFonts w:ascii="Arial" w:hAnsi="Arial" w:cs="Arial"/>
          <w:sz w:val="24"/>
        </w:rPr>
        <w:t>es a los objetivos de política.</w:t>
      </w:r>
    </w:p>
    <w:p w14:paraId="423C621C" w14:textId="77777777" w:rsidR="00B076A2" w:rsidRDefault="00B076A2" w:rsidP="00B076A2">
      <w:pPr>
        <w:pStyle w:val="Prrafodelista"/>
        <w:numPr>
          <w:ilvl w:val="0"/>
          <w:numId w:val="21"/>
        </w:numPr>
        <w:spacing w:after="0" w:line="240" w:lineRule="auto"/>
        <w:jc w:val="both"/>
        <w:rPr>
          <w:rFonts w:ascii="Arial" w:hAnsi="Arial" w:cs="Arial"/>
          <w:sz w:val="24"/>
        </w:rPr>
      </w:pPr>
      <w:r>
        <w:rPr>
          <w:rFonts w:ascii="Arial" w:hAnsi="Arial" w:cs="Arial"/>
          <w:sz w:val="24"/>
        </w:rPr>
        <w:t xml:space="preserve">Lograr </w:t>
      </w:r>
      <w:r w:rsidRPr="00691493">
        <w:rPr>
          <w:rFonts w:ascii="Arial" w:hAnsi="Arial" w:cs="Arial"/>
          <w:sz w:val="24"/>
        </w:rPr>
        <w:t>la eficiencia operacional, centrando su atención en el desempeño en la entrega de los bienes y los servicios. Esto ocurre en la etapa de ejecución del presupuesto por cada uno de los organismos o unidades ejecutoras de gasto que forman parte de dicho presupuesto.</w:t>
      </w:r>
    </w:p>
    <w:p w14:paraId="218CAACF" w14:textId="77777777" w:rsidR="00B076A2" w:rsidRPr="00171123" w:rsidRDefault="00B076A2" w:rsidP="00B076A2">
      <w:pPr>
        <w:pStyle w:val="Prrafodelista"/>
        <w:numPr>
          <w:ilvl w:val="0"/>
          <w:numId w:val="21"/>
        </w:numPr>
        <w:spacing w:after="0" w:line="240" w:lineRule="auto"/>
        <w:jc w:val="both"/>
        <w:rPr>
          <w:rFonts w:ascii="Arial" w:hAnsi="Arial" w:cs="Arial"/>
          <w:sz w:val="24"/>
        </w:rPr>
      </w:pPr>
      <w:r>
        <w:rPr>
          <w:rFonts w:ascii="Arial" w:hAnsi="Arial" w:cs="Arial"/>
          <w:sz w:val="24"/>
        </w:rPr>
        <w:t>Buscar la reactivación de los sectores de la economía colimense, preponderando aquellas actividades económicas que por su naturaleza son detonantes del crecimiento económico.</w:t>
      </w:r>
    </w:p>
    <w:p w14:paraId="2C818A7D" w14:textId="77777777" w:rsidR="00B076A2" w:rsidRPr="00316F0A" w:rsidRDefault="00B076A2" w:rsidP="00B076A2">
      <w:pPr>
        <w:spacing w:after="0" w:line="240" w:lineRule="auto"/>
        <w:jc w:val="both"/>
        <w:rPr>
          <w:rFonts w:ascii="Arial" w:hAnsi="Arial" w:cs="Arial"/>
          <w:sz w:val="24"/>
        </w:rPr>
      </w:pPr>
    </w:p>
    <w:p w14:paraId="00AA953C" w14:textId="77777777" w:rsidR="00B076A2" w:rsidRPr="004D6E9F" w:rsidRDefault="00B076A2" w:rsidP="00B076A2">
      <w:pPr>
        <w:spacing w:after="0" w:line="240" w:lineRule="auto"/>
        <w:jc w:val="both"/>
        <w:rPr>
          <w:rFonts w:ascii="Arial" w:hAnsi="Arial" w:cs="Arial"/>
          <w:b/>
          <w:sz w:val="24"/>
        </w:rPr>
      </w:pPr>
      <w:r w:rsidRPr="004D6E9F">
        <w:rPr>
          <w:rFonts w:ascii="Arial" w:hAnsi="Arial" w:cs="Arial"/>
          <w:b/>
          <w:sz w:val="24"/>
        </w:rPr>
        <w:t>2.2. PROYECCIONES DE FINANZAS PÚBLICAS, CONSIDERANDO LAS PREMISAS EMPLEADAS EN LOS CRITERIOS GENERALES DE POLÍTICA ECONÓMICA</w:t>
      </w:r>
    </w:p>
    <w:p w14:paraId="2B2BDEA3" w14:textId="77777777" w:rsidR="00B076A2" w:rsidRDefault="00B076A2" w:rsidP="00B076A2">
      <w:pPr>
        <w:spacing w:after="0" w:line="240" w:lineRule="auto"/>
        <w:jc w:val="both"/>
        <w:rPr>
          <w:rFonts w:ascii="Arial" w:hAnsi="Arial" w:cs="Arial"/>
          <w:sz w:val="24"/>
        </w:rPr>
      </w:pPr>
    </w:p>
    <w:p w14:paraId="4D08E3C3" w14:textId="77777777" w:rsidR="00B076A2" w:rsidRDefault="00B076A2" w:rsidP="00B076A2">
      <w:pPr>
        <w:spacing w:after="0" w:line="240" w:lineRule="auto"/>
        <w:jc w:val="both"/>
        <w:rPr>
          <w:rFonts w:ascii="Arial" w:hAnsi="Arial" w:cs="Arial"/>
          <w:sz w:val="24"/>
        </w:rPr>
      </w:pPr>
      <w:r w:rsidRPr="00412ED7">
        <w:rPr>
          <w:rFonts w:ascii="Arial" w:hAnsi="Arial" w:cs="Arial"/>
          <w:sz w:val="24"/>
        </w:rPr>
        <w:t>Las proyecciones que se presentan, abarcan un periodo de cinco</w:t>
      </w:r>
      <w:r>
        <w:rPr>
          <w:rFonts w:ascii="Arial" w:hAnsi="Arial" w:cs="Arial"/>
          <w:sz w:val="24"/>
        </w:rPr>
        <w:t xml:space="preserve"> </w:t>
      </w:r>
      <w:r w:rsidRPr="00412ED7">
        <w:rPr>
          <w:rFonts w:ascii="Arial" w:hAnsi="Arial" w:cs="Arial"/>
          <w:sz w:val="24"/>
        </w:rPr>
        <w:t xml:space="preserve">años en </w:t>
      </w:r>
      <w:r>
        <w:rPr>
          <w:rFonts w:ascii="Arial" w:hAnsi="Arial" w:cs="Arial"/>
          <w:sz w:val="24"/>
        </w:rPr>
        <w:t>adición al ejercicio fiscal 2021</w:t>
      </w:r>
      <w:r w:rsidRPr="00412ED7">
        <w:rPr>
          <w:rFonts w:ascii="Arial" w:hAnsi="Arial" w:cs="Arial"/>
          <w:sz w:val="24"/>
        </w:rPr>
        <w:t xml:space="preserve"> y se efectuaron con base en los formatos</w:t>
      </w:r>
      <w:r>
        <w:rPr>
          <w:rFonts w:ascii="Arial" w:hAnsi="Arial" w:cs="Arial"/>
          <w:sz w:val="24"/>
        </w:rPr>
        <w:t xml:space="preserve"> </w:t>
      </w:r>
      <w:r w:rsidRPr="00412ED7">
        <w:rPr>
          <w:rFonts w:ascii="Arial" w:hAnsi="Arial" w:cs="Arial"/>
          <w:sz w:val="24"/>
        </w:rPr>
        <w:t>emitidos por el Consejo Nacional de Armonización Contable</w:t>
      </w:r>
      <w:r>
        <w:rPr>
          <w:rFonts w:ascii="Arial" w:hAnsi="Arial" w:cs="Arial"/>
          <w:sz w:val="24"/>
        </w:rPr>
        <w:t>, a</w:t>
      </w:r>
      <w:r w:rsidRPr="00412ED7">
        <w:rPr>
          <w:rFonts w:ascii="Arial" w:hAnsi="Arial" w:cs="Arial"/>
          <w:sz w:val="24"/>
        </w:rPr>
        <w:t>simismo, se</w:t>
      </w:r>
      <w:r>
        <w:rPr>
          <w:rFonts w:ascii="Arial" w:hAnsi="Arial" w:cs="Arial"/>
          <w:sz w:val="24"/>
        </w:rPr>
        <w:t xml:space="preserve"> </w:t>
      </w:r>
      <w:r w:rsidRPr="00412ED7">
        <w:rPr>
          <w:rFonts w:ascii="Arial" w:hAnsi="Arial" w:cs="Arial"/>
          <w:sz w:val="24"/>
        </w:rPr>
        <w:t>fundamentaron en los siguientes criterios:</w:t>
      </w:r>
      <w:r w:rsidRPr="00412ED7">
        <w:rPr>
          <w:rFonts w:ascii="Arial" w:hAnsi="Arial" w:cs="Arial"/>
          <w:sz w:val="24"/>
        </w:rPr>
        <w:cr/>
      </w:r>
    </w:p>
    <w:p w14:paraId="69169F4B" w14:textId="77777777" w:rsidR="00B076A2" w:rsidRPr="00412ED7" w:rsidRDefault="00B076A2" w:rsidP="00B076A2">
      <w:pPr>
        <w:pStyle w:val="Prrafodelista"/>
        <w:numPr>
          <w:ilvl w:val="0"/>
          <w:numId w:val="22"/>
        </w:numPr>
        <w:spacing w:after="0" w:line="240" w:lineRule="auto"/>
        <w:jc w:val="both"/>
        <w:rPr>
          <w:rFonts w:ascii="Arial" w:hAnsi="Arial" w:cs="Arial"/>
          <w:sz w:val="24"/>
        </w:rPr>
      </w:pPr>
      <w:r>
        <w:rPr>
          <w:rFonts w:ascii="Arial" w:hAnsi="Arial" w:cs="Arial"/>
          <w:sz w:val="24"/>
        </w:rPr>
        <w:t xml:space="preserve">Premisas, supuestos y proyecciones empleadas en los </w:t>
      </w:r>
      <w:r w:rsidRPr="00412ED7">
        <w:rPr>
          <w:rFonts w:ascii="Arial" w:hAnsi="Arial" w:cs="Arial"/>
          <w:sz w:val="24"/>
        </w:rPr>
        <w:t xml:space="preserve">Criterios </w:t>
      </w:r>
      <w:r>
        <w:rPr>
          <w:rFonts w:ascii="Arial" w:hAnsi="Arial" w:cs="Arial"/>
          <w:sz w:val="24"/>
        </w:rPr>
        <w:t xml:space="preserve">Generales </w:t>
      </w:r>
      <w:r w:rsidRPr="00412ED7">
        <w:rPr>
          <w:rFonts w:ascii="Arial" w:hAnsi="Arial" w:cs="Arial"/>
          <w:sz w:val="24"/>
        </w:rPr>
        <w:t xml:space="preserve">de Política Económica </w:t>
      </w:r>
      <w:r>
        <w:rPr>
          <w:rFonts w:ascii="Arial" w:hAnsi="Arial" w:cs="Arial"/>
          <w:sz w:val="24"/>
        </w:rPr>
        <w:t>2021.</w:t>
      </w:r>
    </w:p>
    <w:p w14:paraId="23E9F489" w14:textId="77777777" w:rsidR="00B076A2" w:rsidRPr="00412ED7" w:rsidRDefault="00B076A2" w:rsidP="00B076A2">
      <w:pPr>
        <w:pStyle w:val="Prrafodelista"/>
        <w:numPr>
          <w:ilvl w:val="0"/>
          <w:numId w:val="22"/>
        </w:numPr>
        <w:spacing w:after="0" w:line="240" w:lineRule="auto"/>
        <w:jc w:val="both"/>
        <w:rPr>
          <w:rFonts w:ascii="Arial" w:hAnsi="Arial" w:cs="Arial"/>
          <w:sz w:val="24"/>
        </w:rPr>
      </w:pPr>
      <w:r w:rsidRPr="00412ED7">
        <w:rPr>
          <w:rFonts w:ascii="Arial" w:hAnsi="Arial" w:cs="Arial"/>
          <w:sz w:val="24"/>
        </w:rPr>
        <w:t>Postulados del Título Segundo, Reglas de</w:t>
      </w:r>
      <w:r>
        <w:rPr>
          <w:rFonts w:ascii="Arial" w:hAnsi="Arial" w:cs="Arial"/>
          <w:sz w:val="24"/>
        </w:rPr>
        <w:t xml:space="preserve"> Disciplina Financiera artículo</w:t>
      </w:r>
      <w:r w:rsidRPr="00412ED7">
        <w:rPr>
          <w:rFonts w:ascii="Arial" w:hAnsi="Arial" w:cs="Arial"/>
          <w:sz w:val="24"/>
        </w:rPr>
        <w:t xml:space="preserve"> 5° fracción II de la Ley de Disciplina Financiera de las Entidades Federativas y los Municipios.</w:t>
      </w:r>
    </w:p>
    <w:p w14:paraId="61570203" w14:textId="77777777" w:rsidR="00B076A2" w:rsidRPr="00412ED7" w:rsidRDefault="00B076A2" w:rsidP="00B076A2">
      <w:pPr>
        <w:pStyle w:val="Prrafodelista"/>
        <w:numPr>
          <w:ilvl w:val="0"/>
          <w:numId w:val="22"/>
        </w:numPr>
        <w:spacing w:after="0" w:line="240" w:lineRule="auto"/>
        <w:jc w:val="both"/>
        <w:rPr>
          <w:rFonts w:ascii="Arial" w:hAnsi="Arial" w:cs="Arial"/>
          <w:sz w:val="24"/>
        </w:rPr>
      </w:pPr>
      <w:r w:rsidRPr="00412ED7">
        <w:rPr>
          <w:rFonts w:ascii="Arial" w:hAnsi="Arial" w:cs="Arial"/>
          <w:sz w:val="24"/>
        </w:rPr>
        <w:t>Criterios para la elaboración y presentación homogénea de la información financiera y de los formatos a que hace referencia la Ley de Disciplina Financiera de las Entidades Federativas y los Municipios.</w:t>
      </w:r>
    </w:p>
    <w:p w14:paraId="61F5098D" w14:textId="77777777" w:rsidR="00B076A2" w:rsidRDefault="00B076A2" w:rsidP="00B076A2">
      <w:pPr>
        <w:spacing w:after="0" w:line="240" w:lineRule="auto"/>
        <w:jc w:val="both"/>
        <w:rPr>
          <w:rFonts w:ascii="Arial" w:hAnsi="Arial" w:cs="Arial"/>
          <w:sz w:val="24"/>
        </w:rPr>
      </w:pPr>
    </w:p>
    <w:tbl>
      <w:tblPr>
        <w:tblStyle w:val="Tablaconcuadrcula"/>
        <w:tblW w:w="5000" w:type="pct"/>
        <w:jc w:val="center"/>
        <w:tblLook w:val="04A0" w:firstRow="1" w:lastRow="0" w:firstColumn="1" w:lastColumn="0" w:noHBand="0" w:noVBand="1"/>
      </w:tblPr>
      <w:tblGrid>
        <w:gridCol w:w="2263"/>
        <w:gridCol w:w="6231"/>
      </w:tblGrid>
      <w:tr w:rsidR="00B076A2" w14:paraId="0A872DEB" w14:textId="77777777" w:rsidTr="00B3646C">
        <w:trPr>
          <w:trHeight w:val="185"/>
          <w:jc w:val="center"/>
        </w:trPr>
        <w:tc>
          <w:tcPr>
            <w:tcW w:w="5000" w:type="pct"/>
            <w:gridSpan w:val="2"/>
            <w:shd w:val="clear" w:color="auto" w:fill="DBDBDB" w:themeFill="accent3" w:themeFillTint="66"/>
            <w:vAlign w:val="center"/>
          </w:tcPr>
          <w:p w14:paraId="107C459C" w14:textId="77777777" w:rsidR="00B076A2" w:rsidRPr="003F4DFD" w:rsidRDefault="00B076A2" w:rsidP="00B3646C">
            <w:pPr>
              <w:spacing w:after="0" w:line="240" w:lineRule="auto"/>
              <w:jc w:val="center"/>
              <w:rPr>
                <w:rFonts w:ascii="Arial" w:hAnsi="Arial" w:cs="Arial"/>
                <w:b/>
                <w:sz w:val="24"/>
              </w:rPr>
            </w:pPr>
            <w:r>
              <w:rPr>
                <w:rFonts w:ascii="Arial" w:hAnsi="Arial" w:cs="Arial"/>
                <w:b/>
                <w:sz w:val="28"/>
              </w:rPr>
              <w:t>Supuestos de Finanzas Públicas d</w:t>
            </w:r>
            <w:r w:rsidRPr="005C7AA1">
              <w:rPr>
                <w:rFonts w:ascii="Arial" w:hAnsi="Arial" w:cs="Arial"/>
                <w:b/>
                <w:sz w:val="28"/>
              </w:rPr>
              <w:t>e Mediano Plazo, 2021-2025</w:t>
            </w:r>
          </w:p>
        </w:tc>
      </w:tr>
      <w:tr w:rsidR="00B076A2" w14:paraId="08094D38" w14:textId="77777777" w:rsidTr="00B3646C">
        <w:trPr>
          <w:jc w:val="center"/>
        </w:trPr>
        <w:tc>
          <w:tcPr>
            <w:tcW w:w="1332" w:type="pct"/>
            <w:shd w:val="clear" w:color="auto" w:fill="EDEDED" w:themeFill="accent3" w:themeFillTint="33"/>
          </w:tcPr>
          <w:p w14:paraId="7EF94558" w14:textId="77777777" w:rsidR="00B076A2" w:rsidRPr="003D5932" w:rsidRDefault="00B076A2" w:rsidP="00B3646C">
            <w:pPr>
              <w:spacing w:after="0" w:line="240" w:lineRule="auto"/>
              <w:jc w:val="center"/>
              <w:rPr>
                <w:rFonts w:ascii="Arial" w:hAnsi="Arial" w:cs="Arial"/>
                <w:b/>
                <w:sz w:val="20"/>
              </w:rPr>
            </w:pPr>
            <w:r w:rsidRPr="003D5932">
              <w:rPr>
                <w:rFonts w:ascii="Arial" w:hAnsi="Arial" w:cs="Arial"/>
                <w:b/>
                <w:sz w:val="20"/>
              </w:rPr>
              <w:t>Concepto</w:t>
            </w:r>
          </w:p>
        </w:tc>
        <w:tc>
          <w:tcPr>
            <w:tcW w:w="3668" w:type="pct"/>
            <w:shd w:val="clear" w:color="auto" w:fill="EDEDED" w:themeFill="accent3" w:themeFillTint="33"/>
          </w:tcPr>
          <w:p w14:paraId="3BE62AEB" w14:textId="77777777" w:rsidR="00B076A2" w:rsidRPr="003D5932" w:rsidRDefault="00B076A2" w:rsidP="00B3646C">
            <w:pPr>
              <w:spacing w:after="0" w:line="240" w:lineRule="auto"/>
              <w:jc w:val="center"/>
              <w:rPr>
                <w:rFonts w:ascii="Arial" w:hAnsi="Arial" w:cs="Arial"/>
                <w:b/>
                <w:sz w:val="20"/>
              </w:rPr>
            </w:pPr>
            <w:r w:rsidRPr="003D5932">
              <w:rPr>
                <w:rFonts w:ascii="Arial" w:hAnsi="Arial" w:cs="Arial"/>
                <w:b/>
                <w:sz w:val="20"/>
              </w:rPr>
              <w:t>Supuestos</w:t>
            </w:r>
          </w:p>
        </w:tc>
      </w:tr>
      <w:tr w:rsidR="00B076A2" w14:paraId="34DEA905" w14:textId="77777777" w:rsidTr="00B3646C">
        <w:trPr>
          <w:jc w:val="center"/>
        </w:trPr>
        <w:tc>
          <w:tcPr>
            <w:tcW w:w="5000" w:type="pct"/>
            <w:gridSpan w:val="2"/>
          </w:tcPr>
          <w:p w14:paraId="67E41AA2" w14:textId="77777777" w:rsidR="00B076A2" w:rsidRPr="003D5932" w:rsidRDefault="00B076A2" w:rsidP="00B3646C">
            <w:pPr>
              <w:spacing w:after="0" w:line="240" w:lineRule="auto"/>
              <w:jc w:val="center"/>
              <w:rPr>
                <w:rFonts w:ascii="Arial" w:hAnsi="Arial" w:cs="Arial"/>
                <w:b/>
                <w:sz w:val="20"/>
              </w:rPr>
            </w:pPr>
            <w:r w:rsidRPr="003D5932">
              <w:rPr>
                <w:rFonts w:ascii="Arial" w:hAnsi="Arial" w:cs="Arial"/>
                <w:b/>
                <w:sz w:val="20"/>
              </w:rPr>
              <w:t xml:space="preserve">                                Fuente de Recursos</w:t>
            </w:r>
          </w:p>
        </w:tc>
      </w:tr>
      <w:tr w:rsidR="00B076A2" w14:paraId="4BD8BD7B" w14:textId="77777777" w:rsidTr="00B3646C">
        <w:trPr>
          <w:jc w:val="center"/>
        </w:trPr>
        <w:tc>
          <w:tcPr>
            <w:tcW w:w="1332" w:type="pct"/>
            <w:vAlign w:val="center"/>
          </w:tcPr>
          <w:p w14:paraId="5D06FB6F" w14:textId="77777777" w:rsidR="00B076A2" w:rsidRPr="008A1203" w:rsidRDefault="00B076A2" w:rsidP="00B3646C">
            <w:pPr>
              <w:spacing w:after="0" w:line="240" w:lineRule="auto"/>
              <w:rPr>
                <w:rFonts w:ascii="Arial" w:hAnsi="Arial" w:cs="Arial"/>
                <w:sz w:val="18"/>
              </w:rPr>
            </w:pPr>
            <w:r w:rsidRPr="008A1203">
              <w:rPr>
                <w:rFonts w:ascii="Arial" w:hAnsi="Arial" w:cs="Arial"/>
                <w:sz w:val="18"/>
              </w:rPr>
              <w:t>Ingresos tributarios</w:t>
            </w:r>
          </w:p>
        </w:tc>
        <w:tc>
          <w:tcPr>
            <w:tcW w:w="3668" w:type="pct"/>
          </w:tcPr>
          <w:p w14:paraId="6FE8AA43" w14:textId="77777777" w:rsidR="00B076A2" w:rsidRPr="008A1203" w:rsidRDefault="00B076A2" w:rsidP="00B3646C">
            <w:pPr>
              <w:spacing w:after="0" w:line="240" w:lineRule="auto"/>
              <w:jc w:val="both"/>
              <w:rPr>
                <w:rFonts w:ascii="Arial" w:hAnsi="Arial" w:cs="Arial"/>
                <w:sz w:val="18"/>
              </w:rPr>
            </w:pPr>
            <w:r w:rsidRPr="008A1203">
              <w:rPr>
                <w:rFonts w:ascii="Arial" w:hAnsi="Arial" w:cs="Arial"/>
                <w:sz w:val="18"/>
              </w:rPr>
              <w:t>Para el periodo la recaudación aumenta ligeramente como proporción del PIB por mayor eficiencia en la recaudación.</w:t>
            </w:r>
          </w:p>
        </w:tc>
      </w:tr>
      <w:tr w:rsidR="00B076A2" w14:paraId="1168AD58" w14:textId="77777777" w:rsidTr="00B3646C">
        <w:trPr>
          <w:jc w:val="center"/>
        </w:trPr>
        <w:tc>
          <w:tcPr>
            <w:tcW w:w="1332" w:type="pct"/>
            <w:vAlign w:val="center"/>
          </w:tcPr>
          <w:p w14:paraId="54E9FC50" w14:textId="77777777" w:rsidR="00B076A2" w:rsidRPr="008A1203" w:rsidRDefault="00B076A2" w:rsidP="00B3646C">
            <w:pPr>
              <w:spacing w:after="0" w:line="240" w:lineRule="auto"/>
              <w:rPr>
                <w:rFonts w:ascii="Arial" w:hAnsi="Arial" w:cs="Arial"/>
                <w:sz w:val="18"/>
              </w:rPr>
            </w:pPr>
            <w:r w:rsidRPr="008A1203">
              <w:rPr>
                <w:rFonts w:ascii="Arial" w:hAnsi="Arial" w:cs="Arial"/>
                <w:sz w:val="18"/>
              </w:rPr>
              <w:t>Ingresos petroleros</w:t>
            </w:r>
          </w:p>
        </w:tc>
        <w:tc>
          <w:tcPr>
            <w:tcW w:w="3668" w:type="pct"/>
          </w:tcPr>
          <w:p w14:paraId="2F8160BB" w14:textId="77777777" w:rsidR="00B076A2" w:rsidRPr="008A1203" w:rsidRDefault="00B076A2" w:rsidP="00B3646C">
            <w:pPr>
              <w:spacing w:after="0" w:line="240" w:lineRule="auto"/>
              <w:jc w:val="both"/>
              <w:rPr>
                <w:rFonts w:ascii="Arial" w:hAnsi="Arial" w:cs="Arial"/>
                <w:sz w:val="18"/>
              </w:rPr>
            </w:pPr>
            <w:r w:rsidRPr="008A1203">
              <w:rPr>
                <w:rFonts w:ascii="Arial" w:hAnsi="Arial" w:cs="Arial"/>
                <w:sz w:val="18"/>
              </w:rPr>
              <w:t>Considera el efecto combinado de la evolución del precio de exportación del petróleo y del incremento de la plataforma de producción prevista en el Marco macroeconómico 2026-2026.</w:t>
            </w:r>
          </w:p>
        </w:tc>
      </w:tr>
      <w:tr w:rsidR="00B076A2" w14:paraId="2FE898AA" w14:textId="77777777" w:rsidTr="00B3646C">
        <w:trPr>
          <w:jc w:val="center"/>
        </w:trPr>
        <w:tc>
          <w:tcPr>
            <w:tcW w:w="1332" w:type="pct"/>
            <w:vAlign w:val="center"/>
          </w:tcPr>
          <w:p w14:paraId="77CEC06A" w14:textId="77777777" w:rsidR="00B076A2" w:rsidRPr="008A1203" w:rsidRDefault="00B076A2" w:rsidP="00B3646C">
            <w:pPr>
              <w:spacing w:after="0" w:line="240" w:lineRule="auto"/>
              <w:rPr>
                <w:rFonts w:ascii="Arial" w:hAnsi="Arial" w:cs="Arial"/>
                <w:sz w:val="18"/>
              </w:rPr>
            </w:pPr>
            <w:r w:rsidRPr="008A1203">
              <w:rPr>
                <w:rFonts w:ascii="Arial" w:hAnsi="Arial" w:cs="Arial"/>
                <w:sz w:val="18"/>
              </w:rPr>
              <w:t>Ingresos no tributarios</w:t>
            </w:r>
          </w:p>
        </w:tc>
        <w:tc>
          <w:tcPr>
            <w:tcW w:w="3668" w:type="pct"/>
          </w:tcPr>
          <w:p w14:paraId="51B88C3B" w14:textId="77777777" w:rsidR="00B076A2" w:rsidRPr="008A1203" w:rsidRDefault="00B076A2" w:rsidP="00B3646C">
            <w:pPr>
              <w:spacing w:after="0" w:line="240" w:lineRule="auto"/>
              <w:jc w:val="both"/>
              <w:rPr>
                <w:rFonts w:ascii="Arial" w:hAnsi="Arial" w:cs="Arial"/>
                <w:sz w:val="18"/>
              </w:rPr>
            </w:pPr>
            <w:r w:rsidRPr="008A1203">
              <w:rPr>
                <w:rFonts w:ascii="Arial" w:hAnsi="Arial" w:cs="Arial"/>
                <w:sz w:val="18"/>
              </w:rPr>
              <w:t>Para el periodo los ingresos aumentan a una tasa similar al crecimiento real de la economía. No considera ingresos extraordinarios.</w:t>
            </w:r>
          </w:p>
        </w:tc>
      </w:tr>
      <w:tr w:rsidR="00B076A2" w14:paraId="22184CCA" w14:textId="77777777" w:rsidTr="00B3646C">
        <w:trPr>
          <w:jc w:val="center"/>
        </w:trPr>
        <w:tc>
          <w:tcPr>
            <w:tcW w:w="1332" w:type="pct"/>
            <w:vAlign w:val="center"/>
          </w:tcPr>
          <w:p w14:paraId="09357473" w14:textId="77777777" w:rsidR="00B076A2" w:rsidRPr="008A1203" w:rsidRDefault="00B076A2" w:rsidP="00B3646C">
            <w:pPr>
              <w:spacing w:after="0" w:line="240" w:lineRule="auto"/>
              <w:rPr>
                <w:rFonts w:ascii="Arial" w:hAnsi="Arial" w:cs="Arial"/>
                <w:sz w:val="18"/>
              </w:rPr>
            </w:pPr>
            <w:r w:rsidRPr="008A1203">
              <w:rPr>
                <w:rFonts w:ascii="Arial" w:hAnsi="Arial" w:cs="Arial"/>
                <w:sz w:val="18"/>
              </w:rPr>
              <w:t>Ingresos de organismos y empresas</w:t>
            </w:r>
          </w:p>
        </w:tc>
        <w:tc>
          <w:tcPr>
            <w:tcW w:w="3668" w:type="pct"/>
          </w:tcPr>
          <w:p w14:paraId="62C10637" w14:textId="77777777" w:rsidR="00B076A2" w:rsidRPr="008A1203" w:rsidRDefault="00B076A2" w:rsidP="00B3646C">
            <w:pPr>
              <w:spacing w:after="0" w:line="240" w:lineRule="auto"/>
              <w:jc w:val="both"/>
              <w:rPr>
                <w:rFonts w:ascii="Arial" w:hAnsi="Arial" w:cs="Arial"/>
                <w:sz w:val="18"/>
              </w:rPr>
            </w:pPr>
            <w:r w:rsidRPr="008A1203">
              <w:rPr>
                <w:rFonts w:ascii="Arial" w:hAnsi="Arial" w:cs="Arial"/>
                <w:sz w:val="18"/>
              </w:rPr>
              <w:t>Los ingresos del IMSS, ISSSTE y CFE se mantienen como proporción del PIB.</w:t>
            </w:r>
          </w:p>
        </w:tc>
      </w:tr>
      <w:tr w:rsidR="00B076A2" w14:paraId="0E01CB90" w14:textId="77777777" w:rsidTr="00B3646C">
        <w:trPr>
          <w:jc w:val="center"/>
        </w:trPr>
        <w:tc>
          <w:tcPr>
            <w:tcW w:w="1332" w:type="pct"/>
            <w:vAlign w:val="center"/>
          </w:tcPr>
          <w:p w14:paraId="1946AEF0" w14:textId="77777777" w:rsidR="00B076A2" w:rsidRPr="008A1203" w:rsidRDefault="00B076A2" w:rsidP="00B3646C">
            <w:pPr>
              <w:spacing w:after="0" w:line="240" w:lineRule="auto"/>
              <w:rPr>
                <w:rFonts w:ascii="Arial" w:hAnsi="Arial" w:cs="Arial"/>
                <w:sz w:val="18"/>
              </w:rPr>
            </w:pPr>
            <w:r w:rsidRPr="008A1203">
              <w:rPr>
                <w:rFonts w:ascii="Arial" w:hAnsi="Arial" w:cs="Arial"/>
                <w:sz w:val="18"/>
              </w:rPr>
              <w:lastRenderedPageBreak/>
              <w:t>Balance público</w:t>
            </w:r>
          </w:p>
        </w:tc>
        <w:tc>
          <w:tcPr>
            <w:tcW w:w="3668" w:type="pct"/>
          </w:tcPr>
          <w:p w14:paraId="47B1E097" w14:textId="77777777" w:rsidR="00B076A2" w:rsidRPr="008A1203" w:rsidRDefault="00B076A2" w:rsidP="00B3646C">
            <w:pPr>
              <w:spacing w:after="0" w:line="240" w:lineRule="auto"/>
              <w:jc w:val="both"/>
              <w:rPr>
                <w:rFonts w:ascii="Arial" w:hAnsi="Arial" w:cs="Arial"/>
                <w:sz w:val="18"/>
              </w:rPr>
            </w:pPr>
            <w:r w:rsidRPr="008A1203">
              <w:rPr>
                <w:rFonts w:ascii="Arial" w:hAnsi="Arial" w:cs="Arial"/>
                <w:sz w:val="18"/>
              </w:rPr>
              <w:t>Es resultado de restar a los RFSP objetivo las necesidades del financiamiento fuera de presupuesto. Por lo que se ubica en 2% del PIB en promedio.</w:t>
            </w:r>
          </w:p>
        </w:tc>
      </w:tr>
      <w:tr w:rsidR="00B076A2" w14:paraId="54FD1EB7" w14:textId="77777777" w:rsidTr="00B3646C">
        <w:trPr>
          <w:jc w:val="center"/>
        </w:trPr>
        <w:tc>
          <w:tcPr>
            <w:tcW w:w="5000" w:type="pct"/>
            <w:gridSpan w:val="2"/>
          </w:tcPr>
          <w:p w14:paraId="75EB0A75" w14:textId="77777777" w:rsidR="00B076A2" w:rsidRPr="008A1203" w:rsidRDefault="00B076A2" w:rsidP="00B3646C">
            <w:pPr>
              <w:spacing w:after="0" w:line="240" w:lineRule="auto"/>
              <w:jc w:val="center"/>
              <w:rPr>
                <w:rFonts w:ascii="Arial" w:hAnsi="Arial" w:cs="Arial"/>
                <w:b/>
                <w:sz w:val="18"/>
              </w:rPr>
            </w:pPr>
            <w:r w:rsidRPr="008A1203">
              <w:rPr>
                <w:rFonts w:ascii="Arial" w:hAnsi="Arial" w:cs="Arial"/>
                <w:sz w:val="18"/>
              </w:rPr>
              <w:t xml:space="preserve">                                      </w:t>
            </w:r>
            <w:r w:rsidRPr="008A1203">
              <w:rPr>
                <w:rFonts w:ascii="Arial" w:hAnsi="Arial" w:cs="Arial"/>
                <w:b/>
                <w:sz w:val="18"/>
              </w:rPr>
              <w:t>Uso de recursos</w:t>
            </w:r>
          </w:p>
        </w:tc>
      </w:tr>
      <w:tr w:rsidR="00B076A2" w14:paraId="563FC295" w14:textId="77777777" w:rsidTr="00B3646C">
        <w:trPr>
          <w:jc w:val="center"/>
        </w:trPr>
        <w:tc>
          <w:tcPr>
            <w:tcW w:w="1332" w:type="pct"/>
            <w:vAlign w:val="center"/>
          </w:tcPr>
          <w:p w14:paraId="0D904832" w14:textId="77777777" w:rsidR="00B076A2" w:rsidRPr="008A1203" w:rsidRDefault="00B076A2" w:rsidP="00B3646C">
            <w:pPr>
              <w:spacing w:after="0" w:line="240" w:lineRule="auto"/>
              <w:rPr>
                <w:rFonts w:ascii="Arial" w:hAnsi="Arial" w:cs="Arial"/>
                <w:sz w:val="18"/>
              </w:rPr>
            </w:pPr>
            <w:r w:rsidRPr="008A1203">
              <w:rPr>
                <w:rFonts w:ascii="Arial" w:hAnsi="Arial" w:cs="Arial"/>
                <w:sz w:val="18"/>
              </w:rPr>
              <w:t>Gasto neto total</w:t>
            </w:r>
          </w:p>
        </w:tc>
        <w:tc>
          <w:tcPr>
            <w:tcW w:w="3668" w:type="pct"/>
          </w:tcPr>
          <w:p w14:paraId="732E6759" w14:textId="77777777" w:rsidR="00B076A2" w:rsidRPr="008A1203" w:rsidRDefault="00B076A2" w:rsidP="00B3646C">
            <w:pPr>
              <w:spacing w:after="0" w:line="240" w:lineRule="auto"/>
              <w:jc w:val="both"/>
              <w:rPr>
                <w:rFonts w:ascii="Arial" w:hAnsi="Arial" w:cs="Arial"/>
                <w:sz w:val="18"/>
              </w:rPr>
            </w:pPr>
            <w:r w:rsidRPr="008A1203">
              <w:rPr>
                <w:rFonts w:ascii="Arial" w:hAnsi="Arial" w:cs="Arial"/>
                <w:sz w:val="18"/>
              </w:rPr>
              <w:t>Es igual a las fuentes de financiamiento (ingresos más déficit público) ubicándose en alrededor de 24.7% del PIB entre 2022 y 2026.</w:t>
            </w:r>
          </w:p>
        </w:tc>
      </w:tr>
      <w:tr w:rsidR="00B076A2" w14:paraId="60FCD801" w14:textId="77777777" w:rsidTr="00B3646C">
        <w:trPr>
          <w:jc w:val="center"/>
        </w:trPr>
        <w:tc>
          <w:tcPr>
            <w:tcW w:w="1332" w:type="pct"/>
            <w:vAlign w:val="center"/>
          </w:tcPr>
          <w:p w14:paraId="6718B4B4" w14:textId="77777777" w:rsidR="00B076A2" w:rsidRPr="008A1203" w:rsidRDefault="00B076A2" w:rsidP="00B3646C">
            <w:pPr>
              <w:spacing w:after="0" w:line="240" w:lineRule="auto"/>
              <w:rPr>
                <w:rFonts w:ascii="Arial" w:hAnsi="Arial" w:cs="Arial"/>
                <w:sz w:val="18"/>
              </w:rPr>
            </w:pPr>
            <w:r w:rsidRPr="008A1203">
              <w:rPr>
                <w:rFonts w:ascii="Arial" w:hAnsi="Arial" w:cs="Arial"/>
                <w:sz w:val="18"/>
              </w:rPr>
              <w:t>Gasto no programable</w:t>
            </w:r>
          </w:p>
        </w:tc>
        <w:tc>
          <w:tcPr>
            <w:tcW w:w="3668" w:type="pct"/>
          </w:tcPr>
          <w:p w14:paraId="39D950C8" w14:textId="77777777" w:rsidR="00B076A2" w:rsidRPr="008A1203" w:rsidRDefault="00B076A2" w:rsidP="00B3646C">
            <w:pPr>
              <w:spacing w:after="0" w:line="240" w:lineRule="auto"/>
              <w:jc w:val="both"/>
              <w:rPr>
                <w:rFonts w:ascii="Arial" w:hAnsi="Arial" w:cs="Arial"/>
                <w:sz w:val="18"/>
              </w:rPr>
            </w:pPr>
            <w:r w:rsidRPr="008A1203">
              <w:rPr>
                <w:rFonts w:ascii="Arial" w:hAnsi="Arial" w:cs="Arial"/>
                <w:sz w:val="18"/>
              </w:rPr>
              <w:t>El costo financiero refleja la evolución esperada de las tasas de interés y del déficit presupuestario; las participaciones aumentan en forma proporcional a la recaudación; mientras que las Adefas se mantienen en un nivel similar a su promedio histórico de 0.1% del PIB.</w:t>
            </w:r>
          </w:p>
        </w:tc>
      </w:tr>
      <w:tr w:rsidR="00B076A2" w14:paraId="210203B2" w14:textId="77777777" w:rsidTr="00B3646C">
        <w:trPr>
          <w:jc w:val="center"/>
        </w:trPr>
        <w:tc>
          <w:tcPr>
            <w:tcW w:w="1332" w:type="pct"/>
            <w:vAlign w:val="center"/>
          </w:tcPr>
          <w:p w14:paraId="5EF785EA" w14:textId="77777777" w:rsidR="00B076A2" w:rsidRPr="008A1203" w:rsidRDefault="00B076A2" w:rsidP="00B3646C">
            <w:pPr>
              <w:spacing w:after="0" w:line="240" w:lineRule="auto"/>
              <w:rPr>
                <w:rFonts w:ascii="Arial" w:hAnsi="Arial" w:cs="Arial"/>
                <w:sz w:val="18"/>
              </w:rPr>
            </w:pPr>
            <w:r w:rsidRPr="008A1203">
              <w:rPr>
                <w:rFonts w:ascii="Arial" w:hAnsi="Arial" w:cs="Arial"/>
                <w:sz w:val="18"/>
              </w:rPr>
              <w:t>Gasto programable</w:t>
            </w:r>
          </w:p>
        </w:tc>
        <w:tc>
          <w:tcPr>
            <w:tcW w:w="3668" w:type="pct"/>
          </w:tcPr>
          <w:p w14:paraId="58D93CE5" w14:textId="77777777" w:rsidR="00B076A2" w:rsidRPr="008A1203" w:rsidRDefault="00B076A2" w:rsidP="00B3646C">
            <w:pPr>
              <w:spacing w:after="0" w:line="240" w:lineRule="auto"/>
              <w:jc w:val="both"/>
              <w:rPr>
                <w:rFonts w:ascii="Arial" w:hAnsi="Arial" w:cs="Arial"/>
                <w:sz w:val="18"/>
              </w:rPr>
            </w:pPr>
            <w:r w:rsidRPr="008A1203">
              <w:rPr>
                <w:rFonts w:ascii="Arial" w:hAnsi="Arial" w:cs="Arial"/>
                <w:sz w:val="18"/>
              </w:rPr>
              <w:t>El gasto programable es la diferencia entre el gasto neto pagado y el gasto no programable. El cual se ubica en 17.8% del PIB en promedio durante 2022 a 2026.</w:t>
            </w:r>
          </w:p>
        </w:tc>
      </w:tr>
      <w:tr w:rsidR="00B076A2" w14:paraId="2D2E4107" w14:textId="77777777" w:rsidTr="00B3646C">
        <w:trPr>
          <w:jc w:val="center"/>
        </w:trPr>
        <w:tc>
          <w:tcPr>
            <w:tcW w:w="1332" w:type="pct"/>
            <w:vAlign w:val="center"/>
          </w:tcPr>
          <w:p w14:paraId="655489B8" w14:textId="77777777" w:rsidR="00B076A2" w:rsidRPr="008A1203" w:rsidRDefault="00B076A2" w:rsidP="00B3646C">
            <w:pPr>
              <w:spacing w:after="0" w:line="240" w:lineRule="auto"/>
              <w:rPr>
                <w:rFonts w:ascii="Arial" w:hAnsi="Arial" w:cs="Arial"/>
                <w:sz w:val="18"/>
              </w:rPr>
            </w:pPr>
            <w:r w:rsidRPr="008A1203">
              <w:rPr>
                <w:rFonts w:ascii="Arial" w:hAnsi="Arial" w:cs="Arial"/>
                <w:sz w:val="18"/>
              </w:rPr>
              <w:t>Servicios personales</w:t>
            </w:r>
          </w:p>
        </w:tc>
        <w:tc>
          <w:tcPr>
            <w:tcW w:w="3668" w:type="pct"/>
          </w:tcPr>
          <w:p w14:paraId="773451AD" w14:textId="77777777" w:rsidR="00B076A2" w:rsidRPr="008A1203" w:rsidRDefault="00B076A2" w:rsidP="00B3646C">
            <w:pPr>
              <w:spacing w:after="0" w:line="240" w:lineRule="auto"/>
              <w:jc w:val="both"/>
              <w:rPr>
                <w:rFonts w:ascii="Arial" w:hAnsi="Arial" w:cs="Arial"/>
                <w:sz w:val="18"/>
              </w:rPr>
            </w:pPr>
            <w:r w:rsidRPr="008A1203">
              <w:rPr>
                <w:rFonts w:ascii="Arial" w:hAnsi="Arial" w:cs="Arial"/>
                <w:sz w:val="18"/>
              </w:rPr>
              <w:t>Considera un crecimiento en términos reales de 2.0% cada año en promedio, menor al crecimiento de la economía para el periodo, lo que permite reducir su tamaño como proporción del PIB.</w:t>
            </w:r>
          </w:p>
        </w:tc>
      </w:tr>
      <w:tr w:rsidR="00B076A2" w14:paraId="63DBEC05" w14:textId="77777777" w:rsidTr="00B3646C">
        <w:trPr>
          <w:jc w:val="center"/>
        </w:trPr>
        <w:tc>
          <w:tcPr>
            <w:tcW w:w="1332" w:type="pct"/>
            <w:vAlign w:val="center"/>
          </w:tcPr>
          <w:p w14:paraId="628161AA" w14:textId="77777777" w:rsidR="00B076A2" w:rsidRPr="008A1203" w:rsidRDefault="00B076A2" w:rsidP="00B3646C">
            <w:pPr>
              <w:spacing w:after="0" w:line="240" w:lineRule="auto"/>
              <w:rPr>
                <w:rFonts w:ascii="Arial" w:hAnsi="Arial" w:cs="Arial"/>
                <w:sz w:val="18"/>
              </w:rPr>
            </w:pPr>
            <w:r w:rsidRPr="008A1203">
              <w:rPr>
                <w:rFonts w:ascii="Arial" w:hAnsi="Arial" w:cs="Arial"/>
                <w:sz w:val="18"/>
              </w:rPr>
              <w:t>Pensiones y jubilaciones</w:t>
            </w:r>
          </w:p>
        </w:tc>
        <w:tc>
          <w:tcPr>
            <w:tcW w:w="3668" w:type="pct"/>
          </w:tcPr>
          <w:p w14:paraId="188C9279" w14:textId="77777777" w:rsidR="00B076A2" w:rsidRPr="008A1203" w:rsidRDefault="00B076A2" w:rsidP="00B3646C">
            <w:pPr>
              <w:spacing w:after="0" w:line="240" w:lineRule="auto"/>
              <w:jc w:val="both"/>
              <w:rPr>
                <w:rFonts w:ascii="Arial" w:hAnsi="Arial" w:cs="Arial"/>
                <w:sz w:val="18"/>
              </w:rPr>
            </w:pPr>
            <w:r w:rsidRPr="008A1203">
              <w:rPr>
                <w:rFonts w:ascii="Arial" w:hAnsi="Arial" w:cs="Arial"/>
                <w:sz w:val="18"/>
              </w:rPr>
              <w:t>Aumentan 7.0% real cada año con base en estudios actuariales disponibles y el comportamiento observado.</w:t>
            </w:r>
          </w:p>
        </w:tc>
      </w:tr>
      <w:tr w:rsidR="00B076A2" w14:paraId="1698F2D6" w14:textId="77777777" w:rsidTr="00B3646C">
        <w:trPr>
          <w:trHeight w:val="241"/>
          <w:jc w:val="center"/>
        </w:trPr>
        <w:tc>
          <w:tcPr>
            <w:tcW w:w="1332" w:type="pct"/>
            <w:vAlign w:val="center"/>
          </w:tcPr>
          <w:p w14:paraId="06FA6146" w14:textId="77777777" w:rsidR="00B076A2" w:rsidRPr="008A1203" w:rsidRDefault="00B076A2" w:rsidP="00B3646C">
            <w:pPr>
              <w:spacing w:after="0" w:line="240" w:lineRule="auto"/>
              <w:rPr>
                <w:rFonts w:ascii="Arial" w:hAnsi="Arial" w:cs="Arial"/>
                <w:sz w:val="18"/>
              </w:rPr>
            </w:pPr>
            <w:r w:rsidRPr="008A1203">
              <w:rPr>
                <w:rFonts w:ascii="Arial" w:hAnsi="Arial" w:cs="Arial"/>
                <w:sz w:val="18"/>
              </w:rPr>
              <w:t>Otros gastos de operación</w:t>
            </w:r>
          </w:p>
        </w:tc>
        <w:tc>
          <w:tcPr>
            <w:tcW w:w="3668" w:type="pct"/>
          </w:tcPr>
          <w:p w14:paraId="4E726BA8" w14:textId="77777777" w:rsidR="00B076A2" w:rsidRPr="008A1203" w:rsidRDefault="00B076A2" w:rsidP="00B3646C">
            <w:pPr>
              <w:spacing w:after="0" w:line="240" w:lineRule="auto"/>
              <w:jc w:val="both"/>
              <w:rPr>
                <w:rFonts w:ascii="Arial" w:hAnsi="Arial" w:cs="Arial"/>
                <w:sz w:val="18"/>
              </w:rPr>
            </w:pPr>
            <w:r w:rsidRPr="008A1203">
              <w:rPr>
                <w:rFonts w:ascii="Arial" w:hAnsi="Arial" w:cs="Arial"/>
                <w:sz w:val="18"/>
              </w:rPr>
              <w:t>Se prevé que se mantengan en términos reales.</w:t>
            </w:r>
          </w:p>
        </w:tc>
      </w:tr>
      <w:tr w:rsidR="00B076A2" w14:paraId="601F2408" w14:textId="77777777" w:rsidTr="00B3646C">
        <w:trPr>
          <w:jc w:val="center"/>
        </w:trPr>
        <w:tc>
          <w:tcPr>
            <w:tcW w:w="1332" w:type="pct"/>
            <w:vAlign w:val="center"/>
          </w:tcPr>
          <w:p w14:paraId="04A8B750" w14:textId="77777777" w:rsidR="00B076A2" w:rsidRPr="008A1203" w:rsidRDefault="00B076A2" w:rsidP="00B3646C">
            <w:pPr>
              <w:spacing w:after="0" w:line="240" w:lineRule="auto"/>
              <w:rPr>
                <w:rFonts w:ascii="Arial" w:hAnsi="Arial" w:cs="Arial"/>
                <w:sz w:val="18"/>
              </w:rPr>
            </w:pPr>
            <w:r w:rsidRPr="008A1203">
              <w:rPr>
                <w:rFonts w:ascii="Arial" w:hAnsi="Arial" w:cs="Arial"/>
                <w:sz w:val="18"/>
              </w:rPr>
              <w:t>Subsidios</w:t>
            </w:r>
          </w:p>
        </w:tc>
        <w:tc>
          <w:tcPr>
            <w:tcW w:w="3668" w:type="pct"/>
          </w:tcPr>
          <w:p w14:paraId="578D3B0C" w14:textId="77777777" w:rsidR="00B076A2" w:rsidRPr="008A1203" w:rsidRDefault="00B076A2" w:rsidP="00B3646C">
            <w:pPr>
              <w:spacing w:after="0" w:line="240" w:lineRule="auto"/>
              <w:jc w:val="both"/>
              <w:rPr>
                <w:rFonts w:ascii="Arial" w:hAnsi="Arial" w:cs="Arial"/>
                <w:sz w:val="18"/>
              </w:rPr>
            </w:pPr>
            <w:r w:rsidRPr="008A1203">
              <w:rPr>
                <w:rFonts w:ascii="Arial" w:hAnsi="Arial" w:cs="Arial"/>
                <w:sz w:val="18"/>
              </w:rPr>
              <w:t>Se prevé que crezcan en términos reales al mismo ritmo de la economía.</w:t>
            </w:r>
          </w:p>
        </w:tc>
      </w:tr>
      <w:tr w:rsidR="00B076A2" w14:paraId="696785BE" w14:textId="77777777" w:rsidTr="00B3646C">
        <w:trPr>
          <w:jc w:val="center"/>
        </w:trPr>
        <w:tc>
          <w:tcPr>
            <w:tcW w:w="1332" w:type="pct"/>
            <w:vAlign w:val="center"/>
          </w:tcPr>
          <w:p w14:paraId="25B63D98" w14:textId="77777777" w:rsidR="00B076A2" w:rsidRPr="008A1203" w:rsidRDefault="00B076A2" w:rsidP="00B3646C">
            <w:pPr>
              <w:spacing w:after="0" w:line="240" w:lineRule="auto"/>
              <w:rPr>
                <w:rFonts w:ascii="Arial" w:hAnsi="Arial" w:cs="Arial"/>
                <w:sz w:val="18"/>
              </w:rPr>
            </w:pPr>
            <w:r w:rsidRPr="008A1203">
              <w:rPr>
                <w:rFonts w:ascii="Arial" w:hAnsi="Arial" w:cs="Arial"/>
                <w:sz w:val="18"/>
              </w:rPr>
              <w:t>Inversión física</w:t>
            </w:r>
          </w:p>
        </w:tc>
        <w:tc>
          <w:tcPr>
            <w:tcW w:w="3668" w:type="pct"/>
          </w:tcPr>
          <w:p w14:paraId="5B65BF44" w14:textId="77777777" w:rsidR="00B076A2" w:rsidRPr="008A1203" w:rsidRDefault="00B076A2" w:rsidP="00B3646C">
            <w:pPr>
              <w:spacing w:after="0" w:line="240" w:lineRule="auto"/>
              <w:jc w:val="both"/>
              <w:rPr>
                <w:rFonts w:ascii="Arial" w:hAnsi="Arial" w:cs="Arial"/>
                <w:sz w:val="18"/>
              </w:rPr>
            </w:pPr>
            <w:r w:rsidRPr="008A1203">
              <w:rPr>
                <w:rFonts w:ascii="Arial" w:hAnsi="Arial" w:cs="Arial"/>
                <w:sz w:val="18"/>
              </w:rPr>
              <w:t>Considerando el marco macroeconómico se prevé que entre 2022 y 2026 se ubique en 2.3% del PIB en promedio. En la medida que se vayan concretando las medidas de política de esta administración aumentarán.</w:t>
            </w:r>
          </w:p>
        </w:tc>
      </w:tr>
      <w:tr w:rsidR="00B076A2" w14:paraId="29A128CF" w14:textId="77777777" w:rsidTr="00B3646C">
        <w:trPr>
          <w:jc w:val="center"/>
        </w:trPr>
        <w:tc>
          <w:tcPr>
            <w:tcW w:w="1332" w:type="pct"/>
          </w:tcPr>
          <w:p w14:paraId="4382B565" w14:textId="77777777" w:rsidR="00B076A2" w:rsidRPr="008A1203" w:rsidRDefault="00B076A2" w:rsidP="00B3646C">
            <w:pPr>
              <w:spacing w:after="0" w:line="240" w:lineRule="auto"/>
              <w:jc w:val="both"/>
              <w:rPr>
                <w:rFonts w:ascii="Arial" w:hAnsi="Arial" w:cs="Arial"/>
                <w:sz w:val="18"/>
              </w:rPr>
            </w:pPr>
            <w:r w:rsidRPr="008A1203">
              <w:rPr>
                <w:rFonts w:ascii="Arial" w:hAnsi="Arial" w:cs="Arial"/>
                <w:sz w:val="18"/>
              </w:rPr>
              <w:t>Inversión financiera</w:t>
            </w:r>
          </w:p>
        </w:tc>
        <w:tc>
          <w:tcPr>
            <w:tcW w:w="3668" w:type="pct"/>
          </w:tcPr>
          <w:p w14:paraId="0875C8B3" w14:textId="77777777" w:rsidR="00B076A2" w:rsidRPr="008A1203" w:rsidRDefault="00B076A2" w:rsidP="00B3646C">
            <w:pPr>
              <w:spacing w:after="0" w:line="240" w:lineRule="auto"/>
              <w:jc w:val="both"/>
              <w:rPr>
                <w:rFonts w:ascii="Arial" w:hAnsi="Arial" w:cs="Arial"/>
                <w:sz w:val="18"/>
              </w:rPr>
            </w:pPr>
            <w:r w:rsidRPr="008A1203">
              <w:rPr>
                <w:rFonts w:ascii="Arial" w:hAnsi="Arial" w:cs="Arial"/>
                <w:sz w:val="18"/>
              </w:rPr>
              <w:t>Representa menos del 0.1% del PIB en promedio durante el periodo.</w:t>
            </w:r>
          </w:p>
        </w:tc>
      </w:tr>
    </w:tbl>
    <w:p w14:paraId="26A7665E" w14:textId="77777777" w:rsidR="00B076A2" w:rsidRPr="003D5932" w:rsidRDefault="00B076A2" w:rsidP="00B076A2">
      <w:pPr>
        <w:spacing w:after="0" w:line="240" w:lineRule="auto"/>
        <w:jc w:val="both"/>
        <w:rPr>
          <w:rFonts w:ascii="Arial" w:hAnsi="Arial" w:cs="Arial"/>
          <w:sz w:val="18"/>
        </w:rPr>
      </w:pPr>
      <w:r w:rsidRPr="003D5932">
        <w:rPr>
          <w:rFonts w:ascii="Arial" w:hAnsi="Arial" w:cs="Arial"/>
          <w:sz w:val="18"/>
        </w:rPr>
        <w:t>Fuente:</w:t>
      </w:r>
      <w:r>
        <w:rPr>
          <w:rFonts w:ascii="Arial" w:hAnsi="Arial" w:cs="Arial"/>
          <w:sz w:val="18"/>
        </w:rPr>
        <w:t xml:space="preserve"> Secretaría de Hacienda y Crédito Público, Criterios Generales de Política Económica 2021.</w:t>
      </w:r>
    </w:p>
    <w:p w14:paraId="7F0EDD77" w14:textId="77777777" w:rsidR="00B076A2" w:rsidRDefault="00B076A2" w:rsidP="00B076A2">
      <w:pPr>
        <w:spacing w:after="0" w:line="240" w:lineRule="auto"/>
        <w:jc w:val="both"/>
        <w:rPr>
          <w:rFonts w:ascii="Arial" w:hAnsi="Arial" w:cs="Arial"/>
          <w:sz w:val="24"/>
        </w:rPr>
      </w:pPr>
    </w:p>
    <w:p w14:paraId="78531CB5" w14:textId="77777777" w:rsidR="00B076A2" w:rsidRDefault="00B076A2" w:rsidP="00B076A2">
      <w:pPr>
        <w:spacing w:after="0" w:line="240" w:lineRule="auto"/>
        <w:jc w:val="both"/>
        <w:rPr>
          <w:rFonts w:ascii="Arial" w:hAnsi="Arial" w:cs="Arial"/>
          <w:sz w:val="24"/>
        </w:rPr>
      </w:pPr>
      <w:r>
        <w:rPr>
          <w:rFonts w:ascii="Arial" w:hAnsi="Arial" w:cs="Arial"/>
          <w:sz w:val="24"/>
        </w:rPr>
        <w:t>Tomando en consideración los supuestos de las Finanzas Públicas de Mediano Plazo 2022-2026 y el Marco Macroeconómico de los Criterios Generales de Política Económica 2021, para el caso del Estado de Colima, se presentan las Proyecciones de Ingresos en el formato 7 a) emitido por el CONAC, así como las proyecciones de los egresos para el periodo 2021-2026 en el respectivo formato 7b).</w:t>
      </w:r>
    </w:p>
    <w:p w14:paraId="27813CF9" w14:textId="77777777" w:rsidR="00B076A2" w:rsidRDefault="00B076A2" w:rsidP="00B076A2">
      <w:pPr>
        <w:spacing w:after="0" w:line="240" w:lineRule="auto"/>
        <w:jc w:val="both"/>
        <w:rPr>
          <w:rFonts w:ascii="Arial" w:hAnsi="Arial" w:cs="Arial"/>
          <w:sz w:val="24"/>
        </w:rPr>
      </w:pPr>
    </w:p>
    <w:p w14:paraId="240CE19E" w14:textId="77777777" w:rsidR="00B076A2" w:rsidRPr="00493426" w:rsidRDefault="00B076A2" w:rsidP="00B076A2">
      <w:pPr>
        <w:spacing w:after="0" w:line="240" w:lineRule="auto"/>
        <w:jc w:val="both"/>
        <w:rPr>
          <w:rFonts w:ascii="Arial" w:hAnsi="Arial" w:cs="Arial"/>
          <w:b/>
          <w:i/>
          <w:sz w:val="24"/>
        </w:rPr>
      </w:pPr>
      <w:r>
        <w:rPr>
          <w:rFonts w:ascii="Arial" w:hAnsi="Arial" w:cs="Arial"/>
          <w:b/>
          <w:i/>
          <w:sz w:val="24"/>
        </w:rPr>
        <w:t xml:space="preserve">2.2.1. </w:t>
      </w:r>
      <w:r w:rsidRPr="00F13642">
        <w:rPr>
          <w:rFonts w:ascii="Arial" w:hAnsi="Arial" w:cs="Arial"/>
          <w:b/>
          <w:i/>
          <w:sz w:val="24"/>
        </w:rPr>
        <w:t>Proyecciones de Ingresos</w:t>
      </w:r>
    </w:p>
    <w:p w14:paraId="1D3836FA" w14:textId="77777777" w:rsidR="00B076A2" w:rsidRDefault="00B076A2" w:rsidP="00B076A2">
      <w:pPr>
        <w:spacing w:after="0" w:line="240" w:lineRule="auto"/>
        <w:jc w:val="both"/>
        <w:rPr>
          <w:rFonts w:ascii="Arial" w:hAnsi="Arial" w:cs="Arial"/>
          <w:sz w:val="24"/>
        </w:rPr>
      </w:pPr>
    </w:p>
    <w:p w14:paraId="10A1E0BA" w14:textId="77777777" w:rsidR="00B076A2" w:rsidRDefault="00B076A2" w:rsidP="00B076A2">
      <w:pPr>
        <w:spacing w:after="0" w:line="240" w:lineRule="auto"/>
        <w:jc w:val="both"/>
        <w:rPr>
          <w:rFonts w:ascii="Arial" w:hAnsi="Arial" w:cs="Arial"/>
          <w:sz w:val="24"/>
        </w:rPr>
      </w:pPr>
      <w:r>
        <w:rPr>
          <w:rFonts w:ascii="Arial" w:hAnsi="Arial" w:cs="Arial"/>
          <w:sz w:val="24"/>
        </w:rPr>
        <w:t>Las proyecciones de ingresos para un periodo de cinco años adicional el ejercicio fiscal 2021, se realizaron tomando en consideración el marco macroeconómico establecido por la Secretaría de Hacienda y Crédito Público, el cual considera que los pronósticos de crecimiento del PIB son inerciales y que la inflación esperada se encuentra en línea con la estimada por el Banco de México.</w:t>
      </w:r>
    </w:p>
    <w:p w14:paraId="2D36F31F" w14:textId="77777777" w:rsidR="00B076A2" w:rsidRDefault="00B076A2" w:rsidP="00B076A2">
      <w:pPr>
        <w:spacing w:after="0" w:line="240" w:lineRule="auto"/>
        <w:jc w:val="both"/>
        <w:rPr>
          <w:rFonts w:ascii="Arial" w:hAnsi="Arial" w:cs="Arial"/>
          <w:sz w:val="24"/>
        </w:rPr>
      </w:pPr>
    </w:p>
    <w:p w14:paraId="3019C4E7" w14:textId="77777777" w:rsidR="00B076A2" w:rsidRDefault="00B076A2" w:rsidP="00B076A2">
      <w:pPr>
        <w:spacing w:after="0" w:line="240" w:lineRule="auto"/>
        <w:jc w:val="center"/>
        <w:rPr>
          <w:rFonts w:ascii="Arial" w:hAnsi="Arial" w:cs="Arial"/>
          <w:sz w:val="24"/>
        </w:rPr>
      </w:pPr>
      <w:r w:rsidRPr="005E7ADA">
        <w:rPr>
          <w:noProof/>
        </w:rPr>
        <w:lastRenderedPageBreak/>
        <w:drawing>
          <wp:inline distT="0" distB="0" distL="0" distR="0" wp14:anchorId="593A8902" wp14:editId="35A6F981">
            <wp:extent cx="5400040" cy="3902304"/>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040" cy="3902304"/>
                    </a:xfrm>
                    <a:prstGeom prst="rect">
                      <a:avLst/>
                    </a:prstGeom>
                    <a:noFill/>
                    <a:ln>
                      <a:noFill/>
                    </a:ln>
                  </pic:spPr>
                </pic:pic>
              </a:graphicData>
            </a:graphic>
          </wp:inline>
        </w:drawing>
      </w:r>
    </w:p>
    <w:p w14:paraId="67A3A72F" w14:textId="77777777" w:rsidR="00B076A2" w:rsidRDefault="00B076A2" w:rsidP="00B076A2">
      <w:pPr>
        <w:spacing w:after="0" w:line="240" w:lineRule="auto"/>
        <w:jc w:val="both"/>
        <w:rPr>
          <w:rFonts w:ascii="Arial" w:hAnsi="Arial" w:cs="Arial"/>
          <w:sz w:val="24"/>
        </w:rPr>
      </w:pPr>
    </w:p>
    <w:p w14:paraId="0C51AB0A" w14:textId="77777777" w:rsidR="00B076A2" w:rsidRDefault="00B076A2" w:rsidP="00B076A2">
      <w:pPr>
        <w:spacing w:after="0" w:line="240" w:lineRule="auto"/>
        <w:jc w:val="both"/>
        <w:rPr>
          <w:rFonts w:ascii="Arial" w:hAnsi="Arial" w:cs="Arial"/>
          <w:sz w:val="24"/>
        </w:rPr>
      </w:pPr>
      <w:r>
        <w:rPr>
          <w:rFonts w:ascii="Arial" w:hAnsi="Arial" w:cs="Arial"/>
          <w:sz w:val="24"/>
        </w:rPr>
        <w:t>Los cálculos de las proyecciones de ingresos se realizan tomando como base los ingresos estimados para el ejercicio fiscal 2021, y se considera el crecimiento económico esperado según los Criterios Generales de Política Económica 2021, los cuales estiman una tasa del 4.6 por ciento para 2021, 2.6 por ciento para 2022 al 2.5 por ciento en 2026, además de incluir las estimaciones de inflación anual esperada de 3.0 por ciento en el mismo periodo.</w:t>
      </w:r>
    </w:p>
    <w:p w14:paraId="341B66DD" w14:textId="77777777" w:rsidR="00B076A2" w:rsidRDefault="00B076A2" w:rsidP="00B076A2">
      <w:pPr>
        <w:spacing w:after="0" w:line="240" w:lineRule="auto"/>
        <w:jc w:val="both"/>
        <w:rPr>
          <w:rFonts w:ascii="Arial" w:hAnsi="Arial" w:cs="Arial"/>
          <w:sz w:val="24"/>
        </w:rPr>
      </w:pPr>
    </w:p>
    <w:p w14:paraId="1A460A06" w14:textId="77777777" w:rsidR="00B076A2" w:rsidRDefault="00B076A2" w:rsidP="00B076A2">
      <w:pPr>
        <w:spacing w:after="0" w:line="240" w:lineRule="auto"/>
        <w:jc w:val="both"/>
        <w:rPr>
          <w:rFonts w:ascii="Arial" w:hAnsi="Arial" w:cs="Arial"/>
          <w:sz w:val="24"/>
        </w:rPr>
      </w:pPr>
      <w:r>
        <w:rPr>
          <w:rFonts w:ascii="Arial" w:hAnsi="Arial" w:cs="Arial"/>
          <w:sz w:val="24"/>
        </w:rPr>
        <w:t xml:space="preserve">Es </w:t>
      </w:r>
      <w:r w:rsidRPr="008A1203">
        <w:rPr>
          <w:rFonts w:ascii="Arial" w:hAnsi="Arial" w:cs="Arial"/>
          <w:sz w:val="24"/>
        </w:rPr>
        <w:t>así que, en promedio, en los siguientes cinco años, se espera un crecimiento anual del 5.6 por ciento en los ingresos totales, en cuanto los ingresos derivados del pago de impuestos por parte de los contribuyentes, se espera que crezca a una tasa promedio anual del 7.5 por ciento, dicho cálculo considera además la meta sexenal consistente en tener en cada ejercicio fiscal, un crecimiento de recaudación de impuestos superior por lo menos</w:t>
      </w:r>
      <w:r>
        <w:rPr>
          <w:rFonts w:ascii="Arial" w:hAnsi="Arial" w:cs="Arial"/>
          <w:sz w:val="24"/>
        </w:rPr>
        <w:t xml:space="preserve"> en dos puntos porcentuales al que se estime para el PIB nacional.</w:t>
      </w:r>
    </w:p>
    <w:p w14:paraId="0BFB4493" w14:textId="77777777" w:rsidR="00B076A2" w:rsidRDefault="00B076A2" w:rsidP="00B076A2">
      <w:pPr>
        <w:spacing w:after="0" w:line="240" w:lineRule="auto"/>
        <w:jc w:val="both"/>
        <w:rPr>
          <w:rFonts w:ascii="Arial" w:hAnsi="Arial" w:cs="Arial"/>
          <w:b/>
          <w:sz w:val="24"/>
        </w:rPr>
      </w:pPr>
    </w:p>
    <w:p w14:paraId="41827E50" w14:textId="77777777" w:rsidR="00B076A2" w:rsidRDefault="00B076A2" w:rsidP="00B076A2">
      <w:pPr>
        <w:spacing w:after="0" w:line="240" w:lineRule="auto"/>
        <w:jc w:val="both"/>
        <w:rPr>
          <w:rFonts w:ascii="Arial" w:hAnsi="Arial" w:cs="Arial"/>
          <w:b/>
          <w:i/>
          <w:sz w:val="24"/>
        </w:rPr>
      </w:pPr>
    </w:p>
    <w:p w14:paraId="4634A4C5" w14:textId="77777777" w:rsidR="00B076A2" w:rsidRDefault="00B076A2" w:rsidP="00B076A2">
      <w:pPr>
        <w:spacing w:after="0" w:line="240" w:lineRule="auto"/>
        <w:jc w:val="both"/>
        <w:rPr>
          <w:rFonts w:ascii="Arial" w:hAnsi="Arial" w:cs="Arial"/>
          <w:b/>
          <w:i/>
          <w:sz w:val="24"/>
        </w:rPr>
      </w:pPr>
    </w:p>
    <w:p w14:paraId="6CA1EE02" w14:textId="77777777" w:rsidR="00B076A2" w:rsidRPr="00E43D1F" w:rsidRDefault="00B076A2" w:rsidP="00B076A2">
      <w:pPr>
        <w:spacing w:after="0" w:line="240" w:lineRule="auto"/>
        <w:jc w:val="both"/>
        <w:rPr>
          <w:rFonts w:ascii="Arial" w:hAnsi="Arial" w:cs="Arial"/>
          <w:b/>
          <w:i/>
          <w:sz w:val="24"/>
        </w:rPr>
      </w:pPr>
      <w:r>
        <w:rPr>
          <w:rFonts w:ascii="Arial" w:hAnsi="Arial" w:cs="Arial"/>
          <w:b/>
          <w:i/>
          <w:sz w:val="24"/>
        </w:rPr>
        <w:lastRenderedPageBreak/>
        <w:t xml:space="preserve">2.2.2. </w:t>
      </w:r>
      <w:r w:rsidRPr="00E43D1F">
        <w:rPr>
          <w:rFonts w:ascii="Arial" w:hAnsi="Arial" w:cs="Arial"/>
          <w:b/>
          <w:i/>
          <w:sz w:val="24"/>
        </w:rPr>
        <w:t>Proyecciones de Egresos</w:t>
      </w:r>
    </w:p>
    <w:p w14:paraId="1B34B7C4" w14:textId="77777777" w:rsidR="00B076A2" w:rsidRDefault="00B076A2" w:rsidP="00B076A2">
      <w:pPr>
        <w:spacing w:after="0" w:line="240" w:lineRule="auto"/>
        <w:jc w:val="both"/>
        <w:rPr>
          <w:rFonts w:ascii="Arial" w:hAnsi="Arial" w:cs="Arial"/>
          <w:sz w:val="24"/>
        </w:rPr>
      </w:pPr>
    </w:p>
    <w:p w14:paraId="507AA98D" w14:textId="77777777" w:rsidR="00B076A2" w:rsidRDefault="00B076A2" w:rsidP="00B076A2">
      <w:pPr>
        <w:spacing w:after="0" w:line="240" w:lineRule="auto"/>
        <w:jc w:val="both"/>
        <w:rPr>
          <w:rFonts w:ascii="Arial" w:hAnsi="Arial" w:cs="Arial"/>
          <w:sz w:val="24"/>
        </w:rPr>
      </w:pPr>
      <w:r>
        <w:rPr>
          <w:rFonts w:ascii="Arial" w:hAnsi="Arial" w:cs="Arial"/>
          <w:sz w:val="24"/>
        </w:rPr>
        <w:t xml:space="preserve">Las proyecciones de Egresos para un periodo de cinco años adicional el ejercicio fiscal 2021 se realizaron tomando en consideración el marco macroeconómico establecido por la Secretaría de Hacienda y Crédito Público, el cual considera que los pronósticos de crecimiento del PIB son inerciales </w:t>
      </w:r>
      <w:r w:rsidRPr="001C1991">
        <w:rPr>
          <w:rFonts w:ascii="Arial" w:hAnsi="Arial" w:cs="Arial"/>
          <w:sz w:val="24"/>
        </w:rPr>
        <w:t>y que la inflación esperada se encuentra en línea con la estimada por el Banco de México</w:t>
      </w:r>
      <w:r>
        <w:rPr>
          <w:rFonts w:ascii="Arial" w:hAnsi="Arial" w:cs="Arial"/>
          <w:sz w:val="24"/>
        </w:rPr>
        <w:t>.</w:t>
      </w:r>
    </w:p>
    <w:p w14:paraId="0CC76DC7" w14:textId="77777777" w:rsidR="00B076A2" w:rsidRDefault="00B076A2" w:rsidP="00B076A2">
      <w:pPr>
        <w:spacing w:after="0" w:line="240" w:lineRule="auto"/>
        <w:jc w:val="both"/>
        <w:rPr>
          <w:rFonts w:ascii="Arial" w:hAnsi="Arial" w:cs="Arial"/>
          <w:sz w:val="24"/>
        </w:rPr>
      </w:pPr>
    </w:p>
    <w:p w14:paraId="59CB1FD1" w14:textId="77777777" w:rsidR="00B076A2" w:rsidRDefault="00B076A2" w:rsidP="00B076A2">
      <w:pPr>
        <w:spacing w:after="0" w:line="240" w:lineRule="auto"/>
        <w:jc w:val="center"/>
        <w:rPr>
          <w:rFonts w:ascii="Arial" w:hAnsi="Arial" w:cs="Arial"/>
          <w:sz w:val="24"/>
        </w:rPr>
      </w:pPr>
      <w:r w:rsidRPr="00653B54">
        <w:rPr>
          <w:noProof/>
        </w:rPr>
        <w:drawing>
          <wp:inline distT="0" distB="0" distL="0" distR="0" wp14:anchorId="61BE934B" wp14:editId="67257E62">
            <wp:extent cx="5400040" cy="3182166"/>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040" cy="3182166"/>
                    </a:xfrm>
                    <a:prstGeom prst="rect">
                      <a:avLst/>
                    </a:prstGeom>
                    <a:noFill/>
                    <a:ln>
                      <a:noFill/>
                    </a:ln>
                  </pic:spPr>
                </pic:pic>
              </a:graphicData>
            </a:graphic>
          </wp:inline>
        </w:drawing>
      </w:r>
    </w:p>
    <w:p w14:paraId="60907B6D" w14:textId="77777777" w:rsidR="00B076A2" w:rsidRDefault="00B076A2" w:rsidP="00B076A2">
      <w:pPr>
        <w:spacing w:after="0" w:line="240" w:lineRule="auto"/>
        <w:jc w:val="both"/>
        <w:rPr>
          <w:rFonts w:ascii="Arial" w:hAnsi="Arial" w:cs="Arial"/>
          <w:sz w:val="24"/>
        </w:rPr>
      </w:pPr>
    </w:p>
    <w:p w14:paraId="21DBF105" w14:textId="77777777" w:rsidR="00B076A2" w:rsidRDefault="00B076A2" w:rsidP="00B076A2">
      <w:pPr>
        <w:spacing w:after="0" w:line="240" w:lineRule="auto"/>
        <w:jc w:val="both"/>
        <w:rPr>
          <w:rFonts w:ascii="Arial" w:hAnsi="Arial" w:cs="Arial"/>
          <w:sz w:val="24"/>
        </w:rPr>
      </w:pPr>
      <w:r>
        <w:rPr>
          <w:rFonts w:ascii="Arial" w:hAnsi="Arial" w:cs="Arial"/>
          <w:sz w:val="24"/>
        </w:rPr>
        <w:t xml:space="preserve">Los cálculos de las </w:t>
      </w:r>
      <w:r w:rsidRPr="00AA22C4">
        <w:rPr>
          <w:rFonts w:ascii="Arial" w:hAnsi="Arial" w:cs="Arial"/>
          <w:sz w:val="24"/>
        </w:rPr>
        <w:t xml:space="preserve">proyecciones de </w:t>
      </w:r>
      <w:r>
        <w:rPr>
          <w:rFonts w:ascii="Arial" w:hAnsi="Arial" w:cs="Arial"/>
          <w:sz w:val="24"/>
        </w:rPr>
        <w:t>e</w:t>
      </w:r>
      <w:r w:rsidRPr="00AA22C4">
        <w:rPr>
          <w:rFonts w:ascii="Arial" w:hAnsi="Arial" w:cs="Arial"/>
          <w:sz w:val="24"/>
        </w:rPr>
        <w:t xml:space="preserve">gresos se realizan tomando como base los </w:t>
      </w:r>
      <w:r>
        <w:rPr>
          <w:rFonts w:ascii="Arial" w:hAnsi="Arial" w:cs="Arial"/>
          <w:sz w:val="24"/>
        </w:rPr>
        <w:t>e</w:t>
      </w:r>
      <w:r w:rsidRPr="00AA22C4">
        <w:rPr>
          <w:rFonts w:ascii="Arial" w:hAnsi="Arial" w:cs="Arial"/>
          <w:sz w:val="24"/>
        </w:rPr>
        <w:t>gresos estimad</w:t>
      </w:r>
      <w:r>
        <w:rPr>
          <w:rFonts w:ascii="Arial" w:hAnsi="Arial" w:cs="Arial"/>
          <w:sz w:val="24"/>
        </w:rPr>
        <w:t>os para el ejercicio fiscal 2021</w:t>
      </w:r>
      <w:r w:rsidRPr="00AA22C4">
        <w:rPr>
          <w:rFonts w:ascii="Arial" w:hAnsi="Arial" w:cs="Arial"/>
          <w:sz w:val="24"/>
        </w:rPr>
        <w:t xml:space="preserve">, y </w:t>
      </w:r>
      <w:r>
        <w:rPr>
          <w:rFonts w:ascii="Arial" w:hAnsi="Arial" w:cs="Arial"/>
          <w:sz w:val="24"/>
        </w:rPr>
        <w:t>considerando</w:t>
      </w:r>
      <w:r w:rsidRPr="00AA22C4">
        <w:rPr>
          <w:rFonts w:ascii="Arial" w:hAnsi="Arial" w:cs="Arial"/>
          <w:sz w:val="24"/>
        </w:rPr>
        <w:t xml:space="preserve"> el crecimiento económico esperado según los Criterios Generales de Polí</w:t>
      </w:r>
      <w:r>
        <w:rPr>
          <w:rFonts w:ascii="Arial" w:hAnsi="Arial" w:cs="Arial"/>
          <w:sz w:val="24"/>
        </w:rPr>
        <w:t xml:space="preserve">tica Económica 2021, los cuales </w:t>
      </w:r>
      <w:r w:rsidRPr="00A629DB">
        <w:rPr>
          <w:rFonts w:ascii="Arial" w:hAnsi="Arial" w:cs="Arial"/>
          <w:sz w:val="24"/>
        </w:rPr>
        <w:t>estiman una tasa del 4.6 por ciento para 2021, 2.6 por ciento para 2022 al 2.5 por ciento en 2026, además de incluir las estimaciones de inflación anual esperada de 3.0 por ciento en el mismo periodo.</w:t>
      </w:r>
    </w:p>
    <w:p w14:paraId="0DBA204A" w14:textId="77777777" w:rsidR="00B076A2" w:rsidRPr="0009125E" w:rsidRDefault="00B076A2" w:rsidP="00B076A2">
      <w:pPr>
        <w:spacing w:after="0" w:line="240" w:lineRule="auto"/>
        <w:jc w:val="both"/>
        <w:rPr>
          <w:rFonts w:ascii="Arial" w:hAnsi="Arial" w:cs="Arial"/>
          <w:sz w:val="24"/>
        </w:rPr>
      </w:pPr>
    </w:p>
    <w:p w14:paraId="387577B2" w14:textId="77777777" w:rsidR="00B076A2" w:rsidRPr="0009125E" w:rsidRDefault="00B076A2" w:rsidP="00B076A2">
      <w:pPr>
        <w:spacing w:after="0" w:line="240" w:lineRule="auto"/>
        <w:jc w:val="both"/>
        <w:rPr>
          <w:rFonts w:ascii="Arial" w:hAnsi="Arial" w:cs="Arial"/>
          <w:sz w:val="24"/>
        </w:rPr>
      </w:pPr>
      <w:r w:rsidRPr="0009125E">
        <w:rPr>
          <w:rFonts w:ascii="Arial" w:hAnsi="Arial" w:cs="Arial"/>
          <w:sz w:val="24"/>
        </w:rPr>
        <w:t>Así mismo, para la proyección de los egresos en el capítulo Servicios Personales, se consideró un crecimiento real anual de alrededor del 2.5 por ciento, tomando en consideración lo señalado en el artículo 10 de la Ley de Disciplina Financiera de las Entidades Federativas y los Municipios. De esta manera, en promedio, en los siguientes cinco años, se espera un crecimiento nominal anual promedio del 4.9 por ciento en los egresos totales.</w:t>
      </w:r>
    </w:p>
    <w:p w14:paraId="0D7DC614" w14:textId="77777777" w:rsidR="00B076A2" w:rsidRDefault="00B076A2" w:rsidP="00B076A2">
      <w:pPr>
        <w:spacing w:after="0" w:line="240" w:lineRule="auto"/>
        <w:jc w:val="both"/>
        <w:rPr>
          <w:rFonts w:ascii="Arial" w:hAnsi="Arial" w:cs="Arial"/>
          <w:sz w:val="24"/>
        </w:rPr>
      </w:pPr>
    </w:p>
    <w:p w14:paraId="2D249BA6" w14:textId="77777777" w:rsidR="00B076A2" w:rsidRPr="00FA204E" w:rsidRDefault="00B076A2" w:rsidP="00B076A2">
      <w:pPr>
        <w:spacing w:after="0" w:line="240" w:lineRule="auto"/>
        <w:jc w:val="both"/>
        <w:rPr>
          <w:rFonts w:ascii="Arial" w:hAnsi="Arial" w:cs="Arial"/>
          <w:b/>
          <w:i/>
          <w:sz w:val="24"/>
        </w:rPr>
      </w:pPr>
      <w:r w:rsidRPr="00FA204E">
        <w:rPr>
          <w:rFonts w:ascii="Arial" w:hAnsi="Arial" w:cs="Arial"/>
          <w:b/>
          <w:i/>
          <w:sz w:val="24"/>
        </w:rPr>
        <w:t>Proyectos Presupuestarios</w:t>
      </w:r>
    </w:p>
    <w:p w14:paraId="7073F37D" w14:textId="77777777" w:rsidR="00B076A2" w:rsidRDefault="00B076A2" w:rsidP="00B076A2">
      <w:pPr>
        <w:spacing w:after="0" w:line="240" w:lineRule="auto"/>
        <w:jc w:val="both"/>
        <w:rPr>
          <w:rFonts w:ascii="Arial" w:hAnsi="Arial" w:cs="Arial"/>
          <w:sz w:val="24"/>
        </w:rPr>
      </w:pPr>
    </w:p>
    <w:p w14:paraId="2B50E77D" w14:textId="77777777" w:rsidR="00B076A2" w:rsidRPr="0009125E" w:rsidRDefault="00B076A2" w:rsidP="00B076A2">
      <w:pPr>
        <w:spacing w:after="0" w:line="240" w:lineRule="auto"/>
        <w:jc w:val="both"/>
        <w:rPr>
          <w:rFonts w:ascii="Arial" w:hAnsi="Arial" w:cs="Arial"/>
          <w:sz w:val="24"/>
        </w:rPr>
      </w:pPr>
      <w:r>
        <w:rPr>
          <w:rFonts w:ascii="Arial" w:hAnsi="Arial" w:cs="Arial"/>
          <w:sz w:val="24"/>
        </w:rPr>
        <w:t xml:space="preserve">Los proyectos presupuestarios que se proponen para ejecutarse en el ejercicio fiscal 2021, están alineados </w:t>
      </w:r>
      <w:r w:rsidRPr="0009125E">
        <w:rPr>
          <w:rFonts w:ascii="Arial" w:hAnsi="Arial" w:cs="Arial"/>
          <w:sz w:val="24"/>
        </w:rPr>
        <w:t>a los programas presupuestarios establecidos. Dichos proyectos se desglosan en el Tabla 88 y el anexo 12 del presente Proyecto de Decreto del Presupuesto de Egresos.</w:t>
      </w:r>
    </w:p>
    <w:p w14:paraId="59CD8199" w14:textId="77777777" w:rsidR="00B076A2" w:rsidRPr="0009125E" w:rsidRDefault="00B076A2" w:rsidP="00B076A2">
      <w:pPr>
        <w:spacing w:after="0" w:line="240" w:lineRule="auto"/>
        <w:jc w:val="both"/>
        <w:rPr>
          <w:rFonts w:ascii="Arial" w:hAnsi="Arial" w:cs="Arial"/>
          <w:sz w:val="24"/>
        </w:rPr>
      </w:pPr>
    </w:p>
    <w:p w14:paraId="3BF1A698" w14:textId="77777777" w:rsidR="00B076A2" w:rsidRDefault="00B076A2" w:rsidP="00B076A2">
      <w:pPr>
        <w:spacing w:after="0" w:line="240" w:lineRule="auto"/>
        <w:jc w:val="both"/>
        <w:rPr>
          <w:rFonts w:ascii="Arial" w:hAnsi="Arial" w:cs="Arial"/>
          <w:sz w:val="24"/>
        </w:rPr>
      </w:pPr>
      <w:r w:rsidRPr="0009125E">
        <w:rPr>
          <w:rFonts w:ascii="Arial" w:hAnsi="Arial" w:cs="Arial"/>
          <w:sz w:val="24"/>
        </w:rPr>
        <w:t>Así mismo, en congruencia con las prioridades contenidas en el PED 2016</w:t>
      </w:r>
      <w:r>
        <w:rPr>
          <w:rFonts w:ascii="Arial" w:hAnsi="Arial" w:cs="Arial"/>
          <w:sz w:val="24"/>
        </w:rPr>
        <w:t>-2021, y tomando en consideración lo previsto en el artículo 29, fracción VII de la Ley de Presupuesto y Responsabilidad Hacendaria del Estado de Colima, mismo que prevé incorporar en el Presupuesto de Egresos “</w:t>
      </w:r>
      <w:r w:rsidRPr="00FA204E">
        <w:rPr>
          <w:rFonts w:ascii="Arial" w:hAnsi="Arial" w:cs="Arial"/>
          <w:i/>
          <w:sz w:val="24"/>
        </w:rPr>
        <w:t>las obligaciones contractuales de inversión pública plurianuales de inversión en obra pública, adquisiciones, arrendamientos y servicios, así como las que rebasen el periodo constitucional</w:t>
      </w:r>
      <w:r>
        <w:rPr>
          <w:rFonts w:ascii="Arial" w:hAnsi="Arial" w:cs="Arial"/>
          <w:sz w:val="24"/>
        </w:rPr>
        <w:t>”. Para el ejercicio fiscal 2021 se da continuidad a los siguientes proyectos plurianuales:</w:t>
      </w:r>
    </w:p>
    <w:p w14:paraId="4090F128" w14:textId="77777777" w:rsidR="00B076A2" w:rsidRDefault="00B076A2" w:rsidP="00B076A2">
      <w:pPr>
        <w:spacing w:after="0" w:line="240" w:lineRule="auto"/>
        <w:jc w:val="both"/>
        <w:rPr>
          <w:rFonts w:ascii="Arial" w:hAnsi="Arial" w:cs="Arial"/>
          <w:sz w:val="24"/>
        </w:rPr>
      </w:pP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24"/>
        <w:gridCol w:w="1134"/>
        <w:gridCol w:w="1275"/>
      </w:tblGrid>
      <w:tr w:rsidR="00B076A2" w:rsidRPr="00E2018A" w14:paraId="3F02E797" w14:textId="77777777" w:rsidTr="00B3646C">
        <w:trPr>
          <w:trHeight w:val="708"/>
          <w:tblHeader/>
          <w:jc w:val="center"/>
        </w:trPr>
        <w:tc>
          <w:tcPr>
            <w:tcW w:w="7933" w:type="dxa"/>
            <w:gridSpan w:val="3"/>
            <w:shd w:val="clear" w:color="auto" w:fill="DBDBDB" w:themeFill="accent3" w:themeFillTint="66"/>
            <w:vAlign w:val="center"/>
          </w:tcPr>
          <w:p w14:paraId="13806081" w14:textId="77777777" w:rsidR="00B076A2" w:rsidRPr="00BC0DC1" w:rsidRDefault="00B076A2" w:rsidP="00B3646C">
            <w:pPr>
              <w:spacing w:after="0" w:line="240" w:lineRule="auto"/>
              <w:jc w:val="center"/>
              <w:rPr>
                <w:rFonts w:ascii="Arial" w:eastAsia="Times New Roman" w:hAnsi="Arial" w:cs="Arial"/>
                <w:b/>
                <w:color w:val="000000"/>
                <w:sz w:val="18"/>
                <w:szCs w:val="12"/>
              </w:rPr>
            </w:pPr>
            <w:bookmarkStart w:id="3" w:name="OLE_LINK1"/>
            <w:r w:rsidRPr="00BC0DC1">
              <w:rPr>
                <w:rFonts w:ascii="Arial" w:eastAsia="Times New Roman" w:hAnsi="Arial" w:cs="Arial"/>
                <w:b/>
                <w:color w:val="000000"/>
                <w:sz w:val="28"/>
                <w:szCs w:val="12"/>
              </w:rPr>
              <w:t xml:space="preserve">Obligaciones Contractuales </w:t>
            </w:r>
            <w:r>
              <w:rPr>
                <w:rFonts w:ascii="Arial" w:eastAsia="Times New Roman" w:hAnsi="Arial" w:cs="Arial"/>
                <w:b/>
                <w:color w:val="000000"/>
                <w:sz w:val="28"/>
                <w:szCs w:val="12"/>
              </w:rPr>
              <w:t>d</w:t>
            </w:r>
            <w:r w:rsidRPr="00BC0DC1">
              <w:rPr>
                <w:rFonts w:ascii="Arial" w:eastAsia="Times New Roman" w:hAnsi="Arial" w:cs="Arial"/>
                <w:b/>
                <w:color w:val="000000"/>
                <w:sz w:val="28"/>
                <w:szCs w:val="12"/>
              </w:rPr>
              <w:t>e Inversión Pública Plurianual</w:t>
            </w:r>
          </w:p>
        </w:tc>
      </w:tr>
      <w:tr w:rsidR="00B076A2" w:rsidRPr="00E2018A" w14:paraId="594974E8" w14:textId="77777777" w:rsidTr="00B3646C">
        <w:trPr>
          <w:trHeight w:val="375"/>
          <w:tblHeader/>
          <w:jc w:val="center"/>
        </w:trPr>
        <w:tc>
          <w:tcPr>
            <w:tcW w:w="5524" w:type="dxa"/>
            <w:shd w:val="clear" w:color="auto" w:fill="F2F2F2" w:themeFill="background1" w:themeFillShade="F2"/>
            <w:vAlign w:val="center"/>
            <w:hideMark/>
          </w:tcPr>
          <w:p w14:paraId="6D7B6491" w14:textId="77777777" w:rsidR="00B076A2" w:rsidRPr="00D91C9B" w:rsidRDefault="00B076A2" w:rsidP="00B3646C">
            <w:pPr>
              <w:spacing w:after="0" w:line="240" w:lineRule="auto"/>
              <w:jc w:val="center"/>
              <w:rPr>
                <w:rFonts w:ascii="Arial" w:eastAsia="Times New Roman" w:hAnsi="Arial" w:cs="Arial"/>
                <w:b/>
                <w:bCs/>
                <w:color w:val="000000"/>
                <w:sz w:val="18"/>
                <w:szCs w:val="14"/>
              </w:rPr>
            </w:pPr>
            <w:r w:rsidRPr="00D91C9B">
              <w:rPr>
                <w:rFonts w:ascii="Arial" w:eastAsia="Times New Roman" w:hAnsi="Arial" w:cs="Arial"/>
                <w:b/>
                <w:bCs/>
                <w:color w:val="000000"/>
                <w:sz w:val="18"/>
                <w:szCs w:val="14"/>
              </w:rPr>
              <w:t>Proyecto/Descripción</w:t>
            </w:r>
          </w:p>
        </w:tc>
        <w:tc>
          <w:tcPr>
            <w:tcW w:w="1134" w:type="dxa"/>
            <w:shd w:val="clear" w:color="auto" w:fill="F2F2F2" w:themeFill="background1" w:themeFillShade="F2"/>
            <w:vAlign w:val="center"/>
            <w:hideMark/>
          </w:tcPr>
          <w:p w14:paraId="31CE1147" w14:textId="77777777" w:rsidR="00B076A2" w:rsidRPr="00D91C9B" w:rsidRDefault="00B076A2" w:rsidP="00B3646C">
            <w:pPr>
              <w:spacing w:after="0" w:line="240" w:lineRule="auto"/>
              <w:jc w:val="center"/>
              <w:rPr>
                <w:rFonts w:ascii="Arial" w:eastAsia="Times New Roman" w:hAnsi="Arial" w:cs="Arial"/>
                <w:b/>
                <w:bCs/>
                <w:color w:val="000000"/>
                <w:sz w:val="18"/>
                <w:szCs w:val="14"/>
              </w:rPr>
            </w:pPr>
            <w:r w:rsidRPr="00D91C9B">
              <w:rPr>
                <w:rFonts w:ascii="Arial" w:eastAsia="Times New Roman" w:hAnsi="Arial" w:cs="Arial"/>
                <w:b/>
                <w:bCs/>
                <w:color w:val="000000"/>
                <w:sz w:val="18"/>
                <w:szCs w:val="14"/>
              </w:rPr>
              <w:t>2021</w:t>
            </w:r>
          </w:p>
        </w:tc>
        <w:tc>
          <w:tcPr>
            <w:tcW w:w="1275" w:type="dxa"/>
            <w:shd w:val="clear" w:color="auto" w:fill="F2F2F2" w:themeFill="background1" w:themeFillShade="F2"/>
            <w:vAlign w:val="center"/>
            <w:hideMark/>
          </w:tcPr>
          <w:p w14:paraId="49799B59" w14:textId="77777777" w:rsidR="00B076A2" w:rsidRPr="00D91C9B" w:rsidRDefault="00B076A2" w:rsidP="00B3646C">
            <w:pPr>
              <w:spacing w:after="0" w:line="240" w:lineRule="auto"/>
              <w:jc w:val="center"/>
              <w:rPr>
                <w:rFonts w:ascii="Arial" w:eastAsia="Times New Roman" w:hAnsi="Arial" w:cs="Arial"/>
                <w:b/>
                <w:color w:val="000000"/>
                <w:sz w:val="18"/>
                <w:szCs w:val="12"/>
              </w:rPr>
            </w:pPr>
            <w:r>
              <w:rPr>
                <w:rFonts w:ascii="Arial" w:eastAsia="Times New Roman" w:hAnsi="Arial" w:cs="Arial"/>
                <w:b/>
                <w:color w:val="000000"/>
                <w:sz w:val="18"/>
                <w:szCs w:val="12"/>
              </w:rPr>
              <w:t>Total</w:t>
            </w:r>
          </w:p>
        </w:tc>
      </w:tr>
      <w:tr w:rsidR="00B076A2" w:rsidRPr="00E2018A" w14:paraId="26EC9425" w14:textId="77777777" w:rsidTr="00B3646C">
        <w:trPr>
          <w:trHeight w:val="450"/>
          <w:jc w:val="center"/>
        </w:trPr>
        <w:tc>
          <w:tcPr>
            <w:tcW w:w="5524" w:type="dxa"/>
            <w:vMerge w:val="restart"/>
            <w:shd w:val="clear" w:color="auto" w:fill="auto"/>
            <w:vAlign w:val="center"/>
            <w:hideMark/>
          </w:tcPr>
          <w:p w14:paraId="7216BE5F" w14:textId="77777777" w:rsidR="00B076A2" w:rsidRPr="00D91C9B" w:rsidRDefault="00B076A2" w:rsidP="00B3646C">
            <w:pPr>
              <w:spacing w:after="0" w:line="240" w:lineRule="auto"/>
              <w:jc w:val="both"/>
              <w:rPr>
                <w:rFonts w:ascii="Arial" w:eastAsia="Times New Roman" w:hAnsi="Arial" w:cs="Arial"/>
                <w:color w:val="000000"/>
                <w:sz w:val="18"/>
                <w:szCs w:val="14"/>
              </w:rPr>
            </w:pPr>
            <w:r w:rsidRPr="00D91C9B">
              <w:rPr>
                <w:rFonts w:ascii="Arial" w:eastAsia="Times New Roman" w:hAnsi="Arial" w:cs="Arial"/>
                <w:color w:val="000000"/>
                <w:sz w:val="18"/>
                <w:szCs w:val="14"/>
              </w:rPr>
              <w:t>Servicio integral para la implementación de Soluciones Digitales y Equipamiento para la Protección y Resguardo de Base de Datos de Seguridad del Gobierno del Estado de Colima.</w:t>
            </w:r>
          </w:p>
        </w:tc>
        <w:tc>
          <w:tcPr>
            <w:tcW w:w="1134" w:type="dxa"/>
            <w:vMerge w:val="restart"/>
            <w:shd w:val="clear" w:color="auto" w:fill="auto"/>
            <w:noWrap/>
            <w:vAlign w:val="center"/>
            <w:hideMark/>
          </w:tcPr>
          <w:p w14:paraId="6D923766" w14:textId="77777777" w:rsidR="00B076A2" w:rsidRPr="00D91C9B" w:rsidRDefault="00B076A2" w:rsidP="00B3646C">
            <w:pPr>
              <w:spacing w:after="0" w:line="240" w:lineRule="auto"/>
              <w:jc w:val="right"/>
              <w:rPr>
                <w:rFonts w:ascii="Arial" w:eastAsia="Times New Roman" w:hAnsi="Arial" w:cs="Arial"/>
                <w:b/>
                <w:bCs/>
                <w:color w:val="000000"/>
                <w:sz w:val="18"/>
                <w:szCs w:val="16"/>
              </w:rPr>
            </w:pPr>
            <w:r w:rsidRPr="00D91C9B">
              <w:rPr>
                <w:rFonts w:ascii="Arial" w:eastAsia="Times New Roman" w:hAnsi="Arial" w:cs="Arial"/>
                <w:b/>
                <w:sz w:val="18"/>
                <w:szCs w:val="16"/>
              </w:rPr>
              <w:t>37,656,771</w:t>
            </w:r>
          </w:p>
        </w:tc>
        <w:tc>
          <w:tcPr>
            <w:tcW w:w="1275" w:type="dxa"/>
            <w:vMerge w:val="restart"/>
            <w:shd w:val="clear" w:color="auto" w:fill="auto"/>
            <w:vAlign w:val="center"/>
            <w:hideMark/>
          </w:tcPr>
          <w:p w14:paraId="1D642BAF" w14:textId="77777777" w:rsidR="00B076A2" w:rsidRPr="00D91C9B" w:rsidRDefault="00B076A2" w:rsidP="00B3646C">
            <w:pPr>
              <w:spacing w:after="0" w:line="240" w:lineRule="auto"/>
              <w:jc w:val="right"/>
              <w:rPr>
                <w:rFonts w:ascii="Arial" w:eastAsia="Times New Roman" w:hAnsi="Arial" w:cs="Arial"/>
                <w:b/>
                <w:color w:val="000000"/>
                <w:sz w:val="18"/>
                <w:szCs w:val="12"/>
              </w:rPr>
            </w:pPr>
            <w:r w:rsidRPr="00D91C9B">
              <w:rPr>
                <w:rFonts w:ascii="Arial" w:eastAsia="Times New Roman" w:hAnsi="Arial" w:cs="Arial"/>
                <w:b/>
                <w:color w:val="000000"/>
                <w:sz w:val="18"/>
                <w:szCs w:val="12"/>
              </w:rPr>
              <w:t>169,455,470</w:t>
            </w:r>
          </w:p>
        </w:tc>
      </w:tr>
      <w:tr w:rsidR="00B076A2" w:rsidRPr="00E2018A" w14:paraId="1FC6BC2A" w14:textId="77777777" w:rsidTr="00B3646C">
        <w:trPr>
          <w:trHeight w:val="450"/>
          <w:jc w:val="center"/>
        </w:trPr>
        <w:tc>
          <w:tcPr>
            <w:tcW w:w="5524" w:type="dxa"/>
            <w:vMerge/>
            <w:vAlign w:val="center"/>
            <w:hideMark/>
          </w:tcPr>
          <w:p w14:paraId="5CFC126D" w14:textId="77777777" w:rsidR="00B076A2" w:rsidRPr="00D91C9B" w:rsidRDefault="00B076A2" w:rsidP="00B3646C">
            <w:pPr>
              <w:spacing w:after="0" w:line="240" w:lineRule="auto"/>
              <w:jc w:val="both"/>
              <w:rPr>
                <w:rFonts w:ascii="Arial" w:eastAsia="Times New Roman" w:hAnsi="Arial" w:cs="Arial"/>
                <w:color w:val="000000"/>
                <w:sz w:val="18"/>
                <w:szCs w:val="14"/>
              </w:rPr>
            </w:pPr>
          </w:p>
        </w:tc>
        <w:tc>
          <w:tcPr>
            <w:tcW w:w="1134" w:type="dxa"/>
            <w:vMerge/>
            <w:vAlign w:val="center"/>
            <w:hideMark/>
          </w:tcPr>
          <w:p w14:paraId="4D5BC846" w14:textId="77777777" w:rsidR="00B076A2" w:rsidRPr="00D91C9B" w:rsidRDefault="00B076A2" w:rsidP="00B3646C">
            <w:pPr>
              <w:spacing w:after="0" w:line="240" w:lineRule="auto"/>
              <w:rPr>
                <w:rFonts w:ascii="Arial" w:eastAsia="Times New Roman" w:hAnsi="Arial" w:cs="Arial"/>
                <w:b/>
                <w:bCs/>
                <w:color w:val="000000"/>
                <w:sz w:val="18"/>
                <w:szCs w:val="16"/>
              </w:rPr>
            </w:pPr>
          </w:p>
        </w:tc>
        <w:tc>
          <w:tcPr>
            <w:tcW w:w="1275" w:type="dxa"/>
            <w:vMerge/>
            <w:vAlign w:val="center"/>
            <w:hideMark/>
          </w:tcPr>
          <w:p w14:paraId="551EF5C0" w14:textId="77777777" w:rsidR="00B076A2" w:rsidRPr="00D91C9B" w:rsidRDefault="00B076A2" w:rsidP="00B3646C">
            <w:pPr>
              <w:spacing w:after="0" w:line="240" w:lineRule="auto"/>
              <w:rPr>
                <w:rFonts w:ascii="Arial" w:eastAsia="Times New Roman" w:hAnsi="Arial" w:cs="Arial"/>
                <w:color w:val="000000"/>
                <w:sz w:val="18"/>
                <w:szCs w:val="12"/>
              </w:rPr>
            </w:pPr>
          </w:p>
        </w:tc>
      </w:tr>
      <w:tr w:rsidR="00B076A2" w:rsidRPr="00E2018A" w14:paraId="09AFC2C5" w14:textId="77777777" w:rsidTr="00B3646C">
        <w:trPr>
          <w:trHeight w:val="707"/>
          <w:jc w:val="center"/>
        </w:trPr>
        <w:tc>
          <w:tcPr>
            <w:tcW w:w="5524" w:type="dxa"/>
            <w:shd w:val="clear" w:color="auto" w:fill="auto"/>
            <w:vAlign w:val="center"/>
            <w:hideMark/>
          </w:tcPr>
          <w:p w14:paraId="262D62F0" w14:textId="77777777" w:rsidR="00B076A2" w:rsidRPr="00D91C9B" w:rsidRDefault="00B076A2" w:rsidP="00B3646C">
            <w:pPr>
              <w:spacing w:after="0" w:line="240" w:lineRule="auto"/>
              <w:jc w:val="both"/>
              <w:rPr>
                <w:rFonts w:ascii="Arial" w:eastAsia="Times New Roman" w:hAnsi="Arial" w:cs="Arial"/>
                <w:color w:val="000000"/>
                <w:sz w:val="18"/>
                <w:szCs w:val="14"/>
              </w:rPr>
            </w:pPr>
            <w:r w:rsidRPr="00D91C9B">
              <w:rPr>
                <w:rFonts w:ascii="Arial" w:eastAsia="Times New Roman" w:hAnsi="Arial" w:cs="Arial"/>
                <w:color w:val="000000"/>
                <w:sz w:val="18"/>
                <w:szCs w:val="14"/>
              </w:rPr>
              <w:t>Servicio Integral para la consolidación de la Red Estatal de Telecomunicaciones y Fortalecimiento del Sistema de Comunicación para el Transporte de Datos Seguro y Confiable que garantiza la Seguridad del Estado.</w:t>
            </w:r>
          </w:p>
        </w:tc>
        <w:tc>
          <w:tcPr>
            <w:tcW w:w="1134" w:type="dxa"/>
            <w:shd w:val="clear" w:color="auto" w:fill="auto"/>
            <w:noWrap/>
            <w:vAlign w:val="center"/>
            <w:hideMark/>
          </w:tcPr>
          <w:p w14:paraId="36395633" w14:textId="77777777" w:rsidR="00B076A2" w:rsidRPr="00D91C9B" w:rsidRDefault="00B076A2" w:rsidP="00B3646C">
            <w:pPr>
              <w:spacing w:after="0" w:line="240" w:lineRule="auto"/>
              <w:jc w:val="right"/>
              <w:rPr>
                <w:rFonts w:ascii="Arial" w:eastAsia="Times New Roman" w:hAnsi="Arial" w:cs="Arial"/>
                <w:b/>
                <w:bCs/>
                <w:color w:val="000000"/>
                <w:sz w:val="18"/>
                <w:szCs w:val="16"/>
              </w:rPr>
            </w:pPr>
            <w:r w:rsidRPr="00D91C9B">
              <w:rPr>
                <w:rFonts w:ascii="Arial" w:eastAsia="Times New Roman" w:hAnsi="Arial" w:cs="Arial"/>
                <w:b/>
                <w:bCs/>
                <w:color w:val="000000"/>
                <w:sz w:val="18"/>
                <w:szCs w:val="16"/>
              </w:rPr>
              <w:t>22,161,022</w:t>
            </w:r>
          </w:p>
        </w:tc>
        <w:tc>
          <w:tcPr>
            <w:tcW w:w="1275" w:type="dxa"/>
            <w:shd w:val="clear" w:color="auto" w:fill="auto"/>
            <w:vAlign w:val="center"/>
            <w:hideMark/>
          </w:tcPr>
          <w:p w14:paraId="50ACA12B" w14:textId="77777777" w:rsidR="00B076A2" w:rsidRPr="00D91C9B" w:rsidRDefault="00B076A2" w:rsidP="00B3646C">
            <w:pPr>
              <w:spacing w:after="0" w:line="240" w:lineRule="auto"/>
              <w:jc w:val="right"/>
              <w:rPr>
                <w:rFonts w:ascii="Arial" w:eastAsia="Times New Roman" w:hAnsi="Arial" w:cs="Arial"/>
                <w:b/>
                <w:color w:val="000000"/>
                <w:sz w:val="18"/>
                <w:szCs w:val="12"/>
              </w:rPr>
            </w:pPr>
            <w:r w:rsidRPr="00D91C9B">
              <w:rPr>
                <w:rFonts w:ascii="Arial" w:eastAsia="Times New Roman" w:hAnsi="Arial" w:cs="Arial"/>
                <w:b/>
                <w:color w:val="000000"/>
                <w:sz w:val="18"/>
                <w:szCs w:val="12"/>
              </w:rPr>
              <w:t>132,966,130</w:t>
            </w:r>
          </w:p>
        </w:tc>
      </w:tr>
      <w:tr w:rsidR="00B076A2" w:rsidRPr="00E2018A" w14:paraId="247E80FE" w14:textId="77777777" w:rsidTr="00B3646C">
        <w:trPr>
          <w:trHeight w:val="465"/>
          <w:jc w:val="center"/>
        </w:trPr>
        <w:tc>
          <w:tcPr>
            <w:tcW w:w="5524" w:type="dxa"/>
            <w:shd w:val="clear" w:color="auto" w:fill="auto"/>
            <w:vAlign w:val="center"/>
            <w:hideMark/>
          </w:tcPr>
          <w:p w14:paraId="36CFB25E" w14:textId="77777777" w:rsidR="00B076A2" w:rsidRPr="00D91C9B" w:rsidRDefault="00B076A2" w:rsidP="00B3646C">
            <w:pPr>
              <w:spacing w:after="0" w:line="240" w:lineRule="auto"/>
              <w:jc w:val="both"/>
              <w:rPr>
                <w:rFonts w:ascii="Arial" w:eastAsia="Times New Roman" w:hAnsi="Arial" w:cs="Arial"/>
                <w:color w:val="000000"/>
                <w:sz w:val="18"/>
                <w:szCs w:val="14"/>
              </w:rPr>
            </w:pPr>
            <w:r w:rsidRPr="00D91C9B">
              <w:rPr>
                <w:rFonts w:ascii="Arial" w:eastAsia="Times New Roman" w:hAnsi="Arial" w:cs="Arial"/>
                <w:color w:val="000000"/>
                <w:sz w:val="18"/>
                <w:szCs w:val="14"/>
              </w:rPr>
              <w:t>Crédito Fiscal cuotas IMSS (OP Convenio 0029 – RCV Convenio 0027)</w:t>
            </w:r>
          </w:p>
        </w:tc>
        <w:tc>
          <w:tcPr>
            <w:tcW w:w="1134" w:type="dxa"/>
            <w:shd w:val="clear" w:color="auto" w:fill="auto"/>
            <w:noWrap/>
            <w:vAlign w:val="center"/>
          </w:tcPr>
          <w:p w14:paraId="58FA9FD5" w14:textId="77777777" w:rsidR="00B076A2" w:rsidRPr="00D91C9B" w:rsidRDefault="00B076A2" w:rsidP="00B3646C">
            <w:pPr>
              <w:spacing w:after="0" w:line="240" w:lineRule="auto"/>
              <w:jc w:val="right"/>
              <w:rPr>
                <w:rFonts w:ascii="Arial" w:eastAsia="Times New Roman" w:hAnsi="Arial" w:cs="Arial"/>
                <w:b/>
                <w:bCs/>
                <w:color w:val="000000"/>
                <w:sz w:val="18"/>
                <w:szCs w:val="16"/>
              </w:rPr>
            </w:pPr>
            <w:r w:rsidRPr="00D91C9B">
              <w:rPr>
                <w:rFonts w:ascii="Arial" w:eastAsia="Times New Roman" w:hAnsi="Arial" w:cs="Arial"/>
                <w:b/>
                <w:sz w:val="18"/>
                <w:szCs w:val="16"/>
              </w:rPr>
              <w:t>34,377,162</w:t>
            </w:r>
          </w:p>
        </w:tc>
        <w:tc>
          <w:tcPr>
            <w:tcW w:w="1275" w:type="dxa"/>
            <w:shd w:val="clear" w:color="auto" w:fill="auto"/>
            <w:vAlign w:val="center"/>
          </w:tcPr>
          <w:p w14:paraId="21D2867F" w14:textId="77777777" w:rsidR="00B076A2" w:rsidRPr="00D91C9B" w:rsidRDefault="00B076A2" w:rsidP="00B3646C">
            <w:pPr>
              <w:spacing w:after="0" w:line="240" w:lineRule="auto"/>
              <w:jc w:val="right"/>
              <w:rPr>
                <w:rFonts w:ascii="Arial" w:eastAsia="Times New Roman" w:hAnsi="Arial" w:cs="Arial"/>
                <w:b/>
                <w:color w:val="000000"/>
                <w:sz w:val="18"/>
                <w:szCs w:val="12"/>
              </w:rPr>
            </w:pPr>
            <w:r>
              <w:rPr>
                <w:rFonts w:ascii="Arial" w:eastAsia="Times New Roman" w:hAnsi="Arial" w:cs="Arial"/>
                <w:b/>
                <w:sz w:val="18"/>
                <w:szCs w:val="12"/>
              </w:rPr>
              <w:t>154,038,570</w:t>
            </w:r>
          </w:p>
        </w:tc>
      </w:tr>
      <w:tr w:rsidR="00B076A2" w:rsidRPr="00E2018A" w14:paraId="5E4A9229" w14:textId="77777777" w:rsidTr="00B3646C">
        <w:trPr>
          <w:trHeight w:val="465"/>
          <w:jc w:val="center"/>
        </w:trPr>
        <w:tc>
          <w:tcPr>
            <w:tcW w:w="5524" w:type="dxa"/>
            <w:shd w:val="clear" w:color="auto" w:fill="auto"/>
            <w:vAlign w:val="center"/>
            <w:hideMark/>
          </w:tcPr>
          <w:p w14:paraId="2427555C" w14:textId="77777777" w:rsidR="00B076A2" w:rsidRPr="00D91C9B" w:rsidRDefault="00B076A2" w:rsidP="00B3646C">
            <w:pPr>
              <w:spacing w:after="0" w:line="240" w:lineRule="auto"/>
              <w:jc w:val="both"/>
              <w:rPr>
                <w:rFonts w:ascii="Arial" w:eastAsia="Times New Roman" w:hAnsi="Arial" w:cs="Arial"/>
                <w:color w:val="212121"/>
                <w:sz w:val="18"/>
                <w:szCs w:val="14"/>
              </w:rPr>
            </w:pPr>
            <w:r w:rsidRPr="00D91C9B">
              <w:rPr>
                <w:rFonts w:ascii="Arial" w:eastAsia="Times New Roman" w:hAnsi="Arial" w:cs="Arial"/>
                <w:color w:val="212121"/>
                <w:sz w:val="18"/>
                <w:szCs w:val="14"/>
              </w:rPr>
              <w:t>Adquisición de Servicio en Arrendamiento de Protección y Acceso Informático en los sitios del Gobierno del Estado.</w:t>
            </w:r>
          </w:p>
          <w:p w14:paraId="14027009" w14:textId="77777777" w:rsidR="00B076A2" w:rsidRPr="00D91C9B" w:rsidRDefault="00B076A2" w:rsidP="00B3646C">
            <w:pPr>
              <w:spacing w:after="0" w:line="240" w:lineRule="auto"/>
              <w:jc w:val="both"/>
              <w:rPr>
                <w:rFonts w:ascii="Arial" w:eastAsia="Times New Roman" w:hAnsi="Arial" w:cs="Arial"/>
                <w:color w:val="212121"/>
                <w:sz w:val="18"/>
                <w:szCs w:val="14"/>
              </w:rPr>
            </w:pPr>
            <w:r w:rsidRPr="00D91C9B">
              <w:rPr>
                <w:rFonts w:ascii="Arial" w:eastAsia="Times New Roman" w:hAnsi="Arial" w:cs="Arial"/>
                <w:color w:val="212121"/>
                <w:sz w:val="18"/>
                <w:szCs w:val="14"/>
              </w:rPr>
              <w:t>Mecanismos de seguridad, administración y control de accesos a la red de datos del Gobierno del Estado.</w:t>
            </w:r>
          </w:p>
        </w:tc>
        <w:tc>
          <w:tcPr>
            <w:tcW w:w="1134" w:type="dxa"/>
            <w:shd w:val="clear" w:color="auto" w:fill="auto"/>
            <w:noWrap/>
            <w:vAlign w:val="center"/>
            <w:hideMark/>
          </w:tcPr>
          <w:p w14:paraId="3C90B2EE" w14:textId="77777777" w:rsidR="00B076A2" w:rsidRPr="00D91C9B" w:rsidRDefault="00B076A2" w:rsidP="00B3646C">
            <w:pPr>
              <w:spacing w:after="0" w:line="240" w:lineRule="auto"/>
              <w:jc w:val="right"/>
              <w:rPr>
                <w:rFonts w:ascii="Arial" w:eastAsia="Times New Roman" w:hAnsi="Arial" w:cs="Arial"/>
                <w:b/>
                <w:bCs/>
                <w:color w:val="000000"/>
                <w:sz w:val="18"/>
                <w:szCs w:val="16"/>
              </w:rPr>
            </w:pPr>
            <w:r w:rsidRPr="00D91C9B">
              <w:rPr>
                <w:rFonts w:ascii="Arial" w:eastAsia="Times New Roman" w:hAnsi="Arial" w:cs="Arial"/>
                <w:b/>
                <w:sz w:val="18"/>
                <w:szCs w:val="16"/>
              </w:rPr>
              <w:t>2,677,860</w:t>
            </w:r>
          </w:p>
        </w:tc>
        <w:tc>
          <w:tcPr>
            <w:tcW w:w="1275" w:type="dxa"/>
            <w:shd w:val="clear" w:color="auto" w:fill="auto"/>
            <w:vAlign w:val="center"/>
            <w:hideMark/>
          </w:tcPr>
          <w:p w14:paraId="162D2E01" w14:textId="77777777" w:rsidR="00B076A2" w:rsidRPr="00D91C9B" w:rsidRDefault="00B076A2" w:rsidP="00B3646C">
            <w:pPr>
              <w:spacing w:after="0" w:line="240" w:lineRule="auto"/>
              <w:jc w:val="right"/>
              <w:rPr>
                <w:rFonts w:ascii="Arial" w:eastAsia="Times New Roman" w:hAnsi="Arial" w:cs="Arial"/>
                <w:b/>
                <w:color w:val="000000"/>
                <w:sz w:val="18"/>
                <w:szCs w:val="12"/>
              </w:rPr>
            </w:pPr>
            <w:r w:rsidRPr="00D91C9B">
              <w:rPr>
                <w:rFonts w:ascii="Arial" w:eastAsia="Times New Roman" w:hAnsi="Arial" w:cs="Arial"/>
                <w:b/>
                <w:color w:val="000000"/>
                <w:sz w:val="18"/>
                <w:szCs w:val="12"/>
              </w:rPr>
              <w:t>15,531,588</w:t>
            </w:r>
          </w:p>
        </w:tc>
      </w:tr>
    </w:tbl>
    <w:bookmarkEnd w:id="3"/>
    <w:p w14:paraId="6DD618C4" w14:textId="77777777" w:rsidR="00B076A2" w:rsidRDefault="00B076A2" w:rsidP="00B076A2">
      <w:pPr>
        <w:spacing w:after="0" w:line="240" w:lineRule="auto"/>
        <w:ind w:left="426"/>
        <w:rPr>
          <w:rFonts w:ascii="Arial" w:hAnsi="Arial" w:cs="Arial"/>
          <w:sz w:val="16"/>
        </w:rPr>
      </w:pPr>
      <w:r>
        <w:rPr>
          <w:rFonts w:ascii="Arial" w:hAnsi="Arial" w:cs="Arial"/>
          <w:sz w:val="16"/>
        </w:rPr>
        <w:t>Fuente: Elaboración propia, con información de la Secretaría de Administración y Gestión Pública.</w:t>
      </w:r>
    </w:p>
    <w:p w14:paraId="49810A4B" w14:textId="77777777" w:rsidR="00B076A2" w:rsidRDefault="00B076A2" w:rsidP="00B076A2">
      <w:pPr>
        <w:spacing w:after="0" w:line="240" w:lineRule="auto"/>
        <w:rPr>
          <w:rFonts w:ascii="Arial" w:hAnsi="Arial" w:cs="Arial"/>
          <w:sz w:val="24"/>
        </w:rPr>
      </w:pPr>
    </w:p>
    <w:p w14:paraId="7674B915" w14:textId="77777777" w:rsidR="00B076A2" w:rsidRDefault="00B076A2" w:rsidP="00B076A2">
      <w:pPr>
        <w:spacing w:after="0" w:line="240" w:lineRule="auto"/>
        <w:jc w:val="both"/>
        <w:rPr>
          <w:rFonts w:ascii="Arial" w:hAnsi="Arial" w:cs="Arial"/>
          <w:sz w:val="24"/>
        </w:rPr>
      </w:pPr>
      <w:r>
        <w:rPr>
          <w:rFonts w:ascii="Arial" w:hAnsi="Arial" w:cs="Arial"/>
          <w:sz w:val="24"/>
        </w:rPr>
        <w:t xml:space="preserve">Los cuatro proyectos plurianuales mostrados en la tabla anterior, representan las obligaciones contractuales de inversión pública, adquisiciones, arrendamientos y/o servicios contraídas. El detalle de las </w:t>
      </w:r>
      <w:r w:rsidRPr="00B44399">
        <w:rPr>
          <w:rFonts w:ascii="Arial" w:hAnsi="Arial" w:cs="Arial"/>
          <w:sz w:val="24"/>
        </w:rPr>
        <w:t>mismas se puede encontrar en la Tabla 32 del presente Proyecto de Presupuesto de Egresos 2021.</w:t>
      </w:r>
    </w:p>
    <w:p w14:paraId="76ED52A9" w14:textId="77777777" w:rsidR="00B076A2" w:rsidRPr="00A93FA9" w:rsidRDefault="00B076A2" w:rsidP="00B076A2">
      <w:pPr>
        <w:spacing w:after="0" w:line="240" w:lineRule="auto"/>
        <w:jc w:val="both"/>
        <w:rPr>
          <w:rFonts w:ascii="Arial" w:hAnsi="Arial" w:cs="Arial"/>
          <w:sz w:val="24"/>
        </w:rPr>
      </w:pPr>
    </w:p>
    <w:p w14:paraId="09891D4D" w14:textId="77777777" w:rsidR="00B076A2" w:rsidRDefault="00B076A2" w:rsidP="00B076A2">
      <w:pPr>
        <w:spacing w:after="0" w:line="240" w:lineRule="auto"/>
        <w:jc w:val="both"/>
        <w:rPr>
          <w:rFonts w:ascii="Arial" w:hAnsi="Arial" w:cs="Arial"/>
          <w:sz w:val="24"/>
        </w:rPr>
      </w:pPr>
      <w:r>
        <w:rPr>
          <w:rFonts w:ascii="Arial" w:hAnsi="Arial" w:cs="Arial"/>
          <w:sz w:val="24"/>
        </w:rPr>
        <w:t xml:space="preserve">En otro aspecto, a partir de la promulgación de la Ley de Asociaciones Público Privadas del Estado de Colima, aprobada por el H. Congreso del Estado y </w:t>
      </w:r>
      <w:r>
        <w:rPr>
          <w:rFonts w:ascii="Arial" w:hAnsi="Arial" w:cs="Arial"/>
          <w:sz w:val="24"/>
        </w:rPr>
        <w:lastRenderedPageBreak/>
        <w:t>publicada en el Periódico Oficial “El Estado de Colima” el 22 de noviembre de 2016, se establecen las bases legales para generar proyectos de Asociación Público-Privada orientados a impulsar el desarrollo del estado en función de las prioridades establecidas en el PED.</w:t>
      </w:r>
    </w:p>
    <w:p w14:paraId="6C35C8D8" w14:textId="77777777" w:rsidR="00B076A2" w:rsidRDefault="00B076A2" w:rsidP="00B076A2">
      <w:pPr>
        <w:spacing w:after="0" w:line="240" w:lineRule="auto"/>
        <w:jc w:val="both"/>
        <w:rPr>
          <w:rFonts w:ascii="Arial" w:hAnsi="Arial" w:cs="Arial"/>
          <w:sz w:val="24"/>
        </w:rPr>
      </w:pPr>
    </w:p>
    <w:p w14:paraId="6666F74F" w14:textId="77777777" w:rsidR="00B076A2" w:rsidRDefault="00B076A2" w:rsidP="00B076A2">
      <w:pPr>
        <w:spacing w:after="0" w:line="240" w:lineRule="auto"/>
        <w:jc w:val="both"/>
        <w:rPr>
          <w:rFonts w:ascii="Arial" w:hAnsi="Arial" w:cs="Arial"/>
          <w:sz w:val="24"/>
        </w:rPr>
      </w:pPr>
      <w:r>
        <w:rPr>
          <w:rFonts w:ascii="Arial" w:hAnsi="Arial" w:cs="Arial"/>
          <w:sz w:val="24"/>
        </w:rPr>
        <w:t>En este sentido, los proyectos de Asociación Público-Privada son aquellos que se realicen con cualquier esquema para establecer una relación contractual de largo plazo, entre instancias del sector público y del sector privado, para la prestación de servicios al sector público, mayoristas, intermediarios o al usuario final y en los que se utilice infraestructura proporcionada total o parcialmente por el sector privado con objetivos que aumenten el bienestar social y los niveles de inversión en el estado y sus municipios.</w:t>
      </w:r>
    </w:p>
    <w:p w14:paraId="172A80D2" w14:textId="77777777" w:rsidR="00B076A2" w:rsidRDefault="00B076A2" w:rsidP="00B076A2">
      <w:pPr>
        <w:spacing w:after="0" w:line="240" w:lineRule="auto"/>
        <w:jc w:val="both"/>
        <w:rPr>
          <w:rFonts w:ascii="Arial" w:hAnsi="Arial" w:cs="Arial"/>
          <w:sz w:val="24"/>
        </w:rPr>
      </w:pPr>
    </w:p>
    <w:p w14:paraId="549CBA13" w14:textId="77777777" w:rsidR="00B076A2" w:rsidRDefault="00B076A2" w:rsidP="00B076A2">
      <w:pPr>
        <w:spacing w:after="0" w:line="240" w:lineRule="auto"/>
        <w:jc w:val="both"/>
        <w:rPr>
          <w:rFonts w:ascii="Arial" w:hAnsi="Arial" w:cs="Arial"/>
          <w:sz w:val="24"/>
        </w:rPr>
      </w:pPr>
      <w:r>
        <w:rPr>
          <w:rFonts w:ascii="Arial" w:hAnsi="Arial" w:cs="Arial"/>
          <w:sz w:val="24"/>
        </w:rPr>
        <w:t>Dichos proyectos deberán estar plenamente justificados, especificar el beneficio social que se busca obtener y demostrar su ventaja financiera frente a otras formas de financiamiento, y además ser congruente con los objetivos del PED. A pesar de que la Ley de Asociaciones Público Privadas del Estado de Colima crea las condiciones legales necesarias para llevar a cabo este tipo de sinergias, para el ejercicio fiscal 2021, no hay asignación presupuestaria para el financiamiento de proyectos suscritos entre instancias del Sector Público del Gobierno del Estado con el Sector Privado.</w:t>
      </w:r>
    </w:p>
    <w:p w14:paraId="1B9B572D" w14:textId="77777777" w:rsidR="00B076A2" w:rsidRDefault="00B076A2" w:rsidP="00B076A2">
      <w:pPr>
        <w:spacing w:after="0" w:line="240" w:lineRule="auto"/>
        <w:jc w:val="both"/>
        <w:rPr>
          <w:rFonts w:ascii="Arial" w:hAnsi="Arial" w:cs="Arial"/>
          <w:sz w:val="24"/>
        </w:rPr>
      </w:pPr>
    </w:p>
    <w:p w14:paraId="316C1EE2" w14:textId="77777777" w:rsidR="00B076A2" w:rsidRDefault="00B076A2" w:rsidP="00B076A2">
      <w:pPr>
        <w:spacing w:after="0" w:line="240" w:lineRule="auto"/>
        <w:jc w:val="both"/>
        <w:rPr>
          <w:rFonts w:ascii="Arial" w:hAnsi="Arial" w:cs="Arial"/>
          <w:sz w:val="24"/>
        </w:rPr>
      </w:pPr>
    </w:p>
    <w:p w14:paraId="1BE98D29" w14:textId="77777777" w:rsidR="00B076A2" w:rsidRPr="00971BCE" w:rsidRDefault="00B076A2" w:rsidP="00B076A2">
      <w:pPr>
        <w:spacing w:after="0" w:line="240" w:lineRule="auto"/>
        <w:jc w:val="both"/>
        <w:rPr>
          <w:rFonts w:ascii="Arial" w:hAnsi="Arial" w:cs="Arial"/>
          <w:b/>
          <w:sz w:val="24"/>
        </w:rPr>
      </w:pPr>
      <w:r w:rsidRPr="00971BCE">
        <w:rPr>
          <w:rFonts w:ascii="Arial" w:hAnsi="Arial" w:cs="Arial"/>
          <w:b/>
          <w:sz w:val="24"/>
        </w:rPr>
        <w:t>2.3. DESCRIPCIÓN DE LOS RIESGOS RELEVANTES PARA LAS FINANZAS PÚBLICAS, INCLUYENDO LOS MONTOS DE DEUDA CONTINGENTE, ACOMPAÑADOS DE PROPUESTAS DE ACCIÓN PARA ENFRENTARLOS</w:t>
      </w:r>
    </w:p>
    <w:p w14:paraId="69D91530" w14:textId="77777777" w:rsidR="00B076A2" w:rsidRDefault="00B076A2" w:rsidP="00B076A2">
      <w:pPr>
        <w:spacing w:after="0" w:line="240" w:lineRule="auto"/>
        <w:jc w:val="both"/>
        <w:rPr>
          <w:rFonts w:ascii="Arial" w:hAnsi="Arial" w:cs="Arial"/>
          <w:b/>
          <w:sz w:val="24"/>
        </w:rPr>
      </w:pPr>
    </w:p>
    <w:p w14:paraId="480ED496" w14:textId="77777777" w:rsidR="00B076A2" w:rsidRDefault="00B076A2" w:rsidP="00B076A2">
      <w:pPr>
        <w:spacing w:after="0" w:line="240" w:lineRule="auto"/>
        <w:jc w:val="both"/>
        <w:rPr>
          <w:rFonts w:ascii="Arial" w:hAnsi="Arial" w:cs="Arial"/>
          <w:b/>
          <w:sz w:val="24"/>
        </w:rPr>
      </w:pPr>
      <w:r w:rsidRPr="00971BCE">
        <w:rPr>
          <w:rFonts w:ascii="Arial" w:hAnsi="Arial" w:cs="Arial"/>
          <w:b/>
          <w:sz w:val="24"/>
        </w:rPr>
        <w:t>2.3.1 Riesgos Relevantes de las Finanzas Públicas a Nivel Nacional</w:t>
      </w:r>
    </w:p>
    <w:p w14:paraId="7BFE6BE2" w14:textId="77777777" w:rsidR="00B076A2" w:rsidRPr="00971BCE" w:rsidRDefault="00B076A2" w:rsidP="00B076A2">
      <w:pPr>
        <w:spacing w:after="0" w:line="240" w:lineRule="auto"/>
        <w:jc w:val="both"/>
        <w:rPr>
          <w:rFonts w:ascii="Arial" w:hAnsi="Arial" w:cs="Arial"/>
          <w:b/>
          <w:sz w:val="24"/>
        </w:rPr>
      </w:pPr>
    </w:p>
    <w:p w14:paraId="6A7DC4CB" w14:textId="77777777" w:rsidR="00B076A2" w:rsidRDefault="00B076A2" w:rsidP="00B076A2">
      <w:pPr>
        <w:spacing w:after="0" w:line="240" w:lineRule="auto"/>
        <w:jc w:val="both"/>
        <w:rPr>
          <w:rFonts w:ascii="Arial" w:hAnsi="Arial" w:cs="Arial"/>
          <w:sz w:val="24"/>
        </w:rPr>
      </w:pPr>
      <w:r>
        <w:rPr>
          <w:rFonts w:ascii="Arial" w:hAnsi="Arial" w:cs="Arial"/>
          <w:sz w:val="24"/>
        </w:rPr>
        <w:t>Los riesgos que inciden al alza son:</w:t>
      </w:r>
    </w:p>
    <w:p w14:paraId="75F39E26" w14:textId="77777777" w:rsidR="00B076A2" w:rsidRDefault="00B076A2" w:rsidP="00B076A2">
      <w:pPr>
        <w:pStyle w:val="Prrafodelista"/>
        <w:numPr>
          <w:ilvl w:val="0"/>
          <w:numId w:val="38"/>
        </w:numPr>
        <w:spacing w:after="0" w:line="240" w:lineRule="auto"/>
        <w:jc w:val="both"/>
        <w:rPr>
          <w:rFonts w:ascii="Arial" w:hAnsi="Arial" w:cs="Arial"/>
          <w:sz w:val="24"/>
        </w:rPr>
      </w:pPr>
      <w:r>
        <w:rPr>
          <w:rFonts w:ascii="Arial" w:hAnsi="Arial" w:cs="Arial"/>
          <w:sz w:val="24"/>
        </w:rPr>
        <w:t>El descubrimiento de una vacuna para el COVID-19 que permita una reapertura amplia temprana en el año.</w:t>
      </w:r>
    </w:p>
    <w:p w14:paraId="1E07020E" w14:textId="77777777" w:rsidR="00B076A2" w:rsidRDefault="00B076A2" w:rsidP="00B076A2">
      <w:pPr>
        <w:pStyle w:val="Prrafodelista"/>
        <w:numPr>
          <w:ilvl w:val="0"/>
          <w:numId w:val="38"/>
        </w:numPr>
        <w:spacing w:after="0" w:line="240" w:lineRule="auto"/>
        <w:jc w:val="both"/>
        <w:rPr>
          <w:rFonts w:ascii="Arial" w:hAnsi="Arial" w:cs="Arial"/>
          <w:sz w:val="24"/>
        </w:rPr>
      </w:pPr>
      <w:r>
        <w:rPr>
          <w:rFonts w:ascii="Arial" w:hAnsi="Arial" w:cs="Arial"/>
          <w:sz w:val="24"/>
        </w:rPr>
        <w:t>Una mayor inversión resultado de la disipación en la incertidumbre en los mercados financieros.</w:t>
      </w:r>
    </w:p>
    <w:p w14:paraId="0DE69C72" w14:textId="77777777" w:rsidR="00B076A2" w:rsidRPr="00F800D6" w:rsidRDefault="00B076A2" w:rsidP="00B076A2">
      <w:pPr>
        <w:pStyle w:val="Prrafodelista"/>
        <w:numPr>
          <w:ilvl w:val="0"/>
          <w:numId w:val="38"/>
        </w:numPr>
        <w:spacing w:after="0" w:line="240" w:lineRule="auto"/>
        <w:jc w:val="both"/>
        <w:rPr>
          <w:rFonts w:ascii="Arial" w:hAnsi="Arial" w:cs="Arial"/>
          <w:sz w:val="24"/>
        </w:rPr>
      </w:pPr>
      <w:r>
        <w:rPr>
          <w:rFonts w:ascii="Arial" w:hAnsi="Arial" w:cs="Arial"/>
          <w:sz w:val="24"/>
        </w:rPr>
        <w:t xml:space="preserve">Una mayor relocalización de empresas para aprovechar las ventajas competitivas del T-MEC o ante disminuciones en las tasas de interés domésticas. </w:t>
      </w:r>
    </w:p>
    <w:p w14:paraId="630C6E38" w14:textId="77777777" w:rsidR="00B076A2" w:rsidRPr="00F800D6" w:rsidRDefault="00B076A2" w:rsidP="00B076A2">
      <w:pPr>
        <w:spacing w:after="0" w:line="240" w:lineRule="auto"/>
        <w:jc w:val="both"/>
        <w:rPr>
          <w:rFonts w:ascii="Arial" w:hAnsi="Arial" w:cs="Arial"/>
          <w:sz w:val="24"/>
        </w:rPr>
      </w:pPr>
      <w:r>
        <w:rPr>
          <w:rFonts w:ascii="Arial" w:hAnsi="Arial" w:cs="Arial"/>
          <w:sz w:val="24"/>
        </w:rPr>
        <w:t>Los riesgos que inciden a la baja son:</w:t>
      </w:r>
    </w:p>
    <w:p w14:paraId="6EED4C02" w14:textId="77777777" w:rsidR="00B076A2" w:rsidRDefault="00B076A2" w:rsidP="00B076A2">
      <w:pPr>
        <w:pStyle w:val="Prrafodelista"/>
        <w:numPr>
          <w:ilvl w:val="0"/>
          <w:numId w:val="37"/>
        </w:numPr>
        <w:spacing w:after="0" w:line="240" w:lineRule="auto"/>
        <w:jc w:val="both"/>
        <w:rPr>
          <w:rFonts w:ascii="Arial" w:hAnsi="Arial" w:cs="Arial"/>
          <w:sz w:val="24"/>
        </w:rPr>
      </w:pPr>
      <w:r>
        <w:rPr>
          <w:rFonts w:ascii="Arial" w:hAnsi="Arial" w:cs="Arial"/>
          <w:sz w:val="24"/>
        </w:rPr>
        <w:t>Una reactivación económica interna más lenta que la anticipada.</w:t>
      </w:r>
    </w:p>
    <w:p w14:paraId="2089D79F" w14:textId="77777777" w:rsidR="00B076A2" w:rsidRPr="00F800D6" w:rsidRDefault="00B076A2" w:rsidP="00B076A2">
      <w:pPr>
        <w:pStyle w:val="Prrafodelista"/>
        <w:numPr>
          <w:ilvl w:val="0"/>
          <w:numId w:val="37"/>
        </w:numPr>
        <w:spacing w:after="0" w:line="240" w:lineRule="auto"/>
        <w:jc w:val="both"/>
        <w:rPr>
          <w:rFonts w:ascii="Arial" w:hAnsi="Arial" w:cs="Arial"/>
          <w:sz w:val="24"/>
        </w:rPr>
      </w:pPr>
      <w:r>
        <w:rPr>
          <w:rFonts w:ascii="Arial" w:hAnsi="Arial" w:cs="Arial"/>
          <w:sz w:val="24"/>
        </w:rPr>
        <w:lastRenderedPageBreak/>
        <w:t>Una recuperación menor a la estimada para EEUU, por la incertidumbre asociada a su proceso electoral o por el escalamiento en tensiones comerciales y geopolíticas con China.</w:t>
      </w:r>
    </w:p>
    <w:p w14:paraId="6321C201" w14:textId="77777777" w:rsidR="00B076A2" w:rsidRDefault="00B076A2" w:rsidP="00B076A2">
      <w:pPr>
        <w:spacing w:after="0" w:line="240" w:lineRule="auto"/>
        <w:jc w:val="both"/>
        <w:rPr>
          <w:rFonts w:ascii="Arial" w:hAnsi="Arial" w:cs="Arial"/>
          <w:sz w:val="24"/>
        </w:rPr>
      </w:pPr>
    </w:p>
    <w:p w14:paraId="211C9900" w14:textId="77777777" w:rsidR="00B076A2" w:rsidRPr="00676C73" w:rsidRDefault="00B076A2" w:rsidP="00B076A2">
      <w:pPr>
        <w:spacing w:after="0" w:line="240" w:lineRule="auto"/>
        <w:jc w:val="both"/>
        <w:rPr>
          <w:rFonts w:ascii="Arial" w:hAnsi="Arial" w:cs="Arial"/>
          <w:i/>
          <w:sz w:val="24"/>
        </w:rPr>
      </w:pPr>
      <w:r w:rsidRPr="00676C73">
        <w:rPr>
          <w:rFonts w:ascii="Arial" w:hAnsi="Arial" w:cs="Arial"/>
          <w:i/>
          <w:sz w:val="24"/>
        </w:rPr>
        <w:t>Riesgos fiscales y macroeconómicos</w:t>
      </w:r>
    </w:p>
    <w:p w14:paraId="61265968" w14:textId="77777777" w:rsidR="00B076A2" w:rsidRDefault="00B076A2" w:rsidP="00B076A2">
      <w:pPr>
        <w:spacing w:after="0" w:line="240" w:lineRule="auto"/>
        <w:jc w:val="both"/>
        <w:rPr>
          <w:rFonts w:ascii="Arial" w:hAnsi="Arial" w:cs="Arial"/>
          <w:sz w:val="24"/>
        </w:rPr>
      </w:pPr>
    </w:p>
    <w:p w14:paraId="1740E4C4" w14:textId="77777777" w:rsidR="00B076A2" w:rsidRDefault="00B076A2" w:rsidP="00B076A2">
      <w:pPr>
        <w:spacing w:after="0" w:line="240" w:lineRule="auto"/>
        <w:jc w:val="both"/>
        <w:rPr>
          <w:rFonts w:ascii="Arial" w:hAnsi="Arial" w:cs="Arial"/>
          <w:sz w:val="24"/>
        </w:rPr>
      </w:pPr>
      <w:r>
        <w:rPr>
          <w:rFonts w:ascii="Arial" w:hAnsi="Arial" w:cs="Arial"/>
          <w:sz w:val="24"/>
        </w:rPr>
        <w:t>Se presentan los impactos sobre las finanzas públicas estimadas para 2021 respecto a cambios en las principales variables macroeconómicas: crecimiento económico, tipo de cambio, tasa de interés y precio del petróleo.</w:t>
      </w:r>
    </w:p>
    <w:p w14:paraId="2F9501F4" w14:textId="77777777" w:rsidR="00B076A2" w:rsidRDefault="00B076A2" w:rsidP="00B076A2">
      <w:pPr>
        <w:spacing w:after="0" w:line="240" w:lineRule="auto"/>
        <w:jc w:val="both"/>
        <w:rPr>
          <w:rFonts w:ascii="Arial" w:hAnsi="Arial" w:cs="Arial"/>
          <w:sz w:val="24"/>
        </w:rPr>
      </w:pPr>
    </w:p>
    <w:p w14:paraId="0278C3D0" w14:textId="77777777" w:rsidR="00B076A2" w:rsidRDefault="00B076A2" w:rsidP="00B076A2">
      <w:pPr>
        <w:spacing w:after="0" w:line="240" w:lineRule="auto"/>
        <w:jc w:val="both"/>
        <w:rPr>
          <w:rFonts w:ascii="Arial" w:hAnsi="Arial" w:cs="Arial"/>
          <w:sz w:val="24"/>
        </w:rPr>
      </w:pPr>
      <w:r>
        <w:rPr>
          <w:rFonts w:ascii="Arial" w:hAnsi="Arial" w:cs="Arial"/>
          <w:sz w:val="24"/>
        </w:rPr>
        <w:t>Dichos impactos son indicativos, debido a que se refieren a los efectos aislados de cada uno de los factores y no consideran la interacción que existe entre los mismos, ello como resultado de choques económicos internos o externos.</w:t>
      </w:r>
    </w:p>
    <w:p w14:paraId="6DFCB1B1" w14:textId="77777777" w:rsidR="00B076A2" w:rsidRDefault="00B076A2" w:rsidP="00B076A2">
      <w:pPr>
        <w:spacing w:after="0" w:line="240" w:lineRule="auto"/>
        <w:jc w:val="both"/>
        <w:rPr>
          <w:rFonts w:ascii="Arial" w:hAnsi="Arial" w:cs="Arial"/>
          <w:sz w:val="24"/>
        </w:rPr>
      </w:pPr>
    </w:p>
    <w:p w14:paraId="1239B6D0" w14:textId="77777777" w:rsidR="00B076A2" w:rsidRDefault="00B076A2" w:rsidP="00B076A2">
      <w:pPr>
        <w:pStyle w:val="Prrafodelista"/>
        <w:numPr>
          <w:ilvl w:val="0"/>
          <w:numId w:val="23"/>
        </w:numPr>
        <w:spacing w:after="0" w:line="240" w:lineRule="auto"/>
        <w:jc w:val="both"/>
        <w:rPr>
          <w:rFonts w:ascii="Arial" w:hAnsi="Arial" w:cs="Arial"/>
          <w:sz w:val="24"/>
        </w:rPr>
      </w:pPr>
      <w:r w:rsidRPr="00B22D58">
        <w:rPr>
          <w:rFonts w:ascii="Arial" w:hAnsi="Arial" w:cs="Arial"/>
          <w:sz w:val="24"/>
        </w:rPr>
        <w:t>Un crecimiento económico mayor al estimado incrementa los ingresos públicos debido a una mayor recaudación de los impuestos IVA, ISR y otros.</w:t>
      </w:r>
    </w:p>
    <w:p w14:paraId="4B26F625" w14:textId="77777777" w:rsidR="00B076A2" w:rsidRDefault="00B076A2" w:rsidP="00B076A2">
      <w:pPr>
        <w:pStyle w:val="Prrafodelista"/>
        <w:numPr>
          <w:ilvl w:val="0"/>
          <w:numId w:val="23"/>
        </w:numPr>
        <w:spacing w:after="0" w:line="240" w:lineRule="auto"/>
        <w:jc w:val="both"/>
        <w:rPr>
          <w:rFonts w:ascii="Arial" w:hAnsi="Arial" w:cs="Arial"/>
          <w:sz w:val="24"/>
        </w:rPr>
      </w:pPr>
      <w:r w:rsidRPr="00B22D58">
        <w:rPr>
          <w:rFonts w:ascii="Arial" w:hAnsi="Arial" w:cs="Arial"/>
          <w:sz w:val="24"/>
        </w:rPr>
        <w:t>Un aumento en el precio del petróleo incrementa los ingresos por exportaciones de petróleo más que el incremento de los gastos por importación de hidrocarburos para Pemex.</w:t>
      </w:r>
    </w:p>
    <w:p w14:paraId="30BDC634" w14:textId="77777777" w:rsidR="00B076A2" w:rsidRDefault="00B076A2" w:rsidP="00B076A2">
      <w:pPr>
        <w:pStyle w:val="Prrafodelista"/>
        <w:numPr>
          <w:ilvl w:val="0"/>
          <w:numId w:val="23"/>
        </w:numPr>
        <w:spacing w:after="0" w:line="240" w:lineRule="auto"/>
        <w:jc w:val="both"/>
        <w:rPr>
          <w:rFonts w:ascii="Arial" w:hAnsi="Arial" w:cs="Arial"/>
          <w:sz w:val="24"/>
        </w:rPr>
      </w:pPr>
      <w:r w:rsidRPr="00B22D58">
        <w:rPr>
          <w:rFonts w:ascii="Arial" w:hAnsi="Arial" w:cs="Arial"/>
          <w:sz w:val="24"/>
        </w:rPr>
        <w:t xml:space="preserve">Una apreciación </w:t>
      </w:r>
      <w:r>
        <w:rPr>
          <w:rFonts w:ascii="Arial" w:hAnsi="Arial" w:cs="Arial"/>
          <w:sz w:val="24"/>
        </w:rPr>
        <w:t>del peso frente al dólar reduce</w:t>
      </w:r>
      <w:r w:rsidRPr="00B22D58">
        <w:rPr>
          <w:rFonts w:ascii="Arial" w:hAnsi="Arial" w:cs="Arial"/>
          <w:sz w:val="24"/>
        </w:rPr>
        <w:t xml:space="preserve"> los ingresos petroleros debido a que una proporción elevada de los mismos está asociada a las exportaciones de crudo. Asimismo, reduce el costo por el servicio de la deuda denominada en moneda extranjera.</w:t>
      </w:r>
    </w:p>
    <w:p w14:paraId="7B698DC8" w14:textId="77777777" w:rsidR="00B076A2" w:rsidRDefault="00B076A2" w:rsidP="00B076A2">
      <w:pPr>
        <w:pStyle w:val="Prrafodelista"/>
        <w:numPr>
          <w:ilvl w:val="0"/>
          <w:numId w:val="23"/>
        </w:numPr>
        <w:spacing w:after="0" w:line="240" w:lineRule="auto"/>
        <w:jc w:val="both"/>
        <w:rPr>
          <w:rFonts w:ascii="Arial" w:hAnsi="Arial" w:cs="Arial"/>
          <w:sz w:val="24"/>
        </w:rPr>
      </w:pPr>
      <w:r w:rsidRPr="00B22D58">
        <w:rPr>
          <w:rFonts w:ascii="Arial" w:hAnsi="Arial" w:cs="Arial"/>
          <w:sz w:val="24"/>
        </w:rPr>
        <w:t>Una mayor plataforma de producción de petróleo incrementa los ingresos petroleros debido a la mayor venta de petróleo.</w:t>
      </w:r>
    </w:p>
    <w:p w14:paraId="1B712A25" w14:textId="77777777" w:rsidR="00B076A2" w:rsidRPr="00B22D58" w:rsidRDefault="00B076A2" w:rsidP="00B076A2">
      <w:pPr>
        <w:pStyle w:val="Prrafodelista"/>
        <w:numPr>
          <w:ilvl w:val="0"/>
          <w:numId w:val="23"/>
        </w:numPr>
        <w:spacing w:after="0" w:line="240" w:lineRule="auto"/>
        <w:jc w:val="both"/>
        <w:rPr>
          <w:rFonts w:ascii="Arial" w:hAnsi="Arial" w:cs="Arial"/>
          <w:sz w:val="24"/>
        </w:rPr>
      </w:pPr>
      <w:r w:rsidRPr="00B22D58">
        <w:rPr>
          <w:rFonts w:ascii="Arial" w:hAnsi="Arial" w:cs="Arial"/>
          <w:sz w:val="24"/>
        </w:rPr>
        <w:t>Un aumento de la tasa de interés aumenta el gasto no programable del Sector Público al incrementar el pago de intereses de la deuda a tasa variable y los costos de refinanciamiento de la deuda que está por vencer.</w:t>
      </w:r>
    </w:p>
    <w:p w14:paraId="5F6A83EA" w14:textId="77777777" w:rsidR="00B076A2" w:rsidRDefault="00B076A2" w:rsidP="00B076A2">
      <w:pPr>
        <w:spacing w:after="0" w:line="240" w:lineRule="auto"/>
        <w:jc w:val="both"/>
        <w:rPr>
          <w:rFonts w:ascii="Arial" w:hAnsi="Arial" w:cs="Arial"/>
          <w:sz w:val="24"/>
        </w:rPr>
      </w:pPr>
    </w:p>
    <w:p w14:paraId="145383DF" w14:textId="77777777" w:rsidR="00B076A2" w:rsidRDefault="00B076A2" w:rsidP="00B076A2">
      <w:pPr>
        <w:spacing w:after="0" w:line="240" w:lineRule="auto"/>
        <w:jc w:val="both"/>
        <w:rPr>
          <w:rFonts w:ascii="Arial" w:hAnsi="Arial" w:cs="Arial"/>
          <w:sz w:val="24"/>
        </w:rPr>
      </w:pPr>
      <w:r>
        <w:rPr>
          <w:rFonts w:ascii="Arial" w:hAnsi="Arial" w:cs="Arial"/>
          <w:sz w:val="24"/>
        </w:rPr>
        <w:t>Además de las situaciones previstas anteriormente, existen factores extraordinarios que pueden afectar las finanzas públicas y que, debido a su naturaleza, son complicados de anticipar y cuantificar. Con la finalidad de aminorar el impacto que pueden tener estos en las finanzas públicas, se cuenta con un conjunto de amortiguadores fiscales, como: una estrategia de coberturas petroleras, una línea de crédito flexible aprobada por el FMI, líneas Swap con el Sistema de la Reserva Federal y el Departamento del Tesoro, reservas internacionales, flexibilidad cambiaria, composición de la deuda pública, el seguro catastrófico.</w:t>
      </w:r>
    </w:p>
    <w:p w14:paraId="62F6D003" w14:textId="77777777" w:rsidR="00B076A2" w:rsidRDefault="00B076A2" w:rsidP="00B076A2">
      <w:pPr>
        <w:spacing w:after="0" w:line="240" w:lineRule="auto"/>
        <w:jc w:val="both"/>
        <w:rPr>
          <w:rFonts w:ascii="Arial" w:hAnsi="Arial" w:cs="Arial"/>
          <w:sz w:val="24"/>
        </w:rPr>
      </w:pPr>
    </w:p>
    <w:p w14:paraId="3196E04D" w14:textId="77777777" w:rsidR="00B076A2" w:rsidRDefault="00B076A2" w:rsidP="00B076A2">
      <w:pPr>
        <w:spacing w:after="0" w:line="240" w:lineRule="auto"/>
        <w:jc w:val="both"/>
        <w:rPr>
          <w:rFonts w:ascii="Arial" w:hAnsi="Arial" w:cs="Arial"/>
          <w:sz w:val="24"/>
        </w:rPr>
      </w:pPr>
      <w:r>
        <w:rPr>
          <w:rFonts w:ascii="Arial" w:hAnsi="Arial" w:cs="Arial"/>
          <w:sz w:val="24"/>
        </w:rPr>
        <w:lastRenderedPageBreak/>
        <w:t>Por otro lado, las obligaciones financieras, la materialización de imprevistos o características estructurales pueden generar presiones fiscales y poner en riesgo la estabilidad de las finanzas públicas del país. El envejecimiento de la población, producto de la  mayor esperanza de vida y una disminución en la tasa de fertilidad, constituyen un reto central en materia de pensiones y, en general, para la seguridad social, a continuación se detallan algunos escenarios:</w:t>
      </w:r>
    </w:p>
    <w:p w14:paraId="0427C251" w14:textId="77777777" w:rsidR="00B076A2" w:rsidRDefault="00B076A2" w:rsidP="00B076A2">
      <w:pPr>
        <w:spacing w:after="0" w:line="240" w:lineRule="auto"/>
        <w:jc w:val="both"/>
        <w:rPr>
          <w:rFonts w:ascii="Arial" w:hAnsi="Arial" w:cs="Arial"/>
          <w:sz w:val="24"/>
        </w:rPr>
      </w:pPr>
    </w:p>
    <w:p w14:paraId="045656D3" w14:textId="77777777" w:rsidR="00B076A2" w:rsidRDefault="00B076A2" w:rsidP="00B076A2">
      <w:pPr>
        <w:pStyle w:val="Prrafodelista"/>
        <w:numPr>
          <w:ilvl w:val="0"/>
          <w:numId w:val="24"/>
        </w:numPr>
        <w:spacing w:after="0" w:line="240" w:lineRule="auto"/>
        <w:jc w:val="both"/>
        <w:rPr>
          <w:rFonts w:ascii="Arial" w:hAnsi="Arial" w:cs="Arial"/>
          <w:sz w:val="24"/>
        </w:rPr>
      </w:pPr>
      <w:r>
        <w:rPr>
          <w:rFonts w:ascii="Arial" w:hAnsi="Arial" w:cs="Arial"/>
          <w:sz w:val="24"/>
        </w:rPr>
        <w:t>Pirámide poblacional, pensiones y salud</w:t>
      </w:r>
    </w:p>
    <w:p w14:paraId="7F4D955F" w14:textId="77777777" w:rsidR="00B076A2" w:rsidRPr="00270DD2" w:rsidRDefault="00B076A2" w:rsidP="00B076A2">
      <w:pPr>
        <w:spacing w:after="0" w:line="240" w:lineRule="auto"/>
        <w:jc w:val="both"/>
        <w:rPr>
          <w:rFonts w:ascii="Arial" w:hAnsi="Arial" w:cs="Arial"/>
          <w:sz w:val="24"/>
        </w:rPr>
      </w:pPr>
    </w:p>
    <w:p w14:paraId="5E684A9B" w14:textId="77777777" w:rsidR="00B076A2" w:rsidRDefault="00B076A2" w:rsidP="00B076A2">
      <w:pPr>
        <w:spacing w:after="0" w:line="240" w:lineRule="auto"/>
        <w:jc w:val="both"/>
        <w:rPr>
          <w:rFonts w:ascii="Arial" w:hAnsi="Arial" w:cs="Arial"/>
          <w:sz w:val="24"/>
        </w:rPr>
      </w:pPr>
      <w:r w:rsidRPr="00860A28">
        <w:rPr>
          <w:rFonts w:ascii="Arial" w:hAnsi="Arial" w:cs="Arial"/>
          <w:sz w:val="24"/>
        </w:rPr>
        <w:t>En años recientes, la población en edad de pensionarse crece a una tasa mayor que la población más joven en nuestro país. Esta transición demográfica representa un reto para la sostenibilidad de las finanzas públicas, debido al incremento esperado en el gasto en pensiones y en salud asociado al crecimiento de la población de mayor edad. En este contexto, se estima que para 2022 la población en México mayor a 65 años será de aproximadamente 10.3 millones de personas, mientras que para 2050 se estima que alcance los 24.6 millones de personas.</w:t>
      </w:r>
      <w:r>
        <w:rPr>
          <w:rFonts w:ascii="Arial" w:hAnsi="Arial" w:cs="Arial"/>
          <w:sz w:val="24"/>
        </w:rPr>
        <w:t xml:space="preserve"> </w:t>
      </w:r>
      <w:r w:rsidRPr="00860A28">
        <w:rPr>
          <w:rFonts w:ascii="Arial" w:hAnsi="Arial" w:cs="Arial"/>
          <w:sz w:val="24"/>
        </w:rPr>
        <w:t>Con la finalidad de hacer frente a esta presión creciente para las finanzas públicas, el sistema de pensiones de nuestro país se transformó de un esquema de beneficios definidos a un esquema de contribuciones definidas</w:t>
      </w:r>
      <w:r>
        <w:rPr>
          <w:rFonts w:ascii="Arial" w:hAnsi="Arial" w:cs="Arial"/>
          <w:sz w:val="24"/>
        </w:rPr>
        <w:t>.</w:t>
      </w:r>
    </w:p>
    <w:p w14:paraId="62030821" w14:textId="77777777" w:rsidR="00B076A2" w:rsidRDefault="00B076A2" w:rsidP="00B076A2">
      <w:pPr>
        <w:spacing w:after="0" w:line="240" w:lineRule="auto"/>
        <w:jc w:val="both"/>
        <w:rPr>
          <w:rFonts w:ascii="Arial" w:hAnsi="Arial" w:cs="Arial"/>
          <w:sz w:val="24"/>
        </w:rPr>
      </w:pPr>
    </w:p>
    <w:p w14:paraId="295BC271" w14:textId="77777777" w:rsidR="00B076A2" w:rsidRDefault="00B076A2" w:rsidP="00B076A2">
      <w:pPr>
        <w:pStyle w:val="Prrafodelista"/>
        <w:numPr>
          <w:ilvl w:val="0"/>
          <w:numId w:val="24"/>
        </w:numPr>
        <w:spacing w:after="0" w:line="240" w:lineRule="auto"/>
        <w:jc w:val="both"/>
        <w:rPr>
          <w:rFonts w:ascii="Arial" w:hAnsi="Arial" w:cs="Arial"/>
          <w:sz w:val="24"/>
        </w:rPr>
      </w:pPr>
      <w:r>
        <w:rPr>
          <w:rFonts w:ascii="Arial" w:hAnsi="Arial" w:cs="Arial"/>
          <w:sz w:val="24"/>
        </w:rPr>
        <w:t>Banca de Desarrollo</w:t>
      </w:r>
    </w:p>
    <w:p w14:paraId="403F2478" w14:textId="77777777" w:rsidR="00B076A2" w:rsidRDefault="00B076A2" w:rsidP="00B076A2">
      <w:pPr>
        <w:spacing w:after="0" w:line="240" w:lineRule="auto"/>
        <w:jc w:val="both"/>
        <w:rPr>
          <w:rFonts w:ascii="Arial" w:hAnsi="Arial" w:cs="Arial"/>
          <w:sz w:val="24"/>
        </w:rPr>
      </w:pPr>
    </w:p>
    <w:p w14:paraId="5166EB01" w14:textId="77777777" w:rsidR="00B076A2" w:rsidRPr="00860A28" w:rsidRDefault="00B076A2" w:rsidP="00B076A2">
      <w:pPr>
        <w:spacing w:after="0" w:line="240" w:lineRule="auto"/>
        <w:jc w:val="both"/>
        <w:rPr>
          <w:rFonts w:ascii="Arial" w:hAnsi="Arial" w:cs="Arial"/>
          <w:sz w:val="24"/>
        </w:rPr>
      </w:pPr>
      <w:r w:rsidRPr="00860A28">
        <w:rPr>
          <w:rFonts w:ascii="Arial" w:hAnsi="Arial" w:cs="Arial"/>
          <w:sz w:val="24"/>
        </w:rPr>
        <w:t>Los riesgos fiscales vinculados a la banca de desarrollo se concentran en la posibilidad de incumplimiento del servicio de los créditos directos o en el ejercicio de las garantías otorgadas.</w:t>
      </w:r>
      <w:r>
        <w:rPr>
          <w:rFonts w:ascii="Arial" w:hAnsi="Arial" w:cs="Arial"/>
          <w:sz w:val="24"/>
        </w:rPr>
        <w:t xml:space="preserve"> </w:t>
      </w:r>
      <w:r w:rsidRPr="00860A28">
        <w:rPr>
          <w:rFonts w:ascii="Arial" w:hAnsi="Arial" w:cs="Arial"/>
          <w:sz w:val="24"/>
        </w:rPr>
        <w:t>No obstante, el riesgo asociado a la formación de un pasivo financiero de esa magnitud es bajo, considerando que el otorgamiento de créditos sigue estándares rigurosos y que estos se encuentran respaldados. En la actualidad, la banca de desarrollo sigue principios prudenciales idénticos a los de la banca comercial.</w:t>
      </w:r>
    </w:p>
    <w:p w14:paraId="74527647" w14:textId="77777777" w:rsidR="00B076A2" w:rsidRDefault="00B076A2" w:rsidP="00B076A2">
      <w:pPr>
        <w:spacing w:after="0" w:line="240" w:lineRule="auto"/>
        <w:jc w:val="both"/>
        <w:rPr>
          <w:rFonts w:ascii="Arial" w:hAnsi="Arial" w:cs="Arial"/>
          <w:sz w:val="24"/>
        </w:rPr>
      </w:pPr>
    </w:p>
    <w:p w14:paraId="1A9077BC" w14:textId="77777777" w:rsidR="00B076A2" w:rsidRDefault="00B076A2" w:rsidP="00B076A2">
      <w:pPr>
        <w:pStyle w:val="Prrafodelista"/>
        <w:numPr>
          <w:ilvl w:val="0"/>
          <w:numId w:val="24"/>
        </w:numPr>
        <w:spacing w:after="0" w:line="240" w:lineRule="auto"/>
        <w:jc w:val="both"/>
        <w:rPr>
          <w:rFonts w:ascii="Arial" w:hAnsi="Arial" w:cs="Arial"/>
          <w:sz w:val="24"/>
        </w:rPr>
      </w:pPr>
      <w:r>
        <w:rPr>
          <w:rFonts w:ascii="Arial" w:hAnsi="Arial" w:cs="Arial"/>
          <w:sz w:val="24"/>
        </w:rPr>
        <w:t>Seguro de depósitos e Instituto para la Protección al Ahorro Bancario (IPAB).</w:t>
      </w:r>
    </w:p>
    <w:p w14:paraId="334E172D" w14:textId="77777777" w:rsidR="00B076A2" w:rsidRPr="001D1C6E" w:rsidRDefault="00B076A2" w:rsidP="00B076A2">
      <w:pPr>
        <w:spacing w:after="0" w:line="240" w:lineRule="auto"/>
        <w:jc w:val="both"/>
        <w:rPr>
          <w:rFonts w:ascii="Arial" w:hAnsi="Arial" w:cs="Arial"/>
          <w:sz w:val="24"/>
        </w:rPr>
      </w:pPr>
    </w:p>
    <w:p w14:paraId="55DBF5CF" w14:textId="77777777" w:rsidR="00B076A2" w:rsidRDefault="00B076A2" w:rsidP="00B076A2">
      <w:pPr>
        <w:spacing w:after="0" w:line="240" w:lineRule="auto"/>
        <w:jc w:val="both"/>
        <w:rPr>
          <w:rFonts w:ascii="Arial" w:hAnsi="Arial" w:cs="Arial"/>
          <w:sz w:val="24"/>
        </w:rPr>
      </w:pPr>
      <w:r w:rsidRPr="001D1C6E">
        <w:rPr>
          <w:rFonts w:ascii="Arial" w:hAnsi="Arial" w:cs="Arial"/>
          <w:sz w:val="24"/>
        </w:rPr>
        <w:t>El riesgo potencial para las finanzas públicas con respecto al seguro de depósitos se atribuye a que el Gobierno Federal tiene el compromiso de cubrir con un monto garantizado los depósitos en caso de una contingencia en la que se establezca la liquidación o concurso mercantil de una institución de banca múltiple.</w:t>
      </w:r>
      <w:r w:rsidRPr="001D1C6E">
        <w:t xml:space="preserve"> </w:t>
      </w:r>
      <w:r w:rsidRPr="001D1C6E">
        <w:rPr>
          <w:rFonts w:ascii="Arial" w:hAnsi="Arial" w:cs="Arial"/>
          <w:sz w:val="24"/>
        </w:rPr>
        <w:t xml:space="preserve">La materialización de un pasivo derivado del seguro de depósitos, que </w:t>
      </w:r>
      <w:r w:rsidRPr="001D1C6E">
        <w:rPr>
          <w:rFonts w:ascii="Arial" w:hAnsi="Arial" w:cs="Arial"/>
          <w:sz w:val="24"/>
        </w:rPr>
        <w:lastRenderedPageBreak/>
        <w:t>a su vez ponga en riesgo las finanzas públicas, es</w:t>
      </w:r>
      <w:r>
        <w:rPr>
          <w:rFonts w:ascii="Arial" w:hAnsi="Arial" w:cs="Arial"/>
          <w:sz w:val="24"/>
        </w:rPr>
        <w:t xml:space="preserve"> poco probable debido a que el Sistema Financiero M</w:t>
      </w:r>
      <w:r w:rsidRPr="001D1C6E">
        <w:rPr>
          <w:rFonts w:ascii="Arial" w:hAnsi="Arial" w:cs="Arial"/>
          <w:sz w:val="24"/>
        </w:rPr>
        <w:t>exicano es sólido y se encuentra bien capitalizado.</w:t>
      </w:r>
    </w:p>
    <w:p w14:paraId="7271E595" w14:textId="77777777" w:rsidR="00B076A2" w:rsidRDefault="00B076A2" w:rsidP="00B076A2">
      <w:pPr>
        <w:spacing w:after="0" w:line="240" w:lineRule="auto"/>
        <w:jc w:val="both"/>
        <w:rPr>
          <w:rFonts w:ascii="Arial" w:hAnsi="Arial" w:cs="Arial"/>
          <w:sz w:val="24"/>
        </w:rPr>
      </w:pPr>
    </w:p>
    <w:p w14:paraId="168167BD" w14:textId="77777777" w:rsidR="00B076A2" w:rsidRDefault="00B076A2" w:rsidP="00B076A2">
      <w:pPr>
        <w:spacing w:after="0" w:line="240" w:lineRule="auto"/>
        <w:jc w:val="both"/>
        <w:rPr>
          <w:rFonts w:ascii="Arial" w:hAnsi="Arial" w:cs="Arial"/>
          <w:sz w:val="24"/>
        </w:rPr>
      </w:pPr>
    </w:p>
    <w:p w14:paraId="7D7572A2" w14:textId="77777777" w:rsidR="00B076A2" w:rsidRDefault="00B076A2" w:rsidP="00B076A2">
      <w:pPr>
        <w:pStyle w:val="Prrafodelista"/>
        <w:numPr>
          <w:ilvl w:val="0"/>
          <w:numId w:val="24"/>
        </w:numPr>
        <w:spacing w:after="0" w:line="240" w:lineRule="auto"/>
        <w:jc w:val="both"/>
        <w:rPr>
          <w:rFonts w:ascii="Arial" w:hAnsi="Arial" w:cs="Arial"/>
          <w:sz w:val="24"/>
        </w:rPr>
      </w:pPr>
      <w:r>
        <w:rPr>
          <w:rFonts w:ascii="Arial" w:hAnsi="Arial" w:cs="Arial"/>
          <w:sz w:val="24"/>
        </w:rPr>
        <w:t>Proyectos de Infraestructura de Largo Plazo (Pidiregas)</w:t>
      </w:r>
    </w:p>
    <w:p w14:paraId="1DBB9ACD" w14:textId="77777777" w:rsidR="00B076A2" w:rsidRDefault="00B076A2" w:rsidP="00B076A2">
      <w:pPr>
        <w:spacing w:after="0" w:line="240" w:lineRule="auto"/>
        <w:jc w:val="both"/>
        <w:rPr>
          <w:rFonts w:ascii="Arial" w:hAnsi="Arial" w:cs="Arial"/>
          <w:sz w:val="24"/>
        </w:rPr>
      </w:pPr>
    </w:p>
    <w:p w14:paraId="412E7E51" w14:textId="77777777" w:rsidR="00B076A2" w:rsidRDefault="00B076A2" w:rsidP="00B076A2">
      <w:pPr>
        <w:spacing w:after="0" w:line="240" w:lineRule="auto"/>
        <w:jc w:val="both"/>
        <w:rPr>
          <w:rFonts w:ascii="Arial" w:hAnsi="Arial" w:cs="Arial"/>
          <w:sz w:val="24"/>
        </w:rPr>
      </w:pPr>
      <w:r w:rsidRPr="00DB789B">
        <w:rPr>
          <w:rFonts w:ascii="Arial" w:hAnsi="Arial" w:cs="Arial"/>
          <w:sz w:val="24"/>
        </w:rPr>
        <w:t>El esquema de inve</w:t>
      </w:r>
      <w:r>
        <w:rPr>
          <w:rFonts w:ascii="Arial" w:hAnsi="Arial" w:cs="Arial"/>
          <w:sz w:val="24"/>
        </w:rPr>
        <w:t>rsión Pidiregas</w:t>
      </w:r>
      <w:r w:rsidRPr="00DB789B">
        <w:rPr>
          <w:rFonts w:ascii="Arial" w:hAnsi="Arial" w:cs="Arial"/>
          <w:sz w:val="24"/>
        </w:rPr>
        <w:t xml:space="preserve"> dejó de ser utilizado por Pemex y actualmente CFE es la única entidad que utiliza este esquema de inversión condicionada. Toda la deuda asociada a ese concepto se convirtió en deuda pública, por lo tanto los pasivos derivados de estos esquemas para ambas entidades ya están reflejados en el SHRFSP, representando una obligación de pago por parte de la entidad que los contrae.</w:t>
      </w:r>
    </w:p>
    <w:p w14:paraId="2FB0CD15" w14:textId="77777777" w:rsidR="00B076A2" w:rsidRDefault="00B076A2" w:rsidP="00B076A2">
      <w:pPr>
        <w:spacing w:after="0" w:line="240" w:lineRule="auto"/>
        <w:jc w:val="both"/>
        <w:rPr>
          <w:rFonts w:ascii="Arial" w:hAnsi="Arial" w:cs="Arial"/>
          <w:sz w:val="24"/>
        </w:rPr>
      </w:pPr>
    </w:p>
    <w:p w14:paraId="2CB8686F" w14:textId="77777777" w:rsidR="00B076A2" w:rsidRDefault="00B076A2" w:rsidP="00B076A2">
      <w:pPr>
        <w:spacing w:after="0" w:line="240" w:lineRule="auto"/>
        <w:jc w:val="both"/>
        <w:rPr>
          <w:rFonts w:ascii="Arial" w:hAnsi="Arial" w:cs="Arial"/>
          <w:sz w:val="24"/>
        </w:rPr>
      </w:pPr>
      <w:r w:rsidRPr="00DB789B">
        <w:rPr>
          <w:rFonts w:ascii="Arial" w:hAnsi="Arial" w:cs="Arial"/>
          <w:sz w:val="24"/>
        </w:rPr>
        <w:t>Bajo los esquemas de inversión condicionada no se tiene un compromiso firme e inmediato de inversión sino una obligación contractual para comprar los bienes y servicios elaborados con los activos de las empresas bajo las especificaciones técnicas acordadas.</w:t>
      </w:r>
    </w:p>
    <w:p w14:paraId="398B40F1" w14:textId="77777777" w:rsidR="00B076A2" w:rsidRDefault="00B076A2" w:rsidP="00B076A2">
      <w:pPr>
        <w:spacing w:after="0" w:line="240" w:lineRule="auto"/>
        <w:jc w:val="both"/>
        <w:rPr>
          <w:rFonts w:ascii="Arial" w:hAnsi="Arial" w:cs="Arial"/>
          <w:sz w:val="24"/>
        </w:rPr>
      </w:pPr>
    </w:p>
    <w:p w14:paraId="2E47367E" w14:textId="77777777" w:rsidR="00B076A2" w:rsidRDefault="00B076A2" w:rsidP="00B076A2">
      <w:pPr>
        <w:pStyle w:val="Prrafodelista"/>
        <w:numPr>
          <w:ilvl w:val="0"/>
          <w:numId w:val="24"/>
        </w:numPr>
        <w:spacing w:after="0" w:line="240" w:lineRule="auto"/>
        <w:jc w:val="both"/>
        <w:rPr>
          <w:rFonts w:ascii="Arial" w:hAnsi="Arial" w:cs="Arial"/>
          <w:sz w:val="24"/>
        </w:rPr>
      </w:pPr>
      <w:r>
        <w:rPr>
          <w:rFonts w:ascii="Arial" w:hAnsi="Arial" w:cs="Arial"/>
          <w:sz w:val="24"/>
        </w:rPr>
        <w:t>Desastres naturales</w:t>
      </w:r>
    </w:p>
    <w:p w14:paraId="7D024A8C" w14:textId="77777777" w:rsidR="00B076A2" w:rsidRDefault="00B076A2" w:rsidP="00B076A2">
      <w:pPr>
        <w:spacing w:after="0" w:line="240" w:lineRule="auto"/>
        <w:jc w:val="both"/>
        <w:rPr>
          <w:rFonts w:ascii="Arial" w:hAnsi="Arial" w:cs="Arial"/>
          <w:sz w:val="24"/>
        </w:rPr>
      </w:pPr>
    </w:p>
    <w:p w14:paraId="5BF2E7B3" w14:textId="77777777" w:rsidR="00B076A2" w:rsidRDefault="00B076A2" w:rsidP="00B076A2">
      <w:pPr>
        <w:spacing w:after="0" w:line="240" w:lineRule="auto"/>
        <w:jc w:val="both"/>
        <w:rPr>
          <w:rFonts w:ascii="Arial" w:hAnsi="Arial" w:cs="Arial"/>
          <w:sz w:val="24"/>
        </w:rPr>
      </w:pPr>
      <w:r w:rsidRPr="00DB789B">
        <w:rPr>
          <w:rFonts w:ascii="Arial" w:hAnsi="Arial" w:cs="Arial"/>
          <w:sz w:val="24"/>
        </w:rPr>
        <w:t>México está expuesto a desastres naturales de gran magnitud, los cuales representan una fuente importante de riesgo para las finanzas públicas. En este c</w:t>
      </w:r>
      <w:r>
        <w:rPr>
          <w:rFonts w:ascii="Arial" w:hAnsi="Arial" w:cs="Arial"/>
          <w:sz w:val="24"/>
        </w:rPr>
        <w:t xml:space="preserve">ontexto, durante los últimos 20 </w:t>
      </w:r>
      <w:r w:rsidRPr="00DB789B">
        <w:rPr>
          <w:rFonts w:ascii="Arial" w:hAnsi="Arial" w:cs="Arial"/>
          <w:sz w:val="24"/>
        </w:rPr>
        <w:t>años se ha desarrollado una estrategia para gestionar adecuadamente el impacto fiscal de los desastres naturales, que permitan que estos tengan el menor impacto posible en las trayectorias de deuda y de crecimiento económico del país.</w:t>
      </w:r>
    </w:p>
    <w:p w14:paraId="10AFAE33" w14:textId="77777777" w:rsidR="00B076A2" w:rsidRDefault="00B076A2" w:rsidP="00B076A2">
      <w:pPr>
        <w:spacing w:after="0" w:line="240" w:lineRule="auto"/>
        <w:jc w:val="both"/>
        <w:rPr>
          <w:rFonts w:ascii="Arial" w:hAnsi="Arial" w:cs="Arial"/>
          <w:sz w:val="24"/>
        </w:rPr>
      </w:pPr>
    </w:p>
    <w:p w14:paraId="3EBA8AC8" w14:textId="77777777" w:rsidR="00B076A2" w:rsidRDefault="00B076A2" w:rsidP="00B076A2">
      <w:pPr>
        <w:spacing w:after="0"/>
        <w:jc w:val="both"/>
        <w:rPr>
          <w:rFonts w:ascii="Arial" w:hAnsi="Arial" w:cs="Arial"/>
          <w:sz w:val="24"/>
        </w:rPr>
      </w:pPr>
      <w:r w:rsidRPr="00E22D90">
        <w:rPr>
          <w:rFonts w:ascii="Arial" w:hAnsi="Arial" w:cs="Arial"/>
          <w:sz w:val="24"/>
        </w:rPr>
        <w:t>En caso de que los efectos de los desastres naturales rebasen la capacidad financiera de respuesta de las entidades federativas, el gobierno</w:t>
      </w:r>
      <w:r>
        <w:rPr>
          <w:rFonts w:ascii="Arial" w:hAnsi="Arial" w:cs="Arial"/>
          <w:sz w:val="24"/>
        </w:rPr>
        <w:t xml:space="preserve"> federal dispone del FONDEN</w:t>
      </w:r>
      <w:r w:rsidRPr="00E22D90">
        <w:rPr>
          <w:rFonts w:ascii="Arial" w:hAnsi="Arial" w:cs="Arial"/>
          <w:sz w:val="24"/>
        </w:rPr>
        <w:t>, que representa una herramienta financiera para que, en caso de alguna eventualidad de un desastre natural severo, se apoye a la población afectada, a la restitución y salvaguarda de infraestructura pública, en particular</w:t>
      </w:r>
      <w:r>
        <w:rPr>
          <w:rFonts w:ascii="Arial" w:hAnsi="Arial" w:cs="Arial"/>
          <w:sz w:val="24"/>
        </w:rPr>
        <w:t>, aquella cubierta por el FONDEN</w:t>
      </w:r>
      <w:r w:rsidRPr="00E22D90">
        <w:rPr>
          <w:rFonts w:ascii="Arial" w:hAnsi="Arial" w:cs="Arial"/>
          <w:sz w:val="24"/>
        </w:rPr>
        <w:t xml:space="preserve"> en sus cinco sectores prioritarios: educación, salud, carretera, hidráulica y vivienda en pobreza patrimonial.</w:t>
      </w:r>
    </w:p>
    <w:p w14:paraId="156AF399" w14:textId="77777777" w:rsidR="00B076A2" w:rsidRDefault="00B076A2" w:rsidP="00B076A2">
      <w:pPr>
        <w:spacing w:after="0"/>
        <w:jc w:val="both"/>
        <w:rPr>
          <w:rFonts w:ascii="Arial" w:hAnsi="Arial" w:cs="Arial"/>
          <w:sz w:val="24"/>
        </w:rPr>
      </w:pPr>
    </w:p>
    <w:p w14:paraId="430FFF5C" w14:textId="77777777" w:rsidR="00B076A2" w:rsidRDefault="00B076A2" w:rsidP="00B076A2">
      <w:pPr>
        <w:spacing w:after="0"/>
        <w:jc w:val="both"/>
        <w:rPr>
          <w:rFonts w:ascii="Arial" w:hAnsi="Arial" w:cs="Arial"/>
          <w:sz w:val="24"/>
        </w:rPr>
      </w:pPr>
    </w:p>
    <w:p w14:paraId="57C450E6" w14:textId="77777777" w:rsidR="00B076A2" w:rsidRDefault="00B076A2" w:rsidP="00B076A2">
      <w:pPr>
        <w:spacing w:after="0"/>
        <w:jc w:val="both"/>
        <w:rPr>
          <w:rFonts w:ascii="Arial" w:hAnsi="Arial" w:cs="Arial"/>
          <w:sz w:val="24"/>
        </w:rPr>
      </w:pPr>
    </w:p>
    <w:p w14:paraId="216077A6" w14:textId="77777777" w:rsidR="00B076A2" w:rsidRPr="00112661" w:rsidRDefault="00B076A2" w:rsidP="00B076A2">
      <w:pPr>
        <w:spacing w:after="0"/>
        <w:jc w:val="both"/>
        <w:rPr>
          <w:rFonts w:ascii="Arial" w:hAnsi="Arial" w:cs="Arial"/>
          <w:sz w:val="24"/>
        </w:rPr>
      </w:pPr>
    </w:p>
    <w:p w14:paraId="0CDAEAF5" w14:textId="77777777" w:rsidR="00B076A2" w:rsidRPr="003F357E" w:rsidRDefault="00B076A2" w:rsidP="00B076A2">
      <w:pPr>
        <w:spacing w:after="0"/>
        <w:jc w:val="both"/>
        <w:rPr>
          <w:rFonts w:ascii="Arial" w:hAnsi="Arial" w:cs="Arial"/>
          <w:b/>
          <w:sz w:val="24"/>
        </w:rPr>
      </w:pPr>
      <w:r w:rsidRPr="003F357E">
        <w:rPr>
          <w:rFonts w:ascii="Arial" w:hAnsi="Arial" w:cs="Arial"/>
          <w:b/>
          <w:sz w:val="24"/>
        </w:rPr>
        <w:lastRenderedPageBreak/>
        <w:t>2.3.2 Riesgos Relevantes para las Finanzas Públicas Estatales y Propuestas de Acción para Enfrentarlos</w:t>
      </w:r>
    </w:p>
    <w:p w14:paraId="45746FB4" w14:textId="77777777" w:rsidR="00B076A2" w:rsidRDefault="00B076A2" w:rsidP="00B076A2">
      <w:pPr>
        <w:spacing w:after="0" w:line="240" w:lineRule="auto"/>
        <w:jc w:val="both"/>
        <w:rPr>
          <w:rFonts w:ascii="Arial" w:hAnsi="Arial" w:cs="Arial"/>
          <w:sz w:val="24"/>
        </w:rPr>
      </w:pPr>
    </w:p>
    <w:p w14:paraId="1EEE16CC" w14:textId="77777777" w:rsidR="00B076A2" w:rsidRPr="00B15D2C" w:rsidRDefault="00B076A2" w:rsidP="00B076A2">
      <w:pPr>
        <w:spacing w:after="0" w:line="240" w:lineRule="auto"/>
        <w:jc w:val="both"/>
        <w:rPr>
          <w:rFonts w:ascii="Arial" w:hAnsi="Arial" w:cs="Arial"/>
          <w:i/>
          <w:sz w:val="24"/>
        </w:rPr>
      </w:pPr>
      <w:r w:rsidRPr="00B15D2C">
        <w:rPr>
          <w:rFonts w:ascii="Arial" w:hAnsi="Arial" w:cs="Arial"/>
          <w:i/>
          <w:sz w:val="24"/>
        </w:rPr>
        <w:t>Riesgos relevantes para las finanzas públicas PED 2016-2021</w:t>
      </w:r>
    </w:p>
    <w:p w14:paraId="2EED51BF" w14:textId="77777777" w:rsidR="00B076A2" w:rsidRDefault="00B076A2" w:rsidP="00B076A2">
      <w:pPr>
        <w:spacing w:after="0" w:line="240" w:lineRule="auto"/>
        <w:jc w:val="both"/>
        <w:rPr>
          <w:rFonts w:ascii="Arial" w:hAnsi="Arial" w:cs="Arial"/>
          <w:sz w:val="24"/>
        </w:rPr>
      </w:pPr>
    </w:p>
    <w:p w14:paraId="6165EAB8" w14:textId="77777777" w:rsidR="00B076A2" w:rsidRDefault="00B076A2" w:rsidP="00B076A2">
      <w:pPr>
        <w:spacing w:after="0" w:line="240" w:lineRule="auto"/>
        <w:jc w:val="both"/>
        <w:rPr>
          <w:rFonts w:ascii="Arial" w:hAnsi="Arial" w:cs="Arial"/>
          <w:sz w:val="24"/>
        </w:rPr>
      </w:pPr>
      <w:r w:rsidRPr="00D75144">
        <w:rPr>
          <w:rFonts w:ascii="Arial" w:hAnsi="Arial" w:cs="Arial"/>
          <w:sz w:val="24"/>
        </w:rPr>
        <w:t>La corrupción gubernamental y la desconfianza ciudadana hacia las</w:t>
      </w:r>
      <w:r>
        <w:rPr>
          <w:rFonts w:ascii="Arial" w:hAnsi="Arial" w:cs="Arial"/>
          <w:sz w:val="24"/>
        </w:rPr>
        <w:t xml:space="preserve"> </w:t>
      </w:r>
      <w:r w:rsidRPr="00D75144">
        <w:rPr>
          <w:rFonts w:ascii="Arial" w:hAnsi="Arial" w:cs="Arial"/>
          <w:sz w:val="24"/>
        </w:rPr>
        <w:t>instituciones públicas, constituyen uno de los problemas más importantes para el</w:t>
      </w:r>
      <w:r>
        <w:rPr>
          <w:rFonts w:ascii="Arial" w:hAnsi="Arial" w:cs="Arial"/>
          <w:sz w:val="24"/>
        </w:rPr>
        <w:t xml:space="preserve"> </w:t>
      </w:r>
      <w:r w:rsidRPr="00D75144">
        <w:rPr>
          <w:rFonts w:ascii="Arial" w:hAnsi="Arial" w:cs="Arial"/>
          <w:sz w:val="24"/>
        </w:rPr>
        <w:t>gobierno.</w:t>
      </w:r>
      <w:r>
        <w:rPr>
          <w:rFonts w:ascii="Arial" w:hAnsi="Arial" w:cs="Arial"/>
          <w:sz w:val="24"/>
        </w:rPr>
        <w:t xml:space="preserve"> </w:t>
      </w:r>
      <w:r w:rsidRPr="00D75144">
        <w:rPr>
          <w:rFonts w:ascii="Arial" w:hAnsi="Arial" w:cs="Arial"/>
          <w:sz w:val="24"/>
        </w:rPr>
        <w:t>En consecuencia, una prioridad t</w:t>
      </w:r>
      <w:r>
        <w:rPr>
          <w:rFonts w:ascii="Arial" w:hAnsi="Arial" w:cs="Arial"/>
          <w:sz w:val="24"/>
        </w:rPr>
        <w:t xml:space="preserve">ransversal para este gobierno ha sido </w:t>
      </w:r>
      <w:r w:rsidRPr="00D75144">
        <w:rPr>
          <w:rFonts w:ascii="Arial" w:hAnsi="Arial" w:cs="Arial"/>
          <w:sz w:val="24"/>
        </w:rPr>
        <w:t>transformar la</w:t>
      </w:r>
      <w:r>
        <w:rPr>
          <w:rFonts w:ascii="Arial" w:hAnsi="Arial" w:cs="Arial"/>
          <w:sz w:val="24"/>
        </w:rPr>
        <w:t xml:space="preserve"> </w:t>
      </w:r>
      <w:r w:rsidRPr="00D75144">
        <w:rPr>
          <w:rFonts w:ascii="Arial" w:hAnsi="Arial" w:cs="Arial"/>
          <w:sz w:val="24"/>
        </w:rPr>
        <w:t>administración pública estatal</w:t>
      </w:r>
      <w:r>
        <w:rPr>
          <w:rFonts w:ascii="Arial" w:hAnsi="Arial" w:cs="Arial"/>
          <w:sz w:val="24"/>
        </w:rPr>
        <w:t xml:space="preserve"> y prueba de ello es que somos el estado con menor percepción de corrupción según el ICE</w:t>
      </w:r>
      <w:r w:rsidRPr="00D75144">
        <w:rPr>
          <w:rFonts w:ascii="Arial" w:hAnsi="Arial" w:cs="Arial"/>
          <w:sz w:val="24"/>
        </w:rPr>
        <w:t xml:space="preserve">. </w:t>
      </w:r>
      <w:r>
        <w:rPr>
          <w:rFonts w:ascii="Arial" w:hAnsi="Arial" w:cs="Arial"/>
          <w:sz w:val="24"/>
        </w:rPr>
        <w:t>En esta tarea, los pilares continuarán siendo</w:t>
      </w:r>
      <w:r w:rsidRPr="00D75144">
        <w:rPr>
          <w:rFonts w:ascii="Arial" w:hAnsi="Arial" w:cs="Arial"/>
          <w:sz w:val="24"/>
        </w:rPr>
        <w:t>:</w:t>
      </w:r>
      <w:r w:rsidRPr="00D75144">
        <w:rPr>
          <w:rFonts w:ascii="Arial" w:hAnsi="Arial" w:cs="Arial"/>
          <w:sz w:val="24"/>
        </w:rPr>
        <w:cr/>
      </w:r>
    </w:p>
    <w:p w14:paraId="1DEA88FC" w14:textId="77777777" w:rsidR="00B076A2" w:rsidRDefault="00B076A2" w:rsidP="00B076A2">
      <w:pPr>
        <w:pStyle w:val="Prrafodelista"/>
        <w:numPr>
          <w:ilvl w:val="0"/>
          <w:numId w:val="26"/>
        </w:numPr>
        <w:spacing w:after="0" w:line="240" w:lineRule="auto"/>
        <w:jc w:val="both"/>
        <w:rPr>
          <w:rFonts w:ascii="Arial" w:hAnsi="Arial" w:cs="Arial"/>
          <w:sz w:val="24"/>
        </w:rPr>
      </w:pPr>
      <w:r w:rsidRPr="00D75144">
        <w:rPr>
          <w:rFonts w:ascii="Arial" w:hAnsi="Arial" w:cs="Arial"/>
          <w:sz w:val="24"/>
        </w:rPr>
        <w:t>Un sistema anticorrupción efectivo, que sea el ejemplo a seguir para todos los estados de la República</w:t>
      </w:r>
      <w:r>
        <w:rPr>
          <w:rFonts w:ascii="Arial" w:hAnsi="Arial" w:cs="Arial"/>
          <w:sz w:val="24"/>
        </w:rPr>
        <w:t>.</w:t>
      </w:r>
    </w:p>
    <w:p w14:paraId="4995F3DA" w14:textId="77777777" w:rsidR="00B076A2" w:rsidRDefault="00B076A2" w:rsidP="00B076A2">
      <w:pPr>
        <w:pStyle w:val="Prrafodelista"/>
        <w:numPr>
          <w:ilvl w:val="0"/>
          <w:numId w:val="26"/>
        </w:numPr>
        <w:spacing w:after="0" w:line="240" w:lineRule="auto"/>
        <w:jc w:val="both"/>
        <w:rPr>
          <w:rFonts w:ascii="Arial" w:hAnsi="Arial" w:cs="Arial"/>
          <w:sz w:val="24"/>
        </w:rPr>
      </w:pPr>
      <w:r>
        <w:rPr>
          <w:rFonts w:ascii="Arial" w:hAnsi="Arial" w:cs="Arial"/>
          <w:sz w:val="24"/>
        </w:rPr>
        <w:t xml:space="preserve">Finanzas públicas sanas, </w:t>
      </w:r>
      <w:r w:rsidRPr="00D75144">
        <w:rPr>
          <w:rFonts w:ascii="Arial" w:hAnsi="Arial" w:cs="Arial"/>
          <w:sz w:val="24"/>
        </w:rPr>
        <w:t>con una deuda sostenible en el largo plazo y con transparencia en su manejo.</w:t>
      </w:r>
    </w:p>
    <w:p w14:paraId="18B8D6E7" w14:textId="77777777" w:rsidR="00B076A2" w:rsidRDefault="00B076A2" w:rsidP="00B076A2">
      <w:pPr>
        <w:pStyle w:val="Prrafodelista"/>
        <w:numPr>
          <w:ilvl w:val="0"/>
          <w:numId w:val="26"/>
        </w:numPr>
        <w:spacing w:after="0" w:line="240" w:lineRule="auto"/>
        <w:jc w:val="both"/>
        <w:rPr>
          <w:rFonts w:ascii="Arial" w:hAnsi="Arial" w:cs="Arial"/>
          <w:sz w:val="24"/>
        </w:rPr>
      </w:pPr>
      <w:r w:rsidRPr="00D75144">
        <w:rPr>
          <w:rFonts w:ascii="Arial" w:hAnsi="Arial" w:cs="Arial"/>
          <w:sz w:val="24"/>
        </w:rPr>
        <w:t>Todos los c</w:t>
      </w:r>
      <w:r>
        <w:rPr>
          <w:rFonts w:ascii="Arial" w:hAnsi="Arial" w:cs="Arial"/>
          <w:sz w:val="24"/>
        </w:rPr>
        <w:t>iudadanos</w:t>
      </w:r>
      <w:r w:rsidRPr="00D75144">
        <w:rPr>
          <w:rFonts w:ascii="Arial" w:hAnsi="Arial" w:cs="Arial"/>
          <w:sz w:val="24"/>
        </w:rPr>
        <w:t xml:space="preserve"> </w:t>
      </w:r>
      <w:r>
        <w:rPr>
          <w:rFonts w:ascii="Arial" w:hAnsi="Arial" w:cs="Arial"/>
          <w:sz w:val="24"/>
        </w:rPr>
        <w:t xml:space="preserve">conocen, por medio de la cuenta pública, </w:t>
      </w:r>
      <w:r w:rsidRPr="00D75144">
        <w:rPr>
          <w:rFonts w:ascii="Arial" w:hAnsi="Arial" w:cs="Arial"/>
          <w:sz w:val="24"/>
        </w:rPr>
        <w:t xml:space="preserve">cómo, cuándo y </w:t>
      </w:r>
      <w:r>
        <w:rPr>
          <w:rFonts w:ascii="Arial" w:hAnsi="Arial" w:cs="Arial"/>
          <w:sz w:val="24"/>
        </w:rPr>
        <w:t>dónde</w:t>
      </w:r>
      <w:r w:rsidRPr="00D75144">
        <w:rPr>
          <w:rFonts w:ascii="Arial" w:hAnsi="Arial" w:cs="Arial"/>
          <w:sz w:val="24"/>
        </w:rPr>
        <w:t xml:space="preserve"> se gasta el dinero </w:t>
      </w:r>
      <w:r>
        <w:rPr>
          <w:rFonts w:ascii="Arial" w:hAnsi="Arial" w:cs="Arial"/>
          <w:sz w:val="24"/>
        </w:rPr>
        <w:t>de los colimenses.</w:t>
      </w:r>
    </w:p>
    <w:p w14:paraId="06191431" w14:textId="77777777" w:rsidR="00B076A2" w:rsidRDefault="00B076A2" w:rsidP="00B076A2">
      <w:pPr>
        <w:pStyle w:val="Prrafodelista"/>
        <w:numPr>
          <w:ilvl w:val="0"/>
          <w:numId w:val="26"/>
        </w:numPr>
        <w:spacing w:after="0" w:line="240" w:lineRule="auto"/>
        <w:jc w:val="both"/>
        <w:rPr>
          <w:rFonts w:ascii="Arial" w:hAnsi="Arial" w:cs="Arial"/>
          <w:sz w:val="24"/>
        </w:rPr>
      </w:pPr>
      <w:r w:rsidRPr="00D75144">
        <w:rPr>
          <w:rFonts w:ascii="Arial" w:hAnsi="Arial" w:cs="Arial"/>
          <w:sz w:val="24"/>
        </w:rPr>
        <w:t xml:space="preserve">Mayor participación ciudadana en la definición de las prioridades, así como en el control y la evaluación del gasto público. </w:t>
      </w:r>
    </w:p>
    <w:p w14:paraId="0B285F17" w14:textId="77777777" w:rsidR="00B076A2" w:rsidRDefault="00B076A2" w:rsidP="00B076A2">
      <w:pPr>
        <w:pStyle w:val="Prrafodelista"/>
        <w:numPr>
          <w:ilvl w:val="0"/>
          <w:numId w:val="26"/>
        </w:numPr>
        <w:spacing w:after="0" w:line="240" w:lineRule="auto"/>
        <w:jc w:val="both"/>
        <w:rPr>
          <w:rFonts w:ascii="Arial" w:hAnsi="Arial" w:cs="Arial"/>
          <w:sz w:val="24"/>
        </w:rPr>
      </w:pPr>
      <w:r w:rsidRPr="00D75144">
        <w:rPr>
          <w:rFonts w:ascii="Arial" w:hAnsi="Arial" w:cs="Arial"/>
          <w:sz w:val="24"/>
        </w:rPr>
        <w:t>Funcionarios públicos capacitados y sujetos a esquemas de evaluación del desempeño y de rendición de cuentas modernos.</w:t>
      </w:r>
    </w:p>
    <w:p w14:paraId="26D4AD2E" w14:textId="77777777" w:rsidR="00B076A2" w:rsidRDefault="00B076A2" w:rsidP="00B076A2">
      <w:pPr>
        <w:pStyle w:val="Prrafodelista"/>
        <w:numPr>
          <w:ilvl w:val="0"/>
          <w:numId w:val="26"/>
        </w:numPr>
        <w:spacing w:after="0" w:line="240" w:lineRule="auto"/>
        <w:jc w:val="both"/>
        <w:rPr>
          <w:rFonts w:ascii="Arial" w:hAnsi="Arial" w:cs="Arial"/>
          <w:sz w:val="24"/>
        </w:rPr>
      </w:pPr>
      <w:r>
        <w:rPr>
          <w:rFonts w:ascii="Arial" w:hAnsi="Arial" w:cs="Arial"/>
          <w:sz w:val="24"/>
        </w:rPr>
        <w:t>Se ha garantizado</w:t>
      </w:r>
      <w:r w:rsidRPr="00272E5E">
        <w:rPr>
          <w:rFonts w:ascii="Arial" w:hAnsi="Arial" w:cs="Arial"/>
          <w:sz w:val="24"/>
        </w:rPr>
        <w:t xml:space="preserve"> el principio de máxima transparencia en el quehacer de toda la administración pública estatal. </w:t>
      </w:r>
    </w:p>
    <w:p w14:paraId="48047D8D" w14:textId="77777777" w:rsidR="00B076A2" w:rsidRDefault="00B076A2" w:rsidP="00B076A2">
      <w:pPr>
        <w:pStyle w:val="Prrafodelista"/>
        <w:numPr>
          <w:ilvl w:val="0"/>
          <w:numId w:val="26"/>
        </w:numPr>
        <w:spacing w:after="0" w:line="240" w:lineRule="auto"/>
        <w:jc w:val="both"/>
        <w:rPr>
          <w:rFonts w:ascii="Arial" w:hAnsi="Arial" w:cs="Arial"/>
          <w:sz w:val="24"/>
        </w:rPr>
      </w:pPr>
      <w:r w:rsidRPr="00272E5E">
        <w:rPr>
          <w:rFonts w:ascii="Arial" w:hAnsi="Arial" w:cs="Arial"/>
          <w:sz w:val="24"/>
        </w:rPr>
        <w:t>Uso de las tecnologías de la información de manera intensiva para mejorar la productividad del sector público, agilizar los trámites que los ciudadanos realizan diariamente y para combatir la corrupción.</w:t>
      </w:r>
    </w:p>
    <w:p w14:paraId="6F515AC5" w14:textId="77777777" w:rsidR="00B076A2" w:rsidRDefault="00B076A2" w:rsidP="00B076A2">
      <w:pPr>
        <w:pStyle w:val="Prrafodelista"/>
        <w:numPr>
          <w:ilvl w:val="0"/>
          <w:numId w:val="26"/>
        </w:numPr>
        <w:spacing w:after="0" w:line="240" w:lineRule="auto"/>
        <w:jc w:val="both"/>
        <w:rPr>
          <w:rFonts w:ascii="Arial" w:hAnsi="Arial" w:cs="Arial"/>
          <w:sz w:val="24"/>
        </w:rPr>
      </w:pPr>
      <w:r w:rsidRPr="008C7BB4">
        <w:rPr>
          <w:rFonts w:ascii="Arial" w:hAnsi="Arial" w:cs="Arial"/>
          <w:sz w:val="24"/>
        </w:rPr>
        <w:t>Buen gobierno cercano a la sociedad, respetuoso con la legalidad, honesto, transparente y eficaz.</w:t>
      </w:r>
    </w:p>
    <w:p w14:paraId="1F141B86" w14:textId="77777777" w:rsidR="00B076A2" w:rsidRDefault="00B076A2" w:rsidP="00B076A2">
      <w:pPr>
        <w:pStyle w:val="Prrafodelista"/>
        <w:numPr>
          <w:ilvl w:val="0"/>
          <w:numId w:val="26"/>
        </w:numPr>
        <w:spacing w:after="0" w:line="240" w:lineRule="auto"/>
        <w:jc w:val="both"/>
        <w:rPr>
          <w:rFonts w:ascii="Arial" w:hAnsi="Arial" w:cs="Arial"/>
          <w:sz w:val="24"/>
        </w:rPr>
      </w:pPr>
      <w:r w:rsidRPr="008C7BB4">
        <w:rPr>
          <w:rFonts w:ascii="Arial" w:hAnsi="Arial" w:cs="Arial"/>
          <w:sz w:val="24"/>
        </w:rPr>
        <w:t xml:space="preserve">Un gobierno consciente de su misión de promover el desarrollo humano y social, es decir, un gobierno que tenga en el centro de toda su acción al ciudadano. </w:t>
      </w:r>
    </w:p>
    <w:p w14:paraId="6170A324" w14:textId="77777777" w:rsidR="00B076A2" w:rsidRDefault="00B076A2" w:rsidP="00B076A2">
      <w:pPr>
        <w:spacing w:after="0" w:line="240" w:lineRule="auto"/>
        <w:jc w:val="both"/>
        <w:rPr>
          <w:rFonts w:ascii="Arial" w:hAnsi="Arial" w:cs="Arial"/>
          <w:sz w:val="24"/>
        </w:rPr>
      </w:pPr>
    </w:p>
    <w:p w14:paraId="392F9683" w14:textId="77777777" w:rsidR="00B076A2" w:rsidRDefault="00B076A2" w:rsidP="00B076A2">
      <w:pPr>
        <w:spacing w:after="0" w:line="240" w:lineRule="auto"/>
        <w:jc w:val="both"/>
        <w:rPr>
          <w:rFonts w:ascii="Arial" w:hAnsi="Arial" w:cs="Arial"/>
          <w:sz w:val="24"/>
        </w:rPr>
      </w:pPr>
      <w:r w:rsidRPr="008C7BB4">
        <w:rPr>
          <w:rFonts w:ascii="Arial" w:hAnsi="Arial" w:cs="Arial"/>
          <w:sz w:val="24"/>
        </w:rPr>
        <w:t>Los retos que</w:t>
      </w:r>
      <w:r>
        <w:rPr>
          <w:rFonts w:ascii="Arial" w:hAnsi="Arial" w:cs="Arial"/>
          <w:sz w:val="24"/>
        </w:rPr>
        <w:t xml:space="preserve"> ya</w:t>
      </w:r>
      <w:r w:rsidRPr="008C7BB4">
        <w:rPr>
          <w:rFonts w:ascii="Arial" w:hAnsi="Arial" w:cs="Arial"/>
          <w:sz w:val="24"/>
        </w:rPr>
        <w:t xml:space="preserve"> enfrenta</w:t>
      </w:r>
      <w:r>
        <w:rPr>
          <w:rFonts w:ascii="Arial" w:hAnsi="Arial" w:cs="Arial"/>
          <w:sz w:val="24"/>
        </w:rPr>
        <w:t>ba</w:t>
      </w:r>
      <w:r w:rsidRPr="008C7BB4">
        <w:rPr>
          <w:rFonts w:ascii="Arial" w:hAnsi="Arial" w:cs="Arial"/>
          <w:sz w:val="24"/>
        </w:rPr>
        <w:t xml:space="preserve"> Colima</w:t>
      </w:r>
      <w:r>
        <w:rPr>
          <w:rFonts w:ascii="Arial" w:hAnsi="Arial" w:cs="Arial"/>
          <w:sz w:val="24"/>
        </w:rPr>
        <w:t>, aunado a los que han surgido producto de la pandemia del COVID-19,</w:t>
      </w:r>
      <w:r w:rsidRPr="008C7BB4">
        <w:rPr>
          <w:rFonts w:ascii="Arial" w:hAnsi="Arial" w:cs="Arial"/>
          <w:sz w:val="24"/>
        </w:rPr>
        <w:t xml:space="preserve"> requieren que el gobierno tenga la capacidad financiera para atender los </w:t>
      </w:r>
      <w:r>
        <w:rPr>
          <w:rFonts w:ascii="Arial" w:hAnsi="Arial" w:cs="Arial"/>
          <w:sz w:val="24"/>
        </w:rPr>
        <w:t xml:space="preserve">principales problemas públicos, en este sentido, uno de los mayores desafíos que se enfrentan para el pleno cumplimiento de los objetivos establecidos en la planeación para el desarrollo 2016-2021, es el de contar con los recursos necesarios para financiar, de manera responsable, los </w:t>
      </w:r>
      <w:r>
        <w:rPr>
          <w:rFonts w:ascii="Arial" w:hAnsi="Arial" w:cs="Arial"/>
          <w:sz w:val="24"/>
        </w:rPr>
        <w:lastRenderedPageBreak/>
        <w:t>programas y políticas delineadas, sin comprometer la viabilidad de la hacienda pública estatal.</w:t>
      </w:r>
    </w:p>
    <w:p w14:paraId="71ADF1C9" w14:textId="77777777" w:rsidR="00B076A2" w:rsidRDefault="00B076A2" w:rsidP="00B076A2">
      <w:pPr>
        <w:spacing w:after="0" w:line="240" w:lineRule="auto"/>
        <w:jc w:val="both"/>
        <w:rPr>
          <w:rFonts w:ascii="Arial" w:hAnsi="Arial" w:cs="Arial"/>
          <w:sz w:val="24"/>
        </w:rPr>
      </w:pPr>
    </w:p>
    <w:p w14:paraId="39218FD3" w14:textId="77777777" w:rsidR="00B076A2" w:rsidRDefault="00B076A2" w:rsidP="00B076A2">
      <w:pPr>
        <w:spacing w:after="0" w:line="240" w:lineRule="auto"/>
        <w:jc w:val="both"/>
        <w:rPr>
          <w:rFonts w:ascii="Arial" w:hAnsi="Arial" w:cs="Arial"/>
          <w:sz w:val="24"/>
        </w:rPr>
      </w:pPr>
      <w:r>
        <w:rPr>
          <w:rFonts w:ascii="Arial" w:hAnsi="Arial" w:cs="Arial"/>
          <w:sz w:val="24"/>
        </w:rPr>
        <w:t xml:space="preserve">La dependencia estatal de las transferencias de recursos federales históricamente ha sido alta. Las transferencias federales han sido la principal fuente de </w:t>
      </w:r>
      <w:r w:rsidRPr="00845441">
        <w:rPr>
          <w:rFonts w:ascii="Arial" w:hAnsi="Arial" w:cs="Arial"/>
          <w:sz w:val="24"/>
        </w:rPr>
        <w:t>recursos con la que Colima ha contado para su desarrollo, estas han representado alrededor del 90 por ciento del total del presupuesto en los ejercicios fiscales más recientes.</w:t>
      </w:r>
    </w:p>
    <w:p w14:paraId="57976964" w14:textId="77777777" w:rsidR="00B076A2" w:rsidRDefault="00B076A2" w:rsidP="00B076A2">
      <w:pPr>
        <w:spacing w:after="0" w:line="240" w:lineRule="auto"/>
        <w:jc w:val="both"/>
        <w:rPr>
          <w:rFonts w:ascii="Arial" w:hAnsi="Arial" w:cs="Arial"/>
          <w:sz w:val="24"/>
        </w:rPr>
      </w:pPr>
    </w:p>
    <w:p w14:paraId="66B31610" w14:textId="77777777" w:rsidR="00B076A2" w:rsidRDefault="00B076A2" w:rsidP="00B076A2">
      <w:pPr>
        <w:spacing w:after="0" w:line="240" w:lineRule="auto"/>
        <w:jc w:val="both"/>
        <w:rPr>
          <w:rFonts w:ascii="Arial" w:hAnsi="Arial" w:cs="Arial"/>
          <w:sz w:val="24"/>
        </w:rPr>
      </w:pPr>
      <w:r>
        <w:rPr>
          <w:rFonts w:ascii="Arial" w:hAnsi="Arial" w:cs="Arial"/>
          <w:sz w:val="24"/>
        </w:rPr>
        <w:t>Una reducción en dichas trasferencias, implicaría un riesgo para las finanzas públicas estatales, que se acentúa con los mayores requerimientos financieros necesarios para la atención de la pandemia. Según el Proyecto de Presupuesto de Egresos de la Federación para el Ejercicio Fiscal de 2021 y sus anexos se han identificado, por segundo año consecutivo, reducciones en términos reales, en los Ramos Generales 33 y 28. En términos globales, según datos del Centro de Estudios de las Finanzas Públicas, dichas reducciones serían del -3.3 y -7.8 por ciento respectivamente.</w:t>
      </w:r>
    </w:p>
    <w:p w14:paraId="7F6263DD" w14:textId="77777777" w:rsidR="00B076A2" w:rsidRDefault="00B076A2" w:rsidP="00B076A2">
      <w:pPr>
        <w:spacing w:after="0" w:line="240" w:lineRule="auto"/>
        <w:jc w:val="both"/>
        <w:rPr>
          <w:rFonts w:ascii="Arial" w:hAnsi="Arial" w:cs="Arial"/>
          <w:sz w:val="24"/>
        </w:rPr>
      </w:pPr>
    </w:p>
    <w:p w14:paraId="7C9DFF61" w14:textId="77777777" w:rsidR="00B076A2" w:rsidRDefault="00B076A2" w:rsidP="00B076A2">
      <w:pPr>
        <w:spacing w:after="0" w:line="240" w:lineRule="auto"/>
        <w:jc w:val="both"/>
        <w:rPr>
          <w:rFonts w:ascii="Arial" w:hAnsi="Arial" w:cs="Arial"/>
          <w:sz w:val="24"/>
        </w:rPr>
      </w:pPr>
      <w:r>
        <w:rPr>
          <w:rFonts w:ascii="Arial" w:hAnsi="Arial" w:cs="Arial"/>
          <w:sz w:val="24"/>
        </w:rPr>
        <w:t>De la misma manera</w:t>
      </w:r>
      <w:r w:rsidRPr="002A6FB7">
        <w:rPr>
          <w:rFonts w:ascii="Arial" w:hAnsi="Arial" w:cs="Arial"/>
          <w:sz w:val="24"/>
        </w:rPr>
        <w:t xml:space="preserve">, el Ramo General 23 Provisiones Salariales y Económicas el cual específicamente </w:t>
      </w:r>
      <w:r>
        <w:rPr>
          <w:rFonts w:ascii="Arial" w:hAnsi="Arial" w:cs="Arial"/>
          <w:sz w:val="24"/>
        </w:rPr>
        <w:t xml:space="preserve">se encarga de las provisiones para </w:t>
      </w:r>
      <w:r w:rsidRPr="002A6FB7">
        <w:rPr>
          <w:rFonts w:ascii="Arial" w:hAnsi="Arial" w:cs="Arial"/>
          <w:sz w:val="24"/>
        </w:rPr>
        <w:t xml:space="preserve"> otorgar provisiones económicas a través de fondos específicos a entidades federativas y municipios, entre </w:t>
      </w:r>
      <w:r>
        <w:rPr>
          <w:rFonts w:ascii="Arial" w:hAnsi="Arial" w:cs="Arial"/>
          <w:sz w:val="24"/>
        </w:rPr>
        <w:t>otros, ha presentado cambios</w:t>
      </w:r>
      <w:r w:rsidRPr="002A6FB7">
        <w:rPr>
          <w:rFonts w:ascii="Arial" w:hAnsi="Arial" w:cs="Arial"/>
          <w:sz w:val="24"/>
        </w:rPr>
        <w:t xml:space="preserve"> en su manejo y reglas de operación</w:t>
      </w:r>
      <w:r>
        <w:rPr>
          <w:rFonts w:ascii="Arial" w:hAnsi="Arial" w:cs="Arial"/>
          <w:sz w:val="24"/>
        </w:rPr>
        <w:t>,</w:t>
      </w:r>
      <w:r w:rsidRPr="002A6FB7">
        <w:rPr>
          <w:rFonts w:ascii="Arial" w:hAnsi="Arial" w:cs="Arial"/>
          <w:sz w:val="24"/>
        </w:rPr>
        <w:t xml:space="preserve"> por lo que la transferencia de recursos a través de este Ramo al Gobierno del Estado han disminuido notablemente.</w:t>
      </w:r>
    </w:p>
    <w:p w14:paraId="545B343B" w14:textId="77777777" w:rsidR="00B076A2" w:rsidRDefault="00B076A2" w:rsidP="00B076A2">
      <w:pPr>
        <w:spacing w:after="0" w:line="240" w:lineRule="auto"/>
        <w:jc w:val="both"/>
        <w:rPr>
          <w:rFonts w:ascii="Arial" w:hAnsi="Arial" w:cs="Arial"/>
          <w:sz w:val="24"/>
        </w:rPr>
      </w:pPr>
    </w:p>
    <w:p w14:paraId="49EFAF59" w14:textId="77777777" w:rsidR="00B076A2" w:rsidRDefault="00B076A2" w:rsidP="00B076A2">
      <w:pPr>
        <w:spacing w:after="0" w:line="240" w:lineRule="auto"/>
        <w:jc w:val="both"/>
        <w:rPr>
          <w:rFonts w:ascii="Arial" w:hAnsi="Arial" w:cs="Arial"/>
          <w:sz w:val="24"/>
        </w:rPr>
      </w:pPr>
      <w:r>
        <w:rPr>
          <w:rFonts w:ascii="Arial" w:hAnsi="Arial" w:cs="Arial"/>
          <w:sz w:val="24"/>
        </w:rPr>
        <w:t xml:space="preserve">En este sentido, en la Iniciativa de ley de Ingresos para el Ejercicio Fiscal 2021 se señalan los siguientes riesgos que inciden en el cumplimiento de las proyecciones de los ingresos, como son: </w:t>
      </w:r>
    </w:p>
    <w:p w14:paraId="0B26C31A" w14:textId="77777777" w:rsidR="00B076A2" w:rsidRPr="00E150A5" w:rsidRDefault="00B076A2" w:rsidP="00B076A2">
      <w:pPr>
        <w:spacing w:after="0" w:line="240" w:lineRule="auto"/>
        <w:jc w:val="both"/>
        <w:rPr>
          <w:rFonts w:ascii="Arial" w:hAnsi="Arial" w:cs="Arial"/>
          <w:sz w:val="24"/>
        </w:rPr>
      </w:pPr>
    </w:p>
    <w:p w14:paraId="691760C9" w14:textId="77777777" w:rsidR="00B076A2" w:rsidRPr="00BC18FD" w:rsidRDefault="00B076A2" w:rsidP="00B076A2">
      <w:pPr>
        <w:pStyle w:val="Prrafodelista"/>
        <w:numPr>
          <w:ilvl w:val="0"/>
          <w:numId w:val="40"/>
        </w:numPr>
        <w:spacing w:after="0" w:line="240" w:lineRule="auto"/>
        <w:jc w:val="both"/>
        <w:rPr>
          <w:rFonts w:ascii="Arial" w:hAnsi="Arial" w:cs="Arial"/>
          <w:sz w:val="24"/>
        </w:rPr>
      </w:pPr>
      <w:r w:rsidRPr="00BC18FD">
        <w:rPr>
          <w:rFonts w:ascii="Arial" w:hAnsi="Arial" w:cs="Arial"/>
          <w:sz w:val="24"/>
        </w:rPr>
        <w:t>Que continúen las disrupciones por la pandemia del COVID-19 y se profundicen las tensiones comerciales afectando la estabilidad del sistema financiero y el crecimiento global de mediano plazo.</w:t>
      </w:r>
    </w:p>
    <w:p w14:paraId="40E8DC88" w14:textId="77777777" w:rsidR="00B076A2" w:rsidRPr="00BC18FD" w:rsidRDefault="00B076A2" w:rsidP="00B076A2">
      <w:pPr>
        <w:pStyle w:val="Prrafodelista"/>
        <w:numPr>
          <w:ilvl w:val="0"/>
          <w:numId w:val="40"/>
        </w:numPr>
        <w:spacing w:after="0" w:line="240" w:lineRule="auto"/>
        <w:jc w:val="both"/>
        <w:rPr>
          <w:rFonts w:ascii="Arial" w:hAnsi="Arial" w:cs="Arial"/>
          <w:sz w:val="24"/>
        </w:rPr>
      </w:pPr>
      <w:r w:rsidRPr="00BC18FD">
        <w:rPr>
          <w:rFonts w:ascii="Arial" w:hAnsi="Arial" w:cs="Arial"/>
          <w:sz w:val="24"/>
        </w:rPr>
        <w:t>Una profundización de los conflictos comerciales y los riesgos geopolíticos que genere menores perspectivas de crecimiento en la economía mundial.</w:t>
      </w:r>
    </w:p>
    <w:p w14:paraId="40611B42" w14:textId="77777777" w:rsidR="00B076A2" w:rsidRPr="00BC18FD" w:rsidRDefault="00B076A2" w:rsidP="00B076A2">
      <w:pPr>
        <w:pStyle w:val="Prrafodelista"/>
        <w:numPr>
          <w:ilvl w:val="0"/>
          <w:numId w:val="40"/>
        </w:numPr>
        <w:spacing w:after="0" w:line="240" w:lineRule="auto"/>
        <w:jc w:val="both"/>
        <w:rPr>
          <w:rFonts w:ascii="Arial" w:hAnsi="Arial" w:cs="Arial"/>
          <w:sz w:val="24"/>
        </w:rPr>
      </w:pPr>
      <w:r w:rsidRPr="00BC18FD">
        <w:rPr>
          <w:rFonts w:ascii="Arial" w:hAnsi="Arial" w:cs="Arial"/>
          <w:sz w:val="24"/>
        </w:rPr>
        <w:t xml:space="preserve">Una recuperación de la economía de EEUU más lenta que la esperada. </w:t>
      </w:r>
    </w:p>
    <w:p w14:paraId="685F8240" w14:textId="77777777" w:rsidR="00B076A2" w:rsidRPr="00BC18FD" w:rsidRDefault="00B076A2" w:rsidP="00B076A2">
      <w:pPr>
        <w:pStyle w:val="Prrafodelista"/>
        <w:numPr>
          <w:ilvl w:val="0"/>
          <w:numId w:val="40"/>
        </w:numPr>
        <w:spacing w:after="0" w:line="240" w:lineRule="auto"/>
        <w:jc w:val="both"/>
        <w:rPr>
          <w:rFonts w:ascii="Arial" w:hAnsi="Arial" w:cs="Arial"/>
          <w:sz w:val="24"/>
        </w:rPr>
      </w:pPr>
      <w:r w:rsidRPr="00BC18FD">
        <w:rPr>
          <w:rFonts w:ascii="Arial" w:hAnsi="Arial" w:cs="Arial"/>
          <w:sz w:val="24"/>
        </w:rPr>
        <w:t>La materialización de condiciones más restrictivas en los mercados financieros internacionales por los procesos de normalización de las economías que afecten la inversión y los flujos de capitales a nivel mundial.</w:t>
      </w:r>
    </w:p>
    <w:p w14:paraId="3314B1D5" w14:textId="77777777" w:rsidR="00B076A2" w:rsidRDefault="00B076A2" w:rsidP="00B076A2">
      <w:pPr>
        <w:spacing w:after="0" w:line="240" w:lineRule="auto"/>
        <w:jc w:val="both"/>
        <w:rPr>
          <w:rFonts w:ascii="Arial" w:hAnsi="Arial" w:cs="Arial"/>
          <w:sz w:val="24"/>
        </w:rPr>
      </w:pPr>
    </w:p>
    <w:p w14:paraId="3BF71763" w14:textId="77777777" w:rsidR="00B076A2" w:rsidRPr="00EC49AE" w:rsidRDefault="00B076A2" w:rsidP="00B076A2">
      <w:pPr>
        <w:spacing w:after="0" w:line="240" w:lineRule="auto"/>
        <w:jc w:val="both"/>
        <w:rPr>
          <w:rFonts w:ascii="Arial" w:hAnsi="Arial" w:cs="Arial"/>
          <w:b/>
          <w:i/>
          <w:sz w:val="24"/>
        </w:rPr>
      </w:pPr>
      <w:r w:rsidRPr="00EC49AE">
        <w:rPr>
          <w:rFonts w:ascii="Arial" w:hAnsi="Arial" w:cs="Arial"/>
          <w:b/>
          <w:i/>
          <w:sz w:val="24"/>
        </w:rPr>
        <w:t>Propuestas de acción para enfrentar riesgos:</w:t>
      </w:r>
    </w:p>
    <w:p w14:paraId="11491718" w14:textId="77777777" w:rsidR="00B076A2" w:rsidRDefault="00B076A2" w:rsidP="00B076A2">
      <w:pPr>
        <w:spacing w:after="0" w:line="240" w:lineRule="auto"/>
        <w:jc w:val="both"/>
        <w:rPr>
          <w:rFonts w:ascii="Arial" w:hAnsi="Arial" w:cs="Arial"/>
          <w:sz w:val="24"/>
        </w:rPr>
      </w:pPr>
    </w:p>
    <w:p w14:paraId="3C07BD4D" w14:textId="77777777" w:rsidR="00B076A2" w:rsidRDefault="00B076A2" w:rsidP="00B076A2">
      <w:pPr>
        <w:spacing w:after="0" w:line="240" w:lineRule="auto"/>
        <w:jc w:val="both"/>
        <w:rPr>
          <w:rFonts w:ascii="Arial" w:hAnsi="Arial" w:cs="Arial"/>
          <w:sz w:val="24"/>
        </w:rPr>
      </w:pPr>
      <w:r>
        <w:rPr>
          <w:rFonts w:ascii="Arial" w:hAnsi="Arial" w:cs="Arial"/>
          <w:sz w:val="24"/>
        </w:rPr>
        <w:t>Siguiendo con los principios de buen gobierno del PED, las propuestas de acción para enfrentar los riesgos continuarán siendo:</w:t>
      </w:r>
    </w:p>
    <w:p w14:paraId="0FF5F4B0" w14:textId="77777777" w:rsidR="00B076A2" w:rsidRDefault="00B076A2" w:rsidP="00B076A2">
      <w:pPr>
        <w:spacing w:after="0" w:line="240" w:lineRule="auto"/>
        <w:jc w:val="both"/>
        <w:rPr>
          <w:rFonts w:ascii="Arial" w:hAnsi="Arial" w:cs="Arial"/>
          <w:sz w:val="24"/>
        </w:rPr>
      </w:pPr>
    </w:p>
    <w:p w14:paraId="69B8C2E0" w14:textId="77777777" w:rsidR="00B076A2" w:rsidRDefault="00B076A2" w:rsidP="00B076A2">
      <w:pPr>
        <w:pStyle w:val="Prrafodelista"/>
        <w:numPr>
          <w:ilvl w:val="0"/>
          <w:numId w:val="27"/>
        </w:numPr>
        <w:spacing w:after="0" w:line="240" w:lineRule="auto"/>
        <w:jc w:val="both"/>
        <w:rPr>
          <w:rFonts w:ascii="Arial" w:hAnsi="Arial" w:cs="Arial"/>
          <w:sz w:val="24"/>
        </w:rPr>
      </w:pPr>
      <w:r>
        <w:rPr>
          <w:rFonts w:ascii="Arial" w:hAnsi="Arial" w:cs="Arial"/>
          <w:sz w:val="24"/>
        </w:rPr>
        <w:t>Fortalecimiento de la hacienda pública</w:t>
      </w:r>
    </w:p>
    <w:p w14:paraId="7018FB64" w14:textId="77777777" w:rsidR="00B076A2" w:rsidRPr="00702C7E" w:rsidRDefault="00B076A2" w:rsidP="00B076A2">
      <w:pPr>
        <w:spacing w:after="0" w:line="240" w:lineRule="auto"/>
        <w:ind w:left="360"/>
        <w:jc w:val="both"/>
        <w:rPr>
          <w:rFonts w:ascii="Arial" w:hAnsi="Arial" w:cs="Arial"/>
          <w:sz w:val="24"/>
        </w:rPr>
      </w:pPr>
    </w:p>
    <w:p w14:paraId="09711A60" w14:textId="77777777" w:rsidR="00B076A2" w:rsidRDefault="00B076A2" w:rsidP="00B076A2">
      <w:pPr>
        <w:spacing w:after="0" w:line="240" w:lineRule="auto"/>
        <w:jc w:val="both"/>
        <w:rPr>
          <w:rFonts w:ascii="Arial" w:hAnsi="Arial" w:cs="Arial"/>
          <w:sz w:val="24"/>
        </w:rPr>
      </w:pPr>
      <w:r w:rsidRPr="003821D5">
        <w:rPr>
          <w:rFonts w:ascii="Arial" w:hAnsi="Arial" w:cs="Arial"/>
          <w:sz w:val="24"/>
        </w:rPr>
        <w:t>Es indispensable que Colima cuente con una adecuada planeación financiera de</w:t>
      </w:r>
      <w:r>
        <w:rPr>
          <w:rFonts w:ascii="Arial" w:hAnsi="Arial" w:cs="Arial"/>
          <w:sz w:val="24"/>
        </w:rPr>
        <w:t xml:space="preserve"> </w:t>
      </w:r>
      <w:r w:rsidRPr="003821D5">
        <w:rPr>
          <w:rFonts w:ascii="Arial" w:hAnsi="Arial" w:cs="Arial"/>
          <w:sz w:val="24"/>
        </w:rPr>
        <w:t>corto y mediano plazo, así como con una estrategia que prevea la disponibilidad de</w:t>
      </w:r>
      <w:r>
        <w:rPr>
          <w:rFonts w:ascii="Arial" w:hAnsi="Arial" w:cs="Arial"/>
          <w:sz w:val="24"/>
        </w:rPr>
        <w:t xml:space="preserve"> </w:t>
      </w:r>
      <w:r w:rsidRPr="003821D5">
        <w:rPr>
          <w:rFonts w:ascii="Arial" w:hAnsi="Arial" w:cs="Arial"/>
          <w:sz w:val="24"/>
        </w:rPr>
        <w:t>los recursos necesarios para financiar el desarrollo económico, el desarrollo social</w:t>
      </w:r>
      <w:r>
        <w:rPr>
          <w:rFonts w:ascii="Arial" w:hAnsi="Arial" w:cs="Arial"/>
          <w:sz w:val="24"/>
        </w:rPr>
        <w:t>, en específico lo relacionado con la salud y</w:t>
      </w:r>
      <w:r w:rsidRPr="003821D5">
        <w:rPr>
          <w:rFonts w:ascii="Arial" w:hAnsi="Arial" w:cs="Arial"/>
          <w:sz w:val="24"/>
        </w:rPr>
        <w:t xml:space="preserve"> las tareas de gobierno, que sean congruentes con la realidad actual de las</w:t>
      </w:r>
      <w:r>
        <w:rPr>
          <w:rFonts w:ascii="Arial" w:hAnsi="Arial" w:cs="Arial"/>
          <w:sz w:val="24"/>
        </w:rPr>
        <w:t xml:space="preserve"> </w:t>
      </w:r>
      <w:r w:rsidRPr="003821D5">
        <w:rPr>
          <w:rFonts w:ascii="Arial" w:hAnsi="Arial" w:cs="Arial"/>
          <w:sz w:val="24"/>
        </w:rPr>
        <w:t>finanzas públicas nacionales y estatales, y sus perspectivas a futuro.</w:t>
      </w:r>
      <w:r>
        <w:rPr>
          <w:rFonts w:ascii="Arial" w:hAnsi="Arial" w:cs="Arial"/>
          <w:sz w:val="24"/>
        </w:rPr>
        <w:t xml:space="preserve"> </w:t>
      </w:r>
    </w:p>
    <w:p w14:paraId="530D8FD8" w14:textId="77777777" w:rsidR="00B076A2" w:rsidRDefault="00B076A2" w:rsidP="00B076A2">
      <w:pPr>
        <w:spacing w:after="0" w:line="240" w:lineRule="auto"/>
        <w:jc w:val="both"/>
        <w:rPr>
          <w:rFonts w:ascii="Arial" w:hAnsi="Arial" w:cs="Arial"/>
          <w:sz w:val="24"/>
        </w:rPr>
      </w:pPr>
    </w:p>
    <w:p w14:paraId="4A54296F" w14:textId="77777777" w:rsidR="00B076A2" w:rsidRDefault="00B076A2" w:rsidP="00B076A2">
      <w:pPr>
        <w:spacing w:after="0" w:line="240" w:lineRule="auto"/>
        <w:jc w:val="both"/>
        <w:rPr>
          <w:rFonts w:ascii="Arial" w:hAnsi="Arial" w:cs="Arial"/>
          <w:sz w:val="24"/>
        </w:rPr>
      </w:pPr>
      <w:r w:rsidRPr="00702C7E">
        <w:rPr>
          <w:rFonts w:ascii="Arial" w:hAnsi="Arial" w:cs="Arial"/>
          <w:sz w:val="24"/>
        </w:rPr>
        <w:t>Para lograrlo, será necesario continuar fortaleciendo una gestión más moderna y</w:t>
      </w:r>
      <w:r>
        <w:rPr>
          <w:rFonts w:ascii="Arial" w:hAnsi="Arial" w:cs="Arial"/>
          <w:sz w:val="24"/>
        </w:rPr>
        <w:t xml:space="preserve"> </w:t>
      </w:r>
      <w:r w:rsidRPr="00702C7E">
        <w:rPr>
          <w:rFonts w:ascii="Arial" w:hAnsi="Arial" w:cs="Arial"/>
          <w:sz w:val="24"/>
        </w:rPr>
        <w:t>responsable en los ámbitos tributario, presupuest</w:t>
      </w:r>
      <w:r>
        <w:rPr>
          <w:rFonts w:ascii="Arial" w:hAnsi="Arial" w:cs="Arial"/>
          <w:sz w:val="24"/>
        </w:rPr>
        <w:t xml:space="preserve">ario y financiero, que coadyuve a atraer y mantener </w:t>
      </w:r>
      <w:r w:rsidRPr="00702C7E">
        <w:rPr>
          <w:rFonts w:ascii="Arial" w:hAnsi="Arial" w:cs="Arial"/>
          <w:sz w:val="24"/>
        </w:rPr>
        <w:t>mayor</w:t>
      </w:r>
      <w:r>
        <w:rPr>
          <w:rFonts w:ascii="Arial" w:hAnsi="Arial" w:cs="Arial"/>
          <w:sz w:val="24"/>
        </w:rPr>
        <w:t xml:space="preserve"> </w:t>
      </w:r>
      <w:r w:rsidRPr="00702C7E">
        <w:rPr>
          <w:rFonts w:ascii="Arial" w:hAnsi="Arial" w:cs="Arial"/>
          <w:sz w:val="24"/>
        </w:rPr>
        <w:t>inversión privada a la entidad, lo que redundará en mayor crecimiento económico,</w:t>
      </w:r>
      <w:r>
        <w:rPr>
          <w:rFonts w:ascii="Arial" w:hAnsi="Arial" w:cs="Arial"/>
          <w:sz w:val="24"/>
        </w:rPr>
        <w:t xml:space="preserve"> </w:t>
      </w:r>
      <w:r w:rsidRPr="00702C7E">
        <w:rPr>
          <w:rFonts w:ascii="Arial" w:hAnsi="Arial" w:cs="Arial"/>
          <w:sz w:val="24"/>
        </w:rPr>
        <w:t>creación de empleos y bienestar social de los colimenses.</w:t>
      </w:r>
    </w:p>
    <w:p w14:paraId="19C66A9B" w14:textId="77777777" w:rsidR="00B076A2" w:rsidRDefault="00B076A2" w:rsidP="00B076A2">
      <w:pPr>
        <w:spacing w:after="0" w:line="240" w:lineRule="auto"/>
        <w:jc w:val="both"/>
        <w:rPr>
          <w:rFonts w:ascii="Arial" w:hAnsi="Arial" w:cs="Arial"/>
          <w:sz w:val="24"/>
        </w:rPr>
      </w:pPr>
    </w:p>
    <w:p w14:paraId="6BF489A2" w14:textId="77777777" w:rsidR="00B076A2" w:rsidRDefault="00B076A2" w:rsidP="00B076A2">
      <w:pPr>
        <w:spacing w:after="0" w:line="240" w:lineRule="auto"/>
        <w:jc w:val="both"/>
        <w:rPr>
          <w:rFonts w:ascii="Arial" w:hAnsi="Arial" w:cs="Arial"/>
          <w:sz w:val="24"/>
        </w:rPr>
      </w:pPr>
      <w:r w:rsidRPr="00702C7E">
        <w:rPr>
          <w:rFonts w:ascii="Arial" w:hAnsi="Arial" w:cs="Arial"/>
          <w:sz w:val="24"/>
        </w:rPr>
        <w:t>En este senti</w:t>
      </w:r>
      <w:r>
        <w:rPr>
          <w:rFonts w:ascii="Arial" w:hAnsi="Arial" w:cs="Arial"/>
          <w:sz w:val="24"/>
        </w:rPr>
        <w:t>do, durante el año 2021 se actuará</w:t>
      </w:r>
      <w:r w:rsidRPr="00702C7E">
        <w:rPr>
          <w:rFonts w:ascii="Arial" w:hAnsi="Arial" w:cs="Arial"/>
          <w:sz w:val="24"/>
        </w:rPr>
        <w:t xml:space="preserve"> en cinco vertientes:</w:t>
      </w:r>
    </w:p>
    <w:p w14:paraId="1F50F714" w14:textId="77777777" w:rsidR="00B076A2" w:rsidRDefault="00B076A2" w:rsidP="00B076A2">
      <w:pPr>
        <w:spacing w:after="0" w:line="240" w:lineRule="auto"/>
        <w:jc w:val="both"/>
        <w:rPr>
          <w:rFonts w:ascii="Arial" w:hAnsi="Arial" w:cs="Arial"/>
          <w:sz w:val="24"/>
        </w:rPr>
      </w:pPr>
    </w:p>
    <w:p w14:paraId="00236B0C" w14:textId="77777777" w:rsidR="00B076A2" w:rsidRDefault="00B076A2" w:rsidP="00B076A2">
      <w:pPr>
        <w:pStyle w:val="Prrafodelista"/>
        <w:numPr>
          <w:ilvl w:val="0"/>
          <w:numId w:val="28"/>
        </w:numPr>
        <w:spacing w:after="0" w:line="240" w:lineRule="auto"/>
        <w:jc w:val="both"/>
        <w:rPr>
          <w:rFonts w:ascii="Arial" w:hAnsi="Arial" w:cs="Arial"/>
          <w:i/>
          <w:sz w:val="24"/>
        </w:rPr>
      </w:pPr>
      <w:r w:rsidRPr="00EE2B9B">
        <w:rPr>
          <w:rFonts w:ascii="Arial" w:hAnsi="Arial" w:cs="Arial"/>
          <w:i/>
          <w:sz w:val="24"/>
        </w:rPr>
        <w:t>Fortalecer los ingresos propios, mediante mecanismos que mejoren la eficiencia tributaria</w:t>
      </w:r>
      <w:r>
        <w:rPr>
          <w:rFonts w:ascii="Arial" w:hAnsi="Arial" w:cs="Arial"/>
          <w:i/>
          <w:sz w:val="24"/>
        </w:rPr>
        <w:t>.</w:t>
      </w:r>
    </w:p>
    <w:p w14:paraId="69CE6859" w14:textId="77777777" w:rsidR="00B076A2" w:rsidRDefault="00B076A2" w:rsidP="00B076A2">
      <w:pPr>
        <w:spacing w:after="0" w:line="240" w:lineRule="auto"/>
        <w:jc w:val="both"/>
        <w:rPr>
          <w:rFonts w:ascii="Arial" w:hAnsi="Arial" w:cs="Arial"/>
          <w:sz w:val="24"/>
        </w:rPr>
      </w:pPr>
    </w:p>
    <w:p w14:paraId="2E8618FE" w14:textId="77777777" w:rsidR="00B076A2" w:rsidRDefault="00B076A2" w:rsidP="00B076A2">
      <w:pPr>
        <w:spacing w:after="0" w:line="240" w:lineRule="auto"/>
        <w:jc w:val="both"/>
        <w:rPr>
          <w:rFonts w:ascii="Arial" w:hAnsi="Arial" w:cs="Arial"/>
          <w:sz w:val="24"/>
        </w:rPr>
      </w:pPr>
      <w:r w:rsidRPr="00425A44">
        <w:rPr>
          <w:rFonts w:ascii="Arial" w:hAnsi="Arial" w:cs="Arial"/>
          <w:sz w:val="24"/>
        </w:rPr>
        <w:t>Una de</w:t>
      </w:r>
      <w:r>
        <w:rPr>
          <w:rFonts w:ascii="Arial" w:hAnsi="Arial" w:cs="Arial"/>
          <w:sz w:val="24"/>
        </w:rPr>
        <w:t xml:space="preserve"> las</w:t>
      </w:r>
      <w:r w:rsidRPr="00425A44">
        <w:rPr>
          <w:rFonts w:ascii="Arial" w:hAnsi="Arial" w:cs="Arial"/>
          <w:sz w:val="24"/>
        </w:rPr>
        <w:t xml:space="preserve"> áreas de oportunidad para</w:t>
      </w:r>
      <w:r>
        <w:rPr>
          <w:rFonts w:ascii="Arial" w:hAnsi="Arial" w:cs="Arial"/>
          <w:sz w:val="24"/>
        </w:rPr>
        <w:t xml:space="preserve"> </w:t>
      </w:r>
      <w:r w:rsidRPr="00425A44">
        <w:rPr>
          <w:rFonts w:ascii="Arial" w:hAnsi="Arial" w:cs="Arial"/>
          <w:sz w:val="24"/>
        </w:rPr>
        <w:t>incrementar los recursos para el financiamiento del desarrollo de Colima, se</w:t>
      </w:r>
      <w:r>
        <w:rPr>
          <w:rFonts w:ascii="Arial" w:hAnsi="Arial" w:cs="Arial"/>
          <w:sz w:val="24"/>
        </w:rPr>
        <w:t xml:space="preserve"> </w:t>
      </w:r>
      <w:r w:rsidRPr="00425A44">
        <w:rPr>
          <w:rFonts w:ascii="Arial" w:hAnsi="Arial" w:cs="Arial"/>
          <w:sz w:val="24"/>
        </w:rPr>
        <w:t>encuentra en modernizar y perfeccionar la política fiscal del Estado.</w:t>
      </w:r>
    </w:p>
    <w:p w14:paraId="69799765" w14:textId="77777777" w:rsidR="00B076A2" w:rsidRPr="00425A44" w:rsidRDefault="00B076A2" w:rsidP="00B076A2">
      <w:pPr>
        <w:spacing w:after="0" w:line="240" w:lineRule="auto"/>
        <w:jc w:val="both"/>
        <w:rPr>
          <w:rFonts w:ascii="Arial" w:hAnsi="Arial" w:cs="Arial"/>
          <w:sz w:val="24"/>
        </w:rPr>
      </w:pPr>
    </w:p>
    <w:p w14:paraId="78B1F6B3" w14:textId="77777777" w:rsidR="00B076A2" w:rsidRDefault="00B076A2" w:rsidP="00B076A2">
      <w:pPr>
        <w:spacing w:after="0" w:line="240" w:lineRule="auto"/>
        <w:jc w:val="both"/>
        <w:rPr>
          <w:rFonts w:ascii="Arial" w:hAnsi="Arial" w:cs="Arial"/>
          <w:sz w:val="24"/>
        </w:rPr>
      </w:pPr>
      <w:r w:rsidRPr="00425A44">
        <w:rPr>
          <w:rFonts w:ascii="Arial" w:hAnsi="Arial" w:cs="Arial"/>
          <w:sz w:val="24"/>
        </w:rPr>
        <w:t xml:space="preserve">Por ello, durante la </w:t>
      </w:r>
      <w:r>
        <w:rPr>
          <w:rFonts w:ascii="Arial" w:hAnsi="Arial" w:cs="Arial"/>
          <w:sz w:val="24"/>
        </w:rPr>
        <w:t xml:space="preserve">presente </w:t>
      </w:r>
      <w:r w:rsidRPr="00425A44">
        <w:rPr>
          <w:rFonts w:ascii="Arial" w:hAnsi="Arial" w:cs="Arial"/>
          <w:sz w:val="24"/>
        </w:rPr>
        <w:t>Administración</w:t>
      </w:r>
      <w:r>
        <w:rPr>
          <w:rFonts w:ascii="Arial" w:hAnsi="Arial" w:cs="Arial"/>
          <w:sz w:val="24"/>
        </w:rPr>
        <w:t>, continuaremos</w:t>
      </w:r>
      <w:r w:rsidRPr="00425A44">
        <w:rPr>
          <w:rFonts w:ascii="Arial" w:hAnsi="Arial" w:cs="Arial"/>
          <w:sz w:val="24"/>
        </w:rPr>
        <w:t xml:space="preserve"> implementando nuevas estrategias</w:t>
      </w:r>
      <w:r>
        <w:rPr>
          <w:rFonts w:ascii="Arial" w:hAnsi="Arial" w:cs="Arial"/>
          <w:sz w:val="24"/>
        </w:rPr>
        <w:t xml:space="preserve"> </w:t>
      </w:r>
      <w:r w:rsidRPr="00425A44">
        <w:rPr>
          <w:rFonts w:ascii="Arial" w:hAnsi="Arial" w:cs="Arial"/>
          <w:sz w:val="24"/>
        </w:rPr>
        <w:t>para mejorar la eficiencia recaudatoria, con el fin de que los ingresos derivados del</w:t>
      </w:r>
      <w:r>
        <w:rPr>
          <w:rFonts w:ascii="Arial" w:hAnsi="Arial" w:cs="Arial"/>
          <w:sz w:val="24"/>
        </w:rPr>
        <w:t xml:space="preserve"> </w:t>
      </w:r>
      <w:r w:rsidRPr="00425A44">
        <w:rPr>
          <w:rFonts w:ascii="Arial" w:hAnsi="Arial" w:cs="Arial"/>
          <w:sz w:val="24"/>
        </w:rPr>
        <w:t>esfuerzo recaudatorio propio tengan una mayor participación en el presupuesto</w:t>
      </w:r>
      <w:r>
        <w:rPr>
          <w:rFonts w:ascii="Arial" w:hAnsi="Arial" w:cs="Arial"/>
          <w:sz w:val="24"/>
        </w:rPr>
        <w:t xml:space="preserve"> </w:t>
      </w:r>
      <w:r w:rsidRPr="00425A44">
        <w:rPr>
          <w:rFonts w:ascii="Arial" w:hAnsi="Arial" w:cs="Arial"/>
          <w:sz w:val="24"/>
        </w:rPr>
        <w:t>estatal.</w:t>
      </w:r>
    </w:p>
    <w:p w14:paraId="5E521847" w14:textId="77777777" w:rsidR="00B076A2" w:rsidRPr="00425A44" w:rsidRDefault="00B076A2" w:rsidP="00B076A2">
      <w:pPr>
        <w:spacing w:after="0" w:line="240" w:lineRule="auto"/>
        <w:jc w:val="both"/>
        <w:rPr>
          <w:rFonts w:ascii="Arial" w:hAnsi="Arial" w:cs="Arial"/>
          <w:sz w:val="24"/>
        </w:rPr>
      </w:pPr>
    </w:p>
    <w:p w14:paraId="0E7A4153" w14:textId="77777777" w:rsidR="00B076A2" w:rsidRDefault="00B076A2" w:rsidP="00B076A2">
      <w:pPr>
        <w:spacing w:after="0" w:line="240" w:lineRule="auto"/>
        <w:jc w:val="both"/>
        <w:rPr>
          <w:rFonts w:ascii="Arial" w:hAnsi="Arial" w:cs="Arial"/>
          <w:sz w:val="24"/>
        </w:rPr>
      </w:pPr>
      <w:r w:rsidRPr="00425A44">
        <w:rPr>
          <w:rFonts w:ascii="Arial" w:hAnsi="Arial" w:cs="Arial"/>
          <w:sz w:val="24"/>
        </w:rPr>
        <w:t>En este sentido, seguiremos modernizando</w:t>
      </w:r>
      <w:r>
        <w:rPr>
          <w:rFonts w:ascii="Arial" w:hAnsi="Arial" w:cs="Arial"/>
          <w:sz w:val="24"/>
        </w:rPr>
        <w:t xml:space="preserve"> los mecanismos de recaudación, </w:t>
      </w:r>
      <w:r w:rsidRPr="00425A44">
        <w:rPr>
          <w:rFonts w:ascii="Arial" w:hAnsi="Arial" w:cs="Arial"/>
          <w:sz w:val="24"/>
        </w:rPr>
        <w:t>cobranza y fiscalización mediante el uso de tecnologías y aplicaciones informáticas</w:t>
      </w:r>
      <w:r>
        <w:rPr>
          <w:rFonts w:ascii="Arial" w:hAnsi="Arial" w:cs="Arial"/>
          <w:sz w:val="24"/>
        </w:rPr>
        <w:t xml:space="preserve"> </w:t>
      </w:r>
      <w:r w:rsidRPr="00425A44">
        <w:rPr>
          <w:rFonts w:ascii="Arial" w:hAnsi="Arial" w:cs="Arial"/>
          <w:sz w:val="24"/>
        </w:rPr>
        <w:t xml:space="preserve">de vanguardia para la captación de los ingresos públicos, y </w:t>
      </w:r>
      <w:r>
        <w:rPr>
          <w:rFonts w:ascii="Arial" w:hAnsi="Arial" w:cs="Arial"/>
          <w:sz w:val="24"/>
        </w:rPr>
        <w:t>la mejora continua en la</w:t>
      </w:r>
      <w:r w:rsidRPr="00425A44">
        <w:rPr>
          <w:rFonts w:ascii="Arial" w:hAnsi="Arial" w:cs="Arial"/>
          <w:sz w:val="24"/>
        </w:rPr>
        <w:t xml:space="preserve"> atención a los contribuyentes.</w:t>
      </w:r>
    </w:p>
    <w:p w14:paraId="0328C55A" w14:textId="77777777" w:rsidR="00B076A2" w:rsidRDefault="00B076A2" w:rsidP="00B076A2">
      <w:pPr>
        <w:spacing w:after="0" w:line="240" w:lineRule="auto"/>
        <w:jc w:val="both"/>
        <w:rPr>
          <w:rFonts w:ascii="Arial" w:hAnsi="Arial" w:cs="Arial"/>
          <w:sz w:val="24"/>
        </w:rPr>
      </w:pPr>
    </w:p>
    <w:p w14:paraId="4E27CA03" w14:textId="77777777" w:rsidR="00B076A2" w:rsidRDefault="00B076A2" w:rsidP="00B076A2">
      <w:pPr>
        <w:spacing w:after="0" w:line="240" w:lineRule="auto"/>
        <w:jc w:val="both"/>
        <w:rPr>
          <w:rFonts w:ascii="Arial" w:hAnsi="Arial" w:cs="Arial"/>
          <w:sz w:val="24"/>
        </w:rPr>
      </w:pPr>
      <w:r w:rsidRPr="00425A44">
        <w:rPr>
          <w:rFonts w:ascii="Arial" w:hAnsi="Arial" w:cs="Arial"/>
          <w:sz w:val="24"/>
        </w:rPr>
        <w:lastRenderedPageBreak/>
        <w:t>Ello</w:t>
      </w:r>
      <w:r>
        <w:rPr>
          <w:rFonts w:ascii="Arial" w:hAnsi="Arial" w:cs="Arial"/>
          <w:sz w:val="24"/>
        </w:rPr>
        <w:t xml:space="preserve"> significará un doble beneficio, p</w:t>
      </w:r>
      <w:r w:rsidRPr="00425A44">
        <w:rPr>
          <w:rFonts w:ascii="Arial" w:hAnsi="Arial" w:cs="Arial"/>
          <w:sz w:val="24"/>
        </w:rPr>
        <w:t>or una parte, aumentaremos de manera directa</w:t>
      </w:r>
      <w:r>
        <w:rPr>
          <w:rFonts w:ascii="Arial" w:hAnsi="Arial" w:cs="Arial"/>
          <w:sz w:val="24"/>
        </w:rPr>
        <w:t xml:space="preserve"> </w:t>
      </w:r>
      <w:r w:rsidRPr="00425A44">
        <w:rPr>
          <w:rFonts w:ascii="Arial" w:hAnsi="Arial" w:cs="Arial"/>
          <w:sz w:val="24"/>
        </w:rPr>
        <w:t>los ingresos propios, y por otra mejorará nuestra posición relativa frente al resto de</w:t>
      </w:r>
      <w:r>
        <w:rPr>
          <w:rFonts w:ascii="Arial" w:hAnsi="Arial" w:cs="Arial"/>
          <w:sz w:val="24"/>
        </w:rPr>
        <w:t xml:space="preserve"> </w:t>
      </w:r>
      <w:r w:rsidRPr="00425A44">
        <w:rPr>
          <w:rFonts w:ascii="Arial" w:hAnsi="Arial" w:cs="Arial"/>
          <w:sz w:val="24"/>
        </w:rPr>
        <w:t>entidades federativas del país en las fórmulas de distribución de las participaciones,</w:t>
      </w:r>
      <w:r>
        <w:rPr>
          <w:rFonts w:ascii="Arial" w:hAnsi="Arial" w:cs="Arial"/>
          <w:sz w:val="24"/>
        </w:rPr>
        <w:t xml:space="preserve"> </w:t>
      </w:r>
      <w:r w:rsidRPr="00425A44">
        <w:rPr>
          <w:rFonts w:ascii="Arial" w:hAnsi="Arial" w:cs="Arial"/>
          <w:sz w:val="24"/>
        </w:rPr>
        <w:t>lo que se traducirá en mayores transferencias del Ramo 28 para Colima.</w:t>
      </w:r>
    </w:p>
    <w:p w14:paraId="677DB765" w14:textId="77777777" w:rsidR="00B076A2" w:rsidRDefault="00B076A2" w:rsidP="00B076A2">
      <w:pPr>
        <w:spacing w:after="0" w:line="240" w:lineRule="auto"/>
        <w:jc w:val="both"/>
        <w:rPr>
          <w:rFonts w:ascii="Arial" w:hAnsi="Arial" w:cs="Arial"/>
          <w:sz w:val="24"/>
        </w:rPr>
      </w:pPr>
    </w:p>
    <w:p w14:paraId="5CF19A85" w14:textId="77777777" w:rsidR="00B076A2" w:rsidRDefault="00B076A2" w:rsidP="00B076A2">
      <w:pPr>
        <w:spacing w:after="0" w:line="240" w:lineRule="auto"/>
        <w:jc w:val="both"/>
        <w:rPr>
          <w:rFonts w:ascii="Arial" w:hAnsi="Arial" w:cs="Arial"/>
          <w:sz w:val="24"/>
        </w:rPr>
      </w:pPr>
      <w:r>
        <w:rPr>
          <w:rFonts w:ascii="Arial" w:hAnsi="Arial" w:cs="Arial"/>
          <w:sz w:val="24"/>
        </w:rPr>
        <w:t>Para el ejercicio fiscal 2021</w:t>
      </w:r>
      <w:r w:rsidRPr="00934214">
        <w:rPr>
          <w:rFonts w:ascii="Arial" w:hAnsi="Arial" w:cs="Arial"/>
          <w:sz w:val="24"/>
        </w:rPr>
        <w:t xml:space="preserve">, </w:t>
      </w:r>
      <w:r>
        <w:rPr>
          <w:rFonts w:ascii="Arial" w:hAnsi="Arial" w:cs="Arial"/>
          <w:sz w:val="24"/>
        </w:rPr>
        <w:t xml:space="preserve">en la medida que el control de la pandemia del COVID-19  lo permita, se </w:t>
      </w:r>
      <w:r w:rsidRPr="00934214">
        <w:rPr>
          <w:rFonts w:ascii="Arial" w:hAnsi="Arial" w:cs="Arial"/>
          <w:sz w:val="24"/>
        </w:rPr>
        <w:t>redoblar</w:t>
      </w:r>
      <w:r>
        <w:rPr>
          <w:rFonts w:ascii="Arial" w:hAnsi="Arial" w:cs="Arial"/>
          <w:sz w:val="24"/>
        </w:rPr>
        <w:t xml:space="preserve">án esfuerzos para incrementar la </w:t>
      </w:r>
      <w:r w:rsidRPr="00934214">
        <w:rPr>
          <w:rFonts w:ascii="Arial" w:hAnsi="Arial" w:cs="Arial"/>
          <w:sz w:val="24"/>
        </w:rPr>
        <w:t>recaudación estatal, pues se buscará compensar las caídas en las transferen</w:t>
      </w:r>
      <w:r>
        <w:rPr>
          <w:rFonts w:ascii="Arial" w:hAnsi="Arial" w:cs="Arial"/>
          <w:sz w:val="24"/>
        </w:rPr>
        <w:t>cias que la federación destina</w:t>
      </w:r>
      <w:r w:rsidRPr="00934214">
        <w:rPr>
          <w:rFonts w:ascii="Arial" w:hAnsi="Arial" w:cs="Arial"/>
          <w:sz w:val="24"/>
        </w:rPr>
        <w:t xml:space="preserve"> al Estado de Colima.</w:t>
      </w:r>
      <w:r>
        <w:rPr>
          <w:rFonts w:ascii="Arial" w:hAnsi="Arial" w:cs="Arial"/>
          <w:sz w:val="24"/>
        </w:rPr>
        <w:t xml:space="preserve"> </w:t>
      </w:r>
    </w:p>
    <w:p w14:paraId="3BC1D1AF" w14:textId="77777777" w:rsidR="00B076A2" w:rsidRPr="00425A44" w:rsidRDefault="00B076A2" w:rsidP="00B076A2">
      <w:pPr>
        <w:spacing w:after="0" w:line="240" w:lineRule="auto"/>
        <w:jc w:val="both"/>
        <w:rPr>
          <w:rFonts w:ascii="Arial" w:hAnsi="Arial" w:cs="Arial"/>
          <w:sz w:val="24"/>
        </w:rPr>
      </w:pPr>
    </w:p>
    <w:p w14:paraId="1595F999" w14:textId="77777777" w:rsidR="00B076A2" w:rsidRDefault="00B076A2" w:rsidP="00B076A2">
      <w:pPr>
        <w:pStyle w:val="Prrafodelista"/>
        <w:numPr>
          <w:ilvl w:val="0"/>
          <w:numId w:val="28"/>
        </w:numPr>
        <w:spacing w:after="0" w:line="240" w:lineRule="auto"/>
        <w:jc w:val="both"/>
        <w:rPr>
          <w:rFonts w:ascii="Arial" w:hAnsi="Arial" w:cs="Arial"/>
          <w:i/>
          <w:sz w:val="24"/>
        </w:rPr>
      </w:pPr>
      <w:r w:rsidRPr="00EE2B9B">
        <w:rPr>
          <w:rFonts w:ascii="Arial" w:hAnsi="Arial" w:cs="Arial"/>
          <w:i/>
          <w:sz w:val="24"/>
        </w:rPr>
        <w:t>Mejorar la calidad del gasto público y su focalización, con presupuestos orientados a resultados.</w:t>
      </w:r>
    </w:p>
    <w:p w14:paraId="35951FF3" w14:textId="77777777" w:rsidR="00B076A2" w:rsidRPr="00946261" w:rsidRDefault="00B076A2" w:rsidP="00B076A2">
      <w:pPr>
        <w:spacing w:after="0" w:line="240" w:lineRule="auto"/>
        <w:jc w:val="both"/>
        <w:rPr>
          <w:rFonts w:ascii="Arial" w:hAnsi="Arial" w:cs="Arial"/>
          <w:i/>
          <w:sz w:val="24"/>
        </w:rPr>
      </w:pPr>
    </w:p>
    <w:p w14:paraId="34F77E0D" w14:textId="77777777" w:rsidR="00B076A2" w:rsidRDefault="00B076A2" w:rsidP="00B076A2">
      <w:pPr>
        <w:spacing w:after="0" w:line="240" w:lineRule="auto"/>
        <w:jc w:val="both"/>
        <w:rPr>
          <w:rFonts w:ascii="Arial" w:hAnsi="Arial" w:cs="Arial"/>
          <w:sz w:val="24"/>
        </w:rPr>
      </w:pPr>
      <w:r w:rsidRPr="00D43B31">
        <w:rPr>
          <w:rFonts w:ascii="Arial" w:hAnsi="Arial" w:cs="Arial"/>
          <w:sz w:val="24"/>
        </w:rPr>
        <w:t>El mandato constitucional de administrar los</w:t>
      </w:r>
      <w:r>
        <w:rPr>
          <w:rFonts w:ascii="Arial" w:hAnsi="Arial" w:cs="Arial"/>
          <w:sz w:val="24"/>
        </w:rPr>
        <w:t xml:space="preserve"> </w:t>
      </w:r>
      <w:r w:rsidRPr="00D43B31">
        <w:rPr>
          <w:rFonts w:ascii="Arial" w:hAnsi="Arial" w:cs="Arial"/>
          <w:sz w:val="24"/>
        </w:rPr>
        <w:t>recursos públicos atendiendo los principios de e</w:t>
      </w:r>
      <w:r>
        <w:rPr>
          <w:rFonts w:ascii="Arial" w:hAnsi="Arial" w:cs="Arial"/>
          <w:sz w:val="24"/>
        </w:rPr>
        <w:t xml:space="preserve">ficiencia, eficacia, economía, </w:t>
      </w:r>
      <w:r w:rsidRPr="00D43B31">
        <w:rPr>
          <w:rFonts w:ascii="Arial" w:hAnsi="Arial" w:cs="Arial"/>
          <w:sz w:val="24"/>
        </w:rPr>
        <w:t>transparencia</w:t>
      </w:r>
      <w:r>
        <w:rPr>
          <w:rFonts w:ascii="Arial" w:hAnsi="Arial" w:cs="Arial"/>
          <w:sz w:val="24"/>
        </w:rPr>
        <w:t xml:space="preserve"> y honradez</w:t>
      </w:r>
      <w:r w:rsidRPr="00D43B31">
        <w:rPr>
          <w:rFonts w:ascii="Arial" w:hAnsi="Arial" w:cs="Arial"/>
          <w:sz w:val="24"/>
        </w:rPr>
        <w:t xml:space="preserve">, requiere </w:t>
      </w:r>
      <w:r>
        <w:rPr>
          <w:rFonts w:ascii="Arial" w:hAnsi="Arial" w:cs="Arial"/>
          <w:sz w:val="24"/>
        </w:rPr>
        <w:t xml:space="preserve">continuar con la modernización de los </w:t>
      </w:r>
      <w:r w:rsidRPr="00D43B31">
        <w:rPr>
          <w:rFonts w:ascii="Arial" w:hAnsi="Arial" w:cs="Arial"/>
          <w:sz w:val="24"/>
        </w:rPr>
        <w:t>principios de la gestión pública.</w:t>
      </w:r>
    </w:p>
    <w:p w14:paraId="15AB8B39" w14:textId="77777777" w:rsidR="00B076A2" w:rsidRPr="00D43B31" w:rsidRDefault="00B076A2" w:rsidP="00B076A2">
      <w:pPr>
        <w:spacing w:after="0" w:line="240" w:lineRule="auto"/>
        <w:jc w:val="both"/>
        <w:rPr>
          <w:rFonts w:ascii="Arial" w:hAnsi="Arial" w:cs="Arial"/>
          <w:sz w:val="24"/>
        </w:rPr>
      </w:pPr>
    </w:p>
    <w:p w14:paraId="7108BCA8" w14:textId="77777777" w:rsidR="00B076A2" w:rsidRDefault="00B076A2" w:rsidP="00B076A2">
      <w:pPr>
        <w:spacing w:after="0" w:line="240" w:lineRule="auto"/>
        <w:jc w:val="both"/>
        <w:rPr>
          <w:rFonts w:ascii="Arial" w:hAnsi="Arial" w:cs="Arial"/>
          <w:sz w:val="24"/>
        </w:rPr>
      </w:pPr>
      <w:r w:rsidRPr="00D43B31">
        <w:rPr>
          <w:rFonts w:ascii="Arial" w:hAnsi="Arial" w:cs="Arial"/>
          <w:sz w:val="24"/>
        </w:rPr>
        <w:t>En Colima impulsamos la consolidación del Presupuesto basado en Resultados y</w:t>
      </w:r>
      <w:r>
        <w:rPr>
          <w:rFonts w:ascii="Arial" w:hAnsi="Arial" w:cs="Arial"/>
          <w:sz w:val="24"/>
        </w:rPr>
        <w:t xml:space="preserve"> </w:t>
      </w:r>
      <w:r w:rsidRPr="00D43B31">
        <w:rPr>
          <w:rFonts w:ascii="Arial" w:hAnsi="Arial" w:cs="Arial"/>
          <w:sz w:val="24"/>
        </w:rPr>
        <w:t>del Sistema de Evaluación del Desempeño, para mejorar la eficacia y eficiencia del</w:t>
      </w:r>
      <w:r>
        <w:rPr>
          <w:rFonts w:ascii="Arial" w:hAnsi="Arial" w:cs="Arial"/>
          <w:sz w:val="24"/>
        </w:rPr>
        <w:t xml:space="preserve"> </w:t>
      </w:r>
      <w:r w:rsidRPr="00D43B31">
        <w:rPr>
          <w:rFonts w:ascii="Arial" w:hAnsi="Arial" w:cs="Arial"/>
          <w:sz w:val="24"/>
        </w:rPr>
        <w:t>gasto y, con ello, la calidad y cobertura de los programas públicos. La</w:t>
      </w:r>
      <w:r>
        <w:rPr>
          <w:rFonts w:ascii="Arial" w:hAnsi="Arial" w:cs="Arial"/>
          <w:sz w:val="24"/>
        </w:rPr>
        <w:t xml:space="preserve"> </w:t>
      </w:r>
      <w:r w:rsidRPr="00D43B31">
        <w:rPr>
          <w:rFonts w:ascii="Arial" w:hAnsi="Arial" w:cs="Arial"/>
          <w:sz w:val="24"/>
        </w:rPr>
        <w:t xml:space="preserve">presupuestación por resultados nos permitirá re-direccionar mayores recursos </w:t>
      </w:r>
      <w:r>
        <w:rPr>
          <w:rFonts w:ascii="Arial" w:hAnsi="Arial" w:cs="Arial"/>
          <w:sz w:val="24"/>
        </w:rPr>
        <w:t xml:space="preserve">a las necesidades más apremiantes, como lo es el tema de salud. </w:t>
      </w:r>
    </w:p>
    <w:p w14:paraId="773A66A6" w14:textId="77777777" w:rsidR="00B076A2" w:rsidRPr="00D43B31" w:rsidRDefault="00B076A2" w:rsidP="00B076A2">
      <w:pPr>
        <w:spacing w:after="0" w:line="240" w:lineRule="auto"/>
        <w:jc w:val="both"/>
        <w:rPr>
          <w:rFonts w:ascii="Arial" w:hAnsi="Arial" w:cs="Arial"/>
          <w:sz w:val="24"/>
        </w:rPr>
      </w:pPr>
    </w:p>
    <w:p w14:paraId="1680E49F" w14:textId="77777777" w:rsidR="00B076A2" w:rsidRDefault="00B076A2" w:rsidP="00B076A2">
      <w:pPr>
        <w:spacing w:after="0" w:line="240" w:lineRule="auto"/>
        <w:jc w:val="both"/>
        <w:rPr>
          <w:rFonts w:ascii="Arial" w:hAnsi="Arial" w:cs="Arial"/>
          <w:sz w:val="24"/>
        </w:rPr>
      </w:pPr>
      <w:r w:rsidRPr="00D43B31">
        <w:rPr>
          <w:rFonts w:ascii="Arial" w:hAnsi="Arial" w:cs="Arial"/>
          <w:sz w:val="24"/>
        </w:rPr>
        <w:t xml:space="preserve">En el mismo sentido, para elevar la calidad </w:t>
      </w:r>
      <w:r>
        <w:rPr>
          <w:rFonts w:ascii="Arial" w:hAnsi="Arial" w:cs="Arial"/>
          <w:sz w:val="24"/>
        </w:rPr>
        <w:t>del gasto público se han establecido</w:t>
      </w:r>
      <w:r w:rsidRPr="00D43B31">
        <w:rPr>
          <w:rFonts w:ascii="Arial" w:hAnsi="Arial" w:cs="Arial"/>
          <w:sz w:val="24"/>
        </w:rPr>
        <w:t>, de</w:t>
      </w:r>
      <w:r>
        <w:rPr>
          <w:rFonts w:ascii="Arial" w:hAnsi="Arial" w:cs="Arial"/>
          <w:sz w:val="24"/>
        </w:rPr>
        <w:t xml:space="preserve"> </w:t>
      </w:r>
      <w:r w:rsidRPr="00D43B31">
        <w:rPr>
          <w:rFonts w:ascii="Arial" w:hAnsi="Arial" w:cs="Arial"/>
          <w:sz w:val="24"/>
        </w:rPr>
        <w:t>manera permanente, medidas de austeridad, racionalidad y disciplina para el gasto</w:t>
      </w:r>
      <w:r>
        <w:rPr>
          <w:rFonts w:ascii="Arial" w:hAnsi="Arial" w:cs="Arial"/>
          <w:sz w:val="24"/>
        </w:rPr>
        <w:t xml:space="preserve"> </w:t>
      </w:r>
      <w:r w:rsidRPr="00D43B31">
        <w:rPr>
          <w:rFonts w:ascii="Arial" w:hAnsi="Arial" w:cs="Arial"/>
          <w:sz w:val="24"/>
        </w:rPr>
        <w:t>administrativo y operativo, con el fin de contar con una administración pública menos</w:t>
      </w:r>
      <w:r>
        <w:rPr>
          <w:rFonts w:ascii="Arial" w:hAnsi="Arial" w:cs="Arial"/>
          <w:sz w:val="24"/>
        </w:rPr>
        <w:t xml:space="preserve"> </w:t>
      </w:r>
      <w:r w:rsidRPr="00D43B31">
        <w:rPr>
          <w:rFonts w:ascii="Arial" w:hAnsi="Arial" w:cs="Arial"/>
          <w:sz w:val="24"/>
        </w:rPr>
        <w:t>costosa y, con ello, liberar recu</w:t>
      </w:r>
      <w:r>
        <w:rPr>
          <w:rFonts w:ascii="Arial" w:hAnsi="Arial" w:cs="Arial"/>
          <w:sz w:val="24"/>
        </w:rPr>
        <w:t>rsos y redirigirlos a financiar las necesidades de gasto que han surgido actualmente.</w:t>
      </w:r>
    </w:p>
    <w:p w14:paraId="69CF540B" w14:textId="77777777" w:rsidR="00B076A2" w:rsidRPr="00D43B31" w:rsidRDefault="00B076A2" w:rsidP="00B076A2">
      <w:pPr>
        <w:spacing w:after="0" w:line="240" w:lineRule="auto"/>
        <w:jc w:val="both"/>
        <w:rPr>
          <w:rFonts w:ascii="Arial" w:hAnsi="Arial" w:cs="Arial"/>
          <w:sz w:val="24"/>
        </w:rPr>
      </w:pPr>
    </w:p>
    <w:p w14:paraId="51D8113F" w14:textId="77777777" w:rsidR="00B076A2" w:rsidRDefault="00B076A2" w:rsidP="00B076A2">
      <w:pPr>
        <w:spacing w:after="0" w:line="240" w:lineRule="auto"/>
        <w:jc w:val="both"/>
        <w:rPr>
          <w:rFonts w:ascii="Arial" w:hAnsi="Arial" w:cs="Arial"/>
          <w:sz w:val="24"/>
        </w:rPr>
      </w:pPr>
      <w:r w:rsidRPr="00D43B31">
        <w:rPr>
          <w:rFonts w:ascii="Arial" w:hAnsi="Arial" w:cs="Arial"/>
          <w:sz w:val="24"/>
        </w:rPr>
        <w:t>Adicionalmente, se atienden problemáticas estructurales que inciden negativamente</w:t>
      </w:r>
      <w:r>
        <w:rPr>
          <w:rFonts w:ascii="Arial" w:hAnsi="Arial" w:cs="Arial"/>
          <w:sz w:val="24"/>
        </w:rPr>
        <w:t xml:space="preserve"> </w:t>
      </w:r>
      <w:r w:rsidRPr="00D43B31">
        <w:rPr>
          <w:rFonts w:ascii="Arial" w:hAnsi="Arial" w:cs="Arial"/>
          <w:sz w:val="24"/>
        </w:rPr>
        <w:t>en la calidad del gasto presupuestario y limitan la disponibilidad recursos, como la</w:t>
      </w:r>
      <w:r>
        <w:rPr>
          <w:rFonts w:ascii="Arial" w:hAnsi="Arial" w:cs="Arial"/>
          <w:sz w:val="24"/>
        </w:rPr>
        <w:t xml:space="preserve"> que representa el Sistema Público de Pensiones de los Trabajadores al S</w:t>
      </w:r>
      <w:r w:rsidRPr="00D43B31">
        <w:rPr>
          <w:rFonts w:ascii="Arial" w:hAnsi="Arial" w:cs="Arial"/>
          <w:sz w:val="24"/>
        </w:rPr>
        <w:t>ervicio del</w:t>
      </w:r>
      <w:r>
        <w:rPr>
          <w:rFonts w:ascii="Arial" w:hAnsi="Arial" w:cs="Arial"/>
          <w:sz w:val="24"/>
        </w:rPr>
        <w:t xml:space="preserve"> E</w:t>
      </w:r>
      <w:r w:rsidRPr="00D43B31">
        <w:rPr>
          <w:rFonts w:ascii="Arial" w:hAnsi="Arial" w:cs="Arial"/>
          <w:sz w:val="24"/>
        </w:rPr>
        <w:t>stado</w:t>
      </w:r>
      <w:r>
        <w:rPr>
          <w:rFonts w:ascii="Arial" w:hAnsi="Arial" w:cs="Arial"/>
          <w:sz w:val="24"/>
        </w:rPr>
        <w:t xml:space="preserve">, situación que se ha atendido con la reforma al Sistema de Pensiones y el creado </w:t>
      </w:r>
      <w:r w:rsidRPr="00D43B31">
        <w:rPr>
          <w:rFonts w:ascii="Arial" w:hAnsi="Arial" w:cs="Arial"/>
          <w:sz w:val="24"/>
        </w:rPr>
        <w:t>Instituto de Pensiones de los Servidores Públicos del Estado de Colima</w:t>
      </w:r>
      <w:r>
        <w:rPr>
          <w:rFonts w:ascii="Arial" w:hAnsi="Arial" w:cs="Arial"/>
          <w:sz w:val="24"/>
        </w:rPr>
        <w:t xml:space="preserve">. </w:t>
      </w:r>
    </w:p>
    <w:p w14:paraId="691A8343" w14:textId="77777777" w:rsidR="00B076A2" w:rsidRDefault="00B076A2" w:rsidP="00B076A2">
      <w:pPr>
        <w:spacing w:after="0" w:line="240" w:lineRule="auto"/>
        <w:jc w:val="both"/>
        <w:rPr>
          <w:rFonts w:ascii="Arial" w:hAnsi="Arial" w:cs="Arial"/>
          <w:sz w:val="24"/>
        </w:rPr>
      </w:pPr>
    </w:p>
    <w:p w14:paraId="392A9854" w14:textId="77777777" w:rsidR="00B076A2" w:rsidRDefault="00B076A2" w:rsidP="00B076A2">
      <w:pPr>
        <w:pStyle w:val="Prrafodelista"/>
        <w:numPr>
          <w:ilvl w:val="0"/>
          <w:numId w:val="28"/>
        </w:numPr>
        <w:spacing w:after="0" w:line="240" w:lineRule="auto"/>
        <w:jc w:val="both"/>
        <w:rPr>
          <w:rFonts w:ascii="Arial" w:hAnsi="Arial" w:cs="Arial"/>
          <w:i/>
          <w:sz w:val="24"/>
        </w:rPr>
      </w:pPr>
      <w:r w:rsidRPr="00EE2B9B">
        <w:rPr>
          <w:rFonts w:ascii="Arial" w:hAnsi="Arial" w:cs="Arial"/>
          <w:i/>
          <w:sz w:val="24"/>
        </w:rPr>
        <w:t>Impulsar un mayor gasto federal en la entidad, principalmente el de inversión en infraestructura.</w:t>
      </w:r>
    </w:p>
    <w:p w14:paraId="32229314" w14:textId="77777777" w:rsidR="00B076A2" w:rsidRPr="00FE51C6" w:rsidRDefault="00B076A2" w:rsidP="00B076A2">
      <w:pPr>
        <w:spacing w:after="0" w:line="240" w:lineRule="auto"/>
        <w:jc w:val="both"/>
        <w:rPr>
          <w:rFonts w:ascii="Arial" w:hAnsi="Arial" w:cs="Arial"/>
          <w:i/>
          <w:sz w:val="24"/>
        </w:rPr>
      </w:pPr>
    </w:p>
    <w:p w14:paraId="73712175" w14:textId="77777777" w:rsidR="00B076A2" w:rsidRDefault="00B076A2" w:rsidP="00B076A2">
      <w:pPr>
        <w:spacing w:after="0" w:line="240" w:lineRule="auto"/>
        <w:jc w:val="both"/>
        <w:rPr>
          <w:rFonts w:ascii="Arial" w:hAnsi="Arial" w:cs="Arial"/>
          <w:sz w:val="24"/>
        </w:rPr>
      </w:pPr>
      <w:r w:rsidRPr="00D43B31">
        <w:rPr>
          <w:rFonts w:ascii="Arial" w:hAnsi="Arial" w:cs="Arial"/>
          <w:sz w:val="24"/>
        </w:rPr>
        <w:lastRenderedPageBreak/>
        <w:t>Históricamente, el gasto público que el gobierno</w:t>
      </w:r>
      <w:r>
        <w:rPr>
          <w:rFonts w:ascii="Arial" w:hAnsi="Arial" w:cs="Arial"/>
          <w:sz w:val="24"/>
        </w:rPr>
        <w:t xml:space="preserve"> </w:t>
      </w:r>
      <w:r w:rsidRPr="00D43B31">
        <w:rPr>
          <w:rFonts w:ascii="Arial" w:hAnsi="Arial" w:cs="Arial"/>
          <w:sz w:val="24"/>
        </w:rPr>
        <w:t>federal destina para su ejercicio en el territorio estatal, ha tenido gran importancia</w:t>
      </w:r>
      <w:r>
        <w:rPr>
          <w:rFonts w:ascii="Arial" w:hAnsi="Arial" w:cs="Arial"/>
          <w:sz w:val="24"/>
        </w:rPr>
        <w:t xml:space="preserve"> </w:t>
      </w:r>
      <w:r w:rsidRPr="00D43B31">
        <w:rPr>
          <w:rFonts w:ascii="Arial" w:hAnsi="Arial" w:cs="Arial"/>
          <w:sz w:val="24"/>
        </w:rPr>
        <w:t>en el desarrollo del estado, como complemento del presupuesto estatal.</w:t>
      </w:r>
    </w:p>
    <w:p w14:paraId="561D7260" w14:textId="77777777" w:rsidR="00B076A2" w:rsidRDefault="00B076A2" w:rsidP="00B076A2">
      <w:pPr>
        <w:spacing w:after="0" w:line="240" w:lineRule="auto"/>
        <w:jc w:val="both"/>
        <w:rPr>
          <w:rFonts w:ascii="Arial" w:hAnsi="Arial" w:cs="Arial"/>
          <w:sz w:val="24"/>
        </w:rPr>
      </w:pPr>
    </w:p>
    <w:p w14:paraId="42B9A3DE" w14:textId="77777777" w:rsidR="00B076A2" w:rsidRDefault="00B076A2" w:rsidP="00B076A2">
      <w:pPr>
        <w:spacing w:after="0" w:line="240" w:lineRule="auto"/>
        <w:jc w:val="both"/>
        <w:rPr>
          <w:rFonts w:ascii="Arial" w:hAnsi="Arial" w:cs="Arial"/>
          <w:sz w:val="24"/>
        </w:rPr>
      </w:pPr>
      <w:r w:rsidRPr="00D43B31">
        <w:rPr>
          <w:rFonts w:ascii="Arial" w:hAnsi="Arial" w:cs="Arial"/>
          <w:sz w:val="24"/>
        </w:rPr>
        <w:t>Las dependencias y organismos públicos federales, de manera directa, desarrollan</w:t>
      </w:r>
      <w:r>
        <w:rPr>
          <w:rFonts w:ascii="Arial" w:hAnsi="Arial" w:cs="Arial"/>
          <w:sz w:val="24"/>
        </w:rPr>
        <w:t xml:space="preserve"> </w:t>
      </w:r>
      <w:r w:rsidRPr="00D43B31">
        <w:rPr>
          <w:rFonts w:ascii="Arial" w:hAnsi="Arial" w:cs="Arial"/>
          <w:sz w:val="24"/>
        </w:rPr>
        <w:t>infraestructura y obra pública, y atienden la política social de la Federación.</w:t>
      </w:r>
      <w:r>
        <w:rPr>
          <w:rFonts w:ascii="Arial" w:hAnsi="Arial" w:cs="Arial"/>
          <w:sz w:val="24"/>
        </w:rPr>
        <w:t xml:space="preserve"> </w:t>
      </w:r>
      <w:r w:rsidRPr="00D43B31">
        <w:rPr>
          <w:rFonts w:ascii="Arial" w:hAnsi="Arial" w:cs="Arial"/>
          <w:sz w:val="24"/>
        </w:rPr>
        <w:t>Asimismo, formalizan convenios de coordinación con el Gobierno del Estado, para</w:t>
      </w:r>
      <w:r>
        <w:rPr>
          <w:rFonts w:ascii="Arial" w:hAnsi="Arial" w:cs="Arial"/>
          <w:sz w:val="24"/>
        </w:rPr>
        <w:t xml:space="preserve"> </w:t>
      </w:r>
      <w:r w:rsidRPr="00D43B31">
        <w:rPr>
          <w:rFonts w:ascii="Arial" w:hAnsi="Arial" w:cs="Arial"/>
          <w:sz w:val="24"/>
        </w:rPr>
        <w:t>la realización de infraestructura, la puesta en marcha de proyectos productivos y la</w:t>
      </w:r>
      <w:r>
        <w:rPr>
          <w:rFonts w:ascii="Arial" w:hAnsi="Arial" w:cs="Arial"/>
          <w:sz w:val="24"/>
        </w:rPr>
        <w:t xml:space="preserve"> </w:t>
      </w:r>
      <w:r w:rsidRPr="00D43B31">
        <w:rPr>
          <w:rFonts w:ascii="Arial" w:hAnsi="Arial" w:cs="Arial"/>
          <w:sz w:val="24"/>
        </w:rPr>
        <w:t>atención de grupos vulnerables de la población.</w:t>
      </w:r>
    </w:p>
    <w:p w14:paraId="66D05111" w14:textId="77777777" w:rsidR="00B076A2" w:rsidRDefault="00B076A2" w:rsidP="00B076A2">
      <w:pPr>
        <w:spacing w:after="0" w:line="240" w:lineRule="auto"/>
        <w:jc w:val="both"/>
        <w:rPr>
          <w:rFonts w:ascii="Arial" w:hAnsi="Arial" w:cs="Arial"/>
          <w:sz w:val="24"/>
        </w:rPr>
      </w:pPr>
    </w:p>
    <w:p w14:paraId="60C2D5B6" w14:textId="77777777" w:rsidR="00B076A2" w:rsidRDefault="00B076A2" w:rsidP="00B076A2">
      <w:pPr>
        <w:spacing w:after="0" w:line="240" w:lineRule="auto"/>
        <w:jc w:val="both"/>
        <w:rPr>
          <w:rFonts w:ascii="Arial" w:hAnsi="Arial" w:cs="Arial"/>
          <w:sz w:val="24"/>
        </w:rPr>
      </w:pPr>
      <w:r w:rsidRPr="00D43B31">
        <w:rPr>
          <w:rFonts w:ascii="Arial" w:hAnsi="Arial" w:cs="Arial"/>
          <w:sz w:val="24"/>
        </w:rPr>
        <w:t>En la medida en que se alcance una más estrecha coordinación entre autoridades</w:t>
      </w:r>
      <w:r>
        <w:rPr>
          <w:rFonts w:ascii="Arial" w:hAnsi="Arial" w:cs="Arial"/>
          <w:sz w:val="24"/>
        </w:rPr>
        <w:t xml:space="preserve"> </w:t>
      </w:r>
      <w:r w:rsidRPr="00D43B31">
        <w:rPr>
          <w:rFonts w:ascii="Arial" w:hAnsi="Arial" w:cs="Arial"/>
          <w:sz w:val="24"/>
        </w:rPr>
        <w:t>estatales y federales, los recursos destinados a Colima en el Presupuesto de</w:t>
      </w:r>
      <w:r>
        <w:rPr>
          <w:rFonts w:ascii="Arial" w:hAnsi="Arial" w:cs="Arial"/>
          <w:sz w:val="24"/>
        </w:rPr>
        <w:t xml:space="preserve"> </w:t>
      </w:r>
      <w:r w:rsidRPr="00D43B31">
        <w:rPr>
          <w:rFonts w:ascii="Arial" w:hAnsi="Arial" w:cs="Arial"/>
          <w:sz w:val="24"/>
        </w:rPr>
        <w:t>Egresos de la Federación pueden ser de mayor cuantía y</w:t>
      </w:r>
      <w:r>
        <w:rPr>
          <w:rFonts w:ascii="Arial" w:hAnsi="Arial" w:cs="Arial"/>
          <w:sz w:val="24"/>
        </w:rPr>
        <w:t>,</w:t>
      </w:r>
      <w:r w:rsidRPr="00D43B31">
        <w:rPr>
          <w:rFonts w:ascii="Arial" w:hAnsi="Arial" w:cs="Arial"/>
          <w:sz w:val="24"/>
        </w:rPr>
        <w:t xml:space="preserve"> </w:t>
      </w:r>
      <w:r>
        <w:rPr>
          <w:rFonts w:ascii="Arial" w:hAnsi="Arial" w:cs="Arial"/>
          <w:sz w:val="24"/>
        </w:rPr>
        <w:t xml:space="preserve">por ende, </w:t>
      </w:r>
      <w:r w:rsidRPr="00D43B31">
        <w:rPr>
          <w:rFonts w:ascii="Arial" w:hAnsi="Arial" w:cs="Arial"/>
          <w:sz w:val="24"/>
        </w:rPr>
        <w:t>tener un impacto más</w:t>
      </w:r>
      <w:r>
        <w:rPr>
          <w:rFonts w:ascii="Arial" w:hAnsi="Arial" w:cs="Arial"/>
          <w:sz w:val="24"/>
        </w:rPr>
        <w:t xml:space="preserve"> </w:t>
      </w:r>
      <w:r w:rsidRPr="00D43B31">
        <w:rPr>
          <w:rFonts w:ascii="Arial" w:hAnsi="Arial" w:cs="Arial"/>
          <w:sz w:val="24"/>
        </w:rPr>
        <w:t>significativo en la atención de las demandas sociales y necesidades de obra pública</w:t>
      </w:r>
      <w:r>
        <w:rPr>
          <w:rFonts w:ascii="Arial" w:hAnsi="Arial" w:cs="Arial"/>
          <w:sz w:val="24"/>
        </w:rPr>
        <w:t xml:space="preserve"> </w:t>
      </w:r>
      <w:r w:rsidRPr="00D43B31">
        <w:rPr>
          <w:rFonts w:ascii="Arial" w:hAnsi="Arial" w:cs="Arial"/>
          <w:sz w:val="24"/>
        </w:rPr>
        <w:t>e infraestructura.</w:t>
      </w:r>
    </w:p>
    <w:p w14:paraId="2D8D8D78" w14:textId="77777777" w:rsidR="00B076A2" w:rsidRDefault="00B076A2" w:rsidP="00B076A2">
      <w:pPr>
        <w:spacing w:after="0" w:line="240" w:lineRule="auto"/>
        <w:jc w:val="both"/>
        <w:rPr>
          <w:rFonts w:ascii="Arial" w:hAnsi="Arial" w:cs="Arial"/>
          <w:sz w:val="24"/>
        </w:rPr>
      </w:pPr>
    </w:p>
    <w:p w14:paraId="2A791314" w14:textId="77777777" w:rsidR="00B076A2" w:rsidRDefault="00B076A2" w:rsidP="00B076A2">
      <w:pPr>
        <w:spacing w:after="0" w:line="240" w:lineRule="auto"/>
        <w:jc w:val="both"/>
        <w:rPr>
          <w:rFonts w:ascii="Arial" w:hAnsi="Arial" w:cs="Arial"/>
          <w:sz w:val="24"/>
        </w:rPr>
      </w:pPr>
      <w:r w:rsidRPr="00D43B31">
        <w:rPr>
          <w:rFonts w:ascii="Arial" w:hAnsi="Arial" w:cs="Arial"/>
          <w:sz w:val="24"/>
        </w:rPr>
        <w:t>En el financiamiento del desarrollo del Estado es fundamental profundizar la</w:t>
      </w:r>
      <w:r>
        <w:rPr>
          <w:rFonts w:ascii="Arial" w:hAnsi="Arial" w:cs="Arial"/>
          <w:sz w:val="24"/>
        </w:rPr>
        <w:t xml:space="preserve"> </w:t>
      </w:r>
      <w:r w:rsidRPr="00D43B31">
        <w:rPr>
          <w:rFonts w:ascii="Arial" w:hAnsi="Arial" w:cs="Arial"/>
          <w:sz w:val="24"/>
        </w:rPr>
        <w:t>coordinación con las dependencias y entes públicos de la federación, para impulsar</w:t>
      </w:r>
      <w:r>
        <w:rPr>
          <w:rFonts w:ascii="Arial" w:hAnsi="Arial" w:cs="Arial"/>
          <w:sz w:val="24"/>
        </w:rPr>
        <w:t xml:space="preserve"> </w:t>
      </w:r>
      <w:r w:rsidRPr="00D43B31">
        <w:rPr>
          <w:rFonts w:ascii="Arial" w:hAnsi="Arial" w:cs="Arial"/>
          <w:sz w:val="24"/>
        </w:rPr>
        <w:t>un mayor gasto federal en la entidad.</w:t>
      </w:r>
    </w:p>
    <w:p w14:paraId="01DDC1FB" w14:textId="77777777" w:rsidR="00B076A2" w:rsidRDefault="00B076A2" w:rsidP="00B076A2">
      <w:pPr>
        <w:spacing w:after="0" w:line="240" w:lineRule="auto"/>
        <w:jc w:val="both"/>
        <w:rPr>
          <w:rFonts w:ascii="Arial" w:hAnsi="Arial" w:cs="Arial"/>
          <w:sz w:val="24"/>
        </w:rPr>
      </w:pPr>
    </w:p>
    <w:p w14:paraId="33677A40" w14:textId="77777777" w:rsidR="00B076A2" w:rsidRDefault="00B076A2" w:rsidP="00B076A2">
      <w:pPr>
        <w:spacing w:after="0" w:line="240" w:lineRule="auto"/>
        <w:jc w:val="both"/>
        <w:rPr>
          <w:rFonts w:ascii="Arial" w:hAnsi="Arial" w:cs="Arial"/>
          <w:sz w:val="24"/>
        </w:rPr>
      </w:pPr>
      <w:r w:rsidRPr="00EE2B9B">
        <w:rPr>
          <w:rFonts w:ascii="Arial" w:hAnsi="Arial" w:cs="Arial"/>
          <w:sz w:val="24"/>
        </w:rPr>
        <w:t>En esta estrategia, será necesario coadyuvar con la realización de los estudios y</w:t>
      </w:r>
      <w:r>
        <w:rPr>
          <w:rFonts w:ascii="Arial" w:hAnsi="Arial" w:cs="Arial"/>
          <w:sz w:val="24"/>
        </w:rPr>
        <w:t xml:space="preserve"> </w:t>
      </w:r>
      <w:r w:rsidRPr="00EE2B9B">
        <w:rPr>
          <w:rFonts w:ascii="Arial" w:hAnsi="Arial" w:cs="Arial"/>
          <w:sz w:val="24"/>
        </w:rPr>
        <w:t>proyectos de interés para el estado, y que sean susceptibles de ser financiados con</w:t>
      </w:r>
      <w:r>
        <w:rPr>
          <w:rFonts w:ascii="Arial" w:hAnsi="Arial" w:cs="Arial"/>
          <w:sz w:val="24"/>
        </w:rPr>
        <w:t xml:space="preserve"> </w:t>
      </w:r>
      <w:r w:rsidRPr="00EE2B9B">
        <w:rPr>
          <w:rFonts w:ascii="Arial" w:hAnsi="Arial" w:cs="Arial"/>
          <w:sz w:val="24"/>
        </w:rPr>
        <w:t>recursos del presupuesto federal. Asimis</w:t>
      </w:r>
      <w:r>
        <w:rPr>
          <w:rFonts w:ascii="Arial" w:hAnsi="Arial" w:cs="Arial"/>
          <w:sz w:val="24"/>
        </w:rPr>
        <w:t xml:space="preserve">mo, para potenciar los recursos </w:t>
      </w:r>
      <w:r w:rsidRPr="00EE2B9B">
        <w:rPr>
          <w:rFonts w:ascii="Arial" w:hAnsi="Arial" w:cs="Arial"/>
          <w:sz w:val="24"/>
        </w:rPr>
        <w:t>transferidos vía los convenios de coordinación, el gobierno estatal deberá atender</w:t>
      </w:r>
      <w:r>
        <w:rPr>
          <w:rFonts w:ascii="Arial" w:hAnsi="Arial" w:cs="Arial"/>
          <w:sz w:val="24"/>
        </w:rPr>
        <w:t xml:space="preserve"> </w:t>
      </w:r>
      <w:r w:rsidRPr="00EE2B9B">
        <w:rPr>
          <w:rFonts w:ascii="Arial" w:hAnsi="Arial" w:cs="Arial"/>
          <w:sz w:val="24"/>
        </w:rPr>
        <w:t>plenamente las contrapartes acordadas en los instrumentos jurídicos, con lo que se</w:t>
      </w:r>
      <w:r>
        <w:rPr>
          <w:rFonts w:ascii="Arial" w:hAnsi="Arial" w:cs="Arial"/>
          <w:sz w:val="24"/>
        </w:rPr>
        <w:t xml:space="preserve"> </w:t>
      </w:r>
      <w:r w:rsidRPr="00EE2B9B">
        <w:rPr>
          <w:rFonts w:ascii="Arial" w:hAnsi="Arial" w:cs="Arial"/>
          <w:sz w:val="24"/>
        </w:rPr>
        <w:t>podrán incrementar los techos de gasto de diversos programas públicos, en</w:t>
      </w:r>
      <w:r>
        <w:rPr>
          <w:rFonts w:ascii="Arial" w:hAnsi="Arial" w:cs="Arial"/>
          <w:sz w:val="24"/>
        </w:rPr>
        <w:t xml:space="preserve"> </w:t>
      </w:r>
      <w:r w:rsidRPr="00EE2B9B">
        <w:rPr>
          <w:rFonts w:ascii="Arial" w:hAnsi="Arial" w:cs="Arial"/>
          <w:sz w:val="24"/>
        </w:rPr>
        <w:t>beneficio de un mayor número de colimenses.</w:t>
      </w:r>
    </w:p>
    <w:p w14:paraId="23C9A858" w14:textId="77777777" w:rsidR="00B076A2" w:rsidRPr="00D43B31" w:rsidRDefault="00B076A2" w:rsidP="00B076A2">
      <w:pPr>
        <w:spacing w:after="0" w:line="240" w:lineRule="auto"/>
        <w:jc w:val="both"/>
        <w:rPr>
          <w:rFonts w:ascii="Arial" w:hAnsi="Arial" w:cs="Arial"/>
          <w:sz w:val="24"/>
        </w:rPr>
      </w:pPr>
    </w:p>
    <w:p w14:paraId="0A4C0034" w14:textId="77777777" w:rsidR="00B076A2" w:rsidRDefault="00B076A2" w:rsidP="00B076A2">
      <w:pPr>
        <w:pStyle w:val="Prrafodelista"/>
        <w:numPr>
          <w:ilvl w:val="0"/>
          <w:numId w:val="28"/>
        </w:numPr>
        <w:spacing w:after="0" w:line="240" w:lineRule="auto"/>
        <w:jc w:val="both"/>
        <w:rPr>
          <w:rFonts w:ascii="Arial" w:hAnsi="Arial" w:cs="Arial"/>
          <w:i/>
          <w:sz w:val="24"/>
        </w:rPr>
      </w:pPr>
      <w:r w:rsidRPr="00EE2B9B">
        <w:rPr>
          <w:rFonts w:ascii="Arial" w:hAnsi="Arial" w:cs="Arial"/>
          <w:i/>
          <w:sz w:val="24"/>
        </w:rPr>
        <w:t>Implementar una política de deuda pública responsable.</w:t>
      </w:r>
    </w:p>
    <w:p w14:paraId="20B08244" w14:textId="77777777" w:rsidR="00B076A2" w:rsidRPr="00372E49" w:rsidRDefault="00B076A2" w:rsidP="00B076A2">
      <w:pPr>
        <w:spacing w:after="0" w:line="240" w:lineRule="auto"/>
        <w:jc w:val="both"/>
        <w:rPr>
          <w:rFonts w:ascii="Arial" w:hAnsi="Arial" w:cs="Arial"/>
          <w:i/>
          <w:sz w:val="24"/>
        </w:rPr>
      </w:pPr>
    </w:p>
    <w:p w14:paraId="2E822719" w14:textId="77777777" w:rsidR="00B076A2" w:rsidRDefault="00B076A2" w:rsidP="00B076A2">
      <w:pPr>
        <w:spacing w:after="0" w:line="240" w:lineRule="auto"/>
        <w:jc w:val="both"/>
        <w:rPr>
          <w:rFonts w:ascii="Arial" w:hAnsi="Arial" w:cs="Arial"/>
          <w:sz w:val="24"/>
        </w:rPr>
      </w:pPr>
      <w:r>
        <w:rPr>
          <w:rFonts w:ascii="Arial" w:hAnsi="Arial" w:cs="Arial"/>
          <w:sz w:val="24"/>
        </w:rPr>
        <w:t>Al segundo trimestre de 2020 el Sistema de Alertas de la Secretaría de Hacienda y Crédito Público ha determinado que el Gobierno del Estado de Colima cuenta con un endeudamiento sostenible, lo que da un techo de financiamiento neto de hasta el equivalente 15 por ciento de los ingresos de libre disposición.</w:t>
      </w:r>
    </w:p>
    <w:p w14:paraId="5222ACFE" w14:textId="77777777" w:rsidR="00B076A2" w:rsidRPr="00E56F97" w:rsidRDefault="00B076A2" w:rsidP="00B076A2">
      <w:pPr>
        <w:spacing w:after="0" w:line="240" w:lineRule="auto"/>
        <w:jc w:val="both"/>
        <w:rPr>
          <w:rFonts w:ascii="Arial" w:hAnsi="Arial" w:cs="Arial"/>
          <w:sz w:val="24"/>
        </w:rPr>
      </w:pPr>
    </w:p>
    <w:p w14:paraId="17536DFC" w14:textId="77777777" w:rsidR="00B076A2" w:rsidRDefault="00B076A2" w:rsidP="00B076A2">
      <w:pPr>
        <w:pStyle w:val="Prrafodelista"/>
        <w:numPr>
          <w:ilvl w:val="0"/>
          <w:numId w:val="28"/>
        </w:numPr>
        <w:spacing w:after="0" w:line="240" w:lineRule="auto"/>
        <w:jc w:val="both"/>
        <w:rPr>
          <w:rFonts w:ascii="Arial" w:hAnsi="Arial" w:cs="Arial"/>
          <w:i/>
          <w:sz w:val="24"/>
        </w:rPr>
      </w:pPr>
      <w:r w:rsidRPr="00EE2B9B">
        <w:rPr>
          <w:rFonts w:ascii="Arial" w:hAnsi="Arial" w:cs="Arial"/>
          <w:i/>
          <w:sz w:val="24"/>
        </w:rPr>
        <w:t>Promover esquemas de financiamiento, como son las Asociaciones Público-Privadas.</w:t>
      </w:r>
    </w:p>
    <w:p w14:paraId="76AF0AA0" w14:textId="77777777" w:rsidR="00B076A2" w:rsidRPr="00CA7AAD" w:rsidRDefault="00B076A2" w:rsidP="00B076A2">
      <w:pPr>
        <w:spacing w:after="0" w:line="240" w:lineRule="auto"/>
        <w:jc w:val="both"/>
        <w:rPr>
          <w:rFonts w:ascii="Arial" w:hAnsi="Arial" w:cs="Arial"/>
          <w:i/>
          <w:sz w:val="24"/>
        </w:rPr>
      </w:pPr>
    </w:p>
    <w:p w14:paraId="3437912A" w14:textId="77777777" w:rsidR="00B076A2" w:rsidRDefault="00B076A2" w:rsidP="00B076A2">
      <w:pPr>
        <w:spacing w:after="0" w:line="240" w:lineRule="auto"/>
        <w:jc w:val="both"/>
        <w:rPr>
          <w:rFonts w:ascii="Arial" w:hAnsi="Arial" w:cs="Arial"/>
          <w:sz w:val="24"/>
        </w:rPr>
      </w:pPr>
      <w:r w:rsidRPr="00EE2B9B">
        <w:rPr>
          <w:rFonts w:ascii="Arial" w:hAnsi="Arial" w:cs="Arial"/>
          <w:sz w:val="24"/>
        </w:rPr>
        <w:t>Ante la escasez de recursos para</w:t>
      </w:r>
      <w:r>
        <w:rPr>
          <w:rFonts w:ascii="Arial" w:hAnsi="Arial" w:cs="Arial"/>
          <w:sz w:val="24"/>
        </w:rPr>
        <w:t xml:space="preserve"> </w:t>
      </w:r>
      <w:r w:rsidRPr="00EE2B9B">
        <w:rPr>
          <w:rFonts w:ascii="Arial" w:hAnsi="Arial" w:cs="Arial"/>
          <w:sz w:val="24"/>
        </w:rPr>
        <w:t>desarrollar grandes obras de infraestructura, se vuelve necesario considerar el</w:t>
      </w:r>
      <w:r>
        <w:rPr>
          <w:rFonts w:ascii="Arial" w:hAnsi="Arial" w:cs="Arial"/>
          <w:sz w:val="24"/>
        </w:rPr>
        <w:t xml:space="preserve"> </w:t>
      </w:r>
      <w:r w:rsidRPr="00EE2B9B">
        <w:rPr>
          <w:rFonts w:ascii="Arial" w:hAnsi="Arial" w:cs="Arial"/>
          <w:sz w:val="24"/>
        </w:rPr>
        <w:t xml:space="preserve">otorgar un mayor impulso y promoción a la </w:t>
      </w:r>
      <w:r w:rsidRPr="00EE2B9B">
        <w:rPr>
          <w:rFonts w:ascii="Arial" w:hAnsi="Arial" w:cs="Arial"/>
          <w:sz w:val="24"/>
        </w:rPr>
        <w:lastRenderedPageBreak/>
        <w:t>inversión por parte del sector privado,</w:t>
      </w:r>
      <w:r>
        <w:rPr>
          <w:rFonts w:ascii="Arial" w:hAnsi="Arial" w:cs="Arial"/>
          <w:sz w:val="24"/>
        </w:rPr>
        <w:t xml:space="preserve"> como complemento</w:t>
      </w:r>
      <w:r w:rsidRPr="00EE2B9B">
        <w:rPr>
          <w:rFonts w:ascii="Arial" w:hAnsi="Arial" w:cs="Arial"/>
          <w:sz w:val="24"/>
        </w:rPr>
        <w:t xml:space="preserve"> de la inversión pública, para lograr más rápidamente las metas</w:t>
      </w:r>
      <w:r>
        <w:rPr>
          <w:rFonts w:ascii="Arial" w:hAnsi="Arial" w:cs="Arial"/>
          <w:sz w:val="24"/>
        </w:rPr>
        <w:t xml:space="preserve"> </w:t>
      </w:r>
      <w:r w:rsidRPr="00EE2B9B">
        <w:rPr>
          <w:rFonts w:ascii="Arial" w:hAnsi="Arial" w:cs="Arial"/>
          <w:sz w:val="24"/>
        </w:rPr>
        <w:t>de desarrollo del estado.</w:t>
      </w:r>
    </w:p>
    <w:p w14:paraId="52C8C79B" w14:textId="77777777" w:rsidR="00B076A2" w:rsidRDefault="00B076A2" w:rsidP="00B076A2">
      <w:pPr>
        <w:spacing w:after="0" w:line="240" w:lineRule="auto"/>
        <w:jc w:val="both"/>
        <w:rPr>
          <w:rFonts w:ascii="Arial" w:hAnsi="Arial" w:cs="Arial"/>
          <w:sz w:val="24"/>
        </w:rPr>
      </w:pPr>
    </w:p>
    <w:p w14:paraId="7B9E6CDB" w14:textId="77777777" w:rsidR="00B076A2" w:rsidRDefault="00B076A2" w:rsidP="00B076A2">
      <w:pPr>
        <w:spacing w:after="0" w:line="240" w:lineRule="auto"/>
        <w:jc w:val="both"/>
        <w:rPr>
          <w:rFonts w:ascii="Arial" w:hAnsi="Arial" w:cs="Arial"/>
          <w:sz w:val="24"/>
        </w:rPr>
      </w:pPr>
      <w:r>
        <w:rPr>
          <w:rFonts w:ascii="Arial" w:hAnsi="Arial" w:cs="Arial"/>
          <w:sz w:val="24"/>
        </w:rPr>
        <w:t xml:space="preserve">Para la ejecución </w:t>
      </w:r>
      <w:r w:rsidRPr="00EE2B9B">
        <w:rPr>
          <w:rFonts w:ascii="Arial" w:hAnsi="Arial" w:cs="Arial"/>
          <w:sz w:val="24"/>
        </w:rPr>
        <w:t>de algunos proyectos de infraestructura de alto impacto, perfilados en la planeaci</w:t>
      </w:r>
      <w:r>
        <w:rPr>
          <w:rFonts w:ascii="Arial" w:hAnsi="Arial" w:cs="Arial"/>
          <w:sz w:val="24"/>
        </w:rPr>
        <w:t xml:space="preserve">ón para el desarrollo de Colima, en </w:t>
      </w:r>
      <w:r w:rsidRPr="00EE2B9B">
        <w:rPr>
          <w:rFonts w:ascii="Arial" w:hAnsi="Arial" w:cs="Arial"/>
          <w:sz w:val="24"/>
        </w:rPr>
        <w:t xml:space="preserve">2021, se </w:t>
      </w:r>
      <w:r>
        <w:rPr>
          <w:rFonts w:ascii="Arial" w:hAnsi="Arial" w:cs="Arial"/>
          <w:sz w:val="24"/>
        </w:rPr>
        <w:t>requiere</w:t>
      </w:r>
      <w:r w:rsidRPr="00EE2B9B">
        <w:rPr>
          <w:rFonts w:ascii="Arial" w:hAnsi="Arial" w:cs="Arial"/>
          <w:sz w:val="24"/>
        </w:rPr>
        <w:t xml:space="preserve"> utilizar los esquemas de asociaciones público-privadas como fuente de financiamiento. Ello redundará en una mayor atracción de inversiones privadas a la entidad y mejores condiciones financieras para el estado.</w:t>
      </w:r>
    </w:p>
    <w:p w14:paraId="07C30ED0" w14:textId="77777777" w:rsidR="00B076A2" w:rsidRDefault="00B076A2" w:rsidP="00B076A2">
      <w:pPr>
        <w:spacing w:after="0" w:line="240" w:lineRule="auto"/>
        <w:jc w:val="both"/>
        <w:rPr>
          <w:rFonts w:ascii="Arial" w:hAnsi="Arial" w:cs="Arial"/>
          <w:sz w:val="24"/>
        </w:rPr>
      </w:pPr>
    </w:p>
    <w:p w14:paraId="611C01C6" w14:textId="77777777" w:rsidR="00B076A2" w:rsidRPr="00CA7AAD" w:rsidRDefault="00B076A2" w:rsidP="00B076A2">
      <w:pPr>
        <w:pStyle w:val="Prrafodelista"/>
        <w:numPr>
          <w:ilvl w:val="0"/>
          <w:numId w:val="27"/>
        </w:numPr>
        <w:spacing w:after="0" w:line="240" w:lineRule="auto"/>
        <w:jc w:val="both"/>
        <w:rPr>
          <w:rFonts w:ascii="Arial" w:hAnsi="Arial" w:cs="Arial"/>
          <w:sz w:val="24"/>
        </w:rPr>
      </w:pPr>
      <w:r w:rsidRPr="00CA7AAD">
        <w:rPr>
          <w:rFonts w:ascii="Arial" w:hAnsi="Arial" w:cs="Arial"/>
          <w:sz w:val="24"/>
        </w:rPr>
        <w:t>Agenda de buen gobierno</w:t>
      </w:r>
    </w:p>
    <w:p w14:paraId="0A7CFC53" w14:textId="77777777" w:rsidR="00B076A2" w:rsidRPr="001E7FC7" w:rsidRDefault="00B076A2" w:rsidP="00B076A2">
      <w:pPr>
        <w:spacing w:after="0" w:line="240" w:lineRule="auto"/>
        <w:jc w:val="both"/>
        <w:rPr>
          <w:rFonts w:ascii="Arial" w:hAnsi="Arial" w:cs="Arial"/>
          <w:sz w:val="24"/>
        </w:rPr>
      </w:pPr>
    </w:p>
    <w:p w14:paraId="77E8A523" w14:textId="77777777" w:rsidR="00B076A2" w:rsidRPr="00EE2B9B" w:rsidRDefault="00B076A2" w:rsidP="00B076A2">
      <w:pPr>
        <w:spacing w:after="0" w:line="240" w:lineRule="auto"/>
        <w:jc w:val="both"/>
        <w:rPr>
          <w:rFonts w:ascii="Arial" w:hAnsi="Arial" w:cs="Arial"/>
          <w:sz w:val="24"/>
        </w:rPr>
      </w:pPr>
      <w:r w:rsidRPr="00EE2B9B">
        <w:rPr>
          <w:rFonts w:ascii="Arial" w:hAnsi="Arial" w:cs="Arial"/>
          <w:sz w:val="24"/>
        </w:rPr>
        <w:t>Para alcanzar un gobierno de calidad, se necesita un impulso a la reingeniería de</w:t>
      </w:r>
      <w:r>
        <w:rPr>
          <w:rFonts w:ascii="Arial" w:hAnsi="Arial" w:cs="Arial"/>
          <w:sz w:val="24"/>
        </w:rPr>
        <w:t xml:space="preserve"> </w:t>
      </w:r>
      <w:r w:rsidRPr="00EE2B9B">
        <w:rPr>
          <w:rFonts w:ascii="Arial" w:hAnsi="Arial" w:cs="Arial"/>
          <w:sz w:val="24"/>
        </w:rPr>
        <w:t>procesos de mejora administrativa que incluyan las necesidades de la ciudadanía y</w:t>
      </w:r>
      <w:r>
        <w:rPr>
          <w:rFonts w:ascii="Arial" w:hAnsi="Arial" w:cs="Arial"/>
          <w:sz w:val="24"/>
        </w:rPr>
        <w:t xml:space="preserve"> </w:t>
      </w:r>
      <w:r w:rsidRPr="00EE2B9B">
        <w:rPr>
          <w:rFonts w:ascii="Arial" w:hAnsi="Arial" w:cs="Arial"/>
          <w:sz w:val="24"/>
        </w:rPr>
        <w:t>que contemplen acciones de transparencia y rendición de cuentas.</w:t>
      </w:r>
    </w:p>
    <w:p w14:paraId="33141744" w14:textId="77777777" w:rsidR="00B076A2" w:rsidRDefault="00B076A2" w:rsidP="00B076A2">
      <w:pPr>
        <w:spacing w:after="0" w:line="240" w:lineRule="auto"/>
        <w:jc w:val="both"/>
        <w:rPr>
          <w:rFonts w:ascii="Arial" w:hAnsi="Arial" w:cs="Arial"/>
          <w:sz w:val="24"/>
        </w:rPr>
      </w:pPr>
    </w:p>
    <w:p w14:paraId="24CD66BE" w14:textId="77777777" w:rsidR="00B076A2" w:rsidRDefault="00B076A2" w:rsidP="00B076A2">
      <w:pPr>
        <w:spacing w:after="0" w:line="240" w:lineRule="auto"/>
        <w:jc w:val="both"/>
        <w:rPr>
          <w:rFonts w:ascii="Arial" w:hAnsi="Arial" w:cs="Arial"/>
          <w:sz w:val="24"/>
        </w:rPr>
      </w:pPr>
      <w:r>
        <w:rPr>
          <w:rFonts w:ascii="Arial" w:hAnsi="Arial" w:cs="Arial"/>
          <w:sz w:val="24"/>
        </w:rPr>
        <w:t>Lo anterior, se ha venido concretando y se consolidará en 2021</w:t>
      </w:r>
      <w:r w:rsidRPr="00EE2B9B">
        <w:rPr>
          <w:rFonts w:ascii="Arial" w:hAnsi="Arial" w:cs="Arial"/>
          <w:sz w:val="24"/>
        </w:rPr>
        <w:t xml:space="preserve"> dejando atrás esquemas de administración pública</w:t>
      </w:r>
      <w:r>
        <w:rPr>
          <w:rFonts w:ascii="Arial" w:hAnsi="Arial" w:cs="Arial"/>
          <w:sz w:val="24"/>
        </w:rPr>
        <w:t xml:space="preserve"> </w:t>
      </w:r>
      <w:r w:rsidRPr="00EE2B9B">
        <w:rPr>
          <w:rFonts w:ascii="Arial" w:hAnsi="Arial" w:cs="Arial"/>
          <w:sz w:val="24"/>
        </w:rPr>
        <w:t>tradicionales, con ayuda de instrumentos com</w:t>
      </w:r>
      <w:r>
        <w:rPr>
          <w:rFonts w:ascii="Arial" w:hAnsi="Arial" w:cs="Arial"/>
          <w:sz w:val="24"/>
        </w:rPr>
        <w:t xml:space="preserve">o la planeación, ejecución y la </w:t>
      </w:r>
      <w:r w:rsidRPr="00EE2B9B">
        <w:rPr>
          <w:rFonts w:ascii="Arial" w:hAnsi="Arial" w:cs="Arial"/>
          <w:sz w:val="24"/>
        </w:rPr>
        <w:t>evaluación de resultados, así como el uso de las nu</w:t>
      </w:r>
      <w:r>
        <w:rPr>
          <w:rFonts w:ascii="Arial" w:hAnsi="Arial" w:cs="Arial"/>
          <w:sz w:val="24"/>
        </w:rPr>
        <w:t xml:space="preserve">evas tecnologías de información </w:t>
      </w:r>
      <w:r w:rsidRPr="00EE2B9B">
        <w:rPr>
          <w:rFonts w:ascii="Arial" w:hAnsi="Arial" w:cs="Arial"/>
          <w:sz w:val="24"/>
        </w:rPr>
        <w:t>y de la comunicación.</w:t>
      </w:r>
    </w:p>
    <w:p w14:paraId="76EB5518" w14:textId="77777777" w:rsidR="00B076A2" w:rsidRPr="00EE2B9B" w:rsidRDefault="00B076A2" w:rsidP="00B076A2">
      <w:pPr>
        <w:spacing w:after="0" w:line="240" w:lineRule="auto"/>
        <w:jc w:val="both"/>
        <w:rPr>
          <w:rFonts w:ascii="Arial" w:hAnsi="Arial" w:cs="Arial"/>
          <w:sz w:val="24"/>
        </w:rPr>
      </w:pPr>
    </w:p>
    <w:p w14:paraId="3D2C8443" w14:textId="77777777" w:rsidR="00B076A2" w:rsidRDefault="00B076A2" w:rsidP="00B076A2">
      <w:pPr>
        <w:spacing w:after="0" w:line="240" w:lineRule="auto"/>
        <w:jc w:val="both"/>
        <w:rPr>
          <w:rFonts w:ascii="Arial" w:hAnsi="Arial" w:cs="Arial"/>
          <w:sz w:val="24"/>
        </w:rPr>
      </w:pPr>
      <w:r w:rsidRPr="00EE2B9B">
        <w:rPr>
          <w:rFonts w:ascii="Arial" w:hAnsi="Arial" w:cs="Arial"/>
          <w:sz w:val="24"/>
        </w:rPr>
        <w:t>Además, se observa la necesidad de contar con servidores públicos</w:t>
      </w:r>
      <w:r>
        <w:rPr>
          <w:rFonts w:ascii="Arial" w:hAnsi="Arial" w:cs="Arial"/>
          <w:sz w:val="24"/>
        </w:rPr>
        <w:t xml:space="preserve"> permanentemente </w:t>
      </w:r>
      <w:r w:rsidRPr="00EE2B9B">
        <w:rPr>
          <w:rFonts w:ascii="Arial" w:hAnsi="Arial" w:cs="Arial"/>
          <w:sz w:val="24"/>
        </w:rPr>
        <w:t>capacitados en</w:t>
      </w:r>
      <w:r>
        <w:rPr>
          <w:rFonts w:ascii="Arial" w:hAnsi="Arial" w:cs="Arial"/>
          <w:sz w:val="24"/>
        </w:rPr>
        <w:t xml:space="preserve"> materia de calidad. Para perfeccionar </w:t>
      </w:r>
      <w:r w:rsidRPr="00EE2B9B">
        <w:rPr>
          <w:rFonts w:ascii="Arial" w:hAnsi="Arial" w:cs="Arial"/>
          <w:sz w:val="24"/>
        </w:rPr>
        <w:t xml:space="preserve">los procesos </w:t>
      </w:r>
      <w:r>
        <w:rPr>
          <w:rFonts w:ascii="Arial" w:hAnsi="Arial" w:cs="Arial"/>
          <w:sz w:val="24"/>
        </w:rPr>
        <w:t xml:space="preserve">de gestión pública, lograr </w:t>
      </w:r>
      <w:r w:rsidRPr="00EE2B9B">
        <w:rPr>
          <w:rFonts w:ascii="Arial" w:hAnsi="Arial" w:cs="Arial"/>
          <w:sz w:val="24"/>
        </w:rPr>
        <w:t>la mejora en servicios y</w:t>
      </w:r>
      <w:r>
        <w:rPr>
          <w:rFonts w:ascii="Arial" w:hAnsi="Arial" w:cs="Arial"/>
          <w:sz w:val="24"/>
        </w:rPr>
        <w:t xml:space="preserve"> atención a los ciudadanos, y agilizar los trámites y servicios.</w:t>
      </w:r>
    </w:p>
    <w:p w14:paraId="6FDAD2A2" w14:textId="77777777" w:rsidR="00B076A2" w:rsidRPr="00EE2B9B" w:rsidRDefault="00B076A2" w:rsidP="00B076A2">
      <w:pPr>
        <w:spacing w:after="0" w:line="240" w:lineRule="auto"/>
        <w:jc w:val="both"/>
        <w:rPr>
          <w:rFonts w:ascii="Arial" w:hAnsi="Arial" w:cs="Arial"/>
          <w:sz w:val="24"/>
        </w:rPr>
      </w:pPr>
    </w:p>
    <w:p w14:paraId="38CF77F4" w14:textId="77777777" w:rsidR="00B076A2" w:rsidRDefault="00B076A2" w:rsidP="00B076A2">
      <w:pPr>
        <w:spacing w:after="0" w:line="240" w:lineRule="auto"/>
        <w:jc w:val="both"/>
        <w:rPr>
          <w:rFonts w:ascii="Arial" w:hAnsi="Arial" w:cs="Arial"/>
          <w:sz w:val="24"/>
        </w:rPr>
      </w:pPr>
      <w:r w:rsidRPr="00EE2B9B">
        <w:rPr>
          <w:rFonts w:ascii="Arial" w:hAnsi="Arial" w:cs="Arial"/>
          <w:sz w:val="24"/>
        </w:rPr>
        <w:t>Necesitamos crear incentivos para impulsar el gobierno participativo, el cual de</w:t>
      </w:r>
      <w:r>
        <w:rPr>
          <w:rFonts w:ascii="Arial" w:hAnsi="Arial" w:cs="Arial"/>
          <w:sz w:val="24"/>
        </w:rPr>
        <w:t xml:space="preserve"> </w:t>
      </w:r>
      <w:r w:rsidRPr="00EE2B9B">
        <w:rPr>
          <w:rFonts w:ascii="Arial" w:hAnsi="Arial" w:cs="Arial"/>
          <w:sz w:val="24"/>
        </w:rPr>
        <w:t>manera constante estará en contacto con</w:t>
      </w:r>
      <w:r>
        <w:rPr>
          <w:rFonts w:ascii="Arial" w:hAnsi="Arial" w:cs="Arial"/>
          <w:sz w:val="24"/>
        </w:rPr>
        <w:t xml:space="preserve"> la ciudadanía para conocer sus </w:t>
      </w:r>
      <w:r w:rsidRPr="00EE2B9B">
        <w:rPr>
          <w:rFonts w:ascii="Arial" w:hAnsi="Arial" w:cs="Arial"/>
          <w:sz w:val="24"/>
        </w:rPr>
        <w:t>necesidades y prioridades, con el fin de traducirlas en políticas públicas eficaces y</w:t>
      </w:r>
      <w:r>
        <w:rPr>
          <w:rFonts w:ascii="Arial" w:hAnsi="Arial" w:cs="Arial"/>
          <w:sz w:val="24"/>
        </w:rPr>
        <w:t xml:space="preserve"> </w:t>
      </w:r>
      <w:r w:rsidRPr="00EE2B9B">
        <w:rPr>
          <w:rFonts w:ascii="Arial" w:hAnsi="Arial" w:cs="Arial"/>
          <w:sz w:val="24"/>
        </w:rPr>
        <w:t>con calidad.</w:t>
      </w:r>
    </w:p>
    <w:p w14:paraId="0A39A316" w14:textId="77777777" w:rsidR="00B076A2" w:rsidRPr="00EE2B9B" w:rsidRDefault="00B076A2" w:rsidP="00B076A2">
      <w:pPr>
        <w:spacing w:after="0" w:line="240" w:lineRule="auto"/>
        <w:jc w:val="both"/>
        <w:rPr>
          <w:rFonts w:ascii="Arial" w:hAnsi="Arial" w:cs="Arial"/>
          <w:sz w:val="24"/>
        </w:rPr>
      </w:pPr>
    </w:p>
    <w:p w14:paraId="6032357E" w14:textId="77777777" w:rsidR="00B076A2" w:rsidRDefault="00B076A2" w:rsidP="00B076A2">
      <w:pPr>
        <w:spacing w:after="0" w:line="240" w:lineRule="auto"/>
        <w:jc w:val="both"/>
        <w:rPr>
          <w:rFonts w:ascii="Arial" w:hAnsi="Arial" w:cs="Arial"/>
          <w:sz w:val="24"/>
        </w:rPr>
      </w:pPr>
      <w:r w:rsidRPr="00EE2B9B">
        <w:rPr>
          <w:rFonts w:ascii="Arial" w:hAnsi="Arial" w:cs="Arial"/>
          <w:sz w:val="24"/>
        </w:rPr>
        <w:t xml:space="preserve">Con la </w:t>
      </w:r>
      <w:r>
        <w:rPr>
          <w:rFonts w:ascii="Arial" w:hAnsi="Arial" w:cs="Arial"/>
          <w:sz w:val="24"/>
        </w:rPr>
        <w:t>continuación</w:t>
      </w:r>
      <w:r w:rsidRPr="00EE2B9B">
        <w:rPr>
          <w:rFonts w:ascii="Arial" w:hAnsi="Arial" w:cs="Arial"/>
          <w:sz w:val="24"/>
        </w:rPr>
        <w:t xml:space="preserve"> de la Agenda</w:t>
      </w:r>
      <w:r>
        <w:rPr>
          <w:rFonts w:ascii="Arial" w:hAnsi="Arial" w:cs="Arial"/>
          <w:sz w:val="24"/>
        </w:rPr>
        <w:t xml:space="preserve"> de buen gobierno</w:t>
      </w:r>
      <w:r w:rsidRPr="00EE2B9B">
        <w:rPr>
          <w:rFonts w:ascii="Arial" w:hAnsi="Arial" w:cs="Arial"/>
          <w:sz w:val="24"/>
        </w:rPr>
        <w:t xml:space="preserve">, se busca reducir </w:t>
      </w:r>
      <w:r>
        <w:rPr>
          <w:rFonts w:ascii="Arial" w:hAnsi="Arial" w:cs="Arial"/>
          <w:sz w:val="24"/>
        </w:rPr>
        <w:t xml:space="preserve">aún más </w:t>
      </w:r>
      <w:r w:rsidRPr="00EE2B9B">
        <w:rPr>
          <w:rFonts w:ascii="Arial" w:hAnsi="Arial" w:cs="Arial"/>
          <w:sz w:val="24"/>
        </w:rPr>
        <w:t>los tr</w:t>
      </w:r>
      <w:r>
        <w:rPr>
          <w:rFonts w:ascii="Arial" w:hAnsi="Arial" w:cs="Arial"/>
          <w:sz w:val="24"/>
        </w:rPr>
        <w:t xml:space="preserve">ámites y facilitar las </w:t>
      </w:r>
      <w:r w:rsidRPr="00EE2B9B">
        <w:rPr>
          <w:rFonts w:ascii="Arial" w:hAnsi="Arial" w:cs="Arial"/>
          <w:sz w:val="24"/>
        </w:rPr>
        <w:t>gestiones gubernamentales. Lograr, por eje</w:t>
      </w:r>
      <w:r>
        <w:rPr>
          <w:rFonts w:ascii="Arial" w:hAnsi="Arial" w:cs="Arial"/>
          <w:sz w:val="24"/>
        </w:rPr>
        <w:t xml:space="preserve">mplo, que los ciudadanos tengan </w:t>
      </w:r>
      <w:r w:rsidRPr="00EE2B9B">
        <w:rPr>
          <w:rFonts w:ascii="Arial" w:hAnsi="Arial" w:cs="Arial"/>
          <w:sz w:val="24"/>
        </w:rPr>
        <w:t>acceso a la información gubernamental y efe</w:t>
      </w:r>
      <w:r>
        <w:rPr>
          <w:rFonts w:ascii="Arial" w:hAnsi="Arial" w:cs="Arial"/>
          <w:sz w:val="24"/>
        </w:rPr>
        <w:t>ctuar trámites de manera remota, situación que cobra mayor relevancia hoy en día al encontrarnos ante un virus que es altamente contagioso y donde se han prohibido las concentraciones masivas de personas.</w:t>
      </w:r>
    </w:p>
    <w:p w14:paraId="013B0CF3" w14:textId="77777777" w:rsidR="00B076A2" w:rsidRPr="00EE2B9B" w:rsidRDefault="00B076A2" w:rsidP="00B076A2">
      <w:pPr>
        <w:spacing w:after="0" w:line="240" w:lineRule="auto"/>
        <w:jc w:val="both"/>
        <w:rPr>
          <w:rFonts w:ascii="Arial" w:hAnsi="Arial" w:cs="Arial"/>
          <w:sz w:val="24"/>
        </w:rPr>
      </w:pPr>
    </w:p>
    <w:p w14:paraId="516C8883" w14:textId="77777777" w:rsidR="00B076A2" w:rsidRDefault="00B076A2" w:rsidP="00B076A2">
      <w:pPr>
        <w:spacing w:after="0" w:line="240" w:lineRule="auto"/>
        <w:jc w:val="both"/>
        <w:rPr>
          <w:rFonts w:ascii="Arial" w:hAnsi="Arial" w:cs="Arial"/>
          <w:sz w:val="24"/>
        </w:rPr>
      </w:pPr>
      <w:r w:rsidRPr="00EE2B9B">
        <w:rPr>
          <w:rFonts w:ascii="Arial" w:hAnsi="Arial" w:cs="Arial"/>
          <w:sz w:val="24"/>
        </w:rPr>
        <w:t>Bajo la visión de la economía eficiente y sustentada en conocimiento, se debe</w:t>
      </w:r>
      <w:r>
        <w:rPr>
          <w:rFonts w:ascii="Arial" w:hAnsi="Arial" w:cs="Arial"/>
          <w:sz w:val="24"/>
        </w:rPr>
        <w:t xml:space="preserve"> </w:t>
      </w:r>
      <w:r w:rsidRPr="00EE2B9B">
        <w:rPr>
          <w:rFonts w:ascii="Arial" w:hAnsi="Arial" w:cs="Arial"/>
          <w:sz w:val="24"/>
        </w:rPr>
        <w:t>aprovechar al máximo el uso de las Tecnologías de Información y de la</w:t>
      </w:r>
      <w:r>
        <w:rPr>
          <w:rFonts w:ascii="Arial" w:hAnsi="Arial" w:cs="Arial"/>
          <w:sz w:val="24"/>
        </w:rPr>
        <w:t xml:space="preserve"> </w:t>
      </w:r>
      <w:r w:rsidRPr="00EE2B9B">
        <w:rPr>
          <w:rFonts w:ascii="Arial" w:hAnsi="Arial" w:cs="Arial"/>
          <w:sz w:val="24"/>
        </w:rPr>
        <w:t>Comunicación (TIC).</w:t>
      </w:r>
      <w:r w:rsidRPr="007B3BF4">
        <w:t xml:space="preserve"> </w:t>
      </w:r>
      <w:r w:rsidRPr="007B3BF4">
        <w:rPr>
          <w:rFonts w:ascii="Arial" w:hAnsi="Arial" w:cs="Arial"/>
          <w:sz w:val="24"/>
        </w:rPr>
        <w:t>El Gobierno del Estado</w:t>
      </w:r>
      <w:r>
        <w:rPr>
          <w:rFonts w:ascii="Arial" w:hAnsi="Arial" w:cs="Arial"/>
          <w:sz w:val="24"/>
        </w:rPr>
        <w:t xml:space="preserve"> ha</w:t>
      </w:r>
      <w:r w:rsidRPr="007B3BF4">
        <w:rPr>
          <w:rFonts w:ascii="Arial" w:hAnsi="Arial" w:cs="Arial"/>
          <w:sz w:val="24"/>
        </w:rPr>
        <w:t xml:space="preserve"> trabaja</w:t>
      </w:r>
      <w:r>
        <w:rPr>
          <w:rFonts w:ascii="Arial" w:hAnsi="Arial" w:cs="Arial"/>
          <w:sz w:val="24"/>
        </w:rPr>
        <w:t xml:space="preserve">do y continuará </w:t>
      </w:r>
      <w:r>
        <w:rPr>
          <w:rFonts w:ascii="Arial" w:hAnsi="Arial" w:cs="Arial"/>
          <w:sz w:val="24"/>
        </w:rPr>
        <w:lastRenderedPageBreak/>
        <w:t>haciéndolo para tomar el</w:t>
      </w:r>
      <w:r w:rsidRPr="007B3BF4">
        <w:rPr>
          <w:rFonts w:ascii="Arial" w:hAnsi="Arial" w:cs="Arial"/>
          <w:sz w:val="24"/>
        </w:rPr>
        <w:t xml:space="preserve"> liderazgo en el uso de sistemas</w:t>
      </w:r>
      <w:r>
        <w:rPr>
          <w:rFonts w:ascii="Arial" w:hAnsi="Arial" w:cs="Arial"/>
          <w:sz w:val="24"/>
        </w:rPr>
        <w:t xml:space="preserve"> </w:t>
      </w:r>
      <w:r w:rsidRPr="007B3BF4">
        <w:rPr>
          <w:rFonts w:ascii="Arial" w:hAnsi="Arial" w:cs="Arial"/>
          <w:sz w:val="24"/>
        </w:rPr>
        <w:t>digitales, que impulsa el Internet como una herramienta principal de trabajo.</w:t>
      </w:r>
    </w:p>
    <w:p w14:paraId="4BBDF94F" w14:textId="77777777" w:rsidR="00B076A2" w:rsidRPr="007B3BF4" w:rsidRDefault="00B076A2" w:rsidP="00B076A2">
      <w:pPr>
        <w:spacing w:after="0" w:line="240" w:lineRule="auto"/>
        <w:jc w:val="both"/>
        <w:rPr>
          <w:rFonts w:ascii="Arial" w:hAnsi="Arial" w:cs="Arial"/>
          <w:sz w:val="24"/>
        </w:rPr>
      </w:pPr>
    </w:p>
    <w:p w14:paraId="52122A55" w14:textId="77777777" w:rsidR="00B076A2" w:rsidRDefault="00B076A2" w:rsidP="00B076A2">
      <w:pPr>
        <w:spacing w:after="0" w:line="240" w:lineRule="auto"/>
        <w:jc w:val="both"/>
        <w:rPr>
          <w:rFonts w:ascii="Arial" w:hAnsi="Arial" w:cs="Arial"/>
          <w:sz w:val="24"/>
        </w:rPr>
      </w:pPr>
      <w:r w:rsidRPr="007B3BF4">
        <w:rPr>
          <w:rFonts w:ascii="Arial" w:hAnsi="Arial" w:cs="Arial"/>
          <w:sz w:val="24"/>
        </w:rPr>
        <w:t>Por ello, se fortalecen los procesos con tecnolog</w:t>
      </w:r>
      <w:r>
        <w:rPr>
          <w:rFonts w:ascii="Arial" w:hAnsi="Arial" w:cs="Arial"/>
          <w:sz w:val="24"/>
        </w:rPr>
        <w:t xml:space="preserve">ías de información en todas las </w:t>
      </w:r>
      <w:r w:rsidRPr="007B3BF4">
        <w:rPr>
          <w:rFonts w:ascii="Arial" w:hAnsi="Arial" w:cs="Arial"/>
          <w:sz w:val="24"/>
        </w:rPr>
        <w:t>instituciones públicas del estado, para ofrecer los servicios y trámites electrónicos</w:t>
      </w:r>
      <w:r>
        <w:rPr>
          <w:rFonts w:ascii="Arial" w:hAnsi="Arial" w:cs="Arial"/>
          <w:sz w:val="24"/>
        </w:rPr>
        <w:t xml:space="preserve"> </w:t>
      </w:r>
      <w:r w:rsidRPr="007B3BF4">
        <w:rPr>
          <w:rFonts w:ascii="Arial" w:hAnsi="Arial" w:cs="Arial"/>
          <w:sz w:val="24"/>
        </w:rPr>
        <w:t>con seguridad y rapidez; para que Colima se consolide como la entidad con menor</w:t>
      </w:r>
      <w:r>
        <w:rPr>
          <w:rFonts w:ascii="Arial" w:hAnsi="Arial" w:cs="Arial"/>
          <w:sz w:val="24"/>
        </w:rPr>
        <w:t xml:space="preserve"> </w:t>
      </w:r>
      <w:r w:rsidRPr="007B3BF4">
        <w:rPr>
          <w:rFonts w:ascii="Arial" w:hAnsi="Arial" w:cs="Arial"/>
          <w:sz w:val="24"/>
        </w:rPr>
        <w:t>brecha digital entre sus habitantes</w:t>
      </w:r>
      <w:r>
        <w:rPr>
          <w:rFonts w:ascii="Arial" w:hAnsi="Arial" w:cs="Arial"/>
          <w:sz w:val="24"/>
        </w:rPr>
        <w:t>, actualmente nos  posicionamos en el lugar número siete según el IDTMEX2018.</w:t>
      </w:r>
    </w:p>
    <w:p w14:paraId="1DEEE888" w14:textId="77777777" w:rsidR="00B076A2" w:rsidRPr="007B3BF4" w:rsidRDefault="00B076A2" w:rsidP="00B076A2">
      <w:pPr>
        <w:spacing w:after="0" w:line="240" w:lineRule="auto"/>
        <w:jc w:val="both"/>
        <w:rPr>
          <w:rFonts w:ascii="Arial" w:hAnsi="Arial" w:cs="Arial"/>
          <w:sz w:val="24"/>
        </w:rPr>
      </w:pPr>
    </w:p>
    <w:p w14:paraId="715B613A" w14:textId="77777777" w:rsidR="00B076A2" w:rsidRDefault="00B076A2" w:rsidP="00B076A2">
      <w:pPr>
        <w:spacing w:after="0" w:line="240" w:lineRule="auto"/>
        <w:jc w:val="both"/>
        <w:rPr>
          <w:rFonts w:ascii="Arial" w:hAnsi="Arial" w:cs="Arial"/>
          <w:sz w:val="24"/>
        </w:rPr>
      </w:pPr>
      <w:r w:rsidRPr="007B3BF4">
        <w:rPr>
          <w:rFonts w:ascii="Arial" w:hAnsi="Arial" w:cs="Arial"/>
          <w:sz w:val="24"/>
        </w:rPr>
        <w:t>El gobierno digital es, además, una herramienta</w:t>
      </w:r>
      <w:r>
        <w:rPr>
          <w:rFonts w:ascii="Arial" w:hAnsi="Arial" w:cs="Arial"/>
          <w:sz w:val="24"/>
        </w:rPr>
        <w:t xml:space="preserve"> para combatir las prácticas de </w:t>
      </w:r>
      <w:r w:rsidRPr="007B3BF4">
        <w:rPr>
          <w:rFonts w:ascii="Arial" w:hAnsi="Arial" w:cs="Arial"/>
          <w:sz w:val="24"/>
        </w:rPr>
        <w:t>corrupción y opacida</w:t>
      </w:r>
      <w:r>
        <w:rPr>
          <w:rFonts w:ascii="Arial" w:hAnsi="Arial" w:cs="Arial"/>
          <w:sz w:val="24"/>
        </w:rPr>
        <w:t xml:space="preserve">d en el servicio público; </w:t>
      </w:r>
      <w:r w:rsidRPr="007B3BF4">
        <w:rPr>
          <w:rFonts w:ascii="Arial" w:hAnsi="Arial" w:cs="Arial"/>
          <w:sz w:val="24"/>
        </w:rPr>
        <w:t xml:space="preserve"> gracias a que </w:t>
      </w:r>
      <w:r>
        <w:rPr>
          <w:rFonts w:ascii="Arial" w:hAnsi="Arial" w:cs="Arial"/>
          <w:sz w:val="24"/>
        </w:rPr>
        <w:t xml:space="preserve">en </w:t>
      </w:r>
      <w:r w:rsidRPr="007B3BF4">
        <w:rPr>
          <w:rFonts w:ascii="Arial" w:hAnsi="Arial" w:cs="Arial"/>
          <w:sz w:val="24"/>
        </w:rPr>
        <w:t>los trámites o</w:t>
      </w:r>
      <w:r>
        <w:rPr>
          <w:rFonts w:ascii="Arial" w:hAnsi="Arial" w:cs="Arial"/>
          <w:sz w:val="24"/>
        </w:rPr>
        <w:t xml:space="preserve"> </w:t>
      </w:r>
      <w:r w:rsidRPr="007B3BF4">
        <w:rPr>
          <w:rFonts w:ascii="Arial" w:hAnsi="Arial" w:cs="Arial"/>
          <w:sz w:val="24"/>
        </w:rPr>
        <w:t>servicios que se realizan de</w:t>
      </w:r>
      <w:r>
        <w:rPr>
          <w:rFonts w:ascii="Arial" w:hAnsi="Arial" w:cs="Arial"/>
          <w:sz w:val="24"/>
        </w:rPr>
        <w:t xml:space="preserve"> manera electrónica no se tiene</w:t>
      </w:r>
      <w:r w:rsidRPr="007B3BF4">
        <w:rPr>
          <w:rFonts w:ascii="Arial" w:hAnsi="Arial" w:cs="Arial"/>
          <w:sz w:val="24"/>
        </w:rPr>
        <w:t xml:space="preserve"> contacto directo con el</w:t>
      </w:r>
      <w:r>
        <w:rPr>
          <w:rFonts w:ascii="Arial" w:hAnsi="Arial" w:cs="Arial"/>
          <w:sz w:val="24"/>
        </w:rPr>
        <w:t xml:space="preserve"> </w:t>
      </w:r>
      <w:r w:rsidRPr="007B3BF4">
        <w:rPr>
          <w:rFonts w:ascii="Arial" w:hAnsi="Arial" w:cs="Arial"/>
          <w:sz w:val="24"/>
        </w:rPr>
        <w:t>ciudadano.</w:t>
      </w:r>
    </w:p>
    <w:p w14:paraId="59ADD445" w14:textId="77777777" w:rsidR="00B076A2" w:rsidRPr="007B3BF4" w:rsidRDefault="00B076A2" w:rsidP="00B076A2">
      <w:pPr>
        <w:spacing w:after="0" w:line="240" w:lineRule="auto"/>
        <w:jc w:val="both"/>
        <w:rPr>
          <w:rFonts w:ascii="Arial" w:hAnsi="Arial" w:cs="Arial"/>
          <w:sz w:val="24"/>
        </w:rPr>
      </w:pPr>
    </w:p>
    <w:p w14:paraId="7CB551F9" w14:textId="77777777" w:rsidR="00B076A2" w:rsidRDefault="00B076A2" w:rsidP="00B076A2">
      <w:pPr>
        <w:spacing w:after="0" w:line="240" w:lineRule="auto"/>
        <w:jc w:val="both"/>
        <w:rPr>
          <w:rFonts w:ascii="Arial" w:hAnsi="Arial" w:cs="Arial"/>
          <w:sz w:val="24"/>
        </w:rPr>
      </w:pPr>
      <w:r>
        <w:rPr>
          <w:rFonts w:ascii="Arial" w:hAnsi="Arial" w:cs="Arial"/>
          <w:sz w:val="24"/>
        </w:rPr>
        <w:t>Gracias a la profesionalización del servicio público que se ha logrado, derivado de la declaratoria de emergencia que obligó a realizar el cierre parcial de varias oficinas públicas, se pudo seguir continuando con la operatividad y la prestación de servicios del Gobierno, toda vez que nuestros colaboradores en cumplimiento del aislamiento social, continuaron laborando de manera remota desde sus casas con el fin de evitar la propagación del COVID-19.</w:t>
      </w:r>
    </w:p>
    <w:p w14:paraId="5316C7C6" w14:textId="77777777" w:rsidR="00B076A2" w:rsidRDefault="00B076A2" w:rsidP="00B076A2">
      <w:pPr>
        <w:spacing w:after="0" w:line="240" w:lineRule="auto"/>
        <w:jc w:val="both"/>
        <w:rPr>
          <w:rFonts w:ascii="Arial" w:hAnsi="Arial" w:cs="Arial"/>
          <w:sz w:val="24"/>
        </w:rPr>
      </w:pPr>
    </w:p>
    <w:p w14:paraId="2BFADCC2" w14:textId="77777777" w:rsidR="00B076A2" w:rsidRDefault="00B076A2" w:rsidP="00B076A2">
      <w:pPr>
        <w:pStyle w:val="Prrafodelista"/>
        <w:numPr>
          <w:ilvl w:val="0"/>
          <w:numId w:val="27"/>
        </w:numPr>
        <w:spacing w:after="0" w:line="240" w:lineRule="auto"/>
        <w:jc w:val="both"/>
        <w:rPr>
          <w:rFonts w:ascii="Arial" w:hAnsi="Arial" w:cs="Arial"/>
          <w:sz w:val="24"/>
        </w:rPr>
      </w:pPr>
      <w:r>
        <w:rPr>
          <w:rFonts w:ascii="Arial" w:hAnsi="Arial" w:cs="Arial"/>
          <w:sz w:val="24"/>
        </w:rPr>
        <w:t>Modelo de transparencia y rendición de cuentas</w:t>
      </w:r>
    </w:p>
    <w:p w14:paraId="51F3D28C" w14:textId="77777777" w:rsidR="00B076A2" w:rsidRPr="002F786C" w:rsidRDefault="00B076A2" w:rsidP="00B076A2">
      <w:pPr>
        <w:spacing w:after="0" w:line="240" w:lineRule="auto"/>
        <w:jc w:val="both"/>
        <w:rPr>
          <w:rFonts w:ascii="Arial" w:hAnsi="Arial" w:cs="Arial"/>
          <w:sz w:val="24"/>
        </w:rPr>
      </w:pPr>
    </w:p>
    <w:p w14:paraId="11E1170F" w14:textId="77777777" w:rsidR="00B076A2" w:rsidRDefault="00B076A2" w:rsidP="00B076A2">
      <w:pPr>
        <w:spacing w:after="0" w:line="240" w:lineRule="auto"/>
        <w:jc w:val="both"/>
        <w:rPr>
          <w:rFonts w:ascii="Arial" w:hAnsi="Arial" w:cs="Arial"/>
          <w:sz w:val="24"/>
        </w:rPr>
      </w:pPr>
      <w:r w:rsidRPr="007B3BF4">
        <w:rPr>
          <w:rFonts w:ascii="Arial" w:hAnsi="Arial" w:cs="Arial"/>
          <w:sz w:val="24"/>
        </w:rPr>
        <w:t>Un gobierno transparente en la administración de sus recursos coadyuva a combatir</w:t>
      </w:r>
      <w:r>
        <w:rPr>
          <w:rFonts w:ascii="Arial" w:hAnsi="Arial" w:cs="Arial"/>
          <w:sz w:val="24"/>
        </w:rPr>
        <w:t xml:space="preserve"> </w:t>
      </w:r>
      <w:r w:rsidRPr="007B3BF4">
        <w:rPr>
          <w:rFonts w:ascii="Arial" w:hAnsi="Arial" w:cs="Arial"/>
          <w:sz w:val="24"/>
        </w:rPr>
        <w:t>la corrupción, facilita el acceso a la información clara, oportuna y fomenta de manera</w:t>
      </w:r>
      <w:r>
        <w:rPr>
          <w:rFonts w:ascii="Arial" w:hAnsi="Arial" w:cs="Arial"/>
          <w:sz w:val="24"/>
        </w:rPr>
        <w:t xml:space="preserve"> </w:t>
      </w:r>
      <w:r w:rsidRPr="007B3BF4">
        <w:rPr>
          <w:rFonts w:ascii="Arial" w:hAnsi="Arial" w:cs="Arial"/>
          <w:sz w:val="24"/>
        </w:rPr>
        <w:t>activa la participación ciudadana a través del uso de las nuevas tecnologías de</w:t>
      </w:r>
      <w:r>
        <w:rPr>
          <w:rFonts w:ascii="Arial" w:hAnsi="Arial" w:cs="Arial"/>
          <w:sz w:val="24"/>
        </w:rPr>
        <w:t xml:space="preserve"> </w:t>
      </w:r>
      <w:r w:rsidRPr="007B3BF4">
        <w:rPr>
          <w:rFonts w:ascii="Arial" w:hAnsi="Arial" w:cs="Arial"/>
          <w:sz w:val="24"/>
        </w:rPr>
        <w:t>información.</w:t>
      </w:r>
    </w:p>
    <w:p w14:paraId="033E57E5" w14:textId="77777777" w:rsidR="00B076A2" w:rsidRPr="007B3BF4" w:rsidRDefault="00B076A2" w:rsidP="00B076A2">
      <w:pPr>
        <w:spacing w:after="0" w:line="240" w:lineRule="auto"/>
        <w:jc w:val="both"/>
        <w:rPr>
          <w:rFonts w:ascii="Arial" w:hAnsi="Arial" w:cs="Arial"/>
          <w:sz w:val="24"/>
        </w:rPr>
      </w:pPr>
    </w:p>
    <w:p w14:paraId="09BE9D93" w14:textId="77777777" w:rsidR="00B076A2" w:rsidRDefault="00B076A2" w:rsidP="00B076A2">
      <w:pPr>
        <w:spacing w:after="0" w:line="240" w:lineRule="auto"/>
        <w:jc w:val="both"/>
        <w:rPr>
          <w:rFonts w:ascii="Arial" w:hAnsi="Arial" w:cs="Arial"/>
          <w:sz w:val="24"/>
        </w:rPr>
      </w:pPr>
      <w:r w:rsidRPr="007B3BF4">
        <w:rPr>
          <w:rFonts w:ascii="Arial" w:hAnsi="Arial" w:cs="Arial"/>
          <w:sz w:val="24"/>
        </w:rPr>
        <w:t>Es por ello que el Gobierno del Estado continuar</w:t>
      </w:r>
      <w:r>
        <w:rPr>
          <w:rFonts w:ascii="Arial" w:hAnsi="Arial" w:cs="Arial"/>
          <w:sz w:val="24"/>
        </w:rPr>
        <w:t xml:space="preserve">á impulsando hasta el último día la transparencia y </w:t>
      </w:r>
      <w:r w:rsidRPr="007B3BF4">
        <w:rPr>
          <w:rFonts w:ascii="Arial" w:hAnsi="Arial" w:cs="Arial"/>
          <w:sz w:val="24"/>
        </w:rPr>
        <w:t>una impecable rendición de cuentas</w:t>
      </w:r>
      <w:r>
        <w:rPr>
          <w:rFonts w:ascii="Arial" w:hAnsi="Arial" w:cs="Arial"/>
          <w:sz w:val="24"/>
        </w:rPr>
        <w:t xml:space="preserve"> </w:t>
      </w:r>
      <w:r w:rsidRPr="007B3BF4">
        <w:rPr>
          <w:rFonts w:ascii="Arial" w:hAnsi="Arial" w:cs="Arial"/>
          <w:sz w:val="24"/>
        </w:rPr>
        <w:t>claras</w:t>
      </w:r>
      <w:r>
        <w:rPr>
          <w:rFonts w:ascii="Arial" w:hAnsi="Arial" w:cs="Arial"/>
          <w:sz w:val="24"/>
        </w:rPr>
        <w:t xml:space="preserve"> a la sociedad colimense</w:t>
      </w:r>
      <w:r w:rsidRPr="007B3BF4">
        <w:rPr>
          <w:rFonts w:ascii="Arial" w:hAnsi="Arial" w:cs="Arial"/>
          <w:sz w:val="24"/>
        </w:rPr>
        <w:t>. Esta obligación es más sensible y vital cuand</w:t>
      </w:r>
      <w:r>
        <w:rPr>
          <w:rFonts w:ascii="Arial" w:hAnsi="Arial" w:cs="Arial"/>
          <w:sz w:val="24"/>
        </w:rPr>
        <w:t xml:space="preserve">o se trata de </w:t>
      </w:r>
      <w:r w:rsidRPr="007B3BF4">
        <w:rPr>
          <w:rFonts w:ascii="Arial" w:hAnsi="Arial" w:cs="Arial"/>
          <w:sz w:val="24"/>
        </w:rPr>
        <w:t>recursos para</w:t>
      </w:r>
      <w:r>
        <w:rPr>
          <w:rFonts w:ascii="Arial" w:hAnsi="Arial" w:cs="Arial"/>
          <w:sz w:val="24"/>
        </w:rPr>
        <w:t xml:space="preserve"> la salud, combate a la pobreza y </w:t>
      </w:r>
      <w:r w:rsidRPr="007B3BF4">
        <w:rPr>
          <w:rFonts w:ascii="Arial" w:hAnsi="Arial" w:cs="Arial"/>
          <w:sz w:val="24"/>
        </w:rPr>
        <w:t>el desarrollo social.</w:t>
      </w:r>
    </w:p>
    <w:p w14:paraId="70AFB86A" w14:textId="77777777" w:rsidR="00B076A2" w:rsidRPr="007B3BF4" w:rsidRDefault="00B076A2" w:rsidP="00B076A2">
      <w:pPr>
        <w:spacing w:after="0" w:line="240" w:lineRule="auto"/>
        <w:jc w:val="both"/>
        <w:rPr>
          <w:rFonts w:ascii="Arial" w:hAnsi="Arial" w:cs="Arial"/>
          <w:sz w:val="24"/>
        </w:rPr>
      </w:pPr>
    </w:p>
    <w:p w14:paraId="2042AB31" w14:textId="77777777" w:rsidR="00B076A2" w:rsidRDefault="00B076A2" w:rsidP="00B076A2">
      <w:pPr>
        <w:spacing w:after="0" w:line="240" w:lineRule="auto"/>
        <w:jc w:val="both"/>
        <w:rPr>
          <w:rFonts w:ascii="Arial" w:hAnsi="Arial" w:cs="Arial"/>
          <w:sz w:val="24"/>
        </w:rPr>
      </w:pPr>
      <w:r>
        <w:rPr>
          <w:rFonts w:ascii="Arial" w:hAnsi="Arial" w:cs="Arial"/>
          <w:sz w:val="24"/>
        </w:rPr>
        <w:t>Asimismo, en  fortalecimiento de</w:t>
      </w:r>
      <w:r w:rsidRPr="007B3BF4">
        <w:rPr>
          <w:rFonts w:ascii="Arial" w:hAnsi="Arial" w:cs="Arial"/>
          <w:sz w:val="24"/>
        </w:rPr>
        <w:t xml:space="preserve"> la transparencia presupuestaria, </w:t>
      </w:r>
      <w:r>
        <w:rPr>
          <w:rFonts w:ascii="Arial" w:hAnsi="Arial" w:cs="Arial"/>
          <w:sz w:val="24"/>
        </w:rPr>
        <w:t xml:space="preserve">se ha creado la </w:t>
      </w:r>
      <w:r w:rsidRPr="007B3BF4">
        <w:rPr>
          <w:rFonts w:ascii="Arial" w:hAnsi="Arial" w:cs="Arial"/>
          <w:sz w:val="24"/>
        </w:rPr>
        <w:t>figura</w:t>
      </w:r>
      <w:r>
        <w:rPr>
          <w:rFonts w:ascii="Arial" w:hAnsi="Arial" w:cs="Arial"/>
          <w:sz w:val="24"/>
        </w:rPr>
        <w:t xml:space="preserve"> de la C</w:t>
      </w:r>
      <w:r w:rsidRPr="007B3BF4">
        <w:rPr>
          <w:rFonts w:ascii="Arial" w:hAnsi="Arial" w:cs="Arial"/>
          <w:sz w:val="24"/>
        </w:rPr>
        <w:t>ontralor</w:t>
      </w:r>
      <w:r>
        <w:rPr>
          <w:rFonts w:ascii="Arial" w:hAnsi="Arial" w:cs="Arial"/>
          <w:sz w:val="24"/>
        </w:rPr>
        <w:t>ía S</w:t>
      </w:r>
      <w:r w:rsidRPr="007B3BF4">
        <w:rPr>
          <w:rFonts w:ascii="Arial" w:hAnsi="Arial" w:cs="Arial"/>
          <w:sz w:val="24"/>
        </w:rPr>
        <w:t>ocial, quien, mediante el seguimiento, supervisión y vigilancia de los</w:t>
      </w:r>
      <w:r>
        <w:rPr>
          <w:rFonts w:ascii="Arial" w:hAnsi="Arial" w:cs="Arial"/>
          <w:sz w:val="24"/>
        </w:rPr>
        <w:t xml:space="preserve"> </w:t>
      </w:r>
      <w:r w:rsidRPr="007B3BF4">
        <w:rPr>
          <w:rFonts w:ascii="Arial" w:hAnsi="Arial" w:cs="Arial"/>
          <w:sz w:val="24"/>
        </w:rPr>
        <w:t>programas públicos, podrá evaluar si los funcionarios públicos se conducen con</w:t>
      </w:r>
      <w:r>
        <w:rPr>
          <w:rFonts w:ascii="Arial" w:hAnsi="Arial" w:cs="Arial"/>
          <w:sz w:val="24"/>
        </w:rPr>
        <w:t xml:space="preserve"> </w:t>
      </w:r>
      <w:r w:rsidRPr="007B3BF4">
        <w:rPr>
          <w:rFonts w:ascii="Arial" w:hAnsi="Arial" w:cs="Arial"/>
          <w:sz w:val="24"/>
        </w:rPr>
        <w:t>apego a la ley.</w:t>
      </w:r>
      <w:r>
        <w:rPr>
          <w:rFonts w:ascii="Arial" w:hAnsi="Arial" w:cs="Arial"/>
          <w:sz w:val="24"/>
        </w:rPr>
        <w:t xml:space="preserve"> El combate a la corrupción es</w:t>
      </w:r>
      <w:r w:rsidRPr="007B3BF4">
        <w:rPr>
          <w:rFonts w:ascii="Arial" w:hAnsi="Arial" w:cs="Arial"/>
          <w:sz w:val="24"/>
        </w:rPr>
        <w:t xml:space="preserve"> integral con una visión preventiva, mediante</w:t>
      </w:r>
      <w:r>
        <w:rPr>
          <w:rFonts w:ascii="Arial" w:hAnsi="Arial" w:cs="Arial"/>
          <w:sz w:val="24"/>
        </w:rPr>
        <w:t xml:space="preserve"> </w:t>
      </w:r>
      <w:r w:rsidRPr="007B3BF4">
        <w:rPr>
          <w:rFonts w:ascii="Arial" w:hAnsi="Arial" w:cs="Arial"/>
          <w:sz w:val="24"/>
        </w:rPr>
        <w:t>sistemas de control interno que eviten el uso indebido de los recursos públicos.</w:t>
      </w:r>
    </w:p>
    <w:p w14:paraId="38AE48B3" w14:textId="77777777" w:rsidR="00B076A2" w:rsidRDefault="00B076A2" w:rsidP="00B076A2">
      <w:pPr>
        <w:spacing w:after="0" w:line="240" w:lineRule="auto"/>
        <w:jc w:val="both"/>
        <w:rPr>
          <w:rFonts w:ascii="Arial" w:hAnsi="Arial" w:cs="Arial"/>
          <w:sz w:val="24"/>
        </w:rPr>
      </w:pPr>
    </w:p>
    <w:p w14:paraId="1127C2F6" w14:textId="77777777" w:rsidR="00B076A2" w:rsidRDefault="00B076A2" w:rsidP="00B076A2">
      <w:pPr>
        <w:spacing w:after="0" w:line="240" w:lineRule="auto"/>
        <w:jc w:val="both"/>
        <w:rPr>
          <w:rFonts w:ascii="Arial" w:hAnsi="Arial" w:cs="Arial"/>
          <w:sz w:val="24"/>
        </w:rPr>
      </w:pPr>
      <w:r w:rsidRPr="00934214">
        <w:rPr>
          <w:rFonts w:ascii="Arial" w:hAnsi="Arial" w:cs="Arial"/>
          <w:sz w:val="24"/>
        </w:rPr>
        <w:lastRenderedPageBreak/>
        <w:t xml:space="preserve">Uno de los mayores riesgos fiscales que ha afrontado el Gobierno del Estado de Colima es la evasión fiscal, </w:t>
      </w:r>
      <w:r>
        <w:rPr>
          <w:rFonts w:ascii="Arial" w:hAnsi="Arial" w:cs="Arial"/>
          <w:sz w:val="24"/>
        </w:rPr>
        <w:t>sin embargo se ha trabajado para incrementar las labores de fiscalización y recientemente se ha realizado una modificación al Convenio</w:t>
      </w:r>
      <w:r w:rsidRPr="00934214">
        <w:rPr>
          <w:rFonts w:ascii="Arial" w:hAnsi="Arial" w:cs="Arial"/>
          <w:sz w:val="24"/>
        </w:rPr>
        <w:t xml:space="preserve"> de Colaboración </w:t>
      </w:r>
      <w:r>
        <w:rPr>
          <w:rFonts w:ascii="Arial" w:hAnsi="Arial" w:cs="Arial"/>
          <w:sz w:val="24"/>
        </w:rPr>
        <w:t xml:space="preserve">que se tiene </w:t>
      </w:r>
      <w:r w:rsidRPr="00934214">
        <w:rPr>
          <w:rFonts w:ascii="Arial" w:hAnsi="Arial" w:cs="Arial"/>
          <w:sz w:val="24"/>
        </w:rPr>
        <w:t xml:space="preserve">con la Secretaría de Hacienda y Crédito Público, y se ha cumplido en materia de fiscalización concurrente, </w:t>
      </w:r>
      <w:r>
        <w:rPr>
          <w:rFonts w:ascii="Arial" w:hAnsi="Arial" w:cs="Arial"/>
          <w:sz w:val="24"/>
        </w:rPr>
        <w:t>con el objetivo de que la entidad pueda recibir el 100 por ciento del Impuesto Sobre la Renta que sea causado, en términos del artículo 126 de la Ley del Impuesto Sobre la Renta, por la enajenación de bienes inmuebles que se realicen dentro de la entidad, y de los cuales se participa a los municipios, según la cláusula XIX del Convenio de Colaboración, cuando menos con el 20 por ciento de lo recibido.</w:t>
      </w:r>
    </w:p>
    <w:p w14:paraId="3D6F193B" w14:textId="77777777" w:rsidR="00B076A2" w:rsidRDefault="00B076A2" w:rsidP="00B076A2">
      <w:pPr>
        <w:spacing w:after="0" w:line="240" w:lineRule="auto"/>
        <w:jc w:val="both"/>
        <w:rPr>
          <w:rFonts w:ascii="Arial" w:hAnsi="Arial" w:cs="Arial"/>
          <w:sz w:val="24"/>
        </w:rPr>
      </w:pPr>
    </w:p>
    <w:p w14:paraId="6A27B94F" w14:textId="77777777" w:rsidR="00B076A2" w:rsidRDefault="00B076A2" w:rsidP="00B076A2">
      <w:pPr>
        <w:spacing w:after="0" w:line="240" w:lineRule="auto"/>
        <w:jc w:val="both"/>
        <w:rPr>
          <w:rFonts w:ascii="Arial" w:hAnsi="Arial" w:cs="Arial"/>
          <w:b/>
          <w:sz w:val="24"/>
        </w:rPr>
      </w:pPr>
      <w:r w:rsidRPr="00286214">
        <w:rPr>
          <w:rFonts w:ascii="Arial" w:hAnsi="Arial" w:cs="Arial"/>
          <w:b/>
          <w:sz w:val="24"/>
        </w:rPr>
        <w:t>2.3.3 Montos de Deuda Contingente y Propuestas de Acción para Enfrentarlos</w:t>
      </w:r>
    </w:p>
    <w:p w14:paraId="10FCF37A" w14:textId="77777777" w:rsidR="00B076A2" w:rsidRPr="00286214" w:rsidRDefault="00B076A2" w:rsidP="00B076A2">
      <w:pPr>
        <w:spacing w:after="0" w:line="240" w:lineRule="auto"/>
        <w:jc w:val="both"/>
        <w:rPr>
          <w:rFonts w:ascii="Arial" w:hAnsi="Arial" w:cs="Arial"/>
          <w:b/>
          <w:sz w:val="24"/>
        </w:rPr>
      </w:pPr>
    </w:p>
    <w:p w14:paraId="531558C0" w14:textId="77777777" w:rsidR="00B076A2" w:rsidRPr="00402CA4" w:rsidRDefault="00B076A2" w:rsidP="00B076A2">
      <w:pPr>
        <w:spacing w:after="0" w:line="240" w:lineRule="auto"/>
        <w:jc w:val="both"/>
        <w:rPr>
          <w:rFonts w:ascii="Arial" w:hAnsi="Arial" w:cs="Arial"/>
          <w:sz w:val="24"/>
        </w:rPr>
      </w:pPr>
      <w:r w:rsidRPr="00406EAA">
        <w:rPr>
          <w:rFonts w:ascii="Arial" w:hAnsi="Arial" w:cs="Arial"/>
          <w:sz w:val="24"/>
        </w:rPr>
        <w:t>La Ley de Disciplina Financiera de las Entidades Federativas y los Municipios,</w:t>
      </w:r>
      <w:r>
        <w:rPr>
          <w:rFonts w:ascii="Arial" w:hAnsi="Arial" w:cs="Arial"/>
          <w:sz w:val="24"/>
        </w:rPr>
        <w:t xml:space="preserve"> en su Artículo 2</w:t>
      </w:r>
      <w:r w:rsidRPr="00406EAA">
        <w:rPr>
          <w:rFonts w:ascii="Arial" w:hAnsi="Arial" w:cs="Arial"/>
          <w:sz w:val="24"/>
        </w:rPr>
        <w:t>° fracción V establece que la Deuda Contingente es “</w:t>
      </w:r>
      <w:r w:rsidRPr="005E4365">
        <w:rPr>
          <w:rFonts w:ascii="Arial" w:hAnsi="Arial" w:cs="Arial"/>
          <w:i/>
        </w:rPr>
        <w:t>cualquier Financiamiento sin fuente o garantía de pago definida, que sea asumida de manera solidaria o subsidiaria por las Entidades Federativas con sus Municipios, organismos descentralizados y empresas de participación estatal mayoritaria y fideicomisos, locales o municipales y, por los propios Municipios con sus respectivos organismos descentralizados y empresas de participación municipal mayoritaria …”</w:t>
      </w:r>
      <w:r w:rsidRPr="005E4365">
        <w:rPr>
          <w:rFonts w:ascii="Arial" w:hAnsi="Arial" w:cs="Arial"/>
        </w:rPr>
        <w:cr/>
      </w:r>
    </w:p>
    <w:p w14:paraId="74FA97E3" w14:textId="77777777" w:rsidR="00B076A2" w:rsidRDefault="00B076A2" w:rsidP="00B076A2">
      <w:pPr>
        <w:spacing w:after="0" w:line="240" w:lineRule="auto"/>
        <w:jc w:val="both"/>
        <w:rPr>
          <w:rFonts w:ascii="Arial" w:hAnsi="Arial" w:cs="Arial"/>
          <w:sz w:val="24"/>
        </w:rPr>
      </w:pPr>
      <w:r w:rsidRPr="00402CA4">
        <w:rPr>
          <w:rFonts w:ascii="Arial" w:hAnsi="Arial" w:cs="Arial"/>
          <w:sz w:val="24"/>
        </w:rPr>
        <w:t xml:space="preserve">El Gobierno del Estado de Colima actualmente no tienen compromisos de Deuda Contingente, sin embargo existen las siguientes obligaciones </w:t>
      </w:r>
      <w:r>
        <w:rPr>
          <w:rFonts w:ascii="Arial" w:hAnsi="Arial" w:cs="Arial"/>
          <w:sz w:val="24"/>
        </w:rPr>
        <w:t xml:space="preserve">de deuda </w:t>
      </w:r>
      <w:r w:rsidRPr="00402CA4">
        <w:rPr>
          <w:rFonts w:ascii="Arial" w:hAnsi="Arial" w:cs="Arial"/>
          <w:sz w:val="24"/>
        </w:rPr>
        <w:t>Indirecta:</w:t>
      </w:r>
    </w:p>
    <w:p w14:paraId="4CA1CD02" w14:textId="77777777" w:rsidR="00B076A2" w:rsidRDefault="00B076A2" w:rsidP="00B076A2">
      <w:pPr>
        <w:spacing w:after="0" w:line="240" w:lineRule="auto"/>
        <w:jc w:val="both"/>
        <w:rPr>
          <w:rFonts w:ascii="Arial" w:hAnsi="Arial" w:cs="Arial"/>
          <w:sz w:val="24"/>
        </w:rPr>
      </w:pPr>
    </w:p>
    <w:p w14:paraId="7642B524" w14:textId="77777777" w:rsidR="00B076A2" w:rsidRDefault="00B076A2" w:rsidP="00B076A2">
      <w:pPr>
        <w:spacing w:after="0" w:line="240" w:lineRule="auto"/>
        <w:jc w:val="both"/>
        <w:rPr>
          <w:rFonts w:ascii="Arial" w:hAnsi="Arial" w:cs="Arial"/>
          <w:sz w:val="24"/>
        </w:rPr>
      </w:pPr>
      <w:r w:rsidRPr="00845441">
        <w:rPr>
          <w:noProof/>
        </w:rPr>
        <w:drawing>
          <wp:inline distT="0" distB="0" distL="0" distR="0" wp14:anchorId="246E6326" wp14:editId="39DE71B6">
            <wp:extent cx="5400040" cy="2201851"/>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00040" cy="2201851"/>
                    </a:xfrm>
                    <a:prstGeom prst="rect">
                      <a:avLst/>
                    </a:prstGeom>
                    <a:noFill/>
                    <a:ln>
                      <a:noFill/>
                    </a:ln>
                  </pic:spPr>
                </pic:pic>
              </a:graphicData>
            </a:graphic>
          </wp:inline>
        </w:drawing>
      </w:r>
    </w:p>
    <w:p w14:paraId="782C2A19" w14:textId="77777777" w:rsidR="00B076A2" w:rsidRPr="00985C18" w:rsidRDefault="00B076A2" w:rsidP="00B076A2">
      <w:pPr>
        <w:spacing w:after="0" w:line="240" w:lineRule="auto"/>
        <w:jc w:val="both"/>
        <w:rPr>
          <w:rFonts w:ascii="Arial" w:hAnsi="Arial" w:cs="Arial"/>
          <w:sz w:val="24"/>
        </w:rPr>
      </w:pPr>
      <w:r w:rsidRPr="00985C18">
        <w:rPr>
          <w:rFonts w:ascii="Arial" w:hAnsi="Arial" w:cs="Arial"/>
          <w:sz w:val="24"/>
        </w:rPr>
        <w:t>Ri</w:t>
      </w:r>
      <w:r>
        <w:rPr>
          <w:rFonts w:ascii="Arial" w:hAnsi="Arial" w:cs="Arial"/>
          <w:sz w:val="24"/>
        </w:rPr>
        <w:t>esgos relevantes en materia de Deuda C</w:t>
      </w:r>
      <w:r w:rsidRPr="00985C18">
        <w:rPr>
          <w:rFonts w:ascii="Arial" w:hAnsi="Arial" w:cs="Arial"/>
          <w:sz w:val="24"/>
        </w:rPr>
        <w:t>ontingente y propuestas de acción para enfrentarlos</w:t>
      </w:r>
      <w:r>
        <w:rPr>
          <w:rFonts w:ascii="Arial" w:hAnsi="Arial" w:cs="Arial"/>
          <w:sz w:val="24"/>
        </w:rPr>
        <w:t>:</w:t>
      </w:r>
    </w:p>
    <w:p w14:paraId="51580362" w14:textId="77777777" w:rsidR="00B076A2" w:rsidRDefault="00B076A2" w:rsidP="00B076A2">
      <w:pPr>
        <w:spacing w:after="0" w:line="240" w:lineRule="auto"/>
        <w:jc w:val="both"/>
        <w:rPr>
          <w:rFonts w:ascii="Arial" w:hAnsi="Arial" w:cs="Arial"/>
          <w:sz w:val="24"/>
        </w:rPr>
      </w:pPr>
    </w:p>
    <w:p w14:paraId="38869BA5" w14:textId="77777777" w:rsidR="00B076A2" w:rsidRDefault="00B076A2" w:rsidP="00B076A2">
      <w:pPr>
        <w:spacing w:after="0" w:line="240" w:lineRule="auto"/>
        <w:jc w:val="both"/>
        <w:rPr>
          <w:rFonts w:ascii="Arial" w:hAnsi="Arial" w:cs="Arial"/>
          <w:sz w:val="24"/>
        </w:rPr>
      </w:pPr>
      <w:r w:rsidRPr="00DC1F9D">
        <w:rPr>
          <w:rFonts w:ascii="Arial" w:hAnsi="Arial" w:cs="Arial"/>
          <w:sz w:val="24"/>
        </w:rPr>
        <w:lastRenderedPageBreak/>
        <w:t>El Estado de Colima cuenta solamente con dos financiamientos con aval solidario a</w:t>
      </w:r>
      <w:r>
        <w:rPr>
          <w:rFonts w:ascii="Arial" w:hAnsi="Arial" w:cs="Arial"/>
          <w:sz w:val="24"/>
        </w:rPr>
        <w:t xml:space="preserve"> Organismos de la Administración Pública Paraestatal</w:t>
      </w:r>
      <w:r w:rsidRPr="00DC1F9D">
        <w:rPr>
          <w:rFonts w:ascii="Arial" w:hAnsi="Arial" w:cs="Arial"/>
          <w:sz w:val="24"/>
        </w:rPr>
        <w:t>, los cuales no representan contingencia alguna</w:t>
      </w:r>
      <w:r>
        <w:rPr>
          <w:rFonts w:ascii="Arial" w:hAnsi="Arial" w:cs="Arial"/>
          <w:sz w:val="24"/>
        </w:rPr>
        <w:t xml:space="preserve"> </w:t>
      </w:r>
      <w:r w:rsidRPr="00DC1F9D">
        <w:rPr>
          <w:rFonts w:ascii="Arial" w:hAnsi="Arial" w:cs="Arial"/>
          <w:sz w:val="24"/>
        </w:rPr>
        <w:t>puesto que cuentan con fuente de pago definida, cuyos recursos se afectan</w:t>
      </w:r>
      <w:r>
        <w:rPr>
          <w:rFonts w:ascii="Arial" w:hAnsi="Arial" w:cs="Arial"/>
          <w:sz w:val="24"/>
        </w:rPr>
        <w:t xml:space="preserve"> </w:t>
      </w:r>
      <w:r w:rsidRPr="00DC1F9D">
        <w:rPr>
          <w:rFonts w:ascii="Arial" w:hAnsi="Arial" w:cs="Arial"/>
          <w:sz w:val="24"/>
        </w:rPr>
        <w:t>directamente de la Tesorería de la Federación a un Fideicomiso Irrevocable de</w:t>
      </w:r>
      <w:r>
        <w:rPr>
          <w:rFonts w:ascii="Arial" w:hAnsi="Arial" w:cs="Arial"/>
          <w:sz w:val="24"/>
        </w:rPr>
        <w:t xml:space="preserve"> </w:t>
      </w:r>
      <w:r w:rsidRPr="00DC1F9D">
        <w:rPr>
          <w:rFonts w:ascii="Arial" w:hAnsi="Arial" w:cs="Arial"/>
          <w:sz w:val="24"/>
        </w:rPr>
        <w:t>Administración y Pago, con lo que se reduce al mínimo el riesgo de incumplimiento</w:t>
      </w:r>
      <w:r>
        <w:rPr>
          <w:rFonts w:ascii="Arial" w:hAnsi="Arial" w:cs="Arial"/>
          <w:sz w:val="24"/>
        </w:rPr>
        <w:t xml:space="preserve"> </w:t>
      </w:r>
      <w:r w:rsidRPr="00DC1F9D">
        <w:rPr>
          <w:rFonts w:ascii="Arial" w:hAnsi="Arial" w:cs="Arial"/>
          <w:sz w:val="24"/>
        </w:rPr>
        <w:t>de pago a los acreedores.</w:t>
      </w:r>
    </w:p>
    <w:p w14:paraId="1F0DE900" w14:textId="77777777" w:rsidR="00B076A2" w:rsidRDefault="00B076A2" w:rsidP="00B076A2">
      <w:pPr>
        <w:spacing w:after="0" w:line="240" w:lineRule="auto"/>
        <w:jc w:val="both"/>
        <w:rPr>
          <w:rFonts w:ascii="Arial" w:hAnsi="Arial" w:cs="Arial"/>
          <w:b/>
          <w:sz w:val="24"/>
        </w:rPr>
      </w:pPr>
    </w:p>
    <w:p w14:paraId="73B07997" w14:textId="77777777" w:rsidR="00B076A2" w:rsidRPr="00DC1F9D" w:rsidRDefault="00B076A2" w:rsidP="00B076A2">
      <w:pPr>
        <w:spacing w:after="0" w:line="240" w:lineRule="auto"/>
        <w:jc w:val="both"/>
        <w:rPr>
          <w:rFonts w:ascii="Arial" w:hAnsi="Arial" w:cs="Arial"/>
          <w:b/>
          <w:sz w:val="24"/>
        </w:rPr>
      </w:pPr>
      <w:r w:rsidRPr="00DC1F9D">
        <w:rPr>
          <w:rFonts w:ascii="Arial" w:hAnsi="Arial" w:cs="Arial"/>
          <w:b/>
          <w:sz w:val="24"/>
        </w:rPr>
        <w:t>2.4 RESULTADOS DE LAS FINANZAS PÚBLICAS QUE ABARCAN UN PERIODO DE LOS CINCO ÚLTIMOS AÑOS Y EL EJERCICIO FISCAL EN CUESTIÓN, DE ACUERDO CON LOS FORMATOS EMITIDOS POR EL CONAC</w:t>
      </w:r>
    </w:p>
    <w:p w14:paraId="543598D4" w14:textId="77777777" w:rsidR="00B076A2" w:rsidRDefault="00B076A2" w:rsidP="00B076A2">
      <w:pPr>
        <w:spacing w:after="0" w:line="240" w:lineRule="auto"/>
        <w:jc w:val="both"/>
        <w:rPr>
          <w:rFonts w:ascii="Arial" w:hAnsi="Arial" w:cs="Arial"/>
          <w:sz w:val="24"/>
        </w:rPr>
      </w:pPr>
    </w:p>
    <w:p w14:paraId="2734EA56" w14:textId="77777777" w:rsidR="00B076A2" w:rsidRDefault="00B076A2" w:rsidP="00B076A2">
      <w:pPr>
        <w:spacing w:after="0" w:line="240" w:lineRule="auto"/>
        <w:jc w:val="both"/>
        <w:rPr>
          <w:rFonts w:ascii="Arial" w:hAnsi="Arial" w:cs="Arial"/>
          <w:b/>
          <w:sz w:val="24"/>
        </w:rPr>
      </w:pPr>
      <w:r w:rsidRPr="00DC1F9D">
        <w:rPr>
          <w:rFonts w:ascii="Arial" w:hAnsi="Arial" w:cs="Arial"/>
          <w:b/>
          <w:sz w:val="24"/>
        </w:rPr>
        <w:t>2.4.1 Resultados de las Finanzas Públicas</w:t>
      </w:r>
    </w:p>
    <w:p w14:paraId="340EBF9B" w14:textId="77777777" w:rsidR="00B076A2" w:rsidRDefault="00B076A2" w:rsidP="00B076A2">
      <w:pPr>
        <w:spacing w:after="0" w:line="240" w:lineRule="auto"/>
        <w:jc w:val="both"/>
        <w:rPr>
          <w:rFonts w:ascii="Arial" w:hAnsi="Arial" w:cs="Arial"/>
          <w:b/>
          <w:sz w:val="24"/>
        </w:rPr>
      </w:pPr>
    </w:p>
    <w:p w14:paraId="34D97965" w14:textId="77777777" w:rsidR="00B076A2" w:rsidRDefault="00B076A2" w:rsidP="00B076A2">
      <w:pPr>
        <w:spacing w:after="0" w:line="240" w:lineRule="auto"/>
        <w:jc w:val="both"/>
        <w:rPr>
          <w:rFonts w:ascii="Arial" w:hAnsi="Arial" w:cs="Arial"/>
          <w:b/>
          <w:sz w:val="24"/>
        </w:rPr>
      </w:pPr>
      <w:r>
        <w:rPr>
          <w:rFonts w:ascii="Arial" w:hAnsi="Arial" w:cs="Arial"/>
          <w:b/>
          <w:sz w:val="24"/>
        </w:rPr>
        <w:t>Ingresos</w:t>
      </w:r>
    </w:p>
    <w:p w14:paraId="1612FA9A" w14:textId="77777777" w:rsidR="00B076A2" w:rsidRPr="00DC1F9D" w:rsidRDefault="00B076A2" w:rsidP="00B076A2">
      <w:pPr>
        <w:spacing w:after="0" w:line="240" w:lineRule="auto"/>
        <w:jc w:val="both"/>
        <w:rPr>
          <w:rFonts w:ascii="Arial" w:hAnsi="Arial" w:cs="Arial"/>
          <w:b/>
          <w:sz w:val="24"/>
        </w:rPr>
      </w:pPr>
    </w:p>
    <w:p w14:paraId="7124906D" w14:textId="77777777" w:rsidR="00B076A2" w:rsidRDefault="00B076A2" w:rsidP="00B076A2">
      <w:pPr>
        <w:spacing w:after="0" w:line="240" w:lineRule="auto"/>
        <w:jc w:val="both"/>
        <w:rPr>
          <w:rFonts w:ascii="Arial" w:hAnsi="Arial" w:cs="Arial"/>
          <w:sz w:val="24"/>
        </w:rPr>
      </w:pPr>
      <w:r w:rsidRPr="000C2381">
        <w:rPr>
          <w:rFonts w:ascii="Arial" w:hAnsi="Arial" w:cs="Arial"/>
          <w:sz w:val="24"/>
        </w:rPr>
        <w:t>Ante el complejo escenario en el que se recibieron las finanzas públicas, se</w:t>
      </w:r>
      <w:r>
        <w:rPr>
          <w:rFonts w:ascii="Arial" w:hAnsi="Arial" w:cs="Arial"/>
          <w:sz w:val="24"/>
        </w:rPr>
        <w:t xml:space="preserve"> </w:t>
      </w:r>
      <w:r w:rsidRPr="000C2381">
        <w:rPr>
          <w:rFonts w:ascii="Arial" w:hAnsi="Arial" w:cs="Arial"/>
          <w:sz w:val="24"/>
        </w:rPr>
        <w:t>redoblaron esfuerzos y se</w:t>
      </w:r>
      <w:r>
        <w:rPr>
          <w:rFonts w:ascii="Arial" w:hAnsi="Arial" w:cs="Arial"/>
          <w:sz w:val="24"/>
        </w:rPr>
        <w:t xml:space="preserve"> han instrumentado</w:t>
      </w:r>
      <w:r w:rsidRPr="000C2381">
        <w:rPr>
          <w:rFonts w:ascii="Arial" w:hAnsi="Arial" w:cs="Arial"/>
          <w:sz w:val="24"/>
        </w:rPr>
        <w:t xml:space="preserve"> diversas estrategias. Se desplegaron</w:t>
      </w:r>
      <w:r>
        <w:rPr>
          <w:rFonts w:ascii="Arial" w:hAnsi="Arial" w:cs="Arial"/>
          <w:sz w:val="24"/>
        </w:rPr>
        <w:t xml:space="preserve"> </w:t>
      </w:r>
      <w:r w:rsidRPr="000C2381">
        <w:rPr>
          <w:rFonts w:ascii="Arial" w:hAnsi="Arial" w:cs="Arial"/>
          <w:sz w:val="24"/>
        </w:rPr>
        <w:t>acciones para implementar una adecuada planificación financiera y se</w:t>
      </w:r>
      <w:r>
        <w:rPr>
          <w:rFonts w:ascii="Arial" w:hAnsi="Arial" w:cs="Arial"/>
          <w:sz w:val="24"/>
        </w:rPr>
        <w:t xml:space="preserve"> </w:t>
      </w:r>
      <w:r w:rsidRPr="000C2381">
        <w:rPr>
          <w:rFonts w:ascii="Arial" w:hAnsi="Arial" w:cs="Arial"/>
          <w:sz w:val="24"/>
        </w:rPr>
        <w:t>instrumentaron los mecanismos necesarios para prever la disponibilidad de</w:t>
      </w:r>
      <w:r>
        <w:rPr>
          <w:rFonts w:ascii="Arial" w:hAnsi="Arial" w:cs="Arial"/>
          <w:sz w:val="24"/>
        </w:rPr>
        <w:t xml:space="preserve"> </w:t>
      </w:r>
      <w:r w:rsidRPr="000C2381">
        <w:rPr>
          <w:rFonts w:ascii="Arial" w:hAnsi="Arial" w:cs="Arial"/>
          <w:sz w:val="24"/>
        </w:rPr>
        <w:t>recursos que ha permitido financiar las prioridades en materia de desarrollo</w:t>
      </w:r>
      <w:r>
        <w:rPr>
          <w:rFonts w:ascii="Arial" w:hAnsi="Arial" w:cs="Arial"/>
          <w:sz w:val="24"/>
        </w:rPr>
        <w:t xml:space="preserve"> </w:t>
      </w:r>
      <w:r w:rsidRPr="000C2381">
        <w:rPr>
          <w:rFonts w:ascii="Arial" w:hAnsi="Arial" w:cs="Arial"/>
          <w:sz w:val="24"/>
        </w:rPr>
        <w:t>económico</w:t>
      </w:r>
      <w:r>
        <w:rPr>
          <w:rFonts w:ascii="Arial" w:hAnsi="Arial" w:cs="Arial"/>
          <w:sz w:val="24"/>
        </w:rPr>
        <w:t xml:space="preserve">, desarrollo social, </w:t>
      </w:r>
      <w:r w:rsidRPr="000C2381">
        <w:rPr>
          <w:rFonts w:ascii="Arial" w:hAnsi="Arial" w:cs="Arial"/>
          <w:sz w:val="24"/>
        </w:rPr>
        <w:t>las tareas de gobierno</w:t>
      </w:r>
      <w:r>
        <w:rPr>
          <w:rFonts w:ascii="Arial" w:hAnsi="Arial" w:cs="Arial"/>
          <w:sz w:val="24"/>
        </w:rPr>
        <w:t xml:space="preserve"> así como las necesidades extraordinarias que han derivado de las medidas implementadas para la contención del COVID-19, ello </w:t>
      </w:r>
      <w:r w:rsidRPr="000C2381">
        <w:rPr>
          <w:rFonts w:ascii="Arial" w:hAnsi="Arial" w:cs="Arial"/>
          <w:sz w:val="24"/>
        </w:rPr>
        <w:t>en congruencia con la</w:t>
      </w:r>
      <w:r>
        <w:rPr>
          <w:rFonts w:ascii="Arial" w:hAnsi="Arial" w:cs="Arial"/>
          <w:sz w:val="24"/>
        </w:rPr>
        <w:t xml:space="preserve"> </w:t>
      </w:r>
      <w:r w:rsidRPr="000C2381">
        <w:rPr>
          <w:rFonts w:ascii="Arial" w:hAnsi="Arial" w:cs="Arial"/>
          <w:sz w:val="24"/>
        </w:rPr>
        <w:t>realidad</w:t>
      </w:r>
      <w:r>
        <w:rPr>
          <w:rFonts w:ascii="Arial" w:hAnsi="Arial" w:cs="Arial"/>
          <w:sz w:val="24"/>
        </w:rPr>
        <w:t xml:space="preserve"> actual </w:t>
      </w:r>
      <w:r w:rsidRPr="000C2381">
        <w:rPr>
          <w:rFonts w:ascii="Arial" w:hAnsi="Arial" w:cs="Arial"/>
          <w:sz w:val="24"/>
        </w:rPr>
        <w:t>de las finanzas</w:t>
      </w:r>
      <w:r>
        <w:rPr>
          <w:rFonts w:ascii="Arial" w:hAnsi="Arial" w:cs="Arial"/>
          <w:sz w:val="24"/>
        </w:rPr>
        <w:t xml:space="preserve"> públicas.</w:t>
      </w:r>
    </w:p>
    <w:p w14:paraId="22C5A56D" w14:textId="77777777" w:rsidR="00B076A2" w:rsidRDefault="00B076A2" w:rsidP="00B076A2">
      <w:pPr>
        <w:spacing w:after="0" w:line="240" w:lineRule="auto"/>
        <w:jc w:val="both"/>
        <w:rPr>
          <w:rFonts w:ascii="Arial" w:hAnsi="Arial" w:cs="Arial"/>
          <w:sz w:val="24"/>
        </w:rPr>
      </w:pPr>
    </w:p>
    <w:p w14:paraId="13681BF2" w14:textId="77777777" w:rsidR="00B076A2" w:rsidRDefault="00B076A2" w:rsidP="00B076A2">
      <w:pPr>
        <w:spacing w:after="0" w:line="240" w:lineRule="auto"/>
        <w:jc w:val="both"/>
        <w:rPr>
          <w:rFonts w:ascii="Arial" w:hAnsi="Arial" w:cs="Arial"/>
          <w:sz w:val="24"/>
        </w:rPr>
      </w:pPr>
      <w:r>
        <w:rPr>
          <w:rFonts w:ascii="Arial" w:hAnsi="Arial" w:cs="Arial"/>
          <w:sz w:val="24"/>
        </w:rPr>
        <w:t>Como resultado</w:t>
      </w:r>
      <w:r w:rsidRPr="000C2381">
        <w:rPr>
          <w:rFonts w:ascii="Arial" w:hAnsi="Arial" w:cs="Arial"/>
          <w:sz w:val="24"/>
        </w:rPr>
        <w:t>,</w:t>
      </w:r>
      <w:r>
        <w:rPr>
          <w:rFonts w:ascii="Arial" w:hAnsi="Arial" w:cs="Arial"/>
          <w:sz w:val="24"/>
        </w:rPr>
        <w:t xml:space="preserve"> hemos logrado</w:t>
      </w:r>
      <w:r w:rsidRPr="000C2381">
        <w:rPr>
          <w:rFonts w:ascii="Arial" w:hAnsi="Arial" w:cs="Arial"/>
          <w:sz w:val="24"/>
        </w:rPr>
        <w:t xml:space="preserve"> disponer de liquidez para atender prioridades</w:t>
      </w:r>
      <w:r>
        <w:rPr>
          <w:rFonts w:ascii="Arial" w:hAnsi="Arial" w:cs="Arial"/>
          <w:sz w:val="24"/>
        </w:rPr>
        <w:t xml:space="preserve"> actuales</w:t>
      </w:r>
      <w:r w:rsidRPr="000C2381">
        <w:rPr>
          <w:rFonts w:ascii="Arial" w:hAnsi="Arial" w:cs="Arial"/>
          <w:sz w:val="24"/>
        </w:rPr>
        <w:t xml:space="preserve"> y</w:t>
      </w:r>
      <w:r>
        <w:rPr>
          <w:rFonts w:ascii="Arial" w:hAnsi="Arial" w:cs="Arial"/>
          <w:sz w:val="24"/>
        </w:rPr>
        <w:t xml:space="preserve"> seguir cumpliendo con las obligaciones de</w:t>
      </w:r>
      <w:r w:rsidRPr="000C2381">
        <w:rPr>
          <w:rFonts w:ascii="Arial" w:hAnsi="Arial" w:cs="Arial"/>
          <w:sz w:val="24"/>
        </w:rPr>
        <w:t xml:space="preserve"> pasivos</w:t>
      </w:r>
      <w:r>
        <w:rPr>
          <w:rFonts w:ascii="Arial" w:hAnsi="Arial" w:cs="Arial"/>
          <w:sz w:val="24"/>
        </w:rPr>
        <w:t xml:space="preserve"> heredados</w:t>
      </w:r>
      <w:r w:rsidRPr="000C2381">
        <w:rPr>
          <w:rFonts w:ascii="Arial" w:hAnsi="Arial" w:cs="Arial"/>
          <w:sz w:val="24"/>
        </w:rPr>
        <w:t xml:space="preserve"> que se habían postergado.</w:t>
      </w:r>
      <w:r>
        <w:rPr>
          <w:rFonts w:ascii="Arial" w:hAnsi="Arial" w:cs="Arial"/>
          <w:sz w:val="24"/>
        </w:rPr>
        <w:t xml:space="preserve"> </w:t>
      </w:r>
      <w:r w:rsidRPr="000C2381">
        <w:rPr>
          <w:rFonts w:ascii="Arial" w:hAnsi="Arial" w:cs="Arial"/>
          <w:sz w:val="24"/>
        </w:rPr>
        <w:t>Los retos en materia financiera enfrentados obligaron a asumir una actitud</w:t>
      </w:r>
      <w:r>
        <w:rPr>
          <w:rFonts w:ascii="Arial" w:hAnsi="Arial" w:cs="Arial"/>
          <w:sz w:val="24"/>
        </w:rPr>
        <w:t xml:space="preserve"> </w:t>
      </w:r>
      <w:r w:rsidRPr="000C2381">
        <w:rPr>
          <w:rFonts w:ascii="Arial" w:hAnsi="Arial" w:cs="Arial"/>
          <w:sz w:val="24"/>
        </w:rPr>
        <w:t>comprometida hacia la sociedad colimense. En todo momento se ha procedido con</w:t>
      </w:r>
      <w:r>
        <w:rPr>
          <w:rFonts w:ascii="Arial" w:hAnsi="Arial" w:cs="Arial"/>
          <w:sz w:val="24"/>
        </w:rPr>
        <w:t xml:space="preserve"> </w:t>
      </w:r>
      <w:r w:rsidRPr="000C2381">
        <w:rPr>
          <w:rFonts w:ascii="Arial" w:hAnsi="Arial" w:cs="Arial"/>
          <w:sz w:val="24"/>
        </w:rPr>
        <w:t>apego a la ley y cuidando la transparencia de lo realizado, es así que en su actuar</w:t>
      </w:r>
      <w:r>
        <w:rPr>
          <w:rFonts w:ascii="Arial" w:hAnsi="Arial" w:cs="Arial"/>
          <w:sz w:val="24"/>
        </w:rPr>
        <w:t xml:space="preserve"> </w:t>
      </w:r>
      <w:r w:rsidRPr="000C2381">
        <w:rPr>
          <w:rFonts w:ascii="Arial" w:hAnsi="Arial" w:cs="Arial"/>
          <w:sz w:val="24"/>
        </w:rPr>
        <w:t>los funcionaros deben dirigir</w:t>
      </w:r>
      <w:r>
        <w:rPr>
          <w:rFonts w:ascii="Arial" w:hAnsi="Arial" w:cs="Arial"/>
          <w:sz w:val="24"/>
        </w:rPr>
        <w:t xml:space="preserve">se </w:t>
      </w:r>
      <w:r w:rsidRPr="000C2381">
        <w:rPr>
          <w:rFonts w:ascii="Arial" w:hAnsi="Arial" w:cs="Arial"/>
          <w:sz w:val="24"/>
        </w:rPr>
        <w:t>con honestidad y una profunda convicción</w:t>
      </w:r>
      <w:r>
        <w:rPr>
          <w:rFonts w:ascii="Arial" w:hAnsi="Arial" w:cs="Arial"/>
          <w:sz w:val="24"/>
        </w:rPr>
        <w:t xml:space="preserve"> </w:t>
      </w:r>
      <w:r w:rsidRPr="000C2381">
        <w:rPr>
          <w:rFonts w:ascii="Arial" w:hAnsi="Arial" w:cs="Arial"/>
          <w:sz w:val="24"/>
        </w:rPr>
        <w:t>por servir, redoblando esfuerzos para hacer más con menos.</w:t>
      </w:r>
    </w:p>
    <w:p w14:paraId="1C04C21F" w14:textId="77777777" w:rsidR="00B076A2" w:rsidRPr="000C2381" w:rsidRDefault="00B076A2" w:rsidP="00B076A2">
      <w:pPr>
        <w:spacing w:after="0" w:line="240" w:lineRule="auto"/>
        <w:jc w:val="both"/>
        <w:rPr>
          <w:rFonts w:ascii="Arial" w:hAnsi="Arial" w:cs="Arial"/>
          <w:sz w:val="24"/>
        </w:rPr>
      </w:pPr>
    </w:p>
    <w:p w14:paraId="7D97E35E" w14:textId="77777777" w:rsidR="00B076A2" w:rsidRDefault="00B076A2" w:rsidP="00B076A2">
      <w:pPr>
        <w:spacing w:after="0" w:line="240" w:lineRule="auto"/>
        <w:jc w:val="both"/>
        <w:rPr>
          <w:rFonts w:ascii="Arial" w:hAnsi="Arial" w:cs="Arial"/>
          <w:sz w:val="24"/>
        </w:rPr>
      </w:pPr>
      <w:r w:rsidRPr="000C2381">
        <w:rPr>
          <w:rFonts w:ascii="Arial" w:hAnsi="Arial" w:cs="Arial"/>
          <w:sz w:val="24"/>
        </w:rPr>
        <w:t>Pese a la difícil</w:t>
      </w:r>
      <w:r>
        <w:rPr>
          <w:rFonts w:ascii="Arial" w:hAnsi="Arial" w:cs="Arial"/>
          <w:sz w:val="24"/>
        </w:rPr>
        <w:t xml:space="preserve"> situación financiera heredada y</w:t>
      </w:r>
      <w:r w:rsidRPr="000C2381">
        <w:rPr>
          <w:rFonts w:ascii="Arial" w:hAnsi="Arial" w:cs="Arial"/>
          <w:sz w:val="24"/>
        </w:rPr>
        <w:t xml:space="preserve"> el complicado panorama económico</w:t>
      </w:r>
      <w:r>
        <w:rPr>
          <w:rFonts w:ascii="Arial" w:hAnsi="Arial" w:cs="Arial"/>
          <w:sz w:val="24"/>
        </w:rPr>
        <w:t xml:space="preserve"> agravado por la pandemia provocada por el virus SARS-CoV-2</w:t>
      </w:r>
      <w:r w:rsidRPr="000C2381">
        <w:rPr>
          <w:rFonts w:ascii="Arial" w:hAnsi="Arial" w:cs="Arial"/>
          <w:sz w:val="24"/>
        </w:rPr>
        <w:t>, el Gobierno del Estado ha avanzado en el mejoramiento de las</w:t>
      </w:r>
      <w:r>
        <w:rPr>
          <w:rFonts w:ascii="Arial" w:hAnsi="Arial" w:cs="Arial"/>
          <w:sz w:val="24"/>
        </w:rPr>
        <w:t xml:space="preserve"> </w:t>
      </w:r>
      <w:r w:rsidRPr="000C2381">
        <w:rPr>
          <w:rFonts w:ascii="Arial" w:hAnsi="Arial" w:cs="Arial"/>
          <w:sz w:val="24"/>
        </w:rPr>
        <w:t>Finanzas Públicas para apuntalar los beneficios y el desarrollo de las y los</w:t>
      </w:r>
      <w:r>
        <w:rPr>
          <w:rFonts w:ascii="Arial" w:hAnsi="Arial" w:cs="Arial"/>
          <w:sz w:val="24"/>
        </w:rPr>
        <w:t xml:space="preserve"> </w:t>
      </w:r>
      <w:r w:rsidRPr="000C2381">
        <w:rPr>
          <w:rFonts w:ascii="Arial" w:hAnsi="Arial" w:cs="Arial"/>
          <w:sz w:val="24"/>
        </w:rPr>
        <w:t>colimenses.</w:t>
      </w:r>
      <w:r w:rsidRPr="000C2381">
        <w:rPr>
          <w:rFonts w:ascii="Arial" w:hAnsi="Arial" w:cs="Arial"/>
          <w:sz w:val="24"/>
        </w:rPr>
        <w:cr/>
      </w:r>
    </w:p>
    <w:p w14:paraId="46FA919F" w14:textId="77777777" w:rsidR="00B076A2" w:rsidRDefault="00B076A2" w:rsidP="00B076A2">
      <w:pPr>
        <w:spacing w:after="0" w:line="240" w:lineRule="auto"/>
        <w:jc w:val="both"/>
        <w:rPr>
          <w:rFonts w:ascii="Arial" w:hAnsi="Arial" w:cs="Arial"/>
          <w:sz w:val="24"/>
        </w:rPr>
      </w:pPr>
      <w:r w:rsidRPr="000C2381">
        <w:rPr>
          <w:rFonts w:ascii="Arial" w:hAnsi="Arial" w:cs="Arial"/>
          <w:sz w:val="24"/>
        </w:rPr>
        <w:lastRenderedPageBreak/>
        <w:t>Con este motivo, se han diseñado estrategias para mantener un equilibrio favorable</w:t>
      </w:r>
      <w:r>
        <w:rPr>
          <w:rFonts w:ascii="Arial" w:hAnsi="Arial" w:cs="Arial"/>
          <w:sz w:val="24"/>
        </w:rPr>
        <w:t xml:space="preserve"> </w:t>
      </w:r>
      <w:r w:rsidRPr="000C2381">
        <w:rPr>
          <w:rFonts w:ascii="Arial" w:hAnsi="Arial" w:cs="Arial"/>
          <w:sz w:val="24"/>
        </w:rPr>
        <w:t>en las finanzas, con el objetivo de cumplir los compromisos de pago que</w:t>
      </w:r>
      <w:r>
        <w:rPr>
          <w:rFonts w:ascii="Arial" w:hAnsi="Arial" w:cs="Arial"/>
          <w:sz w:val="24"/>
        </w:rPr>
        <w:t xml:space="preserve"> </w:t>
      </w:r>
      <w:r w:rsidRPr="000C2381">
        <w:rPr>
          <w:rFonts w:ascii="Arial" w:hAnsi="Arial" w:cs="Arial"/>
          <w:sz w:val="24"/>
        </w:rPr>
        <w:t>garanticen el otorgamiento de servicios a la ciudadanía y la operatividad normal.</w:t>
      </w:r>
      <w:r>
        <w:rPr>
          <w:rFonts w:ascii="Arial" w:hAnsi="Arial" w:cs="Arial"/>
          <w:sz w:val="24"/>
        </w:rPr>
        <w:t xml:space="preserve"> </w:t>
      </w:r>
      <w:r w:rsidRPr="000C2381">
        <w:rPr>
          <w:rFonts w:ascii="Arial" w:hAnsi="Arial" w:cs="Arial"/>
          <w:sz w:val="24"/>
        </w:rPr>
        <w:t>Producto de esta política pública es la mejora en la recaudación, la modernización</w:t>
      </w:r>
      <w:r>
        <w:rPr>
          <w:rFonts w:ascii="Arial" w:hAnsi="Arial" w:cs="Arial"/>
          <w:sz w:val="24"/>
        </w:rPr>
        <w:t xml:space="preserve"> de los servicios que facilitan</w:t>
      </w:r>
      <w:r w:rsidRPr="000C2381">
        <w:rPr>
          <w:rFonts w:ascii="Arial" w:hAnsi="Arial" w:cs="Arial"/>
          <w:sz w:val="24"/>
        </w:rPr>
        <w:t xml:space="preserve"> el cumplimiento de las responsabilidades fiscales, así</w:t>
      </w:r>
      <w:r>
        <w:rPr>
          <w:rFonts w:ascii="Arial" w:hAnsi="Arial" w:cs="Arial"/>
          <w:sz w:val="24"/>
        </w:rPr>
        <w:t xml:space="preserve"> </w:t>
      </w:r>
      <w:r w:rsidRPr="000C2381">
        <w:rPr>
          <w:rFonts w:ascii="Arial" w:hAnsi="Arial" w:cs="Arial"/>
          <w:sz w:val="24"/>
        </w:rPr>
        <w:t>como un uso adecuado del presupuesto, siguiendo los principios constitucionales</w:t>
      </w:r>
      <w:r>
        <w:rPr>
          <w:rFonts w:ascii="Arial" w:hAnsi="Arial" w:cs="Arial"/>
          <w:sz w:val="24"/>
        </w:rPr>
        <w:t xml:space="preserve"> </w:t>
      </w:r>
      <w:r w:rsidRPr="000C2381">
        <w:rPr>
          <w:rFonts w:ascii="Arial" w:hAnsi="Arial" w:cs="Arial"/>
          <w:sz w:val="24"/>
        </w:rPr>
        <w:t>de eficiencia, eficacia, economía, transparencia y honradez, además del apego</w:t>
      </w:r>
      <w:r>
        <w:rPr>
          <w:rFonts w:ascii="Arial" w:hAnsi="Arial" w:cs="Arial"/>
          <w:sz w:val="24"/>
        </w:rPr>
        <w:t xml:space="preserve"> irrestricto a las medidas de austeridad y racionalización del gasto.</w:t>
      </w:r>
    </w:p>
    <w:p w14:paraId="15B16000" w14:textId="77777777" w:rsidR="00B076A2" w:rsidRDefault="00B076A2" w:rsidP="00B076A2">
      <w:pPr>
        <w:spacing w:after="0" w:line="240" w:lineRule="auto"/>
        <w:jc w:val="both"/>
        <w:rPr>
          <w:rFonts w:ascii="Arial" w:hAnsi="Arial" w:cs="Arial"/>
          <w:sz w:val="24"/>
        </w:rPr>
      </w:pPr>
    </w:p>
    <w:p w14:paraId="50BC8E4E" w14:textId="77777777" w:rsidR="00B076A2" w:rsidRDefault="00B076A2" w:rsidP="00B076A2">
      <w:pPr>
        <w:spacing w:after="0" w:line="240" w:lineRule="auto"/>
        <w:jc w:val="both"/>
        <w:rPr>
          <w:rFonts w:ascii="Arial" w:hAnsi="Arial" w:cs="Arial"/>
          <w:sz w:val="24"/>
        </w:rPr>
      </w:pPr>
      <w:r>
        <w:rPr>
          <w:rFonts w:ascii="Arial" w:hAnsi="Arial" w:cs="Arial"/>
          <w:sz w:val="24"/>
        </w:rPr>
        <w:t>Con lo anterior, s</w:t>
      </w:r>
      <w:r w:rsidRPr="000C2381">
        <w:rPr>
          <w:rFonts w:ascii="Arial" w:hAnsi="Arial" w:cs="Arial"/>
          <w:sz w:val="24"/>
        </w:rPr>
        <w:t>egún las metas del eje transversal Colima con un Gobierno Moderno, Efectivo y</w:t>
      </w:r>
      <w:r>
        <w:rPr>
          <w:rFonts w:ascii="Arial" w:hAnsi="Arial" w:cs="Arial"/>
          <w:sz w:val="24"/>
        </w:rPr>
        <w:t xml:space="preserve"> </w:t>
      </w:r>
      <w:r w:rsidRPr="000C2381">
        <w:rPr>
          <w:rFonts w:ascii="Arial" w:hAnsi="Arial" w:cs="Arial"/>
          <w:sz w:val="24"/>
        </w:rPr>
        <w:t>Transparente, establecido en el Plan Estatal de Desarrollo, se han logrado</w:t>
      </w:r>
      <w:r>
        <w:rPr>
          <w:rFonts w:ascii="Arial" w:hAnsi="Arial" w:cs="Arial"/>
          <w:sz w:val="24"/>
        </w:rPr>
        <w:t xml:space="preserve"> </w:t>
      </w:r>
      <w:r w:rsidRPr="000C2381">
        <w:rPr>
          <w:rFonts w:ascii="Arial" w:hAnsi="Arial" w:cs="Arial"/>
          <w:sz w:val="24"/>
        </w:rPr>
        <w:t>resultados que permiten ir edifi</w:t>
      </w:r>
      <w:r>
        <w:rPr>
          <w:rFonts w:ascii="Arial" w:hAnsi="Arial" w:cs="Arial"/>
          <w:sz w:val="24"/>
        </w:rPr>
        <w:t xml:space="preserve">cando gradual, pero firmemente y a pesar de la pandemia, </w:t>
      </w:r>
      <w:r w:rsidRPr="000C2381">
        <w:rPr>
          <w:rFonts w:ascii="Arial" w:hAnsi="Arial" w:cs="Arial"/>
          <w:sz w:val="24"/>
        </w:rPr>
        <w:t>los niveles de</w:t>
      </w:r>
      <w:r>
        <w:rPr>
          <w:rFonts w:ascii="Arial" w:hAnsi="Arial" w:cs="Arial"/>
          <w:sz w:val="24"/>
        </w:rPr>
        <w:t xml:space="preserve"> </w:t>
      </w:r>
      <w:r w:rsidRPr="000C2381">
        <w:rPr>
          <w:rFonts w:ascii="Arial" w:hAnsi="Arial" w:cs="Arial"/>
          <w:sz w:val="24"/>
        </w:rPr>
        <w:t>crecimiento y desarrollo planteados, reorientando el gasto público para una mayor</w:t>
      </w:r>
      <w:r>
        <w:rPr>
          <w:rFonts w:ascii="Arial" w:hAnsi="Arial" w:cs="Arial"/>
          <w:sz w:val="24"/>
        </w:rPr>
        <w:t xml:space="preserve"> </w:t>
      </w:r>
      <w:r w:rsidRPr="000C2381">
        <w:rPr>
          <w:rFonts w:ascii="Arial" w:hAnsi="Arial" w:cs="Arial"/>
          <w:sz w:val="24"/>
        </w:rPr>
        <w:t xml:space="preserve">inversión en desarrollo social </w:t>
      </w:r>
      <w:r>
        <w:rPr>
          <w:rFonts w:ascii="Arial" w:hAnsi="Arial" w:cs="Arial"/>
          <w:sz w:val="24"/>
        </w:rPr>
        <w:t>y temas de interés de los colimenses.</w:t>
      </w:r>
    </w:p>
    <w:p w14:paraId="6CAC29EA" w14:textId="77777777" w:rsidR="00B076A2" w:rsidRDefault="00B076A2" w:rsidP="00B076A2">
      <w:pPr>
        <w:spacing w:after="0" w:line="240" w:lineRule="auto"/>
        <w:jc w:val="both"/>
        <w:rPr>
          <w:rFonts w:ascii="Arial" w:hAnsi="Arial" w:cs="Arial"/>
          <w:sz w:val="24"/>
        </w:rPr>
      </w:pPr>
    </w:p>
    <w:p w14:paraId="23D0DF36" w14:textId="77777777" w:rsidR="00B076A2" w:rsidRDefault="00B076A2" w:rsidP="00B076A2">
      <w:pPr>
        <w:spacing w:after="0" w:line="240" w:lineRule="auto"/>
        <w:jc w:val="both"/>
        <w:rPr>
          <w:rFonts w:ascii="Arial" w:hAnsi="Arial" w:cs="Arial"/>
          <w:sz w:val="24"/>
        </w:rPr>
      </w:pPr>
      <w:r w:rsidRPr="000C2381">
        <w:rPr>
          <w:rFonts w:ascii="Arial" w:hAnsi="Arial" w:cs="Arial"/>
          <w:sz w:val="24"/>
        </w:rPr>
        <w:t xml:space="preserve">El Gobierno </w:t>
      </w:r>
      <w:r>
        <w:rPr>
          <w:rFonts w:ascii="Arial" w:hAnsi="Arial" w:cs="Arial"/>
          <w:sz w:val="24"/>
        </w:rPr>
        <w:t xml:space="preserve">del Estado, en la medida de lo posible, </w:t>
      </w:r>
      <w:r w:rsidRPr="000C2381">
        <w:rPr>
          <w:rFonts w:ascii="Arial" w:hAnsi="Arial" w:cs="Arial"/>
          <w:sz w:val="24"/>
        </w:rPr>
        <w:t xml:space="preserve">mantiene una </w:t>
      </w:r>
      <w:r w:rsidRPr="00934214">
        <w:rPr>
          <w:rFonts w:ascii="Arial" w:hAnsi="Arial" w:cs="Arial"/>
          <w:sz w:val="24"/>
        </w:rPr>
        <w:t>política de gasto público orientada al financiamiento de programas de alto impacto que promueven el desarrollo social y la creación de infraestructura necesaria para potenciar la actividad</w:t>
      </w:r>
      <w:r w:rsidRPr="000C2381">
        <w:rPr>
          <w:rFonts w:ascii="Arial" w:hAnsi="Arial" w:cs="Arial"/>
          <w:sz w:val="24"/>
        </w:rPr>
        <w:t xml:space="preserve"> económica de la</w:t>
      </w:r>
      <w:r>
        <w:rPr>
          <w:rFonts w:ascii="Arial" w:hAnsi="Arial" w:cs="Arial"/>
          <w:sz w:val="24"/>
        </w:rPr>
        <w:t xml:space="preserve"> </w:t>
      </w:r>
      <w:r w:rsidRPr="000C2381">
        <w:rPr>
          <w:rFonts w:ascii="Arial" w:hAnsi="Arial" w:cs="Arial"/>
          <w:sz w:val="24"/>
        </w:rPr>
        <w:t>entidad, mejorando así la productividad, la competitividad y la calidad de vida de la</w:t>
      </w:r>
      <w:r>
        <w:rPr>
          <w:rFonts w:ascii="Arial" w:hAnsi="Arial" w:cs="Arial"/>
          <w:sz w:val="24"/>
        </w:rPr>
        <w:t xml:space="preserve"> </w:t>
      </w:r>
      <w:r w:rsidRPr="000C2381">
        <w:rPr>
          <w:rFonts w:ascii="Arial" w:hAnsi="Arial" w:cs="Arial"/>
          <w:sz w:val="24"/>
        </w:rPr>
        <w:t>población.</w:t>
      </w:r>
    </w:p>
    <w:p w14:paraId="1F0FCEFF" w14:textId="77777777" w:rsidR="00B076A2" w:rsidRPr="000C2381" w:rsidRDefault="00B076A2" w:rsidP="00B076A2">
      <w:pPr>
        <w:spacing w:after="0" w:line="240" w:lineRule="auto"/>
        <w:jc w:val="both"/>
        <w:rPr>
          <w:rFonts w:ascii="Arial" w:hAnsi="Arial" w:cs="Arial"/>
          <w:sz w:val="24"/>
        </w:rPr>
      </w:pPr>
    </w:p>
    <w:p w14:paraId="3C84BED7" w14:textId="77777777" w:rsidR="00B076A2" w:rsidRPr="000C2381" w:rsidRDefault="00B076A2" w:rsidP="00B076A2">
      <w:pPr>
        <w:spacing w:after="0" w:line="240" w:lineRule="auto"/>
        <w:jc w:val="both"/>
        <w:rPr>
          <w:rFonts w:ascii="Arial" w:hAnsi="Arial" w:cs="Arial"/>
          <w:sz w:val="24"/>
        </w:rPr>
      </w:pPr>
      <w:r w:rsidRPr="000C2381">
        <w:rPr>
          <w:rFonts w:ascii="Arial" w:hAnsi="Arial" w:cs="Arial"/>
          <w:sz w:val="24"/>
        </w:rPr>
        <w:t>Los principios para un gasto ordenado se susten</w:t>
      </w:r>
      <w:r>
        <w:rPr>
          <w:rFonts w:ascii="Arial" w:hAnsi="Arial" w:cs="Arial"/>
          <w:sz w:val="24"/>
        </w:rPr>
        <w:t>tan, entre otras acciones, en las</w:t>
      </w:r>
    </w:p>
    <w:p w14:paraId="4B9A0C68" w14:textId="77777777" w:rsidR="00B076A2" w:rsidRDefault="00B076A2" w:rsidP="00B076A2">
      <w:pPr>
        <w:spacing w:after="0" w:line="240" w:lineRule="auto"/>
        <w:jc w:val="both"/>
        <w:rPr>
          <w:rFonts w:ascii="Arial" w:hAnsi="Arial" w:cs="Arial"/>
          <w:sz w:val="24"/>
        </w:rPr>
      </w:pPr>
      <w:r>
        <w:rPr>
          <w:rFonts w:ascii="Arial" w:hAnsi="Arial" w:cs="Arial"/>
          <w:sz w:val="24"/>
        </w:rPr>
        <w:t xml:space="preserve">Reglas </w:t>
      </w:r>
      <w:r w:rsidRPr="000C2381">
        <w:rPr>
          <w:rFonts w:ascii="Arial" w:hAnsi="Arial" w:cs="Arial"/>
          <w:sz w:val="24"/>
        </w:rPr>
        <w:t>de Austeridad, Racionalidad y Disciplina del Gasto Público Estatal</w:t>
      </w:r>
      <w:r>
        <w:rPr>
          <w:rFonts w:ascii="Arial" w:hAnsi="Arial" w:cs="Arial"/>
          <w:sz w:val="24"/>
        </w:rPr>
        <w:t xml:space="preserve"> y la reciente Ley de Austeridad del Estado de Colima, </w:t>
      </w:r>
      <w:r w:rsidRPr="000C2381">
        <w:rPr>
          <w:rFonts w:ascii="Arial" w:hAnsi="Arial" w:cs="Arial"/>
          <w:sz w:val="24"/>
        </w:rPr>
        <w:t>eliminando erogaciones innecesarias sin causar detrimento en la calidad y cobertura</w:t>
      </w:r>
      <w:r>
        <w:rPr>
          <w:rFonts w:ascii="Arial" w:hAnsi="Arial" w:cs="Arial"/>
          <w:sz w:val="24"/>
        </w:rPr>
        <w:t xml:space="preserve"> </w:t>
      </w:r>
      <w:r w:rsidRPr="000C2381">
        <w:rPr>
          <w:rFonts w:ascii="Arial" w:hAnsi="Arial" w:cs="Arial"/>
          <w:sz w:val="24"/>
        </w:rPr>
        <w:t>en los pr</w:t>
      </w:r>
      <w:r>
        <w:rPr>
          <w:rFonts w:ascii="Arial" w:hAnsi="Arial" w:cs="Arial"/>
          <w:sz w:val="24"/>
        </w:rPr>
        <w:t>ogramas y servicios que brinda el Gobierno.</w:t>
      </w:r>
    </w:p>
    <w:p w14:paraId="6FDAC480" w14:textId="77777777" w:rsidR="00B076A2" w:rsidRDefault="00B076A2" w:rsidP="00B076A2">
      <w:pPr>
        <w:spacing w:after="0" w:line="240" w:lineRule="auto"/>
        <w:jc w:val="both"/>
        <w:rPr>
          <w:rFonts w:ascii="Arial" w:hAnsi="Arial" w:cs="Arial"/>
          <w:sz w:val="24"/>
        </w:rPr>
      </w:pPr>
    </w:p>
    <w:p w14:paraId="36B150B8" w14:textId="77777777" w:rsidR="00B076A2" w:rsidRDefault="00B076A2" w:rsidP="00B076A2">
      <w:pPr>
        <w:spacing w:after="0" w:line="240" w:lineRule="auto"/>
        <w:jc w:val="both"/>
        <w:rPr>
          <w:rFonts w:ascii="Arial" w:hAnsi="Arial" w:cs="Arial"/>
          <w:sz w:val="24"/>
        </w:rPr>
      </w:pPr>
      <w:r w:rsidRPr="00CB0B34">
        <w:rPr>
          <w:rFonts w:ascii="Arial" w:hAnsi="Arial" w:cs="Arial"/>
          <w:sz w:val="24"/>
        </w:rPr>
        <w:t>La política de ingresos públicos tiene como objetivo garantizar la sustentabilidad en</w:t>
      </w:r>
      <w:r>
        <w:rPr>
          <w:rFonts w:ascii="Arial" w:hAnsi="Arial" w:cs="Arial"/>
          <w:sz w:val="24"/>
        </w:rPr>
        <w:t xml:space="preserve"> </w:t>
      </w:r>
      <w:r w:rsidRPr="00CB0B34">
        <w:rPr>
          <w:rFonts w:ascii="Arial" w:hAnsi="Arial" w:cs="Arial"/>
          <w:sz w:val="24"/>
        </w:rPr>
        <w:t>la recaudación propia a través de dos ejes fundamentales: por una parte, la</w:t>
      </w:r>
      <w:r>
        <w:rPr>
          <w:rFonts w:ascii="Arial" w:hAnsi="Arial" w:cs="Arial"/>
          <w:sz w:val="24"/>
        </w:rPr>
        <w:t xml:space="preserve"> </w:t>
      </w:r>
      <w:r w:rsidRPr="00CB0B34">
        <w:rPr>
          <w:rFonts w:ascii="Arial" w:hAnsi="Arial" w:cs="Arial"/>
          <w:sz w:val="24"/>
        </w:rPr>
        <w:t>simplificación de trámites, y por la otra, el ejercicio estricto de las facultades</w:t>
      </w:r>
      <w:r>
        <w:rPr>
          <w:rFonts w:ascii="Arial" w:hAnsi="Arial" w:cs="Arial"/>
          <w:sz w:val="24"/>
        </w:rPr>
        <w:t xml:space="preserve"> </w:t>
      </w:r>
      <w:r w:rsidRPr="00CB0B34">
        <w:rPr>
          <w:rFonts w:ascii="Arial" w:hAnsi="Arial" w:cs="Arial"/>
          <w:sz w:val="24"/>
        </w:rPr>
        <w:t>conferidas en el marco legal.</w:t>
      </w:r>
    </w:p>
    <w:p w14:paraId="4B72842D" w14:textId="77777777" w:rsidR="00B076A2" w:rsidRDefault="00B076A2" w:rsidP="00B076A2">
      <w:pPr>
        <w:spacing w:after="0" w:line="240" w:lineRule="auto"/>
        <w:jc w:val="both"/>
        <w:rPr>
          <w:rFonts w:ascii="Arial" w:hAnsi="Arial" w:cs="Arial"/>
          <w:sz w:val="24"/>
        </w:rPr>
      </w:pPr>
    </w:p>
    <w:p w14:paraId="03458A51" w14:textId="77777777" w:rsidR="00B076A2" w:rsidRDefault="00B076A2" w:rsidP="00B076A2">
      <w:pPr>
        <w:spacing w:after="0" w:line="240" w:lineRule="auto"/>
        <w:jc w:val="both"/>
        <w:rPr>
          <w:rFonts w:ascii="Arial" w:hAnsi="Arial" w:cs="Arial"/>
          <w:sz w:val="24"/>
        </w:rPr>
      </w:pPr>
      <w:r w:rsidRPr="00CB0B34">
        <w:rPr>
          <w:rFonts w:ascii="Arial" w:hAnsi="Arial" w:cs="Arial"/>
          <w:sz w:val="24"/>
        </w:rPr>
        <w:t>Se han redoblado esfuerzos para mantener subsidios e incentivos que beneficien</w:t>
      </w:r>
      <w:r>
        <w:rPr>
          <w:rFonts w:ascii="Arial" w:hAnsi="Arial" w:cs="Arial"/>
          <w:sz w:val="24"/>
        </w:rPr>
        <w:t xml:space="preserve"> </w:t>
      </w:r>
      <w:r w:rsidRPr="00CB0B34">
        <w:rPr>
          <w:rFonts w:ascii="Arial" w:hAnsi="Arial" w:cs="Arial"/>
          <w:sz w:val="24"/>
        </w:rPr>
        <w:t>no solo la economía de las familias, sino también acciones que al mismo tiempo</w:t>
      </w:r>
      <w:r>
        <w:rPr>
          <w:rFonts w:ascii="Arial" w:hAnsi="Arial" w:cs="Arial"/>
          <w:sz w:val="24"/>
        </w:rPr>
        <w:t xml:space="preserve"> </w:t>
      </w:r>
      <w:r w:rsidRPr="00CB0B34">
        <w:rPr>
          <w:rFonts w:ascii="Arial" w:hAnsi="Arial" w:cs="Arial"/>
          <w:sz w:val="24"/>
        </w:rPr>
        <w:t>fortalezcan la actividad productiva y económica de la entidad, de ahí que las</w:t>
      </w:r>
      <w:r>
        <w:rPr>
          <w:rFonts w:ascii="Arial" w:hAnsi="Arial" w:cs="Arial"/>
          <w:sz w:val="24"/>
        </w:rPr>
        <w:t xml:space="preserve"> </w:t>
      </w:r>
      <w:r w:rsidRPr="00CB0B34">
        <w:rPr>
          <w:rFonts w:ascii="Arial" w:hAnsi="Arial" w:cs="Arial"/>
          <w:sz w:val="24"/>
        </w:rPr>
        <w:t>actividades recaudatorias se enfocan a una mayor automatización de los procesos,</w:t>
      </w:r>
      <w:r>
        <w:rPr>
          <w:rFonts w:ascii="Arial" w:hAnsi="Arial" w:cs="Arial"/>
          <w:sz w:val="24"/>
        </w:rPr>
        <w:t xml:space="preserve"> </w:t>
      </w:r>
      <w:r w:rsidRPr="00CB0B34">
        <w:rPr>
          <w:rFonts w:ascii="Arial" w:hAnsi="Arial" w:cs="Arial"/>
          <w:sz w:val="24"/>
        </w:rPr>
        <w:t>incorporación y uso de mejores tecnologías, más presencia fiscal, ampliación de la</w:t>
      </w:r>
      <w:r>
        <w:rPr>
          <w:rFonts w:ascii="Arial" w:hAnsi="Arial" w:cs="Arial"/>
          <w:sz w:val="24"/>
        </w:rPr>
        <w:t xml:space="preserve"> </w:t>
      </w:r>
      <w:r w:rsidRPr="00CB0B34">
        <w:rPr>
          <w:rFonts w:ascii="Arial" w:hAnsi="Arial" w:cs="Arial"/>
          <w:sz w:val="24"/>
        </w:rPr>
        <w:t xml:space="preserve">bancarización y nuevas formas de pago, que en su conjunto </w:t>
      </w:r>
      <w:r w:rsidRPr="00CB0B34">
        <w:rPr>
          <w:rFonts w:ascii="Arial" w:hAnsi="Arial" w:cs="Arial"/>
          <w:sz w:val="24"/>
        </w:rPr>
        <w:lastRenderedPageBreak/>
        <w:t>han redundado en una</w:t>
      </w:r>
      <w:r>
        <w:rPr>
          <w:rFonts w:ascii="Arial" w:hAnsi="Arial" w:cs="Arial"/>
          <w:sz w:val="24"/>
        </w:rPr>
        <w:t xml:space="preserve"> </w:t>
      </w:r>
      <w:r w:rsidRPr="00CB0B34">
        <w:rPr>
          <w:rFonts w:ascii="Arial" w:hAnsi="Arial" w:cs="Arial"/>
          <w:sz w:val="24"/>
        </w:rPr>
        <w:t>mayor captación de ingresos y la disminución tanto de la evasión como de la elusión</w:t>
      </w:r>
      <w:r>
        <w:rPr>
          <w:rFonts w:ascii="Arial" w:hAnsi="Arial" w:cs="Arial"/>
          <w:sz w:val="24"/>
        </w:rPr>
        <w:t xml:space="preserve"> </w:t>
      </w:r>
      <w:r w:rsidRPr="00934214">
        <w:rPr>
          <w:rFonts w:ascii="Arial" w:hAnsi="Arial" w:cs="Arial"/>
          <w:sz w:val="24"/>
        </w:rPr>
        <w:t>fiscal, desafíos fiscales de la presente administración.</w:t>
      </w:r>
    </w:p>
    <w:p w14:paraId="1DD80258" w14:textId="77777777" w:rsidR="00B076A2" w:rsidRDefault="00B076A2" w:rsidP="00B076A2">
      <w:pPr>
        <w:spacing w:after="0" w:line="240" w:lineRule="auto"/>
        <w:jc w:val="both"/>
        <w:rPr>
          <w:rFonts w:ascii="Arial" w:hAnsi="Arial" w:cs="Arial"/>
          <w:sz w:val="24"/>
        </w:rPr>
      </w:pPr>
    </w:p>
    <w:p w14:paraId="02DEB74D" w14:textId="77777777" w:rsidR="00B076A2" w:rsidRDefault="00B076A2" w:rsidP="00B076A2">
      <w:pPr>
        <w:spacing w:after="0" w:line="240" w:lineRule="auto"/>
        <w:jc w:val="both"/>
        <w:rPr>
          <w:rFonts w:ascii="Arial" w:hAnsi="Arial" w:cs="Arial"/>
          <w:sz w:val="24"/>
        </w:rPr>
      </w:pPr>
      <w:r w:rsidRPr="002D1D77">
        <w:rPr>
          <w:rFonts w:ascii="Arial" w:hAnsi="Arial" w:cs="Arial"/>
          <w:sz w:val="24"/>
        </w:rPr>
        <w:t>Por lo que al Presupuesto de Egresos se refiere, ahora se elabora bajo la</w:t>
      </w:r>
      <w:r>
        <w:rPr>
          <w:rFonts w:ascii="Arial" w:hAnsi="Arial" w:cs="Arial"/>
          <w:sz w:val="24"/>
        </w:rPr>
        <w:t xml:space="preserve"> </w:t>
      </w:r>
      <w:r w:rsidRPr="002D1D77">
        <w:rPr>
          <w:rFonts w:ascii="Arial" w:hAnsi="Arial" w:cs="Arial"/>
          <w:sz w:val="24"/>
        </w:rPr>
        <w:t>metodología de Presupuesto basado en Resultados, como una de las mayores</w:t>
      </w:r>
      <w:r>
        <w:rPr>
          <w:rFonts w:ascii="Arial" w:hAnsi="Arial" w:cs="Arial"/>
          <w:sz w:val="24"/>
        </w:rPr>
        <w:t xml:space="preserve"> </w:t>
      </w:r>
      <w:r w:rsidRPr="002D1D77">
        <w:rPr>
          <w:rFonts w:ascii="Arial" w:hAnsi="Arial" w:cs="Arial"/>
          <w:sz w:val="24"/>
        </w:rPr>
        <w:t>responsabilidades, en el contexto de reformas al texto constitucional de la nación.</w:t>
      </w:r>
      <w:r>
        <w:rPr>
          <w:rFonts w:ascii="Arial" w:hAnsi="Arial" w:cs="Arial"/>
          <w:sz w:val="24"/>
        </w:rPr>
        <w:t xml:space="preserve"> </w:t>
      </w:r>
      <w:r w:rsidRPr="002D1D77">
        <w:rPr>
          <w:rFonts w:ascii="Arial" w:hAnsi="Arial" w:cs="Arial"/>
          <w:sz w:val="24"/>
        </w:rPr>
        <w:t>Su estructura normativa permite impulsar el ejercicio del gasto hacia la eficiencia,</w:t>
      </w:r>
      <w:r>
        <w:rPr>
          <w:rFonts w:ascii="Arial" w:hAnsi="Arial" w:cs="Arial"/>
          <w:sz w:val="24"/>
        </w:rPr>
        <w:t xml:space="preserve"> </w:t>
      </w:r>
      <w:r w:rsidRPr="002D1D77">
        <w:rPr>
          <w:rFonts w:ascii="Arial" w:hAnsi="Arial" w:cs="Arial"/>
          <w:sz w:val="24"/>
        </w:rPr>
        <w:t>eficacia, economía, transparen</w:t>
      </w:r>
      <w:r>
        <w:rPr>
          <w:rFonts w:ascii="Arial" w:hAnsi="Arial" w:cs="Arial"/>
          <w:sz w:val="24"/>
        </w:rPr>
        <w:t>cia y honradez. Los objetivos</w:t>
      </w:r>
      <w:r w:rsidRPr="002D1D77">
        <w:rPr>
          <w:rFonts w:ascii="Arial" w:hAnsi="Arial" w:cs="Arial"/>
          <w:sz w:val="24"/>
        </w:rPr>
        <w:t xml:space="preserve"> planteados</w:t>
      </w:r>
      <w:r>
        <w:rPr>
          <w:rFonts w:ascii="Arial" w:hAnsi="Arial" w:cs="Arial"/>
          <w:sz w:val="24"/>
        </w:rPr>
        <w:t xml:space="preserve"> </w:t>
      </w:r>
      <w:r w:rsidRPr="002D1D77">
        <w:rPr>
          <w:rFonts w:ascii="Arial" w:hAnsi="Arial" w:cs="Arial"/>
          <w:sz w:val="24"/>
        </w:rPr>
        <w:t>responden a una de las demandas más sentidas de los colimenses: garantizar que</w:t>
      </w:r>
      <w:r>
        <w:rPr>
          <w:rFonts w:ascii="Arial" w:hAnsi="Arial" w:cs="Arial"/>
          <w:sz w:val="24"/>
        </w:rPr>
        <w:t xml:space="preserve"> </w:t>
      </w:r>
      <w:r w:rsidRPr="002D1D77">
        <w:rPr>
          <w:rFonts w:ascii="Arial" w:hAnsi="Arial" w:cs="Arial"/>
          <w:sz w:val="24"/>
        </w:rPr>
        <w:t>los bienes y servicios que promueve el Gobierno del Estado sean sometidos al</w:t>
      </w:r>
      <w:r>
        <w:rPr>
          <w:rFonts w:ascii="Arial" w:hAnsi="Arial" w:cs="Arial"/>
          <w:sz w:val="24"/>
        </w:rPr>
        <w:t xml:space="preserve"> </w:t>
      </w:r>
      <w:r w:rsidRPr="002D1D77">
        <w:rPr>
          <w:rFonts w:ascii="Arial" w:hAnsi="Arial" w:cs="Arial"/>
          <w:sz w:val="24"/>
        </w:rPr>
        <w:t>escrutinio respecto a su impacto, siempre buscando mejorar el desempeño de los</w:t>
      </w:r>
      <w:r>
        <w:rPr>
          <w:rFonts w:ascii="Arial" w:hAnsi="Arial" w:cs="Arial"/>
          <w:sz w:val="24"/>
        </w:rPr>
        <w:t xml:space="preserve"> </w:t>
      </w:r>
      <w:r w:rsidRPr="002D1D77">
        <w:rPr>
          <w:rFonts w:ascii="Arial" w:hAnsi="Arial" w:cs="Arial"/>
          <w:sz w:val="24"/>
        </w:rPr>
        <w:t>Programas Presupuestarios y sus resultados.</w:t>
      </w:r>
    </w:p>
    <w:p w14:paraId="352ABA79" w14:textId="77777777" w:rsidR="00B076A2" w:rsidRDefault="00B076A2" w:rsidP="00B076A2">
      <w:pPr>
        <w:spacing w:after="0" w:line="240" w:lineRule="auto"/>
        <w:jc w:val="both"/>
        <w:rPr>
          <w:rFonts w:ascii="Arial" w:hAnsi="Arial" w:cs="Arial"/>
          <w:sz w:val="24"/>
        </w:rPr>
      </w:pPr>
    </w:p>
    <w:p w14:paraId="434081F6" w14:textId="77777777" w:rsidR="00B076A2" w:rsidRDefault="00B076A2" w:rsidP="00B076A2">
      <w:pPr>
        <w:spacing w:after="0" w:line="240" w:lineRule="auto"/>
        <w:jc w:val="both"/>
        <w:rPr>
          <w:rFonts w:ascii="Arial" w:hAnsi="Arial" w:cs="Arial"/>
          <w:sz w:val="24"/>
        </w:rPr>
      </w:pPr>
      <w:r w:rsidRPr="0039091A">
        <w:rPr>
          <w:rFonts w:ascii="Arial" w:hAnsi="Arial" w:cs="Arial"/>
          <w:sz w:val="24"/>
        </w:rPr>
        <w:t>Con una visión responsable y objetiva, se ha fortalecido el ejercicio del gasto en los</w:t>
      </w:r>
      <w:r>
        <w:rPr>
          <w:rFonts w:ascii="Arial" w:hAnsi="Arial" w:cs="Arial"/>
          <w:sz w:val="24"/>
        </w:rPr>
        <w:t xml:space="preserve"> </w:t>
      </w:r>
      <w:r w:rsidRPr="0039091A">
        <w:rPr>
          <w:rFonts w:ascii="Arial" w:hAnsi="Arial" w:cs="Arial"/>
          <w:sz w:val="24"/>
        </w:rPr>
        <w:t>rubros más sensibles del desarrollo económico y social, a efecto de mejorar los</w:t>
      </w:r>
      <w:r>
        <w:rPr>
          <w:rFonts w:ascii="Arial" w:hAnsi="Arial" w:cs="Arial"/>
          <w:sz w:val="24"/>
        </w:rPr>
        <w:t xml:space="preserve"> </w:t>
      </w:r>
      <w:r w:rsidRPr="0039091A">
        <w:rPr>
          <w:rFonts w:ascii="Arial" w:hAnsi="Arial" w:cs="Arial"/>
          <w:sz w:val="24"/>
        </w:rPr>
        <w:t>niveles de bienestar de la población y propiciar la generación de empleos de calidad.</w:t>
      </w:r>
      <w:r w:rsidRPr="0039091A">
        <w:rPr>
          <w:rFonts w:ascii="Arial" w:hAnsi="Arial" w:cs="Arial"/>
          <w:sz w:val="24"/>
        </w:rPr>
        <w:cr/>
      </w:r>
    </w:p>
    <w:p w14:paraId="1CC68838" w14:textId="77777777" w:rsidR="00B076A2" w:rsidRDefault="00B076A2" w:rsidP="00B076A2">
      <w:pPr>
        <w:spacing w:after="0" w:line="240" w:lineRule="auto"/>
        <w:jc w:val="both"/>
        <w:rPr>
          <w:rFonts w:ascii="Arial" w:hAnsi="Arial" w:cs="Arial"/>
          <w:sz w:val="24"/>
        </w:rPr>
      </w:pPr>
      <w:r w:rsidRPr="0039091A">
        <w:rPr>
          <w:rFonts w:ascii="Arial" w:hAnsi="Arial" w:cs="Arial"/>
          <w:sz w:val="24"/>
        </w:rPr>
        <w:t>Los resultados confirman que se ha avanzado en el buen uso y destino de los</w:t>
      </w:r>
      <w:r>
        <w:rPr>
          <w:rFonts w:ascii="Arial" w:hAnsi="Arial" w:cs="Arial"/>
          <w:sz w:val="24"/>
        </w:rPr>
        <w:t xml:space="preserve"> </w:t>
      </w:r>
      <w:r w:rsidRPr="0039091A">
        <w:rPr>
          <w:rFonts w:ascii="Arial" w:hAnsi="Arial" w:cs="Arial"/>
          <w:sz w:val="24"/>
        </w:rPr>
        <w:t>recursos públicos. El equilibrio de las finanzas públicas está acreditado. Con suma</w:t>
      </w:r>
      <w:r>
        <w:rPr>
          <w:rFonts w:ascii="Arial" w:hAnsi="Arial" w:cs="Arial"/>
          <w:sz w:val="24"/>
        </w:rPr>
        <w:t xml:space="preserve"> </w:t>
      </w:r>
      <w:r w:rsidRPr="0039091A">
        <w:rPr>
          <w:rFonts w:ascii="Arial" w:hAnsi="Arial" w:cs="Arial"/>
          <w:sz w:val="24"/>
        </w:rPr>
        <w:t xml:space="preserve">cautela han sido implementadas las estrategias y </w:t>
      </w:r>
      <w:r>
        <w:rPr>
          <w:rFonts w:ascii="Arial" w:hAnsi="Arial" w:cs="Arial"/>
          <w:sz w:val="24"/>
        </w:rPr>
        <w:t xml:space="preserve">se han tomado </w:t>
      </w:r>
      <w:r w:rsidRPr="0039091A">
        <w:rPr>
          <w:rFonts w:ascii="Arial" w:hAnsi="Arial" w:cs="Arial"/>
          <w:sz w:val="24"/>
        </w:rPr>
        <w:t>decisiones</w:t>
      </w:r>
      <w:r>
        <w:rPr>
          <w:rFonts w:ascii="Arial" w:hAnsi="Arial" w:cs="Arial"/>
          <w:sz w:val="24"/>
        </w:rPr>
        <w:t xml:space="preserve"> responsables y </w:t>
      </w:r>
      <w:r w:rsidRPr="0039091A">
        <w:rPr>
          <w:rFonts w:ascii="Arial" w:hAnsi="Arial" w:cs="Arial"/>
          <w:sz w:val="24"/>
        </w:rPr>
        <w:t>oportunas.</w:t>
      </w:r>
    </w:p>
    <w:p w14:paraId="07649B9F" w14:textId="77777777" w:rsidR="00B076A2" w:rsidRDefault="00B076A2" w:rsidP="00B076A2">
      <w:pPr>
        <w:spacing w:after="0" w:line="240" w:lineRule="auto"/>
        <w:jc w:val="both"/>
        <w:rPr>
          <w:rFonts w:ascii="Arial" w:hAnsi="Arial" w:cs="Arial"/>
          <w:sz w:val="24"/>
        </w:rPr>
      </w:pPr>
    </w:p>
    <w:p w14:paraId="39B2DCFB" w14:textId="77777777" w:rsidR="00B076A2" w:rsidRPr="00D4143D" w:rsidRDefault="00B076A2" w:rsidP="00B076A2">
      <w:pPr>
        <w:spacing w:after="0" w:line="240" w:lineRule="auto"/>
        <w:jc w:val="both"/>
        <w:rPr>
          <w:rFonts w:ascii="Arial" w:hAnsi="Arial" w:cs="Arial"/>
          <w:sz w:val="24"/>
        </w:rPr>
      </w:pPr>
      <w:r>
        <w:rPr>
          <w:rFonts w:ascii="Arial" w:hAnsi="Arial" w:cs="Arial"/>
          <w:sz w:val="24"/>
        </w:rPr>
        <w:t xml:space="preserve">De </w:t>
      </w:r>
      <w:r w:rsidRPr="00D4143D">
        <w:rPr>
          <w:rFonts w:ascii="Arial" w:hAnsi="Arial" w:cs="Arial"/>
          <w:sz w:val="24"/>
        </w:rPr>
        <w:t>esta manera, en el periodo de 2015 a 2020 la captación de Ingresos de Libre Disposición se incrementó en un 21 por ciento, lo que representa una variación de aproximadamente 1,390.3 millones de pesos, en el mismo periodo el crecimiento promedio de este tipo de ingresos fue de 4 por ciento anual.</w:t>
      </w:r>
    </w:p>
    <w:p w14:paraId="1DD46832" w14:textId="77777777" w:rsidR="00B076A2" w:rsidRPr="00D4143D" w:rsidRDefault="00B076A2" w:rsidP="00B076A2">
      <w:pPr>
        <w:spacing w:after="0" w:line="240" w:lineRule="auto"/>
        <w:jc w:val="both"/>
        <w:rPr>
          <w:rFonts w:ascii="Arial" w:hAnsi="Arial" w:cs="Arial"/>
          <w:sz w:val="24"/>
        </w:rPr>
      </w:pPr>
    </w:p>
    <w:p w14:paraId="78AE05ED" w14:textId="77777777" w:rsidR="00B076A2" w:rsidRPr="00D4143D" w:rsidRDefault="00B076A2" w:rsidP="00B076A2">
      <w:pPr>
        <w:spacing w:after="0" w:line="240" w:lineRule="auto"/>
        <w:jc w:val="both"/>
        <w:rPr>
          <w:rFonts w:ascii="Arial" w:hAnsi="Arial" w:cs="Arial"/>
          <w:sz w:val="24"/>
        </w:rPr>
      </w:pPr>
      <w:r w:rsidRPr="00D4143D">
        <w:rPr>
          <w:rFonts w:ascii="Arial" w:hAnsi="Arial" w:cs="Arial"/>
          <w:sz w:val="24"/>
        </w:rPr>
        <w:t>Los niveles de captación de ingresos propios sobre el total de los ingresos en el año 2015 en comparación al 2020 muestran una variación positiva de 2 por ciento. Lo anterior refleja un aumento en la proporción de la recaudación vía impuestos, derechos, productos y aprovechamientos sobre el total de ingresos.</w:t>
      </w:r>
    </w:p>
    <w:p w14:paraId="4726450A" w14:textId="77777777" w:rsidR="00B076A2" w:rsidRPr="00D4143D" w:rsidRDefault="00B076A2" w:rsidP="00B076A2">
      <w:pPr>
        <w:spacing w:after="0" w:line="240" w:lineRule="auto"/>
        <w:jc w:val="both"/>
        <w:rPr>
          <w:rFonts w:ascii="Arial" w:hAnsi="Arial" w:cs="Arial"/>
          <w:sz w:val="24"/>
        </w:rPr>
      </w:pPr>
    </w:p>
    <w:p w14:paraId="223378DC" w14:textId="77777777" w:rsidR="00B076A2" w:rsidRPr="00D4143D" w:rsidRDefault="00B076A2" w:rsidP="00B076A2">
      <w:pPr>
        <w:spacing w:after="0" w:line="240" w:lineRule="auto"/>
        <w:jc w:val="both"/>
        <w:rPr>
          <w:rFonts w:ascii="Arial" w:hAnsi="Arial" w:cs="Arial"/>
          <w:sz w:val="24"/>
        </w:rPr>
      </w:pPr>
      <w:r w:rsidRPr="00D4143D">
        <w:rPr>
          <w:rFonts w:ascii="Arial" w:hAnsi="Arial" w:cs="Arial"/>
          <w:sz w:val="24"/>
        </w:rPr>
        <w:t>Los ingresos de origen federal presentaron un incremento de 15 por ciento en el periodo, el crecimiento promedio anual de estos fue de tan solo 3 por ciento. La dinámica de los ingresos muestra la mejora en cuanto a la modernización de los sistemas de recaudación estatal, ya que en promedio han crecido más los ingresos propios (con una tasa del 4 por ciento anual). En un sentido estricto este escenario, refleja una mejora en la autonomía financiera de la entidad.</w:t>
      </w:r>
    </w:p>
    <w:p w14:paraId="2BB05CCD" w14:textId="77777777" w:rsidR="00B076A2" w:rsidRPr="00D4143D" w:rsidRDefault="00B076A2" w:rsidP="00B076A2">
      <w:pPr>
        <w:spacing w:after="0" w:line="240" w:lineRule="auto"/>
        <w:jc w:val="both"/>
        <w:rPr>
          <w:rFonts w:ascii="Arial" w:hAnsi="Arial" w:cs="Arial"/>
          <w:sz w:val="24"/>
        </w:rPr>
      </w:pPr>
    </w:p>
    <w:p w14:paraId="27E4E5E3" w14:textId="77777777" w:rsidR="00B076A2" w:rsidRDefault="00B076A2" w:rsidP="00B076A2">
      <w:pPr>
        <w:spacing w:after="0" w:line="240" w:lineRule="auto"/>
        <w:jc w:val="both"/>
        <w:rPr>
          <w:rFonts w:ascii="Arial" w:hAnsi="Arial" w:cs="Arial"/>
          <w:sz w:val="24"/>
        </w:rPr>
      </w:pPr>
      <w:r w:rsidRPr="00D4143D">
        <w:rPr>
          <w:rFonts w:ascii="Arial" w:hAnsi="Arial" w:cs="Arial"/>
          <w:sz w:val="24"/>
        </w:rPr>
        <w:lastRenderedPageBreak/>
        <w:t>En cuanto a los ingresos totales, estos han crecido en 7 por ciento de 2015 a 2020 y en promedio anualmente a una tasa de 1.3 por ciento. De continuar con la tendencia de bajo crecimiento de las trasferencias federales etiquetadas y que dichas disminuciones no se compensen con mayores ingresos propios, se estaría llegando a niveles de ingresos como los que recaudaban hace 5 años, generando dificultades para sostener el gasto, puesto que en la actualidad se demanda un mayor número de bienes y servicios por parte de la ciudadanía, aunado a los requerimientos presupuestales adicionales para la lucha contra la pandemia del COVID-19, es así que los resultados de los ingresos han sido los siguientes:</w:t>
      </w:r>
    </w:p>
    <w:p w14:paraId="1353FEE6" w14:textId="77777777" w:rsidR="00B076A2" w:rsidRDefault="00B076A2" w:rsidP="00B076A2">
      <w:pPr>
        <w:spacing w:after="0" w:line="240" w:lineRule="auto"/>
        <w:jc w:val="both"/>
        <w:rPr>
          <w:rFonts w:ascii="Arial" w:hAnsi="Arial" w:cs="Arial"/>
          <w:sz w:val="24"/>
        </w:rPr>
      </w:pPr>
    </w:p>
    <w:p w14:paraId="18667155" w14:textId="77777777" w:rsidR="00B076A2" w:rsidRDefault="00B076A2" w:rsidP="00B076A2">
      <w:pPr>
        <w:spacing w:after="0" w:line="240" w:lineRule="auto"/>
        <w:jc w:val="center"/>
        <w:rPr>
          <w:rFonts w:ascii="Arial" w:hAnsi="Arial" w:cs="Arial"/>
          <w:sz w:val="24"/>
        </w:rPr>
      </w:pPr>
      <w:r w:rsidRPr="00327BCA">
        <w:rPr>
          <w:noProof/>
        </w:rPr>
        <w:drawing>
          <wp:inline distT="0" distB="0" distL="0" distR="0" wp14:anchorId="25BD22D8" wp14:editId="63EE7622">
            <wp:extent cx="5122577" cy="4491355"/>
            <wp:effectExtent l="0" t="0" r="1905" b="444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33545" cy="4500972"/>
                    </a:xfrm>
                    <a:prstGeom prst="rect">
                      <a:avLst/>
                    </a:prstGeom>
                    <a:noFill/>
                    <a:ln>
                      <a:noFill/>
                    </a:ln>
                  </pic:spPr>
                </pic:pic>
              </a:graphicData>
            </a:graphic>
          </wp:inline>
        </w:drawing>
      </w:r>
    </w:p>
    <w:p w14:paraId="2D169110" w14:textId="77777777" w:rsidR="00B076A2" w:rsidRDefault="00B076A2" w:rsidP="00B076A2">
      <w:pPr>
        <w:spacing w:after="0" w:line="240" w:lineRule="auto"/>
        <w:jc w:val="both"/>
        <w:rPr>
          <w:rFonts w:ascii="Arial" w:hAnsi="Arial" w:cs="Arial"/>
          <w:sz w:val="24"/>
        </w:rPr>
      </w:pPr>
    </w:p>
    <w:p w14:paraId="55C7DBB7" w14:textId="77777777" w:rsidR="00B076A2" w:rsidRDefault="00B076A2" w:rsidP="00B076A2">
      <w:pPr>
        <w:spacing w:after="0" w:line="240" w:lineRule="auto"/>
        <w:jc w:val="both"/>
        <w:rPr>
          <w:rFonts w:ascii="Arial" w:hAnsi="Arial" w:cs="Arial"/>
          <w:sz w:val="24"/>
        </w:rPr>
      </w:pPr>
      <w:r w:rsidRPr="00EB2C51">
        <w:rPr>
          <w:rFonts w:ascii="Arial" w:hAnsi="Arial" w:cs="Arial"/>
          <w:sz w:val="24"/>
        </w:rPr>
        <w:t>Por lo an</w:t>
      </w:r>
      <w:r>
        <w:rPr>
          <w:rFonts w:ascii="Arial" w:hAnsi="Arial" w:cs="Arial"/>
          <w:sz w:val="24"/>
        </w:rPr>
        <w:t>terior, en un escenario de reducidos</w:t>
      </w:r>
      <w:r w:rsidRPr="00EB2C51">
        <w:rPr>
          <w:rFonts w:ascii="Arial" w:hAnsi="Arial" w:cs="Arial"/>
          <w:sz w:val="24"/>
        </w:rPr>
        <w:t xml:space="preserve"> ingresos federales para el corto y mediano plazo es relevante establecer objetivos y metas que permitan aminorar los efectos para el Estado</w:t>
      </w:r>
      <w:r>
        <w:rPr>
          <w:rFonts w:ascii="Arial" w:hAnsi="Arial" w:cs="Arial"/>
          <w:sz w:val="24"/>
        </w:rPr>
        <w:t xml:space="preserve"> y la ciudadanía</w:t>
      </w:r>
      <w:r w:rsidRPr="00EB2C51">
        <w:rPr>
          <w:rFonts w:ascii="Arial" w:hAnsi="Arial" w:cs="Arial"/>
          <w:sz w:val="24"/>
        </w:rPr>
        <w:t xml:space="preserve">, aprovechando la estructura de las </w:t>
      </w:r>
      <w:r w:rsidRPr="00EB2C51">
        <w:rPr>
          <w:rFonts w:ascii="Arial" w:hAnsi="Arial" w:cs="Arial"/>
          <w:sz w:val="24"/>
        </w:rPr>
        <w:lastRenderedPageBreak/>
        <w:t>fórmulas de reparto de</w:t>
      </w:r>
      <w:r>
        <w:rPr>
          <w:rFonts w:ascii="Arial" w:hAnsi="Arial" w:cs="Arial"/>
          <w:sz w:val="24"/>
        </w:rPr>
        <w:t xml:space="preserve"> las participaciones federales, </w:t>
      </w:r>
      <w:r w:rsidRPr="00EB2C51">
        <w:rPr>
          <w:rFonts w:ascii="Arial" w:hAnsi="Arial" w:cs="Arial"/>
          <w:sz w:val="24"/>
        </w:rPr>
        <w:t>para que sea Colima quien busque obtener más recursos de la bolsa de participaciones.</w:t>
      </w:r>
    </w:p>
    <w:p w14:paraId="6F44F191" w14:textId="77777777" w:rsidR="00B076A2" w:rsidRDefault="00B076A2" w:rsidP="00B076A2">
      <w:pPr>
        <w:spacing w:after="0" w:line="240" w:lineRule="auto"/>
        <w:jc w:val="both"/>
        <w:rPr>
          <w:rFonts w:ascii="Arial" w:hAnsi="Arial" w:cs="Arial"/>
          <w:sz w:val="24"/>
        </w:rPr>
      </w:pPr>
    </w:p>
    <w:p w14:paraId="42F42BB5" w14:textId="77777777" w:rsidR="00B076A2" w:rsidRDefault="00B076A2" w:rsidP="00B076A2">
      <w:pPr>
        <w:spacing w:after="0" w:line="240" w:lineRule="auto"/>
        <w:jc w:val="both"/>
        <w:rPr>
          <w:rFonts w:ascii="Arial" w:hAnsi="Arial" w:cs="Arial"/>
          <w:sz w:val="24"/>
        </w:rPr>
      </w:pPr>
      <w:r>
        <w:rPr>
          <w:rFonts w:ascii="Arial" w:hAnsi="Arial" w:cs="Arial"/>
          <w:sz w:val="24"/>
        </w:rPr>
        <w:t xml:space="preserve">Además, se buscará potenciar </w:t>
      </w:r>
      <w:r w:rsidRPr="00EB2C51">
        <w:rPr>
          <w:rFonts w:ascii="Arial" w:hAnsi="Arial" w:cs="Arial"/>
          <w:sz w:val="24"/>
        </w:rPr>
        <w:t xml:space="preserve">la tendencia de la captación de los ingresos de gestión, </w:t>
      </w:r>
      <w:r>
        <w:rPr>
          <w:rFonts w:ascii="Arial" w:hAnsi="Arial" w:cs="Arial"/>
          <w:sz w:val="24"/>
        </w:rPr>
        <w:t>para fortalecer el importe de los</w:t>
      </w:r>
      <w:r w:rsidRPr="00EB2C51">
        <w:rPr>
          <w:rFonts w:ascii="Arial" w:hAnsi="Arial" w:cs="Arial"/>
          <w:sz w:val="24"/>
        </w:rPr>
        <w:t xml:space="preserve"> ingresos de libre disposición, entendiendo por libre disposición a los ingresos que el Gobierno local puede utilizar de manera independiente como fuente de financiamiento de cualquier gasto corriente y de inversión, en cierta medida pueden ser concebidos como los grados de libertad o flexibilidad que tiene el Gobierno.</w:t>
      </w:r>
    </w:p>
    <w:p w14:paraId="2C3D851D" w14:textId="77777777" w:rsidR="00B076A2" w:rsidRDefault="00B076A2" w:rsidP="00B076A2">
      <w:pPr>
        <w:spacing w:after="0" w:line="240" w:lineRule="auto"/>
        <w:jc w:val="both"/>
        <w:rPr>
          <w:rFonts w:ascii="Arial" w:hAnsi="Arial" w:cs="Arial"/>
          <w:sz w:val="24"/>
        </w:rPr>
      </w:pPr>
    </w:p>
    <w:p w14:paraId="4F287284" w14:textId="77777777" w:rsidR="00B076A2" w:rsidRPr="00CF0D08" w:rsidRDefault="00B076A2" w:rsidP="00B076A2">
      <w:pPr>
        <w:spacing w:after="0" w:line="240" w:lineRule="auto"/>
        <w:jc w:val="both"/>
        <w:rPr>
          <w:rFonts w:ascii="Arial" w:hAnsi="Arial" w:cs="Arial"/>
          <w:sz w:val="24"/>
        </w:rPr>
      </w:pPr>
      <w:r w:rsidRPr="00CF0D08">
        <w:rPr>
          <w:rFonts w:ascii="Arial" w:hAnsi="Arial" w:cs="Arial"/>
          <w:sz w:val="24"/>
        </w:rPr>
        <w:t>La mayor oportunidad de fortalecimiento de los ingresos se encuentra en los Impuestos, siendo el Impuesto Sobre Nóminas y Asimilables el que presenta la mayor aportación al total de impuestos, con una tasa del 51 por ciento estimada para 2021, el siguiente en importancia, es el Impuesto sobre Tenencia o Uso de Vehículos, que aporta un 40 por ciento. Podemos señalar que el Impuesto Sobre Nóminas aporta casi un 30 por ciento de los ingresos de gestión anuales y un 3 por ciento aproximadamente de los ingresos totales. Lo anterior, sin considerar que parte de los ingresos por concepto de tenencia vehicular son virtuales dado el subsidio que otorga el Estado. Si estos ingresos no se estuvieran registrando, la importancia relativa del Impuesto Sobre Nóminas sería mucho mayor.</w:t>
      </w:r>
    </w:p>
    <w:p w14:paraId="5DBE08A5" w14:textId="77777777" w:rsidR="00B076A2" w:rsidRPr="00231E4A" w:rsidRDefault="00B076A2" w:rsidP="00B076A2">
      <w:pPr>
        <w:spacing w:after="0" w:line="240" w:lineRule="auto"/>
        <w:jc w:val="both"/>
        <w:rPr>
          <w:rFonts w:ascii="Arial" w:hAnsi="Arial" w:cs="Arial"/>
          <w:sz w:val="24"/>
          <w:highlight w:val="yellow"/>
        </w:rPr>
      </w:pPr>
    </w:p>
    <w:p w14:paraId="5E5E81D9" w14:textId="77777777" w:rsidR="00B076A2" w:rsidRDefault="00B076A2" w:rsidP="00B076A2">
      <w:pPr>
        <w:spacing w:after="0" w:line="240" w:lineRule="auto"/>
        <w:jc w:val="both"/>
        <w:rPr>
          <w:rFonts w:ascii="Arial" w:hAnsi="Arial" w:cs="Arial"/>
          <w:sz w:val="24"/>
        </w:rPr>
      </w:pPr>
      <w:r w:rsidRPr="00231E4A">
        <w:rPr>
          <w:rFonts w:ascii="Arial" w:hAnsi="Arial" w:cs="Arial"/>
          <w:sz w:val="24"/>
        </w:rPr>
        <w:t>Es importante señalar que los servicios de recaudación proporcionados por el Estado se brindan de acuerdo con las Leyes y Reglamentos aplicables, brindando asistencia gratuita y permanente al contribuyente para fomentar el cumplimiento voluntario y oportuno de sus obligaciones, así como el ejercicio de sus derechos</w:t>
      </w:r>
      <w:r w:rsidRPr="00EB2C51">
        <w:rPr>
          <w:rFonts w:ascii="Arial" w:hAnsi="Arial" w:cs="Arial"/>
          <w:sz w:val="24"/>
        </w:rPr>
        <w:t xml:space="preserve">. </w:t>
      </w:r>
    </w:p>
    <w:p w14:paraId="6AA84EDA" w14:textId="77777777" w:rsidR="00B076A2" w:rsidRDefault="00B076A2" w:rsidP="00B076A2">
      <w:pPr>
        <w:spacing w:after="0" w:line="240" w:lineRule="auto"/>
        <w:jc w:val="both"/>
        <w:rPr>
          <w:rFonts w:ascii="Arial" w:hAnsi="Arial" w:cs="Arial"/>
          <w:sz w:val="24"/>
        </w:rPr>
      </w:pPr>
    </w:p>
    <w:p w14:paraId="55E5E60C" w14:textId="77777777" w:rsidR="00B076A2" w:rsidRDefault="00B076A2" w:rsidP="00B076A2">
      <w:pPr>
        <w:spacing w:after="0" w:line="240" w:lineRule="auto"/>
        <w:jc w:val="both"/>
        <w:rPr>
          <w:rFonts w:ascii="Arial" w:hAnsi="Arial" w:cs="Arial"/>
          <w:sz w:val="24"/>
        </w:rPr>
      </w:pPr>
      <w:r w:rsidRPr="00EB2C51">
        <w:rPr>
          <w:rFonts w:ascii="Arial" w:hAnsi="Arial" w:cs="Arial"/>
          <w:sz w:val="24"/>
        </w:rPr>
        <w:t>Sin embargo, se detectan necesidades de atención y mejora a los servicios para el contribuyente, a través de herramientas informáticas para</w:t>
      </w:r>
      <w:r>
        <w:rPr>
          <w:rFonts w:ascii="Arial" w:hAnsi="Arial" w:cs="Arial"/>
          <w:sz w:val="24"/>
        </w:rPr>
        <w:t xml:space="preserve"> </w:t>
      </w:r>
      <w:r w:rsidRPr="00EB2C51">
        <w:rPr>
          <w:rFonts w:ascii="Arial" w:hAnsi="Arial" w:cs="Arial"/>
          <w:sz w:val="24"/>
        </w:rPr>
        <w:t>facilitar el acceso a las opciones de pago, logrando que éstos sean más rápidos y sencillos para el cumplimiento correcto y oportuno de las obligaciones fiscales de los ciudadanos</w:t>
      </w:r>
      <w:r>
        <w:rPr>
          <w:rFonts w:ascii="Arial" w:hAnsi="Arial" w:cs="Arial"/>
          <w:sz w:val="24"/>
        </w:rPr>
        <w:t>.</w:t>
      </w:r>
    </w:p>
    <w:p w14:paraId="6FB746EE" w14:textId="77777777" w:rsidR="00B076A2" w:rsidRDefault="00B076A2" w:rsidP="00B076A2">
      <w:pPr>
        <w:spacing w:after="0" w:line="240" w:lineRule="auto"/>
        <w:jc w:val="both"/>
        <w:rPr>
          <w:rFonts w:ascii="Arial" w:hAnsi="Arial" w:cs="Arial"/>
          <w:sz w:val="24"/>
        </w:rPr>
      </w:pPr>
    </w:p>
    <w:p w14:paraId="6528F9DE" w14:textId="77777777" w:rsidR="00B076A2" w:rsidRDefault="00B076A2" w:rsidP="00B076A2">
      <w:pPr>
        <w:spacing w:after="0" w:line="240" w:lineRule="auto"/>
        <w:jc w:val="both"/>
        <w:rPr>
          <w:rFonts w:ascii="Arial" w:hAnsi="Arial" w:cs="Arial"/>
          <w:sz w:val="24"/>
        </w:rPr>
      </w:pPr>
      <w:r w:rsidRPr="00EB2C51">
        <w:rPr>
          <w:rFonts w:ascii="Arial" w:hAnsi="Arial" w:cs="Arial"/>
          <w:sz w:val="24"/>
        </w:rPr>
        <w:t xml:space="preserve">Existen Leyes y Reglamentos que deben ser respetados por el Estado al momento de crear y poner en práctica el pago de contribuciones, en ese sentido la autoridad tiene el derecho y la obligación de facilitar e incentivar el cumplimiento oportuno y voluntario, y mediante las acciones de fiscalización comprobar si los contribuyentes cumplen con las normativas vigentes. </w:t>
      </w:r>
    </w:p>
    <w:p w14:paraId="70069894" w14:textId="77777777" w:rsidR="00B076A2" w:rsidRDefault="00B076A2" w:rsidP="00B076A2">
      <w:pPr>
        <w:spacing w:after="0" w:line="240" w:lineRule="auto"/>
        <w:jc w:val="both"/>
        <w:rPr>
          <w:rFonts w:ascii="Arial" w:hAnsi="Arial" w:cs="Arial"/>
          <w:sz w:val="24"/>
        </w:rPr>
      </w:pPr>
      <w:r>
        <w:rPr>
          <w:rFonts w:ascii="Arial" w:hAnsi="Arial" w:cs="Arial"/>
          <w:sz w:val="24"/>
        </w:rPr>
        <w:t>Las acciones de fiscalización permitir</w:t>
      </w:r>
      <w:r w:rsidRPr="00EB2C51">
        <w:rPr>
          <w:rFonts w:ascii="Arial" w:hAnsi="Arial" w:cs="Arial"/>
          <w:sz w:val="24"/>
        </w:rPr>
        <w:t xml:space="preserve">án contar con una mayor independencia y sustentabilidad financiera, así como con mayores recursos para acciones que generen el bienestar de la población. La principal fuente de recursos para el </w:t>
      </w:r>
      <w:r w:rsidRPr="00EB2C51">
        <w:rPr>
          <w:rFonts w:ascii="Arial" w:hAnsi="Arial" w:cs="Arial"/>
          <w:sz w:val="24"/>
        </w:rPr>
        <w:lastRenderedPageBreak/>
        <w:t xml:space="preserve">financiamiento del desarrollo del Estado son los recursos federales, por lo cual es impostergable impulsar finanzas públicas sanas, con mayor independencia de los recursos federales, </w:t>
      </w:r>
      <w:r>
        <w:rPr>
          <w:rFonts w:ascii="Arial" w:hAnsi="Arial" w:cs="Arial"/>
          <w:sz w:val="24"/>
        </w:rPr>
        <w:t xml:space="preserve">y </w:t>
      </w:r>
      <w:r w:rsidRPr="00EB2C51">
        <w:rPr>
          <w:rFonts w:ascii="Arial" w:hAnsi="Arial" w:cs="Arial"/>
          <w:sz w:val="24"/>
        </w:rPr>
        <w:t xml:space="preserve">con una deuda sostenible. Uno de los objetivos </w:t>
      </w:r>
      <w:r>
        <w:rPr>
          <w:rFonts w:ascii="Arial" w:hAnsi="Arial" w:cs="Arial"/>
          <w:sz w:val="24"/>
        </w:rPr>
        <w:t xml:space="preserve">de esta administración ha sido </w:t>
      </w:r>
      <w:r w:rsidRPr="00EB2C51">
        <w:rPr>
          <w:rFonts w:ascii="Arial" w:hAnsi="Arial" w:cs="Arial"/>
          <w:sz w:val="24"/>
        </w:rPr>
        <w:t>el robustecimiento de la Hacienda Pública, sin crear nuevos impuestos o aumentar los actuales</w:t>
      </w:r>
      <w:r>
        <w:rPr>
          <w:rFonts w:ascii="Arial" w:hAnsi="Arial" w:cs="Arial"/>
          <w:sz w:val="24"/>
        </w:rPr>
        <w:t>, en aras de cuidar la economía familiar ya de por si deteriorada por los efectos de la pandemia.</w:t>
      </w:r>
    </w:p>
    <w:p w14:paraId="48186B4A" w14:textId="77777777" w:rsidR="00B076A2" w:rsidRPr="00364E2E" w:rsidRDefault="00B076A2" w:rsidP="00B076A2">
      <w:pPr>
        <w:spacing w:after="0" w:line="240" w:lineRule="auto"/>
        <w:jc w:val="both"/>
        <w:rPr>
          <w:rFonts w:ascii="Arial" w:hAnsi="Arial" w:cs="Arial"/>
          <w:sz w:val="24"/>
        </w:rPr>
      </w:pPr>
    </w:p>
    <w:p w14:paraId="6BD8C3BB" w14:textId="77777777" w:rsidR="00B076A2" w:rsidRPr="00517EDE" w:rsidRDefault="00B076A2" w:rsidP="00B076A2">
      <w:pPr>
        <w:spacing w:after="0" w:line="240" w:lineRule="auto"/>
        <w:jc w:val="both"/>
        <w:rPr>
          <w:rFonts w:ascii="Arial" w:hAnsi="Arial" w:cs="Arial"/>
          <w:b/>
          <w:i/>
          <w:sz w:val="24"/>
        </w:rPr>
      </w:pPr>
      <w:r w:rsidRPr="00517EDE">
        <w:rPr>
          <w:rFonts w:ascii="Arial" w:hAnsi="Arial" w:cs="Arial"/>
          <w:b/>
          <w:i/>
          <w:sz w:val="24"/>
        </w:rPr>
        <w:t>Servicios al contribuyente</w:t>
      </w:r>
    </w:p>
    <w:p w14:paraId="75D9D291" w14:textId="77777777" w:rsidR="00B076A2" w:rsidRDefault="00B076A2" w:rsidP="00B076A2">
      <w:pPr>
        <w:spacing w:after="0" w:line="240" w:lineRule="auto"/>
        <w:jc w:val="both"/>
        <w:rPr>
          <w:rFonts w:ascii="Arial" w:hAnsi="Arial" w:cs="Arial"/>
          <w:sz w:val="24"/>
        </w:rPr>
      </w:pPr>
    </w:p>
    <w:p w14:paraId="40700BC6" w14:textId="77777777" w:rsidR="00B076A2" w:rsidRDefault="00B076A2" w:rsidP="00B076A2">
      <w:pPr>
        <w:spacing w:after="0" w:line="240" w:lineRule="auto"/>
        <w:jc w:val="both"/>
        <w:rPr>
          <w:rFonts w:ascii="Arial" w:hAnsi="Arial" w:cs="Arial"/>
          <w:sz w:val="24"/>
        </w:rPr>
      </w:pPr>
      <w:r w:rsidRPr="00EB2C51">
        <w:rPr>
          <w:rFonts w:ascii="Arial" w:hAnsi="Arial" w:cs="Arial"/>
          <w:sz w:val="24"/>
        </w:rPr>
        <w:t xml:space="preserve">El Gobierno del Estado </w:t>
      </w:r>
      <w:r>
        <w:rPr>
          <w:rFonts w:ascii="Arial" w:hAnsi="Arial" w:cs="Arial"/>
          <w:sz w:val="24"/>
        </w:rPr>
        <w:t xml:space="preserve">ha avanzado y continuará haciéndolo </w:t>
      </w:r>
      <w:r w:rsidRPr="00EB2C51">
        <w:rPr>
          <w:rFonts w:ascii="Arial" w:hAnsi="Arial" w:cs="Arial"/>
          <w:sz w:val="24"/>
        </w:rPr>
        <w:t>en la consolidación y modernización de los</w:t>
      </w:r>
      <w:r>
        <w:rPr>
          <w:rFonts w:ascii="Arial" w:hAnsi="Arial" w:cs="Arial"/>
          <w:sz w:val="24"/>
        </w:rPr>
        <w:t xml:space="preserve"> </w:t>
      </w:r>
      <w:r w:rsidRPr="00EB2C51">
        <w:rPr>
          <w:rFonts w:ascii="Arial" w:hAnsi="Arial" w:cs="Arial"/>
          <w:sz w:val="24"/>
        </w:rPr>
        <w:t>mecanismos que le permitan mejorar la eficiencia recaudatoria de impuestos,</w:t>
      </w:r>
      <w:r>
        <w:rPr>
          <w:rFonts w:ascii="Arial" w:hAnsi="Arial" w:cs="Arial"/>
          <w:sz w:val="24"/>
        </w:rPr>
        <w:t xml:space="preserve"> </w:t>
      </w:r>
      <w:r w:rsidRPr="00EB2C51">
        <w:rPr>
          <w:rFonts w:ascii="Arial" w:hAnsi="Arial" w:cs="Arial"/>
          <w:sz w:val="24"/>
        </w:rPr>
        <w:t>derechos, productos y aprovechamientos.</w:t>
      </w:r>
      <w:r>
        <w:rPr>
          <w:rFonts w:ascii="Arial" w:hAnsi="Arial" w:cs="Arial"/>
          <w:sz w:val="24"/>
        </w:rPr>
        <w:t xml:space="preserve"> De esa forma el E</w:t>
      </w:r>
      <w:r w:rsidRPr="00EB2C51">
        <w:rPr>
          <w:rFonts w:ascii="Arial" w:hAnsi="Arial" w:cs="Arial"/>
          <w:sz w:val="24"/>
        </w:rPr>
        <w:t>stado obtiene los recursos necesarios para contar con una</w:t>
      </w:r>
      <w:r>
        <w:rPr>
          <w:rFonts w:ascii="Arial" w:hAnsi="Arial" w:cs="Arial"/>
          <w:sz w:val="24"/>
        </w:rPr>
        <w:t xml:space="preserve"> </w:t>
      </w:r>
      <w:r w:rsidRPr="00EB2C51">
        <w:rPr>
          <w:rFonts w:ascii="Arial" w:hAnsi="Arial" w:cs="Arial"/>
          <w:sz w:val="24"/>
        </w:rPr>
        <w:t>administración pública eficaz</w:t>
      </w:r>
      <w:r>
        <w:rPr>
          <w:rFonts w:ascii="Arial" w:hAnsi="Arial" w:cs="Arial"/>
          <w:sz w:val="24"/>
        </w:rPr>
        <w:t xml:space="preserve"> y con pronta capacidad de respuesta.</w:t>
      </w:r>
    </w:p>
    <w:p w14:paraId="25807197" w14:textId="77777777" w:rsidR="00B076A2" w:rsidRDefault="00B076A2" w:rsidP="00B076A2">
      <w:pPr>
        <w:spacing w:after="0" w:line="240" w:lineRule="auto"/>
        <w:jc w:val="both"/>
        <w:rPr>
          <w:rFonts w:ascii="Arial" w:hAnsi="Arial" w:cs="Arial"/>
          <w:sz w:val="24"/>
        </w:rPr>
      </w:pPr>
    </w:p>
    <w:p w14:paraId="4B926C58" w14:textId="77777777" w:rsidR="00B076A2" w:rsidRDefault="00B076A2" w:rsidP="00B076A2">
      <w:pPr>
        <w:spacing w:after="0" w:line="240" w:lineRule="auto"/>
        <w:jc w:val="both"/>
        <w:rPr>
          <w:rFonts w:ascii="Arial" w:hAnsi="Arial" w:cs="Arial"/>
          <w:sz w:val="24"/>
        </w:rPr>
      </w:pPr>
      <w:r>
        <w:rPr>
          <w:rFonts w:ascii="Arial" w:hAnsi="Arial" w:cs="Arial"/>
          <w:sz w:val="24"/>
        </w:rPr>
        <w:t>La prestación de servicios al contribuyente no se afectó durante esta pandemia sanitaria provocada por el COVID-19, se tomaron estrictas medidas para prevenir el contagio y con ello mantener en funcionamiento algunos Kioscos de Servicios y Trámites Electrónicos de Gobierno y de esta forma permitir a los colimenses el adecuado cumplimiento de sus obligaciones fiscales.</w:t>
      </w:r>
    </w:p>
    <w:p w14:paraId="4B53588A" w14:textId="77777777" w:rsidR="00B076A2" w:rsidRDefault="00B076A2" w:rsidP="00B076A2">
      <w:pPr>
        <w:spacing w:after="0" w:line="240" w:lineRule="auto"/>
        <w:jc w:val="both"/>
        <w:rPr>
          <w:rFonts w:ascii="Arial" w:hAnsi="Arial" w:cs="Arial"/>
          <w:sz w:val="24"/>
        </w:rPr>
      </w:pPr>
    </w:p>
    <w:p w14:paraId="5778878A" w14:textId="77777777" w:rsidR="00B076A2" w:rsidRDefault="00B076A2" w:rsidP="00B076A2">
      <w:pPr>
        <w:spacing w:after="0" w:line="240" w:lineRule="auto"/>
        <w:jc w:val="both"/>
        <w:rPr>
          <w:rFonts w:ascii="Arial" w:hAnsi="Arial" w:cs="Arial"/>
          <w:sz w:val="24"/>
        </w:rPr>
      </w:pPr>
      <w:r>
        <w:rPr>
          <w:rFonts w:ascii="Arial" w:hAnsi="Arial" w:cs="Arial"/>
          <w:sz w:val="24"/>
        </w:rPr>
        <w:t>Actualmente existen 20 kioscos de Servicios y Trámites Electrónicos del Gobierno, que dan cobertura total al estado, de esta manera los ciudadanos ahorran tiempo y dinero en trasladarse para obtener los servicios de gobierno. Aunado a lo anterior, se ha mejorado el equipamiento tecnológico de los Kioscos y se ha ampliado su catálogo de trámites y servicios. En la medida que las instituciones de salud lo permitan, los kioscos que se encuentran fuera de operación, serán reactivados</w:t>
      </w:r>
    </w:p>
    <w:p w14:paraId="45F49811" w14:textId="77777777" w:rsidR="00B076A2" w:rsidRDefault="00B076A2" w:rsidP="00B076A2">
      <w:pPr>
        <w:spacing w:after="0" w:line="240" w:lineRule="auto"/>
        <w:jc w:val="both"/>
        <w:rPr>
          <w:rFonts w:ascii="Arial" w:hAnsi="Arial" w:cs="Arial"/>
          <w:sz w:val="24"/>
        </w:rPr>
      </w:pPr>
    </w:p>
    <w:p w14:paraId="537AA355" w14:textId="77777777" w:rsidR="00B076A2" w:rsidRDefault="00B076A2" w:rsidP="00B076A2">
      <w:pPr>
        <w:spacing w:after="0" w:line="240" w:lineRule="auto"/>
        <w:jc w:val="both"/>
        <w:rPr>
          <w:rFonts w:ascii="Arial" w:hAnsi="Arial" w:cs="Arial"/>
          <w:sz w:val="24"/>
        </w:rPr>
      </w:pPr>
      <w:r w:rsidRPr="005A322D">
        <w:rPr>
          <w:rFonts w:ascii="Arial" w:hAnsi="Arial" w:cs="Arial"/>
          <w:sz w:val="24"/>
        </w:rPr>
        <w:t>Cada vez se otorgan más facilidades para que los contribuyentes cumplan con sus responsabilidades fiscales y gocen de má</w:t>
      </w:r>
      <w:r>
        <w:rPr>
          <w:rFonts w:ascii="Arial" w:hAnsi="Arial" w:cs="Arial"/>
          <w:sz w:val="24"/>
        </w:rPr>
        <w:t>s servicios. Por ello</w:t>
      </w:r>
      <w:r w:rsidRPr="005A322D">
        <w:rPr>
          <w:rFonts w:ascii="Arial" w:hAnsi="Arial" w:cs="Arial"/>
          <w:sz w:val="24"/>
        </w:rPr>
        <w:t xml:space="preserve"> se logró la apertura </w:t>
      </w:r>
      <w:r>
        <w:rPr>
          <w:rFonts w:ascii="Arial" w:hAnsi="Arial" w:cs="Arial"/>
          <w:sz w:val="24"/>
        </w:rPr>
        <w:t xml:space="preserve">a la nueva normalidad, con estrictas </w:t>
      </w:r>
      <w:r w:rsidRPr="00F31545">
        <w:rPr>
          <w:rFonts w:ascii="Arial" w:hAnsi="Arial" w:cs="Arial"/>
          <w:sz w:val="24"/>
        </w:rPr>
        <w:t>medidas sanitarias, de todas las receptorías de rentas, para facilitar a todos los contribu</w:t>
      </w:r>
      <w:r>
        <w:rPr>
          <w:rFonts w:ascii="Arial" w:hAnsi="Arial" w:cs="Arial"/>
          <w:sz w:val="24"/>
        </w:rPr>
        <w:t>yentes estatales el pago de sus obligaciones, tomando en consideración los incentivos fiscales aprobados por el H. Congreso del Estado para la mitigación del impacto económico que ha dejado la pandemia del COVID-19.</w:t>
      </w:r>
    </w:p>
    <w:p w14:paraId="22D8E7F2" w14:textId="77777777" w:rsidR="00B076A2" w:rsidRDefault="00B076A2" w:rsidP="00B076A2">
      <w:pPr>
        <w:spacing w:after="0" w:line="240" w:lineRule="auto"/>
        <w:jc w:val="both"/>
        <w:rPr>
          <w:rFonts w:ascii="Arial" w:hAnsi="Arial" w:cs="Arial"/>
          <w:sz w:val="24"/>
        </w:rPr>
      </w:pPr>
    </w:p>
    <w:p w14:paraId="7646F040" w14:textId="77777777" w:rsidR="00B076A2" w:rsidRDefault="00B076A2" w:rsidP="00B076A2">
      <w:pPr>
        <w:spacing w:after="0" w:line="240" w:lineRule="auto"/>
        <w:jc w:val="both"/>
        <w:rPr>
          <w:rFonts w:ascii="Arial" w:hAnsi="Arial" w:cs="Arial"/>
          <w:sz w:val="24"/>
        </w:rPr>
      </w:pPr>
      <w:r w:rsidRPr="00E76A6E">
        <w:rPr>
          <w:rFonts w:ascii="Arial" w:hAnsi="Arial" w:cs="Arial"/>
          <w:sz w:val="24"/>
        </w:rPr>
        <w:t>De igual forma, para modernizar y brindar mayores facilidades a la ciudad</w:t>
      </w:r>
      <w:r>
        <w:rPr>
          <w:rFonts w:ascii="Arial" w:hAnsi="Arial" w:cs="Arial"/>
          <w:sz w:val="24"/>
        </w:rPr>
        <w:t xml:space="preserve">anía, se </w:t>
      </w:r>
      <w:r w:rsidRPr="00E76A6E">
        <w:rPr>
          <w:rFonts w:ascii="Arial" w:hAnsi="Arial" w:cs="Arial"/>
          <w:sz w:val="24"/>
        </w:rPr>
        <w:t>habilitó el uso de la Firma Electrónica Avanzada, la cual sirve para identificarse ante</w:t>
      </w:r>
      <w:r>
        <w:rPr>
          <w:rFonts w:ascii="Arial" w:hAnsi="Arial" w:cs="Arial"/>
          <w:sz w:val="24"/>
        </w:rPr>
        <w:t xml:space="preserve"> </w:t>
      </w:r>
      <w:r w:rsidRPr="00E76A6E">
        <w:rPr>
          <w:rFonts w:ascii="Arial" w:hAnsi="Arial" w:cs="Arial"/>
          <w:sz w:val="24"/>
        </w:rPr>
        <w:t xml:space="preserve">el Servicio de Administración Tributaria y para expedir la </w:t>
      </w:r>
      <w:r w:rsidRPr="00E76A6E">
        <w:rPr>
          <w:rFonts w:ascii="Arial" w:hAnsi="Arial" w:cs="Arial"/>
          <w:sz w:val="24"/>
        </w:rPr>
        <w:lastRenderedPageBreak/>
        <w:t>Constancia de</w:t>
      </w:r>
      <w:r>
        <w:rPr>
          <w:rFonts w:ascii="Arial" w:hAnsi="Arial" w:cs="Arial"/>
          <w:sz w:val="24"/>
        </w:rPr>
        <w:t xml:space="preserve"> </w:t>
      </w:r>
      <w:r w:rsidRPr="00E76A6E">
        <w:rPr>
          <w:rFonts w:ascii="Arial" w:hAnsi="Arial" w:cs="Arial"/>
          <w:sz w:val="24"/>
        </w:rPr>
        <w:t>Cumplimiento de Obligaciones Fiscales Estatales. Su uso proporciona, además,</w:t>
      </w:r>
      <w:r>
        <w:rPr>
          <w:rFonts w:ascii="Arial" w:hAnsi="Arial" w:cs="Arial"/>
          <w:sz w:val="24"/>
        </w:rPr>
        <w:t xml:space="preserve"> </w:t>
      </w:r>
      <w:r w:rsidRPr="00E76A6E">
        <w:rPr>
          <w:rFonts w:ascii="Arial" w:hAnsi="Arial" w:cs="Arial"/>
          <w:sz w:val="24"/>
        </w:rPr>
        <w:t>elementos de seguridad a los documentos emitidos en los procesos electrónicos e</w:t>
      </w:r>
      <w:r>
        <w:rPr>
          <w:rFonts w:ascii="Arial" w:hAnsi="Arial" w:cs="Arial"/>
          <w:sz w:val="24"/>
        </w:rPr>
        <w:t xml:space="preserve"> </w:t>
      </w:r>
      <w:r w:rsidRPr="00E76A6E">
        <w:rPr>
          <w:rFonts w:ascii="Arial" w:hAnsi="Arial" w:cs="Arial"/>
          <w:sz w:val="24"/>
        </w:rPr>
        <w:t>impulsa una mayor confiabilidad y certidumbre jurídica a la documentación digital.</w:t>
      </w:r>
    </w:p>
    <w:p w14:paraId="1A7BB014" w14:textId="77777777" w:rsidR="00B076A2" w:rsidRDefault="00B076A2" w:rsidP="00B076A2">
      <w:pPr>
        <w:spacing w:after="0" w:line="240" w:lineRule="auto"/>
        <w:jc w:val="both"/>
        <w:rPr>
          <w:rFonts w:ascii="Arial" w:hAnsi="Arial" w:cs="Arial"/>
          <w:sz w:val="24"/>
        </w:rPr>
      </w:pPr>
    </w:p>
    <w:p w14:paraId="161EA73D" w14:textId="77777777" w:rsidR="00B076A2" w:rsidRPr="00517EDE" w:rsidRDefault="00B076A2" w:rsidP="00B076A2">
      <w:pPr>
        <w:spacing w:after="0" w:line="240" w:lineRule="auto"/>
        <w:jc w:val="both"/>
        <w:rPr>
          <w:rFonts w:ascii="Arial" w:hAnsi="Arial" w:cs="Arial"/>
          <w:b/>
          <w:i/>
          <w:sz w:val="24"/>
        </w:rPr>
      </w:pPr>
      <w:r w:rsidRPr="00517EDE">
        <w:rPr>
          <w:rFonts w:ascii="Arial" w:hAnsi="Arial" w:cs="Arial"/>
          <w:b/>
          <w:i/>
          <w:sz w:val="24"/>
        </w:rPr>
        <w:t>Incentivos Fiscales</w:t>
      </w:r>
    </w:p>
    <w:p w14:paraId="31029CF0" w14:textId="77777777" w:rsidR="00B076A2" w:rsidRDefault="00B076A2" w:rsidP="00B076A2">
      <w:pPr>
        <w:spacing w:after="0" w:line="240" w:lineRule="auto"/>
        <w:jc w:val="both"/>
        <w:rPr>
          <w:rFonts w:ascii="Arial" w:hAnsi="Arial" w:cs="Arial"/>
          <w:sz w:val="24"/>
        </w:rPr>
      </w:pPr>
    </w:p>
    <w:p w14:paraId="4C4B6B7E" w14:textId="77777777" w:rsidR="00B076A2" w:rsidRDefault="00B076A2" w:rsidP="00B076A2">
      <w:pPr>
        <w:spacing w:after="0" w:line="240" w:lineRule="auto"/>
        <w:jc w:val="both"/>
        <w:rPr>
          <w:rFonts w:ascii="Arial" w:hAnsi="Arial" w:cs="Arial"/>
          <w:sz w:val="24"/>
        </w:rPr>
      </w:pPr>
      <w:r w:rsidRPr="00F40FB3">
        <w:rPr>
          <w:rFonts w:ascii="Arial" w:hAnsi="Arial" w:cs="Arial"/>
          <w:sz w:val="24"/>
        </w:rPr>
        <w:t>Dura</w:t>
      </w:r>
      <w:r>
        <w:rPr>
          <w:rFonts w:ascii="Arial" w:hAnsi="Arial" w:cs="Arial"/>
          <w:sz w:val="24"/>
        </w:rPr>
        <w:t>nte el ejercicio fiscal 2020</w:t>
      </w:r>
      <w:r w:rsidRPr="00F40FB3">
        <w:rPr>
          <w:rFonts w:ascii="Arial" w:hAnsi="Arial" w:cs="Arial"/>
          <w:sz w:val="24"/>
        </w:rPr>
        <w:t xml:space="preserve"> se mantuvo el subsidio a la tenencia vehicular y</w:t>
      </w:r>
      <w:r>
        <w:rPr>
          <w:rFonts w:ascii="Arial" w:hAnsi="Arial" w:cs="Arial"/>
          <w:sz w:val="24"/>
        </w:rPr>
        <w:t xml:space="preserve"> </w:t>
      </w:r>
      <w:r w:rsidRPr="00F40FB3">
        <w:rPr>
          <w:rFonts w:ascii="Arial" w:hAnsi="Arial" w:cs="Arial"/>
          <w:sz w:val="24"/>
        </w:rPr>
        <w:t xml:space="preserve">no se crearon nuevos impuestos, ni </w:t>
      </w:r>
      <w:r>
        <w:rPr>
          <w:rFonts w:ascii="Arial" w:hAnsi="Arial" w:cs="Arial"/>
          <w:sz w:val="24"/>
        </w:rPr>
        <w:t xml:space="preserve">se dieron </w:t>
      </w:r>
      <w:r w:rsidRPr="00F40FB3">
        <w:rPr>
          <w:rFonts w:ascii="Arial" w:hAnsi="Arial" w:cs="Arial"/>
          <w:sz w:val="24"/>
        </w:rPr>
        <w:t>aumen</w:t>
      </w:r>
      <w:r>
        <w:rPr>
          <w:rFonts w:ascii="Arial" w:hAnsi="Arial" w:cs="Arial"/>
          <w:sz w:val="24"/>
        </w:rPr>
        <w:t>tos a los ya existentes. A</w:t>
      </w:r>
      <w:r w:rsidRPr="00F40FB3">
        <w:rPr>
          <w:rFonts w:ascii="Arial" w:hAnsi="Arial" w:cs="Arial"/>
          <w:sz w:val="24"/>
        </w:rPr>
        <w:t xml:space="preserve"> pesar del</w:t>
      </w:r>
      <w:r>
        <w:rPr>
          <w:rFonts w:ascii="Arial" w:hAnsi="Arial" w:cs="Arial"/>
          <w:sz w:val="24"/>
        </w:rPr>
        <w:t xml:space="preserve"> </w:t>
      </w:r>
      <w:r w:rsidRPr="00F40FB3">
        <w:rPr>
          <w:rFonts w:ascii="Arial" w:hAnsi="Arial" w:cs="Arial"/>
          <w:sz w:val="24"/>
        </w:rPr>
        <w:t>adverso escenario económico nacional e internacional,</w:t>
      </w:r>
      <w:r>
        <w:rPr>
          <w:rFonts w:ascii="Arial" w:hAnsi="Arial" w:cs="Arial"/>
          <w:sz w:val="24"/>
        </w:rPr>
        <w:t xml:space="preserve"> para el ejercicio fiscal 2021</w:t>
      </w:r>
      <w:r w:rsidRPr="00C53E4F">
        <w:rPr>
          <w:rFonts w:ascii="Arial" w:hAnsi="Arial" w:cs="Arial"/>
          <w:sz w:val="24"/>
        </w:rPr>
        <w:t>, s</w:t>
      </w:r>
      <w:r>
        <w:rPr>
          <w:rFonts w:ascii="Arial" w:hAnsi="Arial" w:cs="Arial"/>
          <w:sz w:val="24"/>
        </w:rPr>
        <w:t>e hace un gran esfuerzo</w:t>
      </w:r>
      <w:r w:rsidRPr="00C53E4F">
        <w:rPr>
          <w:rFonts w:ascii="Arial" w:hAnsi="Arial" w:cs="Arial"/>
          <w:sz w:val="24"/>
        </w:rPr>
        <w:t xml:space="preserve"> para continuar subsidiando la tenencia</w:t>
      </w:r>
      <w:r>
        <w:rPr>
          <w:rFonts w:ascii="Arial" w:hAnsi="Arial" w:cs="Arial"/>
          <w:sz w:val="24"/>
        </w:rPr>
        <w:t xml:space="preserve"> y para no crear nuevos impuestos</w:t>
      </w:r>
      <w:r w:rsidRPr="00C53E4F">
        <w:rPr>
          <w:rFonts w:ascii="Arial" w:hAnsi="Arial" w:cs="Arial"/>
          <w:sz w:val="24"/>
        </w:rPr>
        <w:t>, lo que acredita el compromiso social de la actual administra</w:t>
      </w:r>
      <w:r>
        <w:rPr>
          <w:rFonts w:ascii="Arial" w:hAnsi="Arial" w:cs="Arial"/>
          <w:sz w:val="24"/>
        </w:rPr>
        <w:t>ción, pues dicha acción incide directamente sobre la economía familiar, permitiendo a los colimenses que se disponga de más recursos para destinarse a otro fin.</w:t>
      </w:r>
    </w:p>
    <w:p w14:paraId="0467A57B" w14:textId="77777777" w:rsidR="00B076A2" w:rsidRDefault="00B076A2" w:rsidP="00B076A2">
      <w:pPr>
        <w:spacing w:after="0" w:line="240" w:lineRule="auto"/>
        <w:jc w:val="both"/>
        <w:rPr>
          <w:rFonts w:ascii="Arial" w:hAnsi="Arial" w:cs="Arial"/>
          <w:sz w:val="24"/>
        </w:rPr>
      </w:pPr>
    </w:p>
    <w:p w14:paraId="174417F5" w14:textId="77777777" w:rsidR="00B076A2" w:rsidRDefault="00B076A2" w:rsidP="00B076A2">
      <w:pPr>
        <w:spacing w:after="0" w:line="240" w:lineRule="auto"/>
        <w:jc w:val="both"/>
        <w:rPr>
          <w:rFonts w:ascii="Arial" w:hAnsi="Arial" w:cs="Arial"/>
          <w:sz w:val="24"/>
        </w:rPr>
      </w:pPr>
      <w:r>
        <w:rPr>
          <w:rFonts w:ascii="Arial" w:hAnsi="Arial" w:cs="Arial"/>
          <w:sz w:val="24"/>
        </w:rPr>
        <w:t xml:space="preserve">Así mismo, con la finalidad de ayudar a las familias colimenses ante la situación de emergencia sanitaria por la que atravesamos derivado de la pandemia del Coronavirus SARS-CoV-2, el pasado 30 de marzo de 2020, se publicó el Decreto Número 256, mediante el cual </w:t>
      </w:r>
      <w:r w:rsidRPr="00DD133C">
        <w:rPr>
          <w:rFonts w:ascii="Arial" w:hAnsi="Arial" w:cs="Arial"/>
          <w:sz w:val="24"/>
        </w:rPr>
        <w:t xml:space="preserve">se otorgaron diversos estímulos fiscales a los contribuyentes del Estado, en relación con el pago de derechos e impuestos de carácter estatal. </w:t>
      </w:r>
      <w:r>
        <w:rPr>
          <w:rFonts w:ascii="Arial" w:hAnsi="Arial" w:cs="Arial"/>
          <w:sz w:val="24"/>
        </w:rPr>
        <w:t xml:space="preserve">Estos estímulos consisten en: </w:t>
      </w:r>
    </w:p>
    <w:p w14:paraId="2A57D54B" w14:textId="77777777" w:rsidR="00B076A2" w:rsidRDefault="00B076A2" w:rsidP="00B076A2">
      <w:pPr>
        <w:spacing w:after="0" w:line="240" w:lineRule="auto"/>
        <w:jc w:val="both"/>
        <w:rPr>
          <w:rFonts w:ascii="Arial" w:hAnsi="Arial" w:cs="Arial"/>
          <w:sz w:val="24"/>
        </w:rPr>
      </w:pPr>
    </w:p>
    <w:p w14:paraId="069E5612" w14:textId="77777777" w:rsidR="00B076A2" w:rsidRDefault="00B076A2" w:rsidP="00B076A2">
      <w:pPr>
        <w:pStyle w:val="Prrafodelista"/>
        <w:numPr>
          <w:ilvl w:val="0"/>
          <w:numId w:val="39"/>
        </w:numPr>
        <w:spacing w:after="0" w:line="240" w:lineRule="auto"/>
        <w:jc w:val="both"/>
        <w:rPr>
          <w:rFonts w:ascii="Arial" w:hAnsi="Arial" w:cs="Arial"/>
          <w:sz w:val="24"/>
        </w:rPr>
      </w:pPr>
      <w:r w:rsidRPr="00F6129E">
        <w:rPr>
          <w:rFonts w:ascii="Arial" w:hAnsi="Arial" w:cs="Arial"/>
          <w:sz w:val="24"/>
        </w:rPr>
        <w:t xml:space="preserve">Ampliación del plazo para el pago del Impuesto sobre Tenencia o Uso de Vehículos y del pago de derechos por la renovación anual de la calcomanía vehicular. </w:t>
      </w:r>
    </w:p>
    <w:p w14:paraId="0358B062" w14:textId="77777777" w:rsidR="00B076A2" w:rsidRPr="00F6129E" w:rsidRDefault="00B076A2" w:rsidP="00B076A2">
      <w:pPr>
        <w:pStyle w:val="Prrafodelista"/>
        <w:numPr>
          <w:ilvl w:val="0"/>
          <w:numId w:val="39"/>
        </w:numPr>
        <w:spacing w:after="0" w:line="240" w:lineRule="auto"/>
        <w:jc w:val="both"/>
        <w:rPr>
          <w:rFonts w:ascii="Arial" w:hAnsi="Arial" w:cs="Arial"/>
          <w:sz w:val="24"/>
        </w:rPr>
      </w:pPr>
      <w:r w:rsidRPr="00F6129E">
        <w:rPr>
          <w:rFonts w:ascii="Arial" w:hAnsi="Arial" w:cs="Arial"/>
          <w:sz w:val="24"/>
        </w:rPr>
        <w:t>Condonación del 100 por ciento en el pago del Impuesto sobre Nómina, en los meses de marzo, abril y mayo de 2020, a los contribuyentes cuya plantilla laboral formalmente registrada fuera de 1 a 10 trabajadores. Así como ampliación del plazo para pago de los contribuyentes que no se encontraban en ese supuesto, hasta el segundo semestre de 2020, sin que se generaran recargos ni multas y sin ser objeto de requerimiento por la autoridad competente.</w:t>
      </w:r>
      <w:r w:rsidRPr="00F6129E">
        <w:t xml:space="preserve"> </w:t>
      </w:r>
    </w:p>
    <w:p w14:paraId="7C7349C8" w14:textId="77777777" w:rsidR="00B076A2" w:rsidRPr="00F6129E" w:rsidRDefault="00B076A2" w:rsidP="00B076A2">
      <w:pPr>
        <w:pStyle w:val="Prrafodelista"/>
        <w:numPr>
          <w:ilvl w:val="0"/>
          <w:numId w:val="39"/>
        </w:numPr>
        <w:spacing w:after="0" w:line="240" w:lineRule="auto"/>
        <w:jc w:val="both"/>
        <w:rPr>
          <w:rFonts w:ascii="Arial" w:hAnsi="Arial" w:cs="Arial"/>
          <w:sz w:val="24"/>
        </w:rPr>
      </w:pPr>
      <w:r w:rsidRPr="00F6129E">
        <w:rPr>
          <w:rFonts w:ascii="Arial" w:hAnsi="Arial" w:cs="Arial"/>
          <w:sz w:val="24"/>
        </w:rPr>
        <w:t>De igual manera la condonación del 100 por ciento en el pago del Impuesto sobre Nóminas, en el periodo de marzo a diciembre de 2020, a cargo de los municipios, sus organismos públicos descentralizados, así como los de los organismos operadores de agua.</w:t>
      </w:r>
    </w:p>
    <w:p w14:paraId="6DE287F9" w14:textId="77777777" w:rsidR="00B076A2" w:rsidRPr="00F6129E" w:rsidRDefault="00B076A2" w:rsidP="00B076A2">
      <w:pPr>
        <w:pStyle w:val="Prrafodelista"/>
        <w:numPr>
          <w:ilvl w:val="0"/>
          <w:numId w:val="39"/>
        </w:numPr>
        <w:spacing w:after="0" w:line="240" w:lineRule="auto"/>
        <w:jc w:val="both"/>
        <w:rPr>
          <w:rFonts w:ascii="Arial" w:hAnsi="Arial" w:cs="Arial"/>
          <w:sz w:val="24"/>
        </w:rPr>
      </w:pPr>
      <w:r w:rsidRPr="00F6129E">
        <w:rPr>
          <w:rFonts w:ascii="Arial" w:hAnsi="Arial" w:cs="Arial"/>
          <w:sz w:val="24"/>
        </w:rPr>
        <w:t>El 100 por ciento de condonación en el pago del Impuesto sobre Hospedaje, en el periodo de abril, mayo y junio de 2020, a los contribuyentes que presten este servicio en el territorio del Estado.</w:t>
      </w:r>
    </w:p>
    <w:p w14:paraId="26874149" w14:textId="77777777" w:rsidR="00B076A2" w:rsidRPr="00F6129E" w:rsidRDefault="00B076A2" w:rsidP="00B076A2">
      <w:pPr>
        <w:pStyle w:val="Prrafodelista"/>
        <w:numPr>
          <w:ilvl w:val="0"/>
          <w:numId w:val="39"/>
        </w:numPr>
        <w:spacing w:after="0" w:line="240" w:lineRule="auto"/>
        <w:jc w:val="both"/>
        <w:rPr>
          <w:rFonts w:ascii="Arial" w:hAnsi="Arial" w:cs="Arial"/>
          <w:sz w:val="24"/>
        </w:rPr>
      </w:pPr>
      <w:r w:rsidRPr="00F6129E">
        <w:rPr>
          <w:rFonts w:ascii="Arial" w:hAnsi="Arial" w:cs="Arial"/>
          <w:sz w:val="24"/>
        </w:rPr>
        <w:lastRenderedPageBreak/>
        <w:t>Ampliación del plazo para el pago del Impuesto sobre Ejercicio de Profesiones de los 3 primeros bimestres del ejercicio fiscal 2020, hasta el 17 de julio del mismo año.</w:t>
      </w:r>
    </w:p>
    <w:p w14:paraId="2DE061AA" w14:textId="77777777" w:rsidR="00B076A2" w:rsidRPr="00F6129E" w:rsidRDefault="00B076A2" w:rsidP="00B076A2">
      <w:pPr>
        <w:pStyle w:val="Prrafodelista"/>
        <w:numPr>
          <w:ilvl w:val="0"/>
          <w:numId w:val="39"/>
        </w:numPr>
        <w:spacing w:after="0" w:line="240" w:lineRule="auto"/>
        <w:jc w:val="both"/>
        <w:rPr>
          <w:rFonts w:ascii="Arial" w:hAnsi="Arial" w:cs="Arial"/>
          <w:sz w:val="24"/>
        </w:rPr>
      </w:pPr>
      <w:r w:rsidRPr="00F6129E">
        <w:rPr>
          <w:rFonts w:ascii="Arial" w:hAnsi="Arial" w:cs="Arial"/>
          <w:sz w:val="24"/>
        </w:rPr>
        <w:t>Suspensión de plazos legales para la conclusión de visitas domiciliarias y la no exigibilidad en los cobros de créditos determinados mediante el Procedimiento Administrativo de Ejecución, hasta el 31 de mayo de 2020.</w:t>
      </w:r>
    </w:p>
    <w:p w14:paraId="140F8FED" w14:textId="77777777" w:rsidR="00B076A2" w:rsidRPr="00F6129E" w:rsidRDefault="00B076A2" w:rsidP="00B076A2">
      <w:pPr>
        <w:pStyle w:val="Prrafodelista"/>
        <w:numPr>
          <w:ilvl w:val="0"/>
          <w:numId w:val="39"/>
        </w:numPr>
        <w:spacing w:after="0" w:line="240" w:lineRule="auto"/>
        <w:jc w:val="both"/>
        <w:rPr>
          <w:rFonts w:ascii="Arial" w:hAnsi="Arial" w:cs="Arial"/>
          <w:sz w:val="24"/>
        </w:rPr>
      </w:pPr>
      <w:r w:rsidRPr="00F6129E">
        <w:rPr>
          <w:rFonts w:ascii="Arial" w:hAnsi="Arial" w:cs="Arial"/>
          <w:sz w:val="24"/>
        </w:rPr>
        <w:t>Ampliación de la vigencia hasta el 30 de junio de 2020, en las licencias y permisos de conducir en todas sus modalidades que expiraran en los meses de marzo, abril y mayo de 2020, expedidas por la Secretaría de Movilidad.</w:t>
      </w:r>
    </w:p>
    <w:p w14:paraId="3411306B" w14:textId="77777777" w:rsidR="00B076A2" w:rsidRPr="00F6129E" w:rsidRDefault="00B076A2" w:rsidP="00B076A2">
      <w:pPr>
        <w:pStyle w:val="Prrafodelista"/>
        <w:numPr>
          <w:ilvl w:val="0"/>
          <w:numId w:val="39"/>
        </w:numPr>
        <w:spacing w:after="0" w:line="240" w:lineRule="auto"/>
        <w:jc w:val="both"/>
        <w:rPr>
          <w:rFonts w:ascii="Arial" w:hAnsi="Arial" w:cs="Arial"/>
          <w:sz w:val="24"/>
        </w:rPr>
      </w:pPr>
      <w:r w:rsidRPr="00F6129E">
        <w:rPr>
          <w:rFonts w:ascii="Arial" w:hAnsi="Arial" w:cs="Arial"/>
          <w:sz w:val="24"/>
        </w:rPr>
        <w:t>Condonación del 100 por ciento en el pago de multas y recargos por la falta de pago oportuno del servicio de agua potable, alcantarillado y saneamiento en adeudos de 2019 y anteriores, así como de enero a junio de 2020.</w:t>
      </w:r>
    </w:p>
    <w:p w14:paraId="127B50FD" w14:textId="77777777" w:rsidR="00B076A2" w:rsidRPr="00F6129E" w:rsidRDefault="00B076A2" w:rsidP="00B076A2">
      <w:pPr>
        <w:pStyle w:val="Prrafodelista"/>
        <w:numPr>
          <w:ilvl w:val="0"/>
          <w:numId w:val="39"/>
        </w:numPr>
        <w:spacing w:after="0" w:line="240" w:lineRule="auto"/>
        <w:jc w:val="both"/>
        <w:rPr>
          <w:rFonts w:ascii="Arial" w:hAnsi="Arial" w:cs="Arial"/>
          <w:sz w:val="24"/>
        </w:rPr>
      </w:pPr>
      <w:r w:rsidRPr="00F6129E">
        <w:rPr>
          <w:rFonts w:ascii="Arial" w:hAnsi="Arial" w:cs="Arial"/>
          <w:sz w:val="24"/>
        </w:rPr>
        <w:t xml:space="preserve">Implementación del 4 por ciento de descuento por pagos puntuales en los servicios de agua potable y alcantarillado correspondientes a los bimestres de marzo-abril y mayo-junio de 2020. </w:t>
      </w:r>
    </w:p>
    <w:p w14:paraId="1FDEC4C4" w14:textId="77777777" w:rsidR="00B076A2" w:rsidRPr="00F6129E" w:rsidRDefault="00B076A2" w:rsidP="00B076A2">
      <w:pPr>
        <w:pStyle w:val="Prrafodelista"/>
        <w:numPr>
          <w:ilvl w:val="0"/>
          <w:numId w:val="39"/>
        </w:numPr>
        <w:spacing w:after="0" w:line="240" w:lineRule="auto"/>
        <w:jc w:val="both"/>
        <w:rPr>
          <w:rFonts w:ascii="Arial" w:hAnsi="Arial" w:cs="Arial"/>
          <w:sz w:val="24"/>
        </w:rPr>
      </w:pPr>
      <w:r w:rsidRPr="00F6129E">
        <w:rPr>
          <w:rFonts w:ascii="Arial" w:hAnsi="Arial" w:cs="Arial"/>
          <w:sz w:val="24"/>
        </w:rPr>
        <w:t xml:space="preserve">Ampliación en el plazo para aprovechar el 8 por ciento de descuento en el pago anual por los servicios de agua potable, alcantarillado y saneamiento, hasta el 30 de junio de 2020. </w:t>
      </w:r>
    </w:p>
    <w:p w14:paraId="402F584A" w14:textId="77777777" w:rsidR="00B076A2" w:rsidRPr="00F6129E" w:rsidRDefault="00B076A2" w:rsidP="00B076A2">
      <w:pPr>
        <w:pStyle w:val="Prrafodelista"/>
        <w:numPr>
          <w:ilvl w:val="0"/>
          <w:numId w:val="39"/>
        </w:numPr>
        <w:spacing w:after="0" w:line="240" w:lineRule="auto"/>
        <w:jc w:val="both"/>
        <w:rPr>
          <w:rFonts w:ascii="Arial" w:hAnsi="Arial" w:cs="Arial"/>
          <w:sz w:val="24"/>
        </w:rPr>
      </w:pPr>
      <w:r w:rsidRPr="00F6129E">
        <w:rPr>
          <w:rFonts w:ascii="Arial" w:hAnsi="Arial" w:cs="Arial"/>
          <w:sz w:val="24"/>
        </w:rPr>
        <w:t xml:space="preserve">Suspensión de acciones de reducción o suspensión en el suministro de agua durante los meses de marzo a junio de 2020, a los usuarios de la Comisión Intermunicipal de Agua Potable y Alcantarillado de los Municipios de Colima y Villa de Álvarez (CIAPACOV), que presentaran algún tipo de adeudo, debiéndose restablecer el servicio y suministro de agua potable a los que se les haya suspendido previamente. </w:t>
      </w:r>
    </w:p>
    <w:p w14:paraId="735AD47D" w14:textId="77777777" w:rsidR="00B076A2" w:rsidRPr="00F6129E" w:rsidRDefault="00B076A2" w:rsidP="00B076A2">
      <w:pPr>
        <w:pStyle w:val="Prrafodelista"/>
        <w:numPr>
          <w:ilvl w:val="0"/>
          <w:numId w:val="39"/>
        </w:numPr>
        <w:spacing w:after="0" w:line="240" w:lineRule="auto"/>
        <w:jc w:val="both"/>
        <w:rPr>
          <w:rFonts w:ascii="Arial" w:hAnsi="Arial" w:cs="Arial"/>
          <w:sz w:val="24"/>
        </w:rPr>
      </w:pPr>
      <w:r w:rsidRPr="00F6129E">
        <w:rPr>
          <w:rFonts w:ascii="Arial" w:hAnsi="Arial" w:cs="Arial"/>
          <w:sz w:val="24"/>
        </w:rPr>
        <w:t>Descuentos del 30 por ciento en el pago de derechos de todos los trámites y servicios prestados por el Instituto para el Registro del Territorio, hasta el 30 de junio de 2020.</w:t>
      </w:r>
    </w:p>
    <w:p w14:paraId="7E96B5CB" w14:textId="77777777" w:rsidR="00B076A2" w:rsidRPr="00F6129E" w:rsidRDefault="00B076A2" w:rsidP="00B076A2">
      <w:pPr>
        <w:spacing w:after="0" w:line="240" w:lineRule="auto"/>
        <w:jc w:val="both"/>
        <w:rPr>
          <w:rFonts w:ascii="Arial" w:hAnsi="Arial" w:cs="Arial"/>
          <w:sz w:val="24"/>
        </w:rPr>
      </w:pPr>
    </w:p>
    <w:p w14:paraId="76C92CA5" w14:textId="77777777" w:rsidR="00B076A2" w:rsidRPr="00C53E4F" w:rsidRDefault="00B076A2" w:rsidP="00B076A2">
      <w:pPr>
        <w:spacing w:after="0" w:line="240" w:lineRule="auto"/>
        <w:jc w:val="both"/>
        <w:rPr>
          <w:rFonts w:ascii="Arial" w:hAnsi="Arial" w:cs="Arial"/>
          <w:sz w:val="24"/>
        </w:rPr>
      </w:pPr>
      <w:r>
        <w:rPr>
          <w:rFonts w:ascii="Arial" w:hAnsi="Arial" w:cs="Arial"/>
          <w:sz w:val="24"/>
        </w:rPr>
        <w:t>Los mencionados incentivos también se efectuaron con la finalidad de mitigar el impacto económico derivado de medidas implementadas por la contingencia sanitaria y con ello comenzar y potenciar la reactivación de la economía colimense, al permitir que los contribuyentes cuenten con mayores recursos para destinarlos al consumo de bienes y servicios que genere un impacto multiplicador.</w:t>
      </w:r>
    </w:p>
    <w:p w14:paraId="1EC2B88B" w14:textId="77777777" w:rsidR="00B076A2" w:rsidRPr="00C53E4F" w:rsidRDefault="00B076A2" w:rsidP="00B076A2">
      <w:pPr>
        <w:spacing w:after="0" w:line="240" w:lineRule="auto"/>
        <w:jc w:val="both"/>
        <w:rPr>
          <w:rFonts w:ascii="Arial" w:hAnsi="Arial" w:cs="Arial"/>
          <w:sz w:val="24"/>
        </w:rPr>
      </w:pPr>
    </w:p>
    <w:p w14:paraId="2F2E770D" w14:textId="77777777" w:rsidR="00B076A2" w:rsidRDefault="00B076A2" w:rsidP="00B076A2">
      <w:pPr>
        <w:spacing w:after="0" w:line="240" w:lineRule="auto"/>
        <w:jc w:val="both"/>
        <w:rPr>
          <w:rFonts w:ascii="Arial" w:hAnsi="Arial" w:cs="Arial"/>
          <w:sz w:val="24"/>
        </w:rPr>
      </w:pPr>
      <w:r w:rsidRPr="00C53E4F">
        <w:rPr>
          <w:rFonts w:ascii="Arial" w:hAnsi="Arial" w:cs="Arial"/>
          <w:sz w:val="24"/>
        </w:rPr>
        <w:t xml:space="preserve">Además de lo anterior, se tienen los incentivos señalados en los capítulos II, III y IV de la Ley de Fomento </w:t>
      </w:r>
      <w:r w:rsidRPr="00845441">
        <w:rPr>
          <w:rFonts w:ascii="Arial" w:hAnsi="Arial" w:cs="Arial"/>
          <w:sz w:val="24"/>
        </w:rPr>
        <w:t xml:space="preserve">Económico para el Estado de Colima tomando en consideración lo señalado en el artículo 11 de la Iniciativa de Ley de Ingresos </w:t>
      </w:r>
      <w:r w:rsidRPr="00845441">
        <w:rPr>
          <w:rFonts w:ascii="Arial" w:hAnsi="Arial" w:cs="Arial"/>
          <w:sz w:val="24"/>
        </w:rPr>
        <w:lastRenderedPageBreak/>
        <w:t>para el Ejercicio Fiscal 2021, mismos que son otorgados principalmente a personas físicas o morales con actividad empresarial que cumplan los supuestos señalados.</w:t>
      </w:r>
    </w:p>
    <w:p w14:paraId="2499FD4C" w14:textId="77777777" w:rsidR="00B076A2" w:rsidRDefault="00B076A2" w:rsidP="00B076A2">
      <w:pPr>
        <w:spacing w:after="0" w:line="240" w:lineRule="auto"/>
        <w:jc w:val="both"/>
        <w:rPr>
          <w:rFonts w:ascii="Arial" w:hAnsi="Arial" w:cs="Arial"/>
          <w:b/>
          <w:i/>
          <w:sz w:val="24"/>
        </w:rPr>
      </w:pPr>
    </w:p>
    <w:p w14:paraId="429722B4" w14:textId="77777777" w:rsidR="00B076A2" w:rsidRPr="00517EDE" w:rsidRDefault="00B076A2" w:rsidP="00B076A2">
      <w:pPr>
        <w:spacing w:after="0" w:line="240" w:lineRule="auto"/>
        <w:jc w:val="both"/>
        <w:rPr>
          <w:rFonts w:ascii="Arial" w:hAnsi="Arial" w:cs="Arial"/>
          <w:b/>
          <w:i/>
          <w:sz w:val="24"/>
        </w:rPr>
      </w:pPr>
      <w:r w:rsidRPr="00517EDE">
        <w:rPr>
          <w:rFonts w:ascii="Arial" w:hAnsi="Arial" w:cs="Arial"/>
          <w:b/>
          <w:i/>
          <w:sz w:val="24"/>
        </w:rPr>
        <w:t>Apoyo para regularización fiscal</w:t>
      </w:r>
    </w:p>
    <w:p w14:paraId="3B1B21EB" w14:textId="77777777" w:rsidR="00B076A2" w:rsidRDefault="00B076A2" w:rsidP="00B076A2">
      <w:pPr>
        <w:spacing w:after="0" w:line="240" w:lineRule="auto"/>
        <w:jc w:val="both"/>
        <w:rPr>
          <w:rFonts w:ascii="Arial" w:hAnsi="Arial" w:cs="Arial"/>
          <w:sz w:val="24"/>
        </w:rPr>
      </w:pPr>
    </w:p>
    <w:p w14:paraId="1AF0F5A3" w14:textId="77777777" w:rsidR="00B076A2" w:rsidRDefault="00B076A2" w:rsidP="00B076A2">
      <w:pPr>
        <w:spacing w:after="0" w:line="240" w:lineRule="auto"/>
        <w:jc w:val="both"/>
        <w:rPr>
          <w:rFonts w:ascii="Arial" w:hAnsi="Arial" w:cs="Arial"/>
          <w:sz w:val="24"/>
        </w:rPr>
      </w:pPr>
      <w:r w:rsidRPr="00D203EE">
        <w:rPr>
          <w:rFonts w:ascii="Arial" w:hAnsi="Arial" w:cs="Arial"/>
          <w:sz w:val="24"/>
        </w:rPr>
        <w:t>Sigue vigente el Convenio de Reconocimiento de Adeudo y Autorización de Prórroga para el Pago Diferido de Créditos Fiscales Relativos al Seguro de Retiro, Cesantía en Edad Avanzada y Vejez con el Instituto Mexicano del Seguro Social, con el objetivo de que este Instituto otorgara un prórroga para realizar el pago de los adeudos a plazos, así también, se gestionó la condonación del 90 por ciento de las multas, y de esta manera no comprometer las finanzas públicas estatales.</w:t>
      </w:r>
    </w:p>
    <w:p w14:paraId="290C29B6" w14:textId="77777777" w:rsidR="00B076A2" w:rsidRDefault="00B076A2" w:rsidP="00B076A2">
      <w:pPr>
        <w:spacing w:after="0" w:line="240" w:lineRule="auto"/>
        <w:jc w:val="both"/>
        <w:rPr>
          <w:rFonts w:ascii="Arial" w:hAnsi="Arial" w:cs="Arial"/>
          <w:sz w:val="24"/>
        </w:rPr>
      </w:pPr>
    </w:p>
    <w:p w14:paraId="52A8E722" w14:textId="77777777" w:rsidR="00B076A2" w:rsidRPr="00517EDE" w:rsidRDefault="00B076A2" w:rsidP="00B076A2">
      <w:pPr>
        <w:spacing w:after="0" w:line="240" w:lineRule="auto"/>
        <w:jc w:val="both"/>
        <w:rPr>
          <w:rFonts w:ascii="Arial" w:hAnsi="Arial" w:cs="Arial"/>
          <w:b/>
          <w:i/>
          <w:sz w:val="24"/>
        </w:rPr>
      </w:pPr>
      <w:r>
        <w:rPr>
          <w:rFonts w:ascii="Arial" w:hAnsi="Arial" w:cs="Arial"/>
          <w:b/>
          <w:i/>
          <w:sz w:val="24"/>
        </w:rPr>
        <w:t>Programa Súmate</w:t>
      </w:r>
    </w:p>
    <w:p w14:paraId="34B7F026" w14:textId="77777777" w:rsidR="00B076A2" w:rsidRDefault="00B076A2" w:rsidP="00B076A2">
      <w:pPr>
        <w:spacing w:after="0" w:line="240" w:lineRule="auto"/>
        <w:jc w:val="both"/>
        <w:rPr>
          <w:rFonts w:ascii="Arial" w:hAnsi="Arial" w:cs="Arial"/>
          <w:sz w:val="24"/>
        </w:rPr>
      </w:pPr>
    </w:p>
    <w:p w14:paraId="0F84B1C2" w14:textId="77777777" w:rsidR="00B076A2" w:rsidRDefault="00B076A2" w:rsidP="00B076A2">
      <w:pPr>
        <w:spacing w:after="0" w:line="240" w:lineRule="auto"/>
        <w:jc w:val="both"/>
        <w:rPr>
          <w:rFonts w:ascii="Arial" w:hAnsi="Arial" w:cs="Arial"/>
          <w:sz w:val="24"/>
        </w:rPr>
      </w:pPr>
      <w:r w:rsidRPr="00385D95">
        <w:rPr>
          <w:rFonts w:ascii="Arial" w:hAnsi="Arial" w:cs="Arial"/>
          <w:sz w:val="24"/>
        </w:rPr>
        <w:t>El Gobierno del Estado impulsa la formalidad en el régimen de incorporación fiscal a través de la firma del convenio con el Servicio de Administración Tributaria para implementar el Programa Súmate del Gobierno Federal, en la que diferentes instituciones del Gobierno Federal armonizan sus programas para hacer más atractiva la transición a la formalidad, por medio de beneficios como la obtención de servicios médicos, créditos para vivienda, apoyos económicos, créditos de instituciones bancarias, seguro de vida y reducción en el pago de impuestos.</w:t>
      </w:r>
    </w:p>
    <w:p w14:paraId="70A40BAE" w14:textId="77777777" w:rsidR="00B076A2" w:rsidRDefault="00B076A2" w:rsidP="00B076A2">
      <w:pPr>
        <w:spacing w:after="0" w:line="240" w:lineRule="auto"/>
        <w:jc w:val="both"/>
        <w:rPr>
          <w:rFonts w:ascii="Arial" w:hAnsi="Arial" w:cs="Arial"/>
          <w:sz w:val="24"/>
        </w:rPr>
      </w:pPr>
    </w:p>
    <w:p w14:paraId="606118DB" w14:textId="77777777" w:rsidR="00B076A2" w:rsidRDefault="00B076A2" w:rsidP="00B076A2">
      <w:pPr>
        <w:spacing w:after="0" w:line="240" w:lineRule="auto"/>
        <w:jc w:val="both"/>
        <w:rPr>
          <w:rFonts w:ascii="Arial" w:hAnsi="Arial" w:cs="Arial"/>
          <w:sz w:val="24"/>
        </w:rPr>
      </w:pPr>
      <w:r>
        <w:rPr>
          <w:rFonts w:ascii="Arial" w:hAnsi="Arial" w:cs="Arial"/>
          <w:sz w:val="24"/>
        </w:rPr>
        <w:t>Durante el año 2020, derivado de la contingencia sanitaria provocada por el COVID-19, el Programa Suma no se pudo llevar a cabo, dado que varios negocios considerados como giros no esenciales permanecieron cerrados, así como por la probabilidad de contagio en la atención personalizada que se realiza con los empresarios, sin embargo, se espera que una vez se cuente con la vacuna contra el COVID-19, se pueda reanudar dicho programa en el ejercicio fiscal 2021.</w:t>
      </w:r>
    </w:p>
    <w:p w14:paraId="08037323" w14:textId="77777777" w:rsidR="00B076A2" w:rsidRDefault="00B076A2" w:rsidP="00B076A2">
      <w:pPr>
        <w:spacing w:after="0" w:line="240" w:lineRule="auto"/>
        <w:jc w:val="both"/>
        <w:rPr>
          <w:rFonts w:ascii="Arial" w:hAnsi="Arial" w:cs="Arial"/>
          <w:sz w:val="24"/>
        </w:rPr>
      </w:pPr>
    </w:p>
    <w:p w14:paraId="0764B692" w14:textId="77777777" w:rsidR="00B076A2" w:rsidRPr="00517EDE" w:rsidRDefault="00B076A2" w:rsidP="00B076A2">
      <w:pPr>
        <w:spacing w:after="0" w:line="240" w:lineRule="auto"/>
        <w:jc w:val="both"/>
        <w:rPr>
          <w:rFonts w:ascii="Arial" w:hAnsi="Arial" w:cs="Arial"/>
          <w:b/>
          <w:i/>
          <w:sz w:val="24"/>
        </w:rPr>
      </w:pPr>
      <w:r w:rsidRPr="00517EDE">
        <w:rPr>
          <w:rFonts w:ascii="Arial" w:hAnsi="Arial" w:cs="Arial"/>
          <w:b/>
          <w:i/>
          <w:sz w:val="24"/>
        </w:rPr>
        <w:t>Sistema Nacional de Coordinación Fiscal</w:t>
      </w:r>
    </w:p>
    <w:p w14:paraId="3DBCC300" w14:textId="77777777" w:rsidR="00B076A2" w:rsidRDefault="00B076A2" w:rsidP="00B076A2">
      <w:pPr>
        <w:spacing w:after="0" w:line="240" w:lineRule="auto"/>
        <w:jc w:val="both"/>
        <w:rPr>
          <w:rFonts w:ascii="Arial" w:hAnsi="Arial" w:cs="Arial"/>
          <w:sz w:val="24"/>
        </w:rPr>
      </w:pPr>
    </w:p>
    <w:p w14:paraId="0D91A72D" w14:textId="77777777" w:rsidR="00B076A2" w:rsidRDefault="00B076A2" w:rsidP="00B076A2">
      <w:pPr>
        <w:spacing w:after="0" w:line="240" w:lineRule="auto"/>
        <w:jc w:val="both"/>
        <w:rPr>
          <w:rFonts w:ascii="Arial" w:hAnsi="Arial" w:cs="Arial"/>
          <w:sz w:val="24"/>
        </w:rPr>
      </w:pPr>
      <w:r>
        <w:rPr>
          <w:rFonts w:ascii="Arial" w:hAnsi="Arial" w:cs="Arial"/>
          <w:sz w:val="24"/>
        </w:rPr>
        <w:t>El estado de Colima pertenece a la zona 4 Occidente y en</w:t>
      </w:r>
      <w:r w:rsidRPr="009F427C">
        <w:rPr>
          <w:rFonts w:ascii="Arial" w:hAnsi="Arial" w:cs="Arial"/>
          <w:sz w:val="24"/>
        </w:rPr>
        <w:t xml:space="preserve"> cumplimiento a los ordenamientos que regulan el Sistema de Coordinación Fiscal Federal, se entregaron oportuna y correctamente los datos </w:t>
      </w:r>
      <w:r>
        <w:rPr>
          <w:rFonts w:ascii="Arial" w:hAnsi="Arial" w:cs="Arial"/>
          <w:sz w:val="24"/>
        </w:rPr>
        <w:t>de la recau</w:t>
      </w:r>
      <w:r w:rsidRPr="009F427C">
        <w:rPr>
          <w:rFonts w:ascii="Arial" w:hAnsi="Arial" w:cs="Arial"/>
          <w:sz w:val="24"/>
        </w:rPr>
        <w:t xml:space="preserve">dación obtenida por el Gobierno del Estado en los conceptos de Impuestos y Derechos, así como del Impuesto Predial y Derecho de Agua Potable y Alcantarillado de los diez </w:t>
      </w:r>
      <w:r w:rsidRPr="009F427C">
        <w:rPr>
          <w:rFonts w:ascii="Arial" w:hAnsi="Arial" w:cs="Arial"/>
          <w:sz w:val="24"/>
        </w:rPr>
        <w:lastRenderedPageBreak/>
        <w:t xml:space="preserve">municipios, todos del </w:t>
      </w:r>
      <w:r>
        <w:rPr>
          <w:rFonts w:ascii="Arial" w:hAnsi="Arial" w:cs="Arial"/>
          <w:sz w:val="24"/>
        </w:rPr>
        <w:t>ejercicio fiscal 2019, los cua</w:t>
      </w:r>
      <w:r w:rsidRPr="009F427C">
        <w:rPr>
          <w:rFonts w:ascii="Arial" w:hAnsi="Arial" w:cs="Arial"/>
          <w:sz w:val="24"/>
        </w:rPr>
        <w:t>les, de conformidad con lo dispuesto en la Ley de</w:t>
      </w:r>
      <w:r>
        <w:rPr>
          <w:rFonts w:ascii="Arial" w:hAnsi="Arial" w:cs="Arial"/>
          <w:sz w:val="24"/>
        </w:rPr>
        <w:t xml:space="preserve"> Coordinación Fiscal de aplica</w:t>
      </w:r>
      <w:r w:rsidRPr="009F427C">
        <w:rPr>
          <w:rFonts w:ascii="Arial" w:hAnsi="Arial" w:cs="Arial"/>
          <w:sz w:val="24"/>
        </w:rPr>
        <w:t>ción feder</w:t>
      </w:r>
      <w:r>
        <w:rPr>
          <w:rFonts w:ascii="Arial" w:hAnsi="Arial" w:cs="Arial"/>
          <w:sz w:val="24"/>
        </w:rPr>
        <w:t>al, sirvieron de base para cal</w:t>
      </w:r>
      <w:r w:rsidRPr="009F427C">
        <w:rPr>
          <w:rFonts w:ascii="Arial" w:hAnsi="Arial" w:cs="Arial"/>
          <w:sz w:val="24"/>
        </w:rPr>
        <w:t>cular los Coeficientes de Distribución de las participaciones federales del presente ejercicio fiscal.</w:t>
      </w:r>
    </w:p>
    <w:p w14:paraId="27C72A76" w14:textId="77777777" w:rsidR="00B076A2" w:rsidRDefault="00B076A2" w:rsidP="00B076A2">
      <w:pPr>
        <w:spacing w:after="0" w:line="240" w:lineRule="auto"/>
        <w:jc w:val="both"/>
        <w:rPr>
          <w:rFonts w:ascii="Arial" w:hAnsi="Arial" w:cs="Arial"/>
          <w:sz w:val="24"/>
        </w:rPr>
      </w:pPr>
    </w:p>
    <w:p w14:paraId="1EB4C4CA" w14:textId="77777777" w:rsidR="00B076A2" w:rsidRDefault="00B076A2" w:rsidP="00B076A2">
      <w:pPr>
        <w:spacing w:after="0" w:line="240" w:lineRule="auto"/>
        <w:jc w:val="both"/>
        <w:rPr>
          <w:rFonts w:ascii="Arial" w:hAnsi="Arial" w:cs="Arial"/>
          <w:sz w:val="24"/>
        </w:rPr>
      </w:pPr>
      <w:r>
        <w:rPr>
          <w:rFonts w:ascii="Arial" w:hAnsi="Arial" w:cs="Arial"/>
          <w:sz w:val="24"/>
        </w:rPr>
        <w:t>En complemento de lo anterior, la Secretaría de Hacienda y Crédito Público (SHCP) reconoce a Colima como una de los primeros estados con mayor transparencia de México en el manejo de recursos públicos federales, ello de acuerdo al resultado del segundo trimestre de 2019 en el Índice de la Calidad de la Información de la SHCP.</w:t>
      </w:r>
    </w:p>
    <w:p w14:paraId="17EE3DA5" w14:textId="77777777" w:rsidR="00B076A2" w:rsidRDefault="00B076A2" w:rsidP="00B076A2">
      <w:pPr>
        <w:spacing w:after="0" w:line="240" w:lineRule="auto"/>
        <w:jc w:val="both"/>
        <w:rPr>
          <w:rFonts w:ascii="Arial" w:hAnsi="Arial" w:cs="Arial"/>
          <w:sz w:val="24"/>
        </w:rPr>
      </w:pPr>
    </w:p>
    <w:p w14:paraId="29BFA8A0" w14:textId="77777777" w:rsidR="00B076A2" w:rsidRDefault="00B076A2" w:rsidP="00B076A2">
      <w:pPr>
        <w:spacing w:after="0" w:line="240" w:lineRule="auto"/>
        <w:jc w:val="both"/>
        <w:rPr>
          <w:rFonts w:ascii="Arial" w:hAnsi="Arial" w:cs="Arial"/>
          <w:sz w:val="24"/>
        </w:rPr>
      </w:pPr>
      <w:r>
        <w:rPr>
          <w:rFonts w:ascii="Arial" w:hAnsi="Arial" w:cs="Arial"/>
          <w:sz w:val="24"/>
        </w:rPr>
        <w:t>Ello muestra el nivel de coordinación entre el Gobierno del Estado y otros órdenes de Gobierno en la entidad, así como con las demás instituciones que ejercen y custodian recursos federales, y a su vez, es un elemento preponderante para la gestión extraordinaria de recursos ante la federación.</w:t>
      </w:r>
    </w:p>
    <w:p w14:paraId="38B4D91E" w14:textId="77777777" w:rsidR="00B076A2" w:rsidRDefault="00B076A2" w:rsidP="00B076A2">
      <w:pPr>
        <w:spacing w:after="0" w:line="240" w:lineRule="auto"/>
        <w:jc w:val="both"/>
        <w:rPr>
          <w:rFonts w:ascii="Arial" w:hAnsi="Arial" w:cs="Arial"/>
          <w:sz w:val="24"/>
        </w:rPr>
      </w:pPr>
    </w:p>
    <w:p w14:paraId="0CFA2952" w14:textId="77777777" w:rsidR="00B076A2" w:rsidRDefault="00B076A2" w:rsidP="00B076A2">
      <w:pPr>
        <w:spacing w:after="0" w:line="240" w:lineRule="auto"/>
        <w:jc w:val="both"/>
        <w:rPr>
          <w:rFonts w:ascii="Arial" w:hAnsi="Arial" w:cs="Arial"/>
          <w:sz w:val="24"/>
        </w:rPr>
      </w:pPr>
    </w:p>
    <w:p w14:paraId="740FE4F6" w14:textId="77777777" w:rsidR="00B076A2" w:rsidRDefault="00B076A2" w:rsidP="00B076A2">
      <w:pPr>
        <w:spacing w:after="0" w:line="240" w:lineRule="auto"/>
        <w:jc w:val="both"/>
        <w:rPr>
          <w:rFonts w:ascii="Arial" w:hAnsi="Arial" w:cs="Arial"/>
          <w:sz w:val="24"/>
        </w:rPr>
      </w:pPr>
    </w:p>
    <w:p w14:paraId="20CF97B9" w14:textId="77777777" w:rsidR="00B076A2" w:rsidRDefault="00B076A2" w:rsidP="00B076A2">
      <w:pPr>
        <w:spacing w:after="0" w:line="240" w:lineRule="auto"/>
        <w:jc w:val="both"/>
        <w:rPr>
          <w:rFonts w:ascii="Arial" w:hAnsi="Arial" w:cs="Arial"/>
          <w:sz w:val="24"/>
        </w:rPr>
      </w:pPr>
    </w:p>
    <w:p w14:paraId="56FC4C7A" w14:textId="77777777" w:rsidR="00B076A2" w:rsidRDefault="00B076A2" w:rsidP="00B076A2">
      <w:pPr>
        <w:spacing w:after="0" w:line="240" w:lineRule="auto"/>
        <w:jc w:val="both"/>
        <w:rPr>
          <w:rFonts w:ascii="Arial" w:hAnsi="Arial" w:cs="Arial"/>
          <w:sz w:val="24"/>
        </w:rPr>
      </w:pPr>
    </w:p>
    <w:p w14:paraId="280ECDF9" w14:textId="77777777" w:rsidR="00B076A2" w:rsidRDefault="00B076A2" w:rsidP="00B076A2">
      <w:pPr>
        <w:spacing w:after="0" w:line="240" w:lineRule="auto"/>
        <w:jc w:val="both"/>
        <w:rPr>
          <w:rFonts w:ascii="Arial" w:hAnsi="Arial" w:cs="Arial"/>
          <w:sz w:val="24"/>
        </w:rPr>
      </w:pPr>
    </w:p>
    <w:p w14:paraId="5B008147" w14:textId="77777777" w:rsidR="00B076A2" w:rsidRDefault="00B076A2" w:rsidP="00B076A2">
      <w:pPr>
        <w:spacing w:after="0" w:line="240" w:lineRule="auto"/>
        <w:jc w:val="both"/>
        <w:rPr>
          <w:rFonts w:ascii="Arial" w:hAnsi="Arial" w:cs="Arial"/>
          <w:sz w:val="24"/>
        </w:rPr>
      </w:pPr>
    </w:p>
    <w:p w14:paraId="3D6C66FF" w14:textId="77777777" w:rsidR="00B076A2" w:rsidRDefault="00B076A2" w:rsidP="00B076A2">
      <w:pPr>
        <w:spacing w:after="0" w:line="240" w:lineRule="auto"/>
        <w:jc w:val="both"/>
        <w:rPr>
          <w:rFonts w:ascii="Arial" w:hAnsi="Arial" w:cs="Arial"/>
          <w:sz w:val="24"/>
        </w:rPr>
      </w:pPr>
    </w:p>
    <w:p w14:paraId="02B81530" w14:textId="77777777" w:rsidR="00B076A2" w:rsidRDefault="00B076A2" w:rsidP="00B076A2">
      <w:pPr>
        <w:spacing w:after="0" w:line="240" w:lineRule="auto"/>
        <w:jc w:val="both"/>
        <w:rPr>
          <w:rFonts w:ascii="Arial" w:hAnsi="Arial" w:cs="Arial"/>
          <w:sz w:val="24"/>
        </w:rPr>
      </w:pPr>
    </w:p>
    <w:p w14:paraId="6B119007" w14:textId="77777777" w:rsidR="00B076A2" w:rsidRDefault="00B076A2" w:rsidP="00B076A2">
      <w:pPr>
        <w:spacing w:after="0" w:line="240" w:lineRule="auto"/>
        <w:jc w:val="both"/>
        <w:rPr>
          <w:rFonts w:ascii="Arial" w:hAnsi="Arial" w:cs="Arial"/>
          <w:sz w:val="24"/>
        </w:rPr>
      </w:pPr>
    </w:p>
    <w:p w14:paraId="1BCF423A" w14:textId="77777777" w:rsidR="00B076A2" w:rsidRDefault="00B076A2" w:rsidP="00B076A2">
      <w:pPr>
        <w:spacing w:after="0" w:line="240" w:lineRule="auto"/>
        <w:jc w:val="both"/>
        <w:rPr>
          <w:rFonts w:ascii="Arial" w:hAnsi="Arial" w:cs="Arial"/>
          <w:sz w:val="24"/>
        </w:rPr>
      </w:pPr>
    </w:p>
    <w:p w14:paraId="792C61D7" w14:textId="77777777" w:rsidR="00B076A2" w:rsidRDefault="00B076A2" w:rsidP="00B076A2">
      <w:pPr>
        <w:spacing w:after="0" w:line="240" w:lineRule="auto"/>
        <w:jc w:val="both"/>
        <w:rPr>
          <w:rFonts w:ascii="Arial" w:hAnsi="Arial" w:cs="Arial"/>
          <w:sz w:val="24"/>
        </w:rPr>
      </w:pPr>
    </w:p>
    <w:p w14:paraId="36B26CD7" w14:textId="77777777" w:rsidR="00B076A2" w:rsidRDefault="00B076A2" w:rsidP="00B076A2">
      <w:pPr>
        <w:spacing w:after="0" w:line="240" w:lineRule="auto"/>
        <w:jc w:val="both"/>
        <w:rPr>
          <w:rFonts w:ascii="Arial" w:hAnsi="Arial" w:cs="Arial"/>
          <w:sz w:val="24"/>
        </w:rPr>
      </w:pPr>
    </w:p>
    <w:p w14:paraId="76065822" w14:textId="77777777" w:rsidR="00B076A2" w:rsidRDefault="00B076A2" w:rsidP="00B076A2">
      <w:pPr>
        <w:spacing w:after="0" w:line="240" w:lineRule="auto"/>
        <w:jc w:val="both"/>
        <w:rPr>
          <w:rFonts w:ascii="Arial" w:hAnsi="Arial" w:cs="Arial"/>
          <w:sz w:val="24"/>
        </w:rPr>
      </w:pPr>
    </w:p>
    <w:p w14:paraId="6C6FFCFF" w14:textId="77777777" w:rsidR="00B076A2" w:rsidRDefault="00B076A2" w:rsidP="00B076A2">
      <w:pPr>
        <w:spacing w:after="0" w:line="240" w:lineRule="auto"/>
        <w:jc w:val="both"/>
        <w:rPr>
          <w:rFonts w:ascii="Arial" w:hAnsi="Arial" w:cs="Arial"/>
          <w:sz w:val="24"/>
        </w:rPr>
      </w:pPr>
    </w:p>
    <w:p w14:paraId="1F49AB2A" w14:textId="77777777" w:rsidR="00B076A2" w:rsidRDefault="00B076A2" w:rsidP="00B076A2">
      <w:pPr>
        <w:spacing w:after="0" w:line="240" w:lineRule="auto"/>
        <w:jc w:val="both"/>
        <w:rPr>
          <w:rFonts w:ascii="Arial" w:hAnsi="Arial" w:cs="Arial"/>
          <w:sz w:val="24"/>
        </w:rPr>
      </w:pPr>
    </w:p>
    <w:p w14:paraId="68382CB8" w14:textId="77777777" w:rsidR="00B076A2" w:rsidRDefault="00B076A2" w:rsidP="00B076A2">
      <w:pPr>
        <w:spacing w:after="0" w:line="240" w:lineRule="auto"/>
        <w:jc w:val="both"/>
        <w:rPr>
          <w:rFonts w:ascii="Arial" w:hAnsi="Arial" w:cs="Arial"/>
          <w:sz w:val="24"/>
        </w:rPr>
      </w:pPr>
    </w:p>
    <w:p w14:paraId="4E186D1A" w14:textId="77777777" w:rsidR="00B076A2" w:rsidRDefault="00B076A2" w:rsidP="00B076A2">
      <w:pPr>
        <w:spacing w:after="0" w:line="240" w:lineRule="auto"/>
        <w:jc w:val="both"/>
        <w:rPr>
          <w:rFonts w:ascii="Arial" w:hAnsi="Arial" w:cs="Arial"/>
          <w:sz w:val="24"/>
        </w:rPr>
      </w:pPr>
    </w:p>
    <w:p w14:paraId="1A1E6B9E" w14:textId="77777777" w:rsidR="00B076A2" w:rsidRDefault="00B076A2" w:rsidP="00B076A2">
      <w:pPr>
        <w:spacing w:after="0" w:line="240" w:lineRule="auto"/>
        <w:jc w:val="both"/>
        <w:rPr>
          <w:rFonts w:ascii="Arial" w:hAnsi="Arial" w:cs="Arial"/>
          <w:sz w:val="24"/>
        </w:rPr>
      </w:pPr>
    </w:p>
    <w:p w14:paraId="1C1358D4" w14:textId="77777777" w:rsidR="00B076A2" w:rsidRDefault="00B076A2" w:rsidP="00B076A2">
      <w:pPr>
        <w:spacing w:after="0" w:line="240" w:lineRule="auto"/>
        <w:jc w:val="both"/>
        <w:rPr>
          <w:rFonts w:ascii="Arial" w:hAnsi="Arial" w:cs="Arial"/>
          <w:sz w:val="24"/>
        </w:rPr>
      </w:pPr>
    </w:p>
    <w:p w14:paraId="2D437AFC" w14:textId="77777777" w:rsidR="00B076A2" w:rsidRDefault="00B076A2" w:rsidP="00B076A2">
      <w:pPr>
        <w:spacing w:after="0" w:line="240" w:lineRule="auto"/>
        <w:jc w:val="both"/>
        <w:rPr>
          <w:rFonts w:ascii="Arial" w:hAnsi="Arial" w:cs="Arial"/>
          <w:sz w:val="24"/>
        </w:rPr>
      </w:pPr>
    </w:p>
    <w:p w14:paraId="10D1D158" w14:textId="77777777" w:rsidR="00B076A2" w:rsidRDefault="00B076A2" w:rsidP="00B076A2">
      <w:pPr>
        <w:spacing w:after="0" w:line="240" w:lineRule="auto"/>
        <w:jc w:val="both"/>
        <w:rPr>
          <w:rFonts w:ascii="Arial" w:hAnsi="Arial" w:cs="Arial"/>
          <w:sz w:val="24"/>
        </w:rPr>
      </w:pPr>
    </w:p>
    <w:p w14:paraId="5C58CE7F" w14:textId="77777777" w:rsidR="00B076A2" w:rsidRDefault="00B076A2" w:rsidP="00B076A2">
      <w:pPr>
        <w:spacing w:after="0" w:line="240" w:lineRule="auto"/>
        <w:jc w:val="both"/>
        <w:rPr>
          <w:rFonts w:ascii="Arial" w:hAnsi="Arial" w:cs="Arial"/>
          <w:sz w:val="24"/>
        </w:rPr>
      </w:pPr>
    </w:p>
    <w:p w14:paraId="55F6BA73" w14:textId="77777777" w:rsidR="00B076A2" w:rsidRDefault="00B076A2" w:rsidP="00B076A2">
      <w:pPr>
        <w:spacing w:after="0" w:line="240" w:lineRule="auto"/>
        <w:jc w:val="both"/>
        <w:rPr>
          <w:rFonts w:ascii="Arial" w:hAnsi="Arial" w:cs="Arial"/>
          <w:sz w:val="24"/>
        </w:rPr>
      </w:pPr>
    </w:p>
    <w:p w14:paraId="755B9F39" w14:textId="77777777" w:rsidR="00B076A2" w:rsidRDefault="00B076A2" w:rsidP="00B076A2">
      <w:pPr>
        <w:spacing w:after="0" w:line="240" w:lineRule="auto"/>
        <w:jc w:val="both"/>
        <w:rPr>
          <w:rFonts w:ascii="Arial" w:hAnsi="Arial" w:cs="Arial"/>
          <w:sz w:val="24"/>
        </w:rPr>
      </w:pPr>
    </w:p>
    <w:p w14:paraId="56F8388E" w14:textId="77777777" w:rsidR="00B076A2" w:rsidRPr="00517EDE" w:rsidRDefault="00B076A2" w:rsidP="00B076A2">
      <w:pPr>
        <w:spacing w:after="0" w:line="240" w:lineRule="auto"/>
        <w:jc w:val="both"/>
        <w:rPr>
          <w:rFonts w:ascii="Arial" w:hAnsi="Arial" w:cs="Arial"/>
          <w:b/>
          <w:i/>
          <w:sz w:val="24"/>
        </w:rPr>
      </w:pPr>
      <w:r w:rsidRPr="00517EDE">
        <w:rPr>
          <w:rFonts w:ascii="Arial" w:hAnsi="Arial" w:cs="Arial"/>
          <w:b/>
          <w:i/>
          <w:sz w:val="24"/>
        </w:rPr>
        <w:lastRenderedPageBreak/>
        <w:t>Sistema de Alertas</w:t>
      </w:r>
    </w:p>
    <w:p w14:paraId="0B9E7A54" w14:textId="77777777" w:rsidR="00B076A2" w:rsidRDefault="00B076A2" w:rsidP="00B076A2">
      <w:pPr>
        <w:spacing w:after="0" w:line="240" w:lineRule="auto"/>
        <w:jc w:val="both"/>
        <w:rPr>
          <w:rFonts w:ascii="Arial" w:hAnsi="Arial" w:cs="Arial"/>
          <w:sz w:val="24"/>
        </w:rPr>
      </w:pPr>
    </w:p>
    <w:p w14:paraId="59C79AB7" w14:textId="77777777" w:rsidR="00B076A2" w:rsidRDefault="00B076A2" w:rsidP="00B076A2">
      <w:pPr>
        <w:spacing w:after="0" w:line="240" w:lineRule="auto"/>
        <w:jc w:val="both"/>
        <w:rPr>
          <w:rFonts w:ascii="Arial" w:hAnsi="Arial" w:cs="Arial"/>
          <w:sz w:val="24"/>
        </w:rPr>
      </w:pPr>
      <w:r>
        <w:rPr>
          <w:rFonts w:ascii="Arial" w:hAnsi="Arial" w:cs="Arial"/>
          <w:sz w:val="24"/>
        </w:rPr>
        <w:t>Desde 2017, con la primera revisión de la Cuenta Pública del Estado de Colima del Ejercicio Fiscal 2016, se obtuvo un resultado en el nivel de endeudamiento sostenible, mismo que se ha mantenido hasta la evaluación del segundo trimestre del 2020, correspondiente a la última publicación registrada por parte de la SHCP, estos indicadores acreditan una gestión responsable de los recursos públicos y el saneamiento de las finanzas estatales desde 2016, al mantener constantes los indicadores de deuda pública, servicios de la deuda y obligaciones a corto plazo.</w:t>
      </w:r>
    </w:p>
    <w:p w14:paraId="59875325" w14:textId="77777777" w:rsidR="00B076A2" w:rsidRDefault="00B076A2" w:rsidP="00B076A2">
      <w:pPr>
        <w:spacing w:after="0" w:line="240" w:lineRule="auto"/>
        <w:jc w:val="both"/>
        <w:rPr>
          <w:rFonts w:ascii="Arial" w:hAnsi="Arial" w:cs="Arial"/>
          <w:sz w:val="24"/>
        </w:rPr>
      </w:pPr>
    </w:p>
    <w:p w14:paraId="378D852A" w14:textId="77777777" w:rsidR="00B076A2" w:rsidRDefault="00B076A2" w:rsidP="00B076A2">
      <w:pPr>
        <w:spacing w:after="0" w:line="240" w:lineRule="auto"/>
        <w:jc w:val="both"/>
        <w:rPr>
          <w:rFonts w:ascii="Arial" w:hAnsi="Arial" w:cs="Arial"/>
          <w:sz w:val="24"/>
        </w:rPr>
      </w:pPr>
      <w:r>
        <w:rPr>
          <w:rFonts w:ascii="Arial" w:hAnsi="Arial" w:cs="Arial"/>
          <w:sz w:val="24"/>
        </w:rPr>
        <w:t>Dicha calificación es relevante pero sobre todo vinculante, pues determina el uso que se le dará a los ingresos excedentes y a su vez determina el techo de financiamiento neto al que puede acceder la Administración Pública Estatal.</w:t>
      </w:r>
    </w:p>
    <w:p w14:paraId="4B3A641D" w14:textId="77777777" w:rsidR="00B076A2" w:rsidRDefault="00B076A2" w:rsidP="00B076A2">
      <w:pPr>
        <w:spacing w:after="0" w:line="240" w:lineRule="auto"/>
        <w:jc w:val="both"/>
        <w:rPr>
          <w:rFonts w:ascii="Arial" w:hAnsi="Arial" w:cs="Arial"/>
          <w:sz w:val="24"/>
        </w:rPr>
      </w:pPr>
    </w:p>
    <w:p w14:paraId="1A1F8DCB" w14:textId="77777777" w:rsidR="00B076A2" w:rsidRDefault="00B076A2" w:rsidP="00B076A2">
      <w:pPr>
        <w:spacing w:after="0" w:line="240" w:lineRule="auto"/>
        <w:jc w:val="both"/>
        <w:rPr>
          <w:rFonts w:ascii="Arial" w:hAnsi="Arial" w:cs="Arial"/>
          <w:sz w:val="24"/>
        </w:rPr>
      </w:pPr>
      <w:r>
        <w:rPr>
          <w:rFonts w:ascii="Arial" w:hAnsi="Arial" w:cs="Arial"/>
          <w:sz w:val="24"/>
        </w:rPr>
        <w:t>Es pertinente precisar que de acuerdo a lo previsto en el artículo 45 de la Ley de Disciplina Financiera de las Entidades Federativas y los Municipios, el Sistema de Alertas se clasifica en tres niveles: endeudamiento sostenible, endeudamiento en observación y endeudamiento elevado.</w:t>
      </w:r>
    </w:p>
    <w:p w14:paraId="478F75BE" w14:textId="77777777" w:rsidR="00B076A2" w:rsidRDefault="00B076A2" w:rsidP="00B076A2">
      <w:pPr>
        <w:spacing w:after="0" w:line="240" w:lineRule="auto"/>
        <w:jc w:val="both"/>
        <w:rPr>
          <w:rFonts w:ascii="Arial" w:hAnsi="Arial" w:cs="Arial"/>
          <w:sz w:val="24"/>
        </w:rPr>
      </w:pPr>
    </w:p>
    <w:p w14:paraId="65A4E16C" w14:textId="77777777" w:rsidR="00B076A2" w:rsidRDefault="00B076A2" w:rsidP="00B076A2">
      <w:pPr>
        <w:spacing w:after="0" w:line="240" w:lineRule="auto"/>
        <w:jc w:val="both"/>
        <w:rPr>
          <w:rFonts w:ascii="Arial" w:hAnsi="Arial" w:cs="Arial"/>
          <w:sz w:val="24"/>
        </w:rPr>
      </w:pPr>
      <w:r>
        <w:rPr>
          <w:rFonts w:ascii="Arial" w:hAnsi="Arial" w:cs="Arial"/>
          <w:sz w:val="24"/>
        </w:rPr>
        <w:t>Ampliando lo anterior, el mencionado Sistema, que mide el nivel de endeudamiento de los Entes Públicos que tengan contratados financiamientos y obligaciones, y que estos se encuentren inscritos en el Registro Público Único, por medio de la Ley de Disciplina Financiera de las Entidades Federativas y los Municipios, establece tres indicadores de corto y largo plazo para realizar la medición: (1) Deuda Pública y Obligaciones sobre Ingresos de Libre Disposición, (2) Servicio de la Deuda y de Obligaciones sobre Ingresos de Libre Disposición y (3) Obligaciones a Corto Plazo y Proveedores y Contratistas sobre Ingresos Totales.</w:t>
      </w:r>
    </w:p>
    <w:p w14:paraId="0168DF8E" w14:textId="77777777" w:rsidR="00B076A2" w:rsidRDefault="00B076A2" w:rsidP="00B076A2">
      <w:pPr>
        <w:spacing w:after="0" w:line="240" w:lineRule="auto"/>
        <w:jc w:val="both"/>
        <w:rPr>
          <w:rFonts w:ascii="Arial" w:hAnsi="Arial" w:cs="Arial"/>
          <w:sz w:val="24"/>
        </w:rPr>
      </w:pPr>
    </w:p>
    <w:p w14:paraId="2F54EC9B" w14:textId="77777777" w:rsidR="00B076A2" w:rsidRDefault="00B076A2" w:rsidP="00B076A2">
      <w:pPr>
        <w:spacing w:after="0" w:line="240" w:lineRule="auto"/>
        <w:jc w:val="both"/>
        <w:rPr>
          <w:rFonts w:ascii="Arial" w:hAnsi="Arial" w:cs="Arial"/>
          <w:sz w:val="24"/>
        </w:rPr>
      </w:pPr>
      <w:r>
        <w:rPr>
          <w:rFonts w:ascii="Arial" w:hAnsi="Arial" w:cs="Arial"/>
          <w:sz w:val="24"/>
        </w:rPr>
        <w:t>A continuación se muestra los resultados al segundo trimestre de 2020 del Sistema de Alertas:</w:t>
      </w:r>
    </w:p>
    <w:p w14:paraId="6805BB9E" w14:textId="77777777" w:rsidR="00B076A2" w:rsidRDefault="00B076A2" w:rsidP="00B076A2">
      <w:pPr>
        <w:spacing w:after="0" w:line="240" w:lineRule="auto"/>
        <w:jc w:val="both"/>
        <w:rPr>
          <w:rFonts w:ascii="Arial" w:hAnsi="Arial" w:cs="Arial"/>
          <w:sz w:val="24"/>
        </w:rPr>
      </w:pPr>
    </w:p>
    <w:p w14:paraId="3EFB826A" w14:textId="77777777" w:rsidR="00B076A2" w:rsidRDefault="00B076A2" w:rsidP="00B076A2">
      <w:pPr>
        <w:spacing w:after="0" w:line="240" w:lineRule="auto"/>
        <w:jc w:val="both"/>
        <w:rPr>
          <w:rFonts w:ascii="Arial" w:hAnsi="Arial" w:cs="Arial"/>
          <w:sz w:val="24"/>
        </w:rPr>
      </w:pPr>
      <w:r w:rsidRPr="00796DB7">
        <w:rPr>
          <w:noProof/>
        </w:rPr>
        <w:lastRenderedPageBreak/>
        <w:drawing>
          <wp:inline distT="0" distB="0" distL="0" distR="0" wp14:anchorId="4E36E2FF" wp14:editId="2AAF3903">
            <wp:extent cx="5399600" cy="5445456"/>
            <wp:effectExtent l="0" t="0" r="0" b="317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01667" cy="5447540"/>
                    </a:xfrm>
                    <a:prstGeom prst="rect">
                      <a:avLst/>
                    </a:prstGeom>
                    <a:noFill/>
                    <a:ln>
                      <a:noFill/>
                    </a:ln>
                  </pic:spPr>
                </pic:pic>
              </a:graphicData>
            </a:graphic>
          </wp:inline>
        </w:drawing>
      </w:r>
    </w:p>
    <w:p w14:paraId="51C6EEC7" w14:textId="77777777" w:rsidR="00B076A2" w:rsidRDefault="00B076A2" w:rsidP="00B076A2">
      <w:pPr>
        <w:spacing w:after="0" w:line="240" w:lineRule="auto"/>
        <w:jc w:val="both"/>
        <w:rPr>
          <w:rFonts w:ascii="Arial" w:hAnsi="Arial" w:cs="Arial"/>
          <w:sz w:val="24"/>
        </w:rPr>
      </w:pPr>
    </w:p>
    <w:p w14:paraId="57C33311" w14:textId="77777777" w:rsidR="00B076A2" w:rsidRDefault="00B076A2" w:rsidP="00B076A2">
      <w:pPr>
        <w:spacing w:after="0" w:line="240" w:lineRule="auto"/>
        <w:jc w:val="both"/>
        <w:rPr>
          <w:rFonts w:ascii="Arial" w:hAnsi="Arial" w:cs="Arial"/>
          <w:sz w:val="24"/>
        </w:rPr>
      </w:pPr>
    </w:p>
    <w:p w14:paraId="768AE6CB" w14:textId="77777777" w:rsidR="00B076A2" w:rsidRDefault="00B076A2" w:rsidP="00B076A2">
      <w:pPr>
        <w:spacing w:after="0" w:line="240" w:lineRule="auto"/>
        <w:jc w:val="both"/>
        <w:rPr>
          <w:rFonts w:ascii="Arial" w:hAnsi="Arial" w:cs="Arial"/>
          <w:sz w:val="24"/>
        </w:rPr>
      </w:pPr>
    </w:p>
    <w:p w14:paraId="49C4EEDC" w14:textId="77777777" w:rsidR="00B076A2" w:rsidRDefault="00B076A2" w:rsidP="00B076A2">
      <w:pPr>
        <w:spacing w:after="0" w:line="240" w:lineRule="auto"/>
        <w:jc w:val="both"/>
        <w:rPr>
          <w:rFonts w:ascii="Arial" w:hAnsi="Arial" w:cs="Arial"/>
          <w:sz w:val="24"/>
        </w:rPr>
      </w:pPr>
    </w:p>
    <w:p w14:paraId="230C442B" w14:textId="77777777" w:rsidR="00B076A2" w:rsidRDefault="00B076A2" w:rsidP="00B076A2">
      <w:pPr>
        <w:spacing w:after="0" w:line="240" w:lineRule="auto"/>
        <w:jc w:val="both"/>
        <w:rPr>
          <w:rFonts w:ascii="Arial" w:hAnsi="Arial" w:cs="Arial"/>
          <w:sz w:val="24"/>
        </w:rPr>
      </w:pPr>
    </w:p>
    <w:p w14:paraId="289FDBB9" w14:textId="77777777" w:rsidR="00B076A2" w:rsidRDefault="00B076A2" w:rsidP="00B076A2">
      <w:pPr>
        <w:spacing w:after="0" w:line="240" w:lineRule="auto"/>
        <w:jc w:val="both"/>
        <w:rPr>
          <w:rFonts w:ascii="Arial" w:hAnsi="Arial" w:cs="Arial"/>
          <w:sz w:val="24"/>
        </w:rPr>
      </w:pPr>
    </w:p>
    <w:p w14:paraId="17BD013B" w14:textId="77777777" w:rsidR="00B076A2" w:rsidRDefault="00B076A2" w:rsidP="00B076A2">
      <w:pPr>
        <w:spacing w:after="0" w:line="240" w:lineRule="auto"/>
        <w:jc w:val="both"/>
        <w:rPr>
          <w:rFonts w:ascii="Arial" w:hAnsi="Arial" w:cs="Arial"/>
          <w:sz w:val="24"/>
        </w:rPr>
      </w:pPr>
    </w:p>
    <w:p w14:paraId="48E4F0AD" w14:textId="77777777" w:rsidR="00B076A2" w:rsidRDefault="00B076A2" w:rsidP="00B076A2">
      <w:pPr>
        <w:spacing w:after="0" w:line="240" w:lineRule="auto"/>
        <w:jc w:val="both"/>
        <w:rPr>
          <w:rFonts w:ascii="Arial" w:hAnsi="Arial" w:cs="Arial"/>
          <w:sz w:val="24"/>
        </w:rPr>
      </w:pPr>
    </w:p>
    <w:p w14:paraId="11F1F830" w14:textId="77777777" w:rsidR="00B076A2" w:rsidRDefault="00B076A2" w:rsidP="00B076A2">
      <w:pPr>
        <w:spacing w:after="0" w:line="240" w:lineRule="auto"/>
        <w:jc w:val="both"/>
        <w:rPr>
          <w:rFonts w:ascii="Arial" w:hAnsi="Arial" w:cs="Arial"/>
          <w:sz w:val="24"/>
        </w:rPr>
      </w:pPr>
    </w:p>
    <w:p w14:paraId="0ACB0D07" w14:textId="77777777" w:rsidR="00B076A2" w:rsidRPr="00517EDE" w:rsidRDefault="00B076A2" w:rsidP="00B076A2">
      <w:pPr>
        <w:spacing w:after="0" w:line="240" w:lineRule="auto"/>
        <w:jc w:val="both"/>
        <w:rPr>
          <w:rFonts w:ascii="Arial" w:hAnsi="Arial" w:cs="Arial"/>
          <w:b/>
          <w:i/>
          <w:sz w:val="24"/>
        </w:rPr>
      </w:pPr>
      <w:r w:rsidRPr="00517EDE">
        <w:rPr>
          <w:rFonts w:ascii="Arial" w:hAnsi="Arial" w:cs="Arial"/>
          <w:b/>
          <w:i/>
          <w:sz w:val="24"/>
        </w:rPr>
        <w:lastRenderedPageBreak/>
        <w:t>Egresos</w:t>
      </w:r>
    </w:p>
    <w:p w14:paraId="2ABF72E0" w14:textId="77777777" w:rsidR="00B076A2" w:rsidRDefault="00B076A2" w:rsidP="00B076A2">
      <w:pPr>
        <w:spacing w:after="0" w:line="240" w:lineRule="auto"/>
        <w:jc w:val="both"/>
        <w:rPr>
          <w:rFonts w:ascii="Arial" w:hAnsi="Arial" w:cs="Arial"/>
          <w:sz w:val="24"/>
        </w:rPr>
      </w:pPr>
    </w:p>
    <w:p w14:paraId="0DA6D119" w14:textId="77777777" w:rsidR="00B076A2" w:rsidRPr="003A5E84" w:rsidRDefault="00B076A2" w:rsidP="00B076A2">
      <w:pPr>
        <w:spacing w:after="0" w:line="240" w:lineRule="auto"/>
        <w:jc w:val="both"/>
        <w:rPr>
          <w:rFonts w:ascii="Arial" w:hAnsi="Arial" w:cs="Arial"/>
          <w:sz w:val="24"/>
        </w:rPr>
      </w:pPr>
      <w:r w:rsidRPr="003A5E84">
        <w:rPr>
          <w:rFonts w:ascii="Arial" w:hAnsi="Arial" w:cs="Arial"/>
          <w:sz w:val="24"/>
        </w:rPr>
        <w:t>En el periodo de 2015 a 2020 los egresos totales registraron un crecimiento de 15 por ciento, cifra menor en 6 puntos porcentuales que el crecimiento de los ingresos en el mismo lapso. Dicha tendencia tanto de ingresos como de egresos muestra un manejo responsable en materia de finanzas públicas, pues los egresos crecen en menor cuantía que los ingresos.</w:t>
      </w:r>
    </w:p>
    <w:p w14:paraId="53B057C4" w14:textId="77777777" w:rsidR="00B076A2" w:rsidRPr="003A5E84" w:rsidRDefault="00B076A2" w:rsidP="00B076A2">
      <w:pPr>
        <w:spacing w:after="0" w:line="240" w:lineRule="auto"/>
        <w:jc w:val="both"/>
        <w:rPr>
          <w:rFonts w:ascii="Arial" w:hAnsi="Arial" w:cs="Arial"/>
          <w:sz w:val="24"/>
        </w:rPr>
      </w:pPr>
    </w:p>
    <w:p w14:paraId="2F23D013" w14:textId="77777777" w:rsidR="00B076A2" w:rsidRPr="003A5E84" w:rsidRDefault="00B076A2" w:rsidP="00B076A2">
      <w:pPr>
        <w:spacing w:after="0" w:line="240" w:lineRule="auto"/>
        <w:jc w:val="both"/>
        <w:rPr>
          <w:rFonts w:ascii="Arial" w:hAnsi="Arial" w:cs="Arial"/>
          <w:sz w:val="24"/>
        </w:rPr>
      </w:pPr>
      <w:r w:rsidRPr="003A5E84">
        <w:rPr>
          <w:rFonts w:ascii="Arial" w:hAnsi="Arial" w:cs="Arial"/>
          <w:sz w:val="24"/>
        </w:rPr>
        <w:t>En el periodo que se reporta, el Gasto Etiquetado se ha contraído en un 2 por ciento y el No Etiquetado creció en, aproximadamente, 39 por ciento, la tendencia de gasto corrobora la importancia de las transferencias federales etiquetadas para el funcionamiento del aparato gubernamental, pero también gradualmente va reflejando el fortalecimiento del Gasto No Etiquetado impulsado en gran medida por la mejora en la captación de Ingresos de Libre Disposición.</w:t>
      </w:r>
    </w:p>
    <w:p w14:paraId="0BF22287" w14:textId="77777777" w:rsidR="00B076A2" w:rsidRPr="003A5E84" w:rsidRDefault="00B076A2" w:rsidP="00B076A2">
      <w:pPr>
        <w:spacing w:after="0" w:line="240" w:lineRule="auto"/>
        <w:jc w:val="both"/>
        <w:rPr>
          <w:rFonts w:ascii="Arial" w:hAnsi="Arial" w:cs="Arial"/>
          <w:sz w:val="24"/>
        </w:rPr>
      </w:pPr>
    </w:p>
    <w:p w14:paraId="63233C4E" w14:textId="77777777" w:rsidR="00B076A2" w:rsidRDefault="00B076A2" w:rsidP="00B076A2">
      <w:pPr>
        <w:spacing w:after="0" w:line="240" w:lineRule="auto"/>
        <w:jc w:val="both"/>
        <w:rPr>
          <w:rFonts w:ascii="Arial" w:hAnsi="Arial" w:cs="Arial"/>
          <w:sz w:val="24"/>
        </w:rPr>
      </w:pPr>
      <w:r w:rsidRPr="003A5E84">
        <w:rPr>
          <w:rFonts w:ascii="Arial" w:hAnsi="Arial" w:cs="Arial"/>
          <w:sz w:val="24"/>
        </w:rPr>
        <w:t>Al cierre estimado de 2020 se observa que el gasto etiquetado disminuye a niveles del año 2015, principalmente por reducciones de convenios con la federación y menores transferencias etiquetadas para inversión pública, mientras que las participaciones y aportaciones del tipo no etiquetadas para municipios crecen en un 31 por ciento en el periodo de 2015 a 2020.</w:t>
      </w:r>
    </w:p>
    <w:p w14:paraId="59CD5D11" w14:textId="77777777" w:rsidR="00B076A2" w:rsidRDefault="00B076A2" w:rsidP="00B076A2">
      <w:pPr>
        <w:spacing w:after="0" w:line="240" w:lineRule="auto"/>
        <w:jc w:val="both"/>
        <w:rPr>
          <w:rFonts w:ascii="Arial" w:hAnsi="Arial" w:cs="Arial"/>
          <w:sz w:val="24"/>
        </w:rPr>
      </w:pPr>
    </w:p>
    <w:p w14:paraId="3678421F" w14:textId="77777777" w:rsidR="00B076A2" w:rsidRDefault="00B076A2" w:rsidP="00B076A2">
      <w:pPr>
        <w:spacing w:after="0" w:line="240" w:lineRule="auto"/>
        <w:jc w:val="both"/>
        <w:rPr>
          <w:rFonts w:ascii="Arial" w:hAnsi="Arial" w:cs="Arial"/>
          <w:sz w:val="24"/>
        </w:rPr>
      </w:pPr>
      <w:r w:rsidRPr="00966661">
        <w:rPr>
          <w:rFonts w:ascii="Arial" w:hAnsi="Arial" w:cs="Arial"/>
          <w:noProof/>
        </w:rPr>
        <w:drawing>
          <wp:inline distT="0" distB="0" distL="0" distR="0" wp14:anchorId="1F2B02E8" wp14:editId="501B3773">
            <wp:extent cx="5400040" cy="3065742"/>
            <wp:effectExtent l="0" t="0" r="0" b="190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00040" cy="3065742"/>
                    </a:xfrm>
                    <a:prstGeom prst="rect">
                      <a:avLst/>
                    </a:prstGeom>
                    <a:noFill/>
                    <a:ln>
                      <a:noFill/>
                    </a:ln>
                  </pic:spPr>
                </pic:pic>
              </a:graphicData>
            </a:graphic>
          </wp:inline>
        </w:drawing>
      </w:r>
    </w:p>
    <w:p w14:paraId="3E8D7D26" w14:textId="77777777" w:rsidR="00B076A2" w:rsidRDefault="00B076A2" w:rsidP="00B076A2">
      <w:pPr>
        <w:spacing w:after="0" w:line="240" w:lineRule="auto"/>
        <w:jc w:val="both"/>
        <w:rPr>
          <w:rFonts w:ascii="Arial" w:hAnsi="Arial" w:cs="Arial"/>
          <w:sz w:val="24"/>
        </w:rPr>
      </w:pPr>
    </w:p>
    <w:p w14:paraId="5506E522" w14:textId="77777777" w:rsidR="00B076A2" w:rsidRDefault="00B076A2" w:rsidP="00B076A2">
      <w:pPr>
        <w:spacing w:after="0" w:line="240" w:lineRule="auto"/>
        <w:jc w:val="both"/>
        <w:rPr>
          <w:rFonts w:ascii="Arial" w:hAnsi="Arial" w:cs="Arial"/>
          <w:sz w:val="24"/>
        </w:rPr>
      </w:pPr>
      <w:r w:rsidRPr="00C0465B">
        <w:rPr>
          <w:rFonts w:ascii="Arial" w:hAnsi="Arial" w:cs="Arial"/>
          <w:sz w:val="24"/>
        </w:rPr>
        <w:lastRenderedPageBreak/>
        <w:t>La política de gasto que rige en la presente administración se finca en premisas de</w:t>
      </w:r>
      <w:r>
        <w:rPr>
          <w:rFonts w:ascii="Arial" w:hAnsi="Arial" w:cs="Arial"/>
          <w:sz w:val="24"/>
        </w:rPr>
        <w:t xml:space="preserve"> </w:t>
      </w:r>
      <w:r w:rsidRPr="00C0465B">
        <w:rPr>
          <w:rFonts w:ascii="Arial" w:hAnsi="Arial" w:cs="Arial"/>
          <w:sz w:val="24"/>
        </w:rPr>
        <w:t>responsabilidad hacendaria y financiera para apuntalar un manejo sostenible de las</w:t>
      </w:r>
      <w:r>
        <w:rPr>
          <w:rFonts w:ascii="Arial" w:hAnsi="Arial" w:cs="Arial"/>
          <w:sz w:val="24"/>
        </w:rPr>
        <w:t xml:space="preserve"> </w:t>
      </w:r>
      <w:r w:rsidRPr="00C0465B">
        <w:rPr>
          <w:rFonts w:ascii="Arial" w:hAnsi="Arial" w:cs="Arial"/>
          <w:sz w:val="24"/>
        </w:rPr>
        <w:t>finanzas públicas.</w:t>
      </w:r>
      <w:r>
        <w:rPr>
          <w:rFonts w:ascii="Arial" w:hAnsi="Arial" w:cs="Arial"/>
          <w:sz w:val="24"/>
        </w:rPr>
        <w:t xml:space="preserve"> </w:t>
      </w:r>
    </w:p>
    <w:p w14:paraId="04912A63" w14:textId="77777777" w:rsidR="00B076A2" w:rsidRDefault="00B076A2" w:rsidP="00B076A2">
      <w:pPr>
        <w:spacing w:after="0" w:line="240" w:lineRule="auto"/>
        <w:jc w:val="both"/>
        <w:rPr>
          <w:rFonts w:ascii="Arial" w:hAnsi="Arial" w:cs="Arial"/>
          <w:sz w:val="24"/>
        </w:rPr>
      </w:pPr>
    </w:p>
    <w:p w14:paraId="5013D40F" w14:textId="77777777" w:rsidR="00B076A2" w:rsidRDefault="00B076A2" w:rsidP="00B076A2">
      <w:pPr>
        <w:spacing w:after="0" w:line="240" w:lineRule="auto"/>
        <w:jc w:val="both"/>
        <w:rPr>
          <w:rFonts w:ascii="Arial" w:hAnsi="Arial" w:cs="Arial"/>
          <w:sz w:val="24"/>
        </w:rPr>
      </w:pPr>
      <w:r w:rsidRPr="00C0465B">
        <w:rPr>
          <w:rFonts w:ascii="Arial" w:hAnsi="Arial" w:cs="Arial"/>
          <w:sz w:val="24"/>
        </w:rPr>
        <w:t>En el marco de la Gestión Pública para Resultados (GPR), se han redoblado los</w:t>
      </w:r>
      <w:r>
        <w:rPr>
          <w:rFonts w:ascii="Arial" w:hAnsi="Arial" w:cs="Arial"/>
          <w:sz w:val="24"/>
        </w:rPr>
        <w:t xml:space="preserve"> </w:t>
      </w:r>
      <w:r w:rsidRPr="00C0465B">
        <w:rPr>
          <w:rFonts w:ascii="Arial" w:hAnsi="Arial" w:cs="Arial"/>
          <w:sz w:val="24"/>
        </w:rPr>
        <w:t>esfuerzos para fortalecer el Presupuesto basado en Resultados (PbR) y el Sistema</w:t>
      </w:r>
      <w:r>
        <w:rPr>
          <w:rFonts w:ascii="Arial" w:hAnsi="Arial" w:cs="Arial"/>
          <w:sz w:val="24"/>
        </w:rPr>
        <w:t xml:space="preserve"> </w:t>
      </w:r>
      <w:r w:rsidRPr="00C0465B">
        <w:rPr>
          <w:rFonts w:ascii="Arial" w:hAnsi="Arial" w:cs="Arial"/>
          <w:sz w:val="24"/>
        </w:rPr>
        <w:t>de Evaluación del Desempeño (SED). El PbR como instrumento metodológico y</w:t>
      </w:r>
      <w:r>
        <w:rPr>
          <w:rFonts w:ascii="Arial" w:hAnsi="Arial" w:cs="Arial"/>
          <w:sz w:val="24"/>
        </w:rPr>
        <w:t xml:space="preserve"> </w:t>
      </w:r>
      <w:r w:rsidRPr="00C0465B">
        <w:rPr>
          <w:rFonts w:ascii="Arial" w:hAnsi="Arial" w:cs="Arial"/>
          <w:sz w:val="24"/>
        </w:rPr>
        <w:t xml:space="preserve">modelo de cultura organizacional, </w:t>
      </w:r>
      <w:r>
        <w:rPr>
          <w:rFonts w:ascii="Arial" w:hAnsi="Arial" w:cs="Arial"/>
          <w:sz w:val="24"/>
        </w:rPr>
        <w:t xml:space="preserve">que </w:t>
      </w:r>
      <w:r w:rsidRPr="00C0465B">
        <w:rPr>
          <w:rFonts w:ascii="Arial" w:hAnsi="Arial" w:cs="Arial"/>
          <w:sz w:val="24"/>
        </w:rPr>
        <w:t>tiene como objetivo que los recursos públicos se</w:t>
      </w:r>
      <w:r>
        <w:rPr>
          <w:rFonts w:ascii="Arial" w:hAnsi="Arial" w:cs="Arial"/>
          <w:sz w:val="24"/>
        </w:rPr>
        <w:t xml:space="preserve"> </w:t>
      </w:r>
      <w:r w:rsidRPr="00C0465B">
        <w:rPr>
          <w:rFonts w:ascii="Arial" w:hAnsi="Arial" w:cs="Arial"/>
          <w:sz w:val="24"/>
        </w:rPr>
        <w:t>asignen prioritariamente a los programas que generan más beneficios a la población</w:t>
      </w:r>
      <w:r>
        <w:rPr>
          <w:rFonts w:ascii="Arial" w:hAnsi="Arial" w:cs="Arial"/>
          <w:sz w:val="24"/>
        </w:rPr>
        <w:t xml:space="preserve"> </w:t>
      </w:r>
      <w:r w:rsidRPr="00C0465B">
        <w:rPr>
          <w:rFonts w:ascii="Arial" w:hAnsi="Arial" w:cs="Arial"/>
          <w:sz w:val="24"/>
        </w:rPr>
        <w:t>y que se corrija el diseño de aquellos que no están funcionando correctamente.</w:t>
      </w:r>
    </w:p>
    <w:p w14:paraId="23BB10DA" w14:textId="77777777" w:rsidR="00B076A2" w:rsidRDefault="00B076A2" w:rsidP="00B076A2">
      <w:pPr>
        <w:spacing w:after="0" w:line="240" w:lineRule="auto"/>
        <w:jc w:val="both"/>
        <w:rPr>
          <w:rFonts w:ascii="Arial" w:hAnsi="Arial" w:cs="Arial"/>
          <w:sz w:val="24"/>
        </w:rPr>
      </w:pPr>
    </w:p>
    <w:p w14:paraId="5A824705" w14:textId="77777777" w:rsidR="00B076A2" w:rsidRDefault="00B076A2" w:rsidP="00B076A2">
      <w:pPr>
        <w:spacing w:after="0" w:line="240" w:lineRule="auto"/>
        <w:jc w:val="both"/>
        <w:rPr>
          <w:rFonts w:ascii="Arial" w:hAnsi="Arial" w:cs="Arial"/>
          <w:sz w:val="24"/>
        </w:rPr>
      </w:pPr>
      <w:r w:rsidRPr="00C0465B">
        <w:rPr>
          <w:rFonts w:ascii="Arial" w:hAnsi="Arial" w:cs="Arial"/>
          <w:sz w:val="24"/>
        </w:rPr>
        <w:t>Regidos por el principio de buen gobierno establecido en el Plan Estatal de</w:t>
      </w:r>
      <w:r>
        <w:rPr>
          <w:rFonts w:ascii="Arial" w:hAnsi="Arial" w:cs="Arial"/>
          <w:sz w:val="24"/>
        </w:rPr>
        <w:t xml:space="preserve"> Desarrollo, continuaremos</w:t>
      </w:r>
      <w:r w:rsidRPr="00C0465B">
        <w:rPr>
          <w:rFonts w:ascii="Arial" w:hAnsi="Arial" w:cs="Arial"/>
          <w:sz w:val="24"/>
        </w:rPr>
        <w:t xml:space="preserve"> impulsando el fortalecimiento de las finanzas públicas del</w:t>
      </w:r>
      <w:r>
        <w:rPr>
          <w:rFonts w:ascii="Arial" w:hAnsi="Arial" w:cs="Arial"/>
          <w:sz w:val="24"/>
        </w:rPr>
        <w:t xml:space="preserve"> </w:t>
      </w:r>
      <w:r w:rsidRPr="00C0465B">
        <w:rPr>
          <w:rFonts w:ascii="Arial" w:hAnsi="Arial" w:cs="Arial"/>
          <w:sz w:val="24"/>
        </w:rPr>
        <w:t>estado para mejorar los niveles de vida y bienestar de las familias colimenses.</w:t>
      </w:r>
    </w:p>
    <w:p w14:paraId="52EB8420" w14:textId="77777777" w:rsidR="00B076A2" w:rsidRPr="00B80659" w:rsidRDefault="00B076A2" w:rsidP="00B076A2">
      <w:pPr>
        <w:spacing w:after="0" w:line="240" w:lineRule="auto"/>
        <w:jc w:val="both"/>
        <w:rPr>
          <w:rFonts w:ascii="Arial" w:hAnsi="Arial" w:cs="Arial"/>
          <w:sz w:val="24"/>
        </w:rPr>
      </w:pPr>
    </w:p>
    <w:p w14:paraId="30389C63" w14:textId="77777777" w:rsidR="00B076A2" w:rsidRPr="00517EDE" w:rsidRDefault="00B076A2" w:rsidP="00B076A2">
      <w:pPr>
        <w:spacing w:after="0" w:line="240" w:lineRule="auto"/>
        <w:jc w:val="both"/>
        <w:rPr>
          <w:rFonts w:ascii="Arial" w:hAnsi="Arial" w:cs="Arial"/>
          <w:b/>
          <w:i/>
          <w:sz w:val="24"/>
        </w:rPr>
      </w:pPr>
      <w:r w:rsidRPr="00517EDE">
        <w:rPr>
          <w:rFonts w:ascii="Arial" w:hAnsi="Arial" w:cs="Arial"/>
          <w:b/>
          <w:i/>
          <w:sz w:val="24"/>
        </w:rPr>
        <w:t>Deuda Pública</w:t>
      </w:r>
    </w:p>
    <w:p w14:paraId="06D456DD" w14:textId="77777777" w:rsidR="00B076A2" w:rsidRDefault="00B076A2" w:rsidP="00B076A2">
      <w:pPr>
        <w:spacing w:after="0" w:line="240" w:lineRule="auto"/>
        <w:jc w:val="both"/>
        <w:rPr>
          <w:rFonts w:ascii="Arial" w:hAnsi="Arial" w:cs="Arial"/>
          <w:sz w:val="24"/>
        </w:rPr>
      </w:pPr>
    </w:p>
    <w:p w14:paraId="1B15080C" w14:textId="77777777" w:rsidR="00B076A2" w:rsidRPr="002F09AC" w:rsidRDefault="00B076A2" w:rsidP="00B076A2">
      <w:pPr>
        <w:spacing w:after="0" w:line="240" w:lineRule="auto"/>
        <w:jc w:val="both"/>
        <w:rPr>
          <w:rFonts w:ascii="Arial" w:hAnsi="Arial" w:cs="Arial"/>
          <w:sz w:val="24"/>
        </w:rPr>
      </w:pPr>
      <w:r w:rsidRPr="002F09AC">
        <w:rPr>
          <w:rFonts w:ascii="Arial" w:hAnsi="Arial" w:cs="Arial"/>
          <w:sz w:val="24"/>
        </w:rPr>
        <w:t xml:space="preserve">El proyecto de Presupuesto de Egresos para el Ejercicio Fiscal 2021, contiene una previsión de recursos para el pago del servicio de la deuda pública directa por un monto de 372 millones 751 mil 865 pesos, conformados por 122 </w:t>
      </w:r>
      <w:r>
        <w:rPr>
          <w:rFonts w:ascii="Arial" w:hAnsi="Arial" w:cs="Arial"/>
          <w:sz w:val="24"/>
        </w:rPr>
        <w:t>millones 855 mil 137</w:t>
      </w:r>
      <w:r w:rsidRPr="002F09AC">
        <w:rPr>
          <w:rFonts w:ascii="Arial" w:hAnsi="Arial" w:cs="Arial"/>
          <w:sz w:val="24"/>
        </w:rPr>
        <w:t xml:space="preserve"> pesos para amortización de capital y 249 millones 896 mil 729 pesos para el pago de intereses. </w:t>
      </w:r>
    </w:p>
    <w:p w14:paraId="10E26AD6" w14:textId="77777777" w:rsidR="00B076A2" w:rsidRPr="002F09AC" w:rsidRDefault="00B076A2" w:rsidP="00B076A2">
      <w:pPr>
        <w:spacing w:after="0" w:line="240" w:lineRule="auto"/>
        <w:jc w:val="both"/>
        <w:rPr>
          <w:rFonts w:ascii="Arial" w:hAnsi="Arial" w:cs="Arial"/>
          <w:sz w:val="24"/>
        </w:rPr>
      </w:pPr>
    </w:p>
    <w:p w14:paraId="5929493D" w14:textId="77777777" w:rsidR="00B076A2" w:rsidRPr="002F09AC" w:rsidRDefault="00B076A2" w:rsidP="00B076A2">
      <w:pPr>
        <w:spacing w:after="0" w:line="240" w:lineRule="auto"/>
        <w:jc w:val="both"/>
        <w:rPr>
          <w:rFonts w:ascii="Arial" w:hAnsi="Arial" w:cs="Arial"/>
          <w:sz w:val="24"/>
        </w:rPr>
      </w:pPr>
      <w:r w:rsidRPr="002F09AC">
        <w:rPr>
          <w:rFonts w:ascii="Arial" w:hAnsi="Arial" w:cs="Arial"/>
          <w:sz w:val="24"/>
        </w:rPr>
        <w:t>Los intereses de la deuda pública directa para el ejercicio 2021 disminuyen en relación con el ejercicio anterior, principalmente por tres razones: i) una disminución importante en el valor de la Tasa de Interés Interbancaria de Equilibrio a 28 días a la cual se encuentran contratados los créditos a tasa variable del Estado; ii) por la disminución del saldo insoluto de capital de los créditos; y iii)  por  el refinanciamiento  de un crédito de largo plazo realizado a finales de 2019, con una menor tasa de interés.  Lo anterior, aun cuando el Presupuesto para el ejercicio 2021 incluye pagos de intereses de un financiamiento adicional autorizado por el Congreso del Estado en 2020.</w:t>
      </w:r>
    </w:p>
    <w:p w14:paraId="1FEB9D87" w14:textId="77777777" w:rsidR="00B076A2" w:rsidRPr="002F09AC" w:rsidRDefault="00B076A2" w:rsidP="00B076A2">
      <w:pPr>
        <w:spacing w:after="0" w:line="240" w:lineRule="auto"/>
        <w:jc w:val="both"/>
        <w:rPr>
          <w:rFonts w:ascii="Arial" w:hAnsi="Arial" w:cs="Arial"/>
          <w:sz w:val="24"/>
        </w:rPr>
      </w:pPr>
    </w:p>
    <w:p w14:paraId="2D06FAE4" w14:textId="77777777" w:rsidR="00B076A2" w:rsidRPr="002F09AC" w:rsidRDefault="00B076A2" w:rsidP="00B076A2">
      <w:pPr>
        <w:spacing w:after="0" w:line="240" w:lineRule="auto"/>
        <w:jc w:val="both"/>
        <w:rPr>
          <w:rFonts w:ascii="Arial" w:hAnsi="Arial" w:cs="Arial"/>
          <w:sz w:val="24"/>
        </w:rPr>
      </w:pPr>
      <w:r w:rsidRPr="002F09AC">
        <w:rPr>
          <w:rFonts w:ascii="Arial" w:hAnsi="Arial" w:cs="Arial"/>
          <w:sz w:val="24"/>
        </w:rPr>
        <w:t xml:space="preserve">Para el caso del capital, se refleja un incremento en el monto presupuestado, en función de los perfiles crecientes de amortización en la mayor parte de los créditos vigentes y por la amortización de principal del nuevo financiamiento autorizado por el Congreso. </w:t>
      </w:r>
    </w:p>
    <w:p w14:paraId="7FD3D52A" w14:textId="77777777" w:rsidR="00B076A2" w:rsidRPr="002F09AC" w:rsidRDefault="00B076A2" w:rsidP="00B076A2">
      <w:pPr>
        <w:spacing w:after="0" w:line="240" w:lineRule="auto"/>
        <w:jc w:val="both"/>
        <w:rPr>
          <w:rFonts w:ascii="Arial" w:hAnsi="Arial" w:cs="Arial"/>
          <w:sz w:val="24"/>
        </w:rPr>
      </w:pPr>
    </w:p>
    <w:p w14:paraId="7CA5B260" w14:textId="77777777" w:rsidR="00B076A2" w:rsidRDefault="00B076A2" w:rsidP="00B076A2">
      <w:pPr>
        <w:spacing w:after="0" w:line="240" w:lineRule="auto"/>
        <w:jc w:val="both"/>
        <w:rPr>
          <w:rFonts w:ascii="Arial" w:hAnsi="Arial" w:cs="Arial"/>
          <w:sz w:val="24"/>
        </w:rPr>
      </w:pPr>
      <w:r w:rsidRPr="002F09AC">
        <w:rPr>
          <w:rFonts w:ascii="Arial" w:hAnsi="Arial" w:cs="Arial"/>
          <w:sz w:val="24"/>
        </w:rPr>
        <w:lastRenderedPageBreak/>
        <w:t>Con la finalidad de garantizar tasas de interés competitivas en los financiamientos vigentes de largo plazo, en este Presupuesto se contemplan recursos para la mantener y en su caso actualizar las calificaciones crediticias de las estructuras de los financiamientos. Esta estrategia mejora considerablemente las calificaciones de los créditos respecto a la nota quirografaria, lo que repercute en mejores condiciones de tasas de interés, que se reflejan en un menor pago de intereses de la deuda.</w:t>
      </w:r>
    </w:p>
    <w:p w14:paraId="7BB91278" w14:textId="77777777" w:rsidR="00B076A2" w:rsidRPr="002F09AC" w:rsidRDefault="00B076A2" w:rsidP="00B076A2">
      <w:pPr>
        <w:spacing w:after="0" w:line="240" w:lineRule="auto"/>
        <w:jc w:val="both"/>
        <w:rPr>
          <w:rFonts w:ascii="Arial" w:hAnsi="Arial" w:cs="Arial"/>
          <w:sz w:val="24"/>
        </w:rPr>
      </w:pPr>
    </w:p>
    <w:p w14:paraId="060680B4" w14:textId="77777777" w:rsidR="00B076A2" w:rsidRDefault="00B076A2" w:rsidP="00B076A2">
      <w:pPr>
        <w:spacing w:after="0" w:line="240" w:lineRule="auto"/>
        <w:jc w:val="both"/>
        <w:rPr>
          <w:rFonts w:ascii="Arial" w:hAnsi="Arial" w:cs="Arial"/>
          <w:sz w:val="24"/>
        </w:rPr>
      </w:pPr>
      <w:r w:rsidRPr="002F09AC">
        <w:rPr>
          <w:rFonts w:ascii="Arial" w:hAnsi="Arial" w:cs="Arial"/>
          <w:sz w:val="24"/>
        </w:rPr>
        <w:t xml:space="preserve">De igual manera, se incluyen partidas de gasto para la renovación de las calificaciones quirografarias del Estado con dos agencias calificadoras, así como para la administración de los fideicomisos de administración y fuente de pago, que fungen como mecanismos de pago de la deuda de largo plazo, lo cual le da certidumbre al cumplimiento de las obligaciones bancarias.  </w:t>
      </w:r>
    </w:p>
    <w:p w14:paraId="42843DA7" w14:textId="77777777" w:rsidR="00B076A2" w:rsidRPr="002F09AC" w:rsidRDefault="00B076A2" w:rsidP="00B076A2">
      <w:pPr>
        <w:spacing w:after="0" w:line="240" w:lineRule="auto"/>
        <w:jc w:val="both"/>
        <w:rPr>
          <w:rFonts w:ascii="Arial" w:hAnsi="Arial" w:cs="Arial"/>
          <w:sz w:val="24"/>
        </w:rPr>
      </w:pPr>
    </w:p>
    <w:p w14:paraId="663DF559" w14:textId="77777777" w:rsidR="00B076A2" w:rsidRDefault="00B076A2" w:rsidP="00B076A2">
      <w:pPr>
        <w:spacing w:after="0" w:line="240" w:lineRule="auto"/>
        <w:jc w:val="both"/>
        <w:rPr>
          <w:rFonts w:ascii="Arial" w:hAnsi="Arial" w:cs="Arial"/>
          <w:sz w:val="24"/>
        </w:rPr>
      </w:pPr>
      <w:r w:rsidRPr="002F09AC">
        <w:rPr>
          <w:rFonts w:ascii="Arial" w:hAnsi="Arial" w:cs="Arial"/>
          <w:sz w:val="24"/>
        </w:rPr>
        <w:t>El Proyecto de Presupuesto de Egresos para el ejercicio 2021 considera también recursos para el pago de obligaciones bancarias de corto plazo, contratados en el ejercicio fiscal 2020 y cuyo vencimiento ocurre en el ejercicio 2021, de conformidad a la legislación aplicable en la materia.</w:t>
      </w:r>
    </w:p>
    <w:p w14:paraId="71FA54AF" w14:textId="77777777" w:rsidR="00B076A2" w:rsidRPr="002F09AC" w:rsidRDefault="00B076A2" w:rsidP="00B076A2">
      <w:pPr>
        <w:spacing w:after="0" w:line="240" w:lineRule="auto"/>
        <w:jc w:val="both"/>
        <w:rPr>
          <w:rFonts w:ascii="Arial" w:hAnsi="Arial" w:cs="Arial"/>
          <w:sz w:val="24"/>
        </w:rPr>
      </w:pPr>
    </w:p>
    <w:p w14:paraId="2B8FB95B" w14:textId="77777777" w:rsidR="00B076A2" w:rsidRDefault="00B076A2" w:rsidP="00B076A2">
      <w:pPr>
        <w:spacing w:after="0" w:line="240" w:lineRule="auto"/>
        <w:jc w:val="both"/>
        <w:rPr>
          <w:rFonts w:ascii="Arial" w:hAnsi="Arial" w:cs="Arial"/>
          <w:sz w:val="24"/>
        </w:rPr>
      </w:pPr>
      <w:r w:rsidRPr="002F09AC">
        <w:rPr>
          <w:rFonts w:ascii="Arial" w:hAnsi="Arial" w:cs="Arial"/>
          <w:sz w:val="24"/>
        </w:rPr>
        <w:t>En el caso de las obligaciones bancarias de corto plazo se incluyen partidas por hasta 339 millones de pesos para amortización de pr</w:t>
      </w:r>
      <w:r>
        <w:rPr>
          <w:rFonts w:ascii="Arial" w:hAnsi="Arial" w:cs="Arial"/>
          <w:sz w:val="24"/>
        </w:rPr>
        <w:t>incipal y 7 millones 023 mil 829</w:t>
      </w:r>
      <w:r w:rsidRPr="002F09AC">
        <w:rPr>
          <w:rFonts w:ascii="Arial" w:hAnsi="Arial" w:cs="Arial"/>
          <w:sz w:val="24"/>
        </w:rPr>
        <w:t xml:space="preserve"> pesos por concepto de intereses.</w:t>
      </w:r>
    </w:p>
    <w:p w14:paraId="43C6B498" w14:textId="77777777" w:rsidR="00B076A2" w:rsidRPr="002F09AC" w:rsidRDefault="00B076A2" w:rsidP="00B076A2">
      <w:pPr>
        <w:spacing w:after="0" w:line="240" w:lineRule="auto"/>
        <w:jc w:val="both"/>
        <w:rPr>
          <w:rFonts w:ascii="Arial" w:hAnsi="Arial" w:cs="Arial"/>
          <w:sz w:val="24"/>
        </w:rPr>
      </w:pPr>
    </w:p>
    <w:p w14:paraId="390B1192" w14:textId="77777777" w:rsidR="00B076A2" w:rsidRPr="002F09AC" w:rsidRDefault="00B076A2" w:rsidP="00B076A2">
      <w:pPr>
        <w:spacing w:after="0" w:line="240" w:lineRule="auto"/>
        <w:jc w:val="both"/>
        <w:rPr>
          <w:rFonts w:ascii="Arial" w:hAnsi="Arial" w:cs="Arial"/>
          <w:sz w:val="24"/>
        </w:rPr>
      </w:pPr>
      <w:r w:rsidRPr="002F09AC">
        <w:rPr>
          <w:rFonts w:ascii="Arial" w:hAnsi="Arial" w:cs="Arial"/>
          <w:sz w:val="24"/>
        </w:rPr>
        <w:t xml:space="preserve">Se informa que el </w:t>
      </w:r>
      <w:r w:rsidRPr="00D5347F">
        <w:rPr>
          <w:rFonts w:ascii="Arial" w:hAnsi="Arial" w:cs="Arial"/>
          <w:sz w:val="24"/>
        </w:rPr>
        <w:t xml:space="preserve">presente Proyecto de Presupuesto, no incluye partidas para deuda adicional, en virtud de que el Proyecto de Ley de Ingresos para el Ejercicio Fiscal 2021, no contempla ingresos </w:t>
      </w:r>
      <w:r>
        <w:rPr>
          <w:rFonts w:ascii="Arial" w:hAnsi="Arial" w:cs="Arial"/>
          <w:sz w:val="24"/>
        </w:rPr>
        <w:t xml:space="preserve">derivados de </w:t>
      </w:r>
      <w:r w:rsidRPr="00D5347F">
        <w:rPr>
          <w:rFonts w:ascii="Arial" w:hAnsi="Arial" w:cs="Arial"/>
          <w:sz w:val="24"/>
        </w:rPr>
        <w:t>Financiamientos.</w:t>
      </w:r>
      <w:r w:rsidRPr="002F09AC">
        <w:rPr>
          <w:rFonts w:ascii="Arial" w:hAnsi="Arial" w:cs="Arial"/>
          <w:sz w:val="24"/>
        </w:rPr>
        <w:t xml:space="preserve">  </w:t>
      </w:r>
    </w:p>
    <w:p w14:paraId="78ADEC85" w14:textId="77777777" w:rsidR="00B076A2" w:rsidRDefault="00B076A2" w:rsidP="00B076A2">
      <w:pPr>
        <w:spacing w:after="0" w:line="240" w:lineRule="auto"/>
        <w:jc w:val="both"/>
        <w:rPr>
          <w:rFonts w:ascii="Arial" w:hAnsi="Arial" w:cs="Arial"/>
          <w:sz w:val="24"/>
        </w:rPr>
      </w:pPr>
    </w:p>
    <w:p w14:paraId="4357AC64" w14:textId="77777777" w:rsidR="00B076A2" w:rsidRPr="00CE5C93" w:rsidRDefault="00B076A2" w:rsidP="00B076A2">
      <w:pPr>
        <w:spacing w:after="0" w:line="240" w:lineRule="auto"/>
        <w:jc w:val="both"/>
        <w:rPr>
          <w:rFonts w:ascii="Arial" w:hAnsi="Arial" w:cs="Arial"/>
          <w:i/>
          <w:sz w:val="24"/>
        </w:rPr>
      </w:pPr>
      <w:r w:rsidRPr="00CE5C93">
        <w:rPr>
          <w:rFonts w:ascii="Arial" w:hAnsi="Arial" w:cs="Arial"/>
          <w:i/>
          <w:sz w:val="24"/>
        </w:rPr>
        <w:t>Calificaciones de deuda emitidas por agencias calificadoras: Fitch Ratings y HR Ratings</w:t>
      </w:r>
    </w:p>
    <w:p w14:paraId="157D5EC2" w14:textId="77777777" w:rsidR="00B076A2" w:rsidRDefault="00B076A2" w:rsidP="00B076A2">
      <w:pPr>
        <w:spacing w:after="0" w:line="240" w:lineRule="auto"/>
        <w:jc w:val="both"/>
        <w:rPr>
          <w:rFonts w:ascii="Arial" w:hAnsi="Arial" w:cs="Arial"/>
          <w:sz w:val="24"/>
        </w:rPr>
      </w:pPr>
    </w:p>
    <w:p w14:paraId="05A8F792" w14:textId="77777777" w:rsidR="00B076A2" w:rsidRDefault="00B076A2" w:rsidP="00B076A2">
      <w:pPr>
        <w:spacing w:after="0" w:line="240" w:lineRule="auto"/>
        <w:jc w:val="both"/>
        <w:rPr>
          <w:rFonts w:ascii="Arial" w:hAnsi="Arial" w:cs="Arial"/>
          <w:sz w:val="24"/>
        </w:rPr>
      </w:pPr>
      <w:r w:rsidRPr="006812D3">
        <w:rPr>
          <w:rFonts w:ascii="Arial" w:hAnsi="Arial" w:cs="Arial"/>
          <w:sz w:val="24"/>
        </w:rPr>
        <w:t>El Estado de Colima mantiene calificaciones crediticias quirografarias con las agencias calificadoras HR Ratings y Fitch Ratings.</w:t>
      </w:r>
    </w:p>
    <w:p w14:paraId="3E2E4D44" w14:textId="77777777" w:rsidR="00B076A2" w:rsidRPr="0028007A" w:rsidRDefault="00B076A2" w:rsidP="00B076A2">
      <w:pPr>
        <w:spacing w:after="0" w:line="240" w:lineRule="auto"/>
        <w:jc w:val="both"/>
        <w:rPr>
          <w:rFonts w:ascii="Arial" w:hAnsi="Arial" w:cs="Arial"/>
          <w:b/>
          <w:sz w:val="24"/>
        </w:rPr>
      </w:pPr>
    </w:p>
    <w:p w14:paraId="11571082" w14:textId="77777777" w:rsidR="00B076A2" w:rsidRPr="00CE5C93" w:rsidRDefault="00B076A2" w:rsidP="00B076A2">
      <w:pPr>
        <w:spacing w:after="0" w:line="240" w:lineRule="auto"/>
        <w:jc w:val="both"/>
        <w:rPr>
          <w:rFonts w:ascii="Arial" w:hAnsi="Arial" w:cs="Arial"/>
          <w:i/>
          <w:sz w:val="24"/>
        </w:rPr>
      </w:pPr>
      <w:r>
        <w:rPr>
          <w:rFonts w:ascii="Arial" w:hAnsi="Arial" w:cs="Arial"/>
          <w:i/>
          <w:sz w:val="24"/>
        </w:rPr>
        <w:t xml:space="preserve">   </w:t>
      </w:r>
      <w:r w:rsidRPr="00CE5C93">
        <w:rPr>
          <w:rFonts w:ascii="Arial" w:hAnsi="Arial" w:cs="Arial"/>
          <w:i/>
          <w:sz w:val="24"/>
        </w:rPr>
        <w:t>HR Rating´s</w:t>
      </w:r>
    </w:p>
    <w:p w14:paraId="542106CB" w14:textId="77777777" w:rsidR="00B076A2" w:rsidRPr="007F1EFB" w:rsidRDefault="00B076A2" w:rsidP="00B076A2">
      <w:pPr>
        <w:spacing w:after="0" w:line="240" w:lineRule="auto"/>
        <w:jc w:val="both"/>
        <w:rPr>
          <w:rFonts w:ascii="Arial" w:hAnsi="Arial" w:cs="Arial"/>
          <w:sz w:val="24"/>
        </w:rPr>
      </w:pPr>
    </w:p>
    <w:p w14:paraId="120E8319" w14:textId="77777777" w:rsidR="00B076A2" w:rsidRDefault="00B076A2" w:rsidP="00B076A2">
      <w:pPr>
        <w:spacing w:after="0" w:line="240" w:lineRule="auto"/>
        <w:jc w:val="both"/>
        <w:rPr>
          <w:rFonts w:ascii="Arial" w:hAnsi="Arial" w:cs="Arial"/>
          <w:sz w:val="24"/>
        </w:rPr>
      </w:pPr>
      <w:r w:rsidRPr="006812D3">
        <w:rPr>
          <w:rFonts w:ascii="Arial" w:hAnsi="Arial" w:cs="Arial"/>
          <w:sz w:val="24"/>
        </w:rPr>
        <w:t xml:space="preserve">En el primer trimestre de 2020, con información del cierre de 2019, y derivado por la expectativa de un incremento en el saldo de las obligaciones bancarias de corto plazo, la agencia calificadora HR Ratings, redujo la calificación quirografaria a niveles de BBB con perspectiva estable, desde BBB+.  Se tiene </w:t>
      </w:r>
      <w:r w:rsidRPr="006812D3">
        <w:rPr>
          <w:rFonts w:ascii="Arial" w:hAnsi="Arial" w:cs="Arial"/>
          <w:sz w:val="24"/>
        </w:rPr>
        <w:lastRenderedPageBreak/>
        <w:t>la expectativa de recuperar la nota en BBB+ en la siguiente revisión, puesto que no se actualiza el supuesto de HR para la baja de nota en 2020.</w:t>
      </w:r>
    </w:p>
    <w:p w14:paraId="51C81865" w14:textId="77777777" w:rsidR="00B076A2" w:rsidRPr="006812D3" w:rsidRDefault="00B076A2" w:rsidP="00B076A2">
      <w:pPr>
        <w:spacing w:after="0" w:line="240" w:lineRule="auto"/>
        <w:jc w:val="both"/>
        <w:rPr>
          <w:rFonts w:ascii="Arial" w:hAnsi="Arial" w:cs="Arial"/>
          <w:sz w:val="24"/>
        </w:rPr>
      </w:pPr>
    </w:p>
    <w:p w14:paraId="045CAB05" w14:textId="77777777" w:rsidR="00B076A2" w:rsidRDefault="00B076A2" w:rsidP="00B076A2">
      <w:pPr>
        <w:spacing w:after="0" w:line="240" w:lineRule="auto"/>
        <w:jc w:val="both"/>
        <w:rPr>
          <w:rFonts w:ascii="Arial" w:hAnsi="Arial" w:cs="Arial"/>
          <w:sz w:val="24"/>
        </w:rPr>
      </w:pPr>
      <w:r w:rsidRPr="006812D3">
        <w:rPr>
          <w:rFonts w:ascii="Arial" w:hAnsi="Arial" w:cs="Arial"/>
          <w:sz w:val="24"/>
        </w:rPr>
        <w:t>HR Rating´s califica de manera específica la estructura de dos financiamientos cuyas notas se mantienen en niveles de HR AA+ (E) y un financiamiento con la banca de desarrollo al que se le asignó una calificación de HR AA (E) con perspectiva estable.</w:t>
      </w:r>
    </w:p>
    <w:p w14:paraId="72198780" w14:textId="77777777" w:rsidR="00B076A2" w:rsidRPr="007F1EFB" w:rsidRDefault="00B076A2" w:rsidP="00B076A2">
      <w:pPr>
        <w:spacing w:after="0" w:line="240" w:lineRule="auto"/>
        <w:jc w:val="both"/>
        <w:rPr>
          <w:rFonts w:ascii="Arial" w:hAnsi="Arial" w:cs="Arial"/>
          <w:sz w:val="24"/>
        </w:rPr>
      </w:pPr>
    </w:p>
    <w:p w14:paraId="58702B8A" w14:textId="77777777" w:rsidR="00B076A2" w:rsidRPr="00CE5C93" w:rsidRDefault="00B076A2" w:rsidP="00B076A2">
      <w:pPr>
        <w:spacing w:after="0" w:line="240" w:lineRule="auto"/>
        <w:jc w:val="both"/>
        <w:rPr>
          <w:rFonts w:ascii="Arial" w:hAnsi="Arial" w:cs="Arial"/>
          <w:i/>
          <w:sz w:val="24"/>
        </w:rPr>
      </w:pPr>
      <w:r>
        <w:rPr>
          <w:rFonts w:ascii="Arial" w:hAnsi="Arial" w:cs="Arial"/>
          <w:i/>
          <w:sz w:val="24"/>
        </w:rPr>
        <w:t xml:space="preserve">   </w:t>
      </w:r>
      <w:r w:rsidRPr="00CE5C93">
        <w:rPr>
          <w:rFonts w:ascii="Arial" w:hAnsi="Arial" w:cs="Arial"/>
          <w:i/>
          <w:sz w:val="24"/>
        </w:rPr>
        <w:t>FITCH Rating´s</w:t>
      </w:r>
    </w:p>
    <w:p w14:paraId="624338A7" w14:textId="77777777" w:rsidR="00B076A2" w:rsidRPr="006812D3" w:rsidRDefault="00B076A2" w:rsidP="00B076A2">
      <w:pPr>
        <w:spacing w:after="0" w:line="240" w:lineRule="auto"/>
        <w:jc w:val="both"/>
        <w:rPr>
          <w:rFonts w:ascii="Arial" w:hAnsi="Arial" w:cs="Arial"/>
          <w:sz w:val="24"/>
        </w:rPr>
      </w:pPr>
    </w:p>
    <w:p w14:paraId="47E1519C" w14:textId="77777777" w:rsidR="00B076A2" w:rsidRDefault="00B076A2" w:rsidP="00B076A2">
      <w:pPr>
        <w:spacing w:after="0" w:line="240" w:lineRule="auto"/>
        <w:jc w:val="both"/>
        <w:rPr>
          <w:rFonts w:ascii="Arial" w:hAnsi="Arial" w:cs="Arial"/>
          <w:sz w:val="24"/>
        </w:rPr>
      </w:pPr>
      <w:r w:rsidRPr="006812D3">
        <w:rPr>
          <w:rFonts w:ascii="Arial" w:hAnsi="Arial" w:cs="Arial"/>
          <w:sz w:val="24"/>
        </w:rPr>
        <w:t>En el mes de agosto de 2020, con información del cierre del primer semestre del mismo año, ya con información más precisa sobre la evolución de las finanzas públicas locales, la agencia Fitch Ratings ratificó la calificación quirografaria del Estado en BBB+ manteniendo estable la perspectiva.</w:t>
      </w:r>
    </w:p>
    <w:p w14:paraId="2A049993" w14:textId="77777777" w:rsidR="00B076A2" w:rsidRPr="006812D3" w:rsidRDefault="00B076A2" w:rsidP="00B076A2">
      <w:pPr>
        <w:spacing w:after="0" w:line="240" w:lineRule="auto"/>
        <w:jc w:val="both"/>
        <w:rPr>
          <w:rFonts w:ascii="Arial" w:hAnsi="Arial" w:cs="Arial"/>
          <w:sz w:val="24"/>
        </w:rPr>
      </w:pPr>
    </w:p>
    <w:p w14:paraId="0D847652" w14:textId="77777777" w:rsidR="00B076A2" w:rsidRDefault="00B076A2" w:rsidP="00B076A2">
      <w:pPr>
        <w:spacing w:after="0" w:line="240" w:lineRule="auto"/>
        <w:jc w:val="both"/>
        <w:rPr>
          <w:rFonts w:ascii="Arial" w:hAnsi="Arial" w:cs="Arial"/>
          <w:sz w:val="24"/>
        </w:rPr>
      </w:pPr>
      <w:r w:rsidRPr="006812D3">
        <w:rPr>
          <w:rFonts w:ascii="Arial" w:hAnsi="Arial" w:cs="Arial"/>
          <w:sz w:val="24"/>
        </w:rPr>
        <w:t>Asimismo, ratificó la calificación en niveles de ‘AA-(mex)vra’ para los financiamientos estructurados.</w:t>
      </w:r>
    </w:p>
    <w:p w14:paraId="2DBBDA11" w14:textId="77777777" w:rsidR="00B076A2" w:rsidRPr="006812D3" w:rsidRDefault="00B076A2" w:rsidP="00B076A2">
      <w:pPr>
        <w:spacing w:after="0" w:line="240" w:lineRule="auto"/>
        <w:jc w:val="both"/>
        <w:rPr>
          <w:rFonts w:ascii="Arial" w:hAnsi="Arial" w:cs="Arial"/>
          <w:sz w:val="24"/>
        </w:rPr>
      </w:pPr>
    </w:p>
    <w:p w14:paraId="1AA99372" w14:textId="77777777" w:rsidR="00B076A2" w:rsidRDefault="00B076A2" w:rsidP="00B076A2">
      <w:pPr>
        <w:spacing w:after="0" w:line="240" w:lineRule="auto"/>
        <w:jc w:val="both"/>
        <w:rPr>
          <w:rFonts w:ascii="Arial" w:hAnsi="Arial" w:cs="Arial"/>
          <w:sz w:val="24"/>
        </w:rPr>
      </w:pPr>
      <w:r w:rsidRPr="006812D3">
        <w:rPr>
          <w:rFonts w:ascii="Arial" w:hAnsi="Arial" w:cs="Arial"/>
          <w:sz w:val="24"/>
        </w:rPr>
        <w:t>Desde el inicio de la presente administración a la fecha, el Estado de Colima ha incrementado hasta en once niveles las calificaciones crediticias quirografarias, lo que ha repercutido en una mejora de la tasa de interés promedio ponderado de los créditos contratados a tasa variable.</w:t>
      </w:r>
    </w:p>
    <w:p w14:paraId="768A4B03" w14:textId="77777777" w:rsidR="00B076A2" w:rsidRDefault="00B076A2" w:rsidP="00B076A2">
      <w:pPr>
        <w:spacing w:after="0" w:line="240" w:lineRule="auto"/>
        <w:jc w:val="both"/>
        <w:rPr>
          <w:rFonts w:ascii="Arial" w:hAnsi="Arial" w:cs="Arial"/>
          <w:sz w:val="24"/>
        </w:rPr>
      </w:pPr>
    </w:p>
    <w:p w14:paraId="326CA0AF" w14:textId="77777777" w:rsidR="00B076A2" w:rsidRPr="00CE5C93" w:rsidRDefault="00B076A2" w:rsidP="00B076A2">
      <w:pPr>
        <w:spacing w:after="0" w:line="240" w:lineRule="auto"/>
        <w:jc w:val="both"/>
        <w:rPr>
          <w:rFonts w:ascii="Arial" w:hAnsi="Arial" w:cs="Arial"/>
          <w:i/>
          <w:sz w:val="24"/>
        </w:rPr>
      </w:pPr>
      <w:r w:rsidRPr="00CE5C93">
        <w:rPr>
          <w:rFonts w:ascii="Arial" w:hAnsi="Arial" w:cs="Arial"/>
          <w:i/>
          <w:sz w:val="24"/>
        </w:rPr>
        <w:t>Índice de Información Presupuestal Estatal (IIPE)</w:t>
      </w:r>
    </w:p>
    <w:p w14:paraId="0C5D3750" w14:textId="77777777" w:rsidR="00B076A2" w:rsidRDefault="00B076A2" w:rsidP="00B076A2">
      <w:pPr>
        <w:spacing w:after="0" w:line="240" w:lineRule="auto"/>
        <w:jc w:val="both"/>
        <w:rPr>
          <w:rFonts w:ascii="Arial" w:hAnsi="Arial" w:cs="Arial"/>
          <w:sz w:val="24"/>
        </w:rPr>
      </w:pPr>
    </w:p>
    <w:p w14:paraId="6F1FB474" w14:textId="77777777" w:rsidR="00B076A2" w:rsidRDefault="00B076A2" w:rsidP="00B076A2">
      <w:pPr>
        <w:spacing w:after="0" w:line="240" w:lineRule="auto"/>
        <w:jc w:val="both"/>
        <w:rPr>
          <w:rFonts w:ascii="Arial" w:hAnsi="Arial" w:cs="Arial"/>
          <w:sz w:val="24"/>
        </w:rPr>
      </w:pPr>
      <w:r w:rsidRPr="002B2A42">
        <w:rPr>
          <w:rFonts w:ascii="Arial" w:hAnsi="Arial" w:cs="Arial"/>
          <w:sz w:val="24"/>
        </w:rPr>
        <w:t>La transparencia presupuestal (saber cuánto, cómo y en qué se va a gastar el dinero</w:t>
      </w:r>
      <w:r>
        <w:rPr>
          <w:rFonts w:ascii="Arial" w:hAnsi="Arial" w:cs="Arial"/>
          <w:sz w:val="24"/>
        </w:rPr>
        <w:t xml:space="preserve"> </w:t>
      </w:r>
      <w:r w:rsidRPr="002B2A42">
        <w:rPr>
          <w:rFonts w:ascii="Arial" w:hAnsi="Arial" w:cs="Arial"/>
          <w:sz w:val="24"/>
        </w:rPr>
        <w:t>público) es fundamental para crear confianza entre los ciudadanos y el gobierno.</w:t>
      </w:r>
      <w:r>
        <w:rPr>
          <w:rFonts w:ascii="Arial" w:hAnsi="Arial" w:cs="Arial"/>
          <w:sz w:val="24"/>
        </w:rPr>
        <w:t xml:space="preserve"> </w:t>
      </w:r>
      <w:r w:rsidRPr="002B2A42">
        <w:rPr>
          <w:rFonts w:ascii="Arial" w:hAnsi="Arial" w:cs="Arial"/>
          <w:sz w:val="24"/>
        </w:rPr>
        <w:t>Con una buena planeación, los estados pueden adoptar una forma estructurada y</w:t>
      </w:r>
      <w:r>
        <w:rPr>
          <w:rFonts w:ascii="Arial" w:hAnsi="Arial" w:cs="Arial"/>
          <w:sz w:val="24"/>
        </w:rPr>
        <w:t xml:space="preserve"> </w:t>
      </w:r>
      <w:r w:rsidRPr="002B2A42">
        <w:rPr>
          <w:rFonts w:ascii="Arial" w:hAnsi="Arial" w:cs="Arial"/>
          <w:sz w:val="24"/>
        </w:rPr>
        <w:t>clara de mostrar al ciudadano el uso de los recursos públicos.</w:t>
      </w:r>
      <w:r>
        <w:rPr>
          <w:rFonts w:ascii="Arial" w:hAnsi="Arial" w:cs="Arial"/>
          <w:sz w:val="24"/>
        </w:rPr>
        <w:t xml:space="preserve"> </w:t>
      </w:r>
      <w:r w:rsidRPr="002B2A42">
        <w:rPr>
          <w:rFonts w:ascii="Arial" w:hAnsi="Arial" w:cs="Arial"/>
          <w:sz w:val="24"/>
        </w:rPr>
        <w:t>Desde 2008, el Instituto Mexicano para la Competitividad (IMCO) evalúa la</w:t>
      </w:r>
      <w:r>
        <w:rPr>
          <w:rFonts w:ascii="Arial" w:hAnsi="Arial" w:cs="Arial"/>
          <w:sz w:val="24"/>
        </w:rPr>
        <w:t xml:space="preserve"> </w:t>
      </w:r>
      <w:r w:rsidRPr="002B2A42">
        <w:rPr>
          <w:rFonts w:ascii="Arial" w:hAnsi="Arial" w:cs="Arial"/>
          <w:sz w:val="24"/>
        </w:rPr>
        <w:t>calidad de la información presupuestal de los estados sobre la base de un catálogo</w:t>
      </w:r>
      <w:r>
        <w:rPr>
          <w:rFonts w:ascii="Arial" w:hAnsi="Arial" w:cs="Arial"/>
          <w:sz w:val="24"/>
        </w:rPr>
        <w:t xml:space="preserve"> </w:t>
      </w:r>
      <w:r w:rsidRPr="002B2A42">
        <w:rPr>
          <w:rFonts w:ascii="Arial" w:hAnsi="Arial" w:cs="Arial"/>
          <w:sz w:val="24"/>
        </w:rPr>
        <w:t>de buenas prácticas.</w:t>
      </w:r>
      <w:r>
        <w:rPr>
          <w:rFonts w:ascii="Arial" w:hAnsi="Arial" w:cs="Arial"/>
          <w:sz w:val="24"/>
        </w:rPr>
        <w:t xml:space="preserve"> </w:t>
      </w:r>
    </w:p>
    <w:p w14:paraId="2E5AAF6B" w14:textId="77777777" w:rsidR="00B076A2" w:rsidRDefault="00B076A2" w:rsidP="00B076A2">
      <w:pPr>
        <w:spacing w:after="0" w:line="240" w:lineRule="auto"/>
        <w:jc w:val="both"/>
        <w:rPr>
          <w:rFonts w:ascii="Arial" w:hAnsi="Arial" w:cs="Arial"/>
          <w:sz w:val="24"/>
        </w:rPr>
      </w:pPr>
    </w:p>
    <w:p w14:paraId="6808574A" w14:textId="77777777" w:rsidR="00B076A2" w:rsidRDefault="00B076A2" w:rsidP="00B076A2">
      <w:pPr>
        <w:spacing w:after="0" w:line="240" w:lineRule="auto"/>
        <w:jc w:val="both"/>
        <w:rPr>
          <w:rFonts w:ascii="Arial" w:hAnsi="Arial" w:cs="Arial"/>
          <w:sz w:val="24"/>
        </w:rPr>
      </w:pPr>
      <w:r w:rsidRPr="002B2A42">
        <w:rPr>
          <w:rFonts w:ascii="Arial" w:hAnsi="Arial" w:cs="Arial"/>
          <w:sz w:val="24"/>
        </w:rPr>
        <w:t>El IIPE, se realiza mediante un estudio que mide de forma anual la calidad de la</w:t>
      </w:r>
      <w:r>
        <w:rPr>
          <w:rFonts w:ascii="Arial" w:hAnsi="Arial" w:cs="Arial"/>
          <w:sz w:val="24"/>
        </w:rPr>
        <w:t xml:space="preserve"> </w:t>
      </w:r>
      <w:r w:rsidRPr="002B2A42">
        <w:rPr>
          <w:rFonts w:ascii="Arial" w:hAnsi="Arial" w:cs="Arial"/>
          <w:sz w:val="24"/>
        </w:rPr>
        <w:t>información presupuestal de las entidades federativas, verifica el cumplimiento de</w:t>
      </w:r>
      <w:r>
        <w:rPr>
          <w:rFonts w:ascii="Arial" w:hAnsi="Arial" w:cs="Arial"/>
          <w:sz w:val="24"/>
        </w:rPr>
        <w:t xml:space="preserve"> </w:t>
      </w:r>
      <w:r w:rsidRPr="002B2A42">
        <w:rPr>
          <w:rFonts w:ascii="Arial" w:hAnsi="Arial" w:cs="Arial"/>
          <w:sz w:val="24"/>
        </w:rPr>
        <w:t>las obligaciones de contabilidad gubernamental, fomenta una serie de buenas</w:t>
      </w:r>
      <w:r>
        <w:rPr>
          <w:rFonts w:ascii="Arial" w:hAnsi="Arial" w:cs="Arial"/>
          <w:sz w:val="24"/>
        </w:rPr>
        <w:t xml:space="preserve"> </w:t>
      </w:r>
      <w:r w:rsidRPr="0037401D">
        <w:rPr>
          <w:rFonts w:ascii="Arial" w:hAnsi="Arial" w:cs="Arial"/>
          <w:sz w:val="24"/>
        </w:rPr>
        <w:t>prácticas contables y tiene como propósito eliminar condiciones de opacidad en el</w:t>
      </w:r>
      <w:r>
        <w:rPr>
          <w:rFonts w:ascii="Arial" w:hAnsi="Arial" w:cs="Arial"/>
          <w:sz w:val="24"/>
        </w:rPr>
        <w:t xml:space="preserve"> </w:t>
      </w:r>
      <w:r w:rsidRPr="0037401D">
        <w:rPr>
          <w:rFonts w:ascii="Arial" w:hAnsi="Arial" w:cs="Arial"/>
          <w:sz w:val="24"/>
        </w:rPr>
        <w:t>manejo de los recursos públicos estatales.</w:t>
      </w:r>
    </w:p>
    <w:p w14:paraId="23098D4C" w14:textId="77777777" w:rsidR="00B076A2" w:rsidRDefault="00B076A2" w:rsidP="00B076A2">
      <w:pPr>
        <w:spacing w:after="0" w:line="240" w:lineRule="auto"/>
        <w:jc w:val="both"/>
        <w:rPr>
          <w:rFonts w:ascii="Arial" w:hAnsi="Arial" w:cs="Arial"/>
          <w:sz w:val="24"/>
        </w:rPr>
      </w:pPr>
    </w:p>
    <w:p w14:paraId="407E672A" w14:textId="77777777" w:rsidR="00B076A2" w:rsidRDefault="00B076A2" w:rsidP="00B076A2">
      <w:pPr>
        <w:spacing w:after="0" w:line="240" w:lineRule="auto"/>
        <w:jc w:val="both"/>
        <w:rPr>
          <w:rFonts w:ascii="Arial" w:hAnsi="Arial" w:cs="Arial"/>
          <w:sz w:val="24"/>
        </w:rPr>
      </w:pPr>
      <w:r w:rsidRPr="0037401D">
        <w:rPr>
          <w:rFonts w:ascii="Arial" w:hAnsi="Arial" w:cs="Arial"/>
          <w:sz w:val="24"/>
        </w:rPr>
        <w:lastRenderedPageBreak/>
        <w:t>En su edición correspondiente a 2017, Colima se posicionó en Primera</w:t>
      </w:r>
      <w:r>
        <w:rPr>
          <w:rFonts w:ascii="Arial" w:hAnsi="Arial" w:cs="Arial"/>
          <w:sz w:val="24"/>
        </w:rPr>
        <w:t xml:space="preserve"> </w:t>
      </w:r>
      <w:r w:rsidRPr="0037401D">
        <w:rPr>
          <w:rFonts w:ascii="Arial" w:hAnsi="Arial" w:cs="Arial"/>
          <w:sz w:val="24"/>
        </w:rPr>
        <w:t>Posición Nacional, conjuntamente con los estados de Puebla, Chihuahua,</w:t>
      </w:r>
      <w:r>
        <w:rPr>
          <w:rFonts w:ascii="Arial" w:hAnsi="Arial" w:cs="Arial"/>
          <w:sz w:val="24"/>
        </w:rPr>
        <w:t xml:space="preserve"> </w:t>
      </w:r>
      <w:r w:rsidRPr="0037401D">
        <w:rPr>
          <w:rFonts w:ascii="Arial" w:hAnsi="Arial" w:cs="Arial"/>
          <w:sz w:val="24"/>
        </w:rPr>
        <w:t>Coahuila, Baja Calif</w:t>
      </w:r>
      <w:r>
        <w:rPr>
          <w:rFonts w:ascii="Arial" w:hAnsi="Arial" w:cs="Arial"/>
          <w:sz w:val="24"/>
        </w:rPr>
        <w:t>ornia y Jalisco.</w:t>
      </w:r>
    </w:p>
    <w:p w14:paraId="4C4885D5" w14:textId="77777777" w:rsidR="00B076A2" w:rsidRPr="0037401D" w:rsidRDefault="00B076A2" w:rsidP="00B076A2">
      <w:pPr>
        <w:spacing w:after="0" w:line="240" w:lineRule="auto"/>
        <w:jc w:val="both"/>
        <w:rPr>
          <w:rFonts w:ascii="Arial" w:hAnsi="Arial" w:cs="Arial"/>
          <w:sz w:val="24"/>
        </w:rPr>
      </w:pPr>
    </w:p>
    <w:p w14:paraId="15431279" w14:textId="77777777" w:rsidR="00B076A2" w:rsidRDefault="00B076A2" w:rsidP="00B076A2">
      <w:pPr>
        <w:spacing w:after="0" w:line="240" w:lineRule="auto"/>
        <w:jc w:val="both"/>
        <w:rPr>
          <w:rFonts w:ascii="Arial" w:hAnsi="Arial" w:cs="Arial"/>
          <w:sz w:val="24"/>
        </w:rPr>
      </w:pPr>
      <w:r>
        <w:rPr>
          <w:rFonts w:ascii="Arial" w:hAnsi="Arial" w:cs="Arial"/>
          <w:sz w:val="24"/>
        </w:rPr>
        <w:t>Así mismo, en la edición 2019 del IIPE, nuestro estado se posiciona dentro de los primeros lugares a nivel nacional, con un 98.3 por ciento de cumplimiento, calificación que se mejorará con base en mejores prácticas para el ejercicio fiscal 2021.</w:t>
      </w:r>
    </w:p>
    <w:p w14:paraId="49287A7B" w14:textId="77777777" w:rsidR="00B076A2" w:rsidRDefault="00B076A2" w:rsidP="00B076A2">
      <w:pPr>
        <w:spacing w:after="0" w:line="240" w:lineRule="auto"/>
        <w:jc w:val="both"/>
        <w:rPr>
          <w:rFonts w:ascii="Arial" w:hAnsi="Arial" w:cs="Arial"/>
          <w:sz w:val="24"/>
        </w:rPr>
      </w:pPr>
    </w:p>
    <w:p w14:paraId="30EFA850" w14:textId="77777777" w:rsidR="00B076A2" w:rsidRPr="00A35507" w:rsidRDefault="00B076A2" w:rsidP="00B076A2">
      <w:pPr>
        <w:spacing w:after="0" w:line="240" w:lineRule="auto"/>
        <w:jc w:val="both"/>
        <w:rPr>
          <w:rFonts w:ascii="Arial" w:hAnsi="Arial" w:cs="Arial"/>
          <w:b/>
          <w:sz w:val="24"/>
        </w:rPr>
      </w:pPr>
      <w:r w:rsidRPr="00966661">
        <w:rPr>
          <w:rFonts w:ascii="Arial" w:hAnsi="Arial" w:cs="Arial"/>
          <w:b/>
          <w:sz w:val="24"/>
        </w:rPr>
        <w:t>2.5 RESUMEN DE ESTUDIO ACTUARIAL DE LAS PENSIONES DE LOS TRABAJADORES</w:t>
      </w:r>
    </w:p>
    <w:p w14:paraId="7518C08D" w14:textId="77777777" w:rsidR="00B076A2" w:rsidRDefault="00B076A2" w:rsidP="00B076A2">
      <w:pPr>
        <w:spacing w:after="0" w:line="240" w:lineRule="auto"/>
        <w:jc w:val="both"/>
        <w:rPr>
          <w:rFonts w:ascii="Arial" w:hAnsi="Arial" w:cs="Arial"/>
          <w:sz w:val="24"/>
        </w:rPr>
      </w:pPr>
    </w:p>
    <w:p w14:paraId="519FE9F7" w14:textId="77777777" w:rsidR="00B076A2" w:rsidRDefault="00B076A2" w:rsidP="00B076A2">
      <w:pPr>
        <w:spacing w:after="0" w:line="240" w:lineRule="auto"/>
        <w:jc w:val="both"/>
        <w:rPr>
          <w:rFonts w:ascii="Arial" w:hAnsi="Arial" w:cs="Arial"/>
          <w:sz w:val="24"/>
        </w:rPr>
      </w:pPr>
      <w:r>
        <w:rPr>
          <w:rFonts w:ascii="Arial" w:hAnsi="Arial" w:cs="Arial"/>
          <w:sz w:val="24"/>
        </w:rPr>
        <w:t>En acatamiento a</w:t>
      </w:r>
      <w:r w:rsidRPr="00562139">
        <w:rPr>
          <w:rFonts w:ascii="Arial" w:hAnsi="Arial" w:cs="Arial"/>
          <w:sz w:val="24"/>
        </w:rPr>
        <w:t xml:space="preserve"> lo establecido en el artículo 5º</w:t>
      </w:r>
      <w:r>
        <w:rPr>
          <w:rFonts w:ascii="Arial" w:hAnsi="Arial" w:cs="Arial"/>
          <w:sz w:val="24"/>
        </w:rPr>
        <w:t xml:space="preserve"> fracción V</w:t>
      </w:r>
      <w:r w:rsidRPr="00562139">
        <w:rPr>
          <w:rFonts w:ascii="Arial" w:hAnsi="Arial" w:cs="Arial"/>
          <w:sz w:val="24"/>
        </w:rPr>
        <w:t xml:space="preserve"> de la Ley de Disciplina Financiera</w:t>
      </w:r>
      <w:r>
        <w:rPr>
          <w:rFonts w:ascii="Arial" w:hAnsi="Arial" w:cs="Arial"/>
          <w:sz w:val="24"/>
        </w:rPr>
        <w:t xml:space="preserve"> </w:t>
      </w:r>
      <w:r w:rsidRPr="00562139">
        <w:rPr>
          <w:rFonts w:ascii="Arial" w:hAnsi="Arial" w:cs="Arial"/>
          <w:sz w:val="24"/>
        </w:rPr>
        <w:t>de las entidades Federativas y los Municipios, a continuación, se presenta el formato</w:t>
      </w:r>
      <w:r>
        <w:rPr>
          <w:rFonts w:ascii="Arial" w:hAnsi="Arial" w:cs="Arial"/>
          <w:sz w:val="24"/>
        </w:rPr>
        <w:t xml:space="preserve"> </w:t>
      </w:r>
      <w:r w:rsidRPr="00562139">
        <w:rPr>
          <w:rFonts w:ascii="Arial" w:hAnsi="Arial" w:cs="Arial"/>
          <w:sz w:val="24"/>
        </w:rPr>
        <w:t>8) Informe sobre Estudios Actuariales - LDF aprobado por el CONAC.</w:t>
      </w:r>
      <w:r w:rsidRPr="00562139">
        <w:rPr>
          <w:rFonts w:ascii="Arial" w:hAnsi="Arial" w:cs="Arial"/>
          <w:sz w:val="24"/>
        </w:rPr>
        <w:cr/>
      </w:r>
    </w:p>
    <w:p w14:paraId="7EDF9599" w14:textId="77777777" w:rsidR="00B076A2" w:rsidRDefault="00B076A2" w:rsidP="00B076A2">
      <w:pPr>
        <w:spacing w:after="0" w:line="240" w:lineRule="auto"/>
        <w:jc w:val="both"/>
        <w:rPr>
          <w:rFonts w:ascii="Arial" w:hAnsi="Arial" w:cs="Arial"/>
          <w:sz w:val="24"/>
        </w:rPr>
      </w:pPr>
      <w:r w:rsidRPr="00562139">
        <w:rPr>
          <w:rFonts w:ascii="Arial" w:hAnsi="Arial" w:cs="Arial"/>
          <w:sz w:val="24"/>
        </w:rPr>
        <w:t>El Estudio incluye la población afiliada, la edad promedio, las características de las</w:t>
      </w:r>
      <w:r>
        <w:rPr>
          <w:rFonts w:ascii="Arial" w:hAnsi="Arial" w:cs="Arial"/>
          <w:sz w:val="24"/>
        </w:rPr>
        <w:t xml:space="preserve"> </w:t>
      </w:r>
      <w:r w:rsidRPr="00562139">
        <w:rPr>
          <w:rFonts w:ascii="Arial" w:hAnsi="Arial" w:cs="Arial"/>
          <w:sz w:val="24"/>
        </w:rPr>
        <w:t>prestaciones otorgadas por la Ley aplicable, el monto de reservas de pensiones, así</w:t>
      </w:r>
      <w:r>
        <w:rPr>
          <w:rFonts w:ascii="Arial" w:hAnsi="Arial" w:cs="Arial"/>
          <w:sz w:val="24"/>
        </w:rPr>
        <w:t xml:space="preserve"> </w:t>
      </w:r>
      <w:r w:rsidRPr="00562139">
        <w:rPr>
          <w:rFonts w:ascii="Arial" w:hAnsi="Arial" w:cs="Arial"/>
          <w:sz w:val="24"/>
        </w:rPr>
        <w:t>como el periodo de suficiencia y el Balance Actuarial en valor presente.</w:t>
      </w:r>
    </w:p>
    <w:p w14:paraId="627B0BDC" w14:textId="77777777" w:rsidR="00B076A2" w:rsidRDefault="00B076A2" w:rsidP="00B076A2">
      <w:pPr>
        <w:spacing w:after="0" w:line="240" w:lineRule="auto"/>
        <w:jc w:val="both"/>
        <w:rPr>
          <w:noProof/>
        </w:rPr>
      </w:pPr>
    </w:p>
    <w:p w14:paraId="2582EBBD" w14:textId="77777777" w:rsidR="00B076A2" w:rsidRPr="00F67E1D" w:rsidRDefault="00B076A2" w:rsidP="00B076A2">
      <w:pPr>
        <w:spacing w:after="0" w:line="240" w:lineRule="auto"/>
        <w:jc w:val="center"/>
        <w:rPr>
          <w:noProof/>
        </w:rPr>
      </w:pPr>
      <w:r w:rsidRPr="00F67E1D">
        <w:rPr>
          <w:noProof/>
        </w:rPr>
        <w:lastRenderedPageBreak/>
        <w:drawing>
          <wp:inline distT="0" distB="0" distL="0" distR="0" wp14:anchorId="3F2B2752" wp14:editId="759047E2">
            <wp:extent cx="5457426" cy="7548113"/>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59033" cy="7550336"/>
                    </a:xfrm>
                    <a:prstGeom prst="rect">
                      <a:avLst/>
                    </a:prstGeom>
                    <a:noFill/>
                    <a:ln>
                      <a:noFill/>
                    </a:ln>
                  </pic:spPr>
                </pic:pic>
              </a:graphicData>
            </a:graphic>
          </wp:inline>
        </w:drawing>
      </w:r>
    </w:p>
    <w:p w14:paraId="2A9A6BF5" w14:textId="77777777" w:rsidR="00B076A2" w:rsidRDefault="00B076A2" w:rsidP="00B076A2">
      <w:pPr>
        <w:spacing w:after="0" w:line="240" w:lineRule="auto"/>
        <w:jc w:val="both"/>
        <w:rPr>
          <w:rFonts w:ascii="Arial" w:hAnsi="Arial" w:cs="Arial"/>
          <w:sz w:val="24"/>
        </w:rPr>
      </w:pPr>
      <w:r>
        <w:rPr>
          <w:rFonts w:ascii="Arial" w:hAnsi="Arial" w:cs="Arial"/>
          <w:sz w:val="24"/>
        </w:rPr>
        <w:lastRenderedPageBreak/>
        <w:t>El cálculo actuarial es la técnica que determina el costo actual y futuro de las obligaciones del área de prestaciones económicas, proporcionando una amplia información que deberá considerarse como fundamental para definir el rumbo del Esquema de Seguridad Social, de la manera más aproximada posible.</w:t>
      </w:r>
    </w:p>
    <w:p w14:paraId="012C559F" w14:textId="77777777" w:rsidR="00B076A2" w:rsidRDefault="00B076A2" w:rsidP="00B076A2">
      <w:pPr>
        <w:spacing w:after="0" w:line="240" w:lineRule="auto"/>
        <w:jc w:val="both"/>
        <w:rPr>
          <w:rFonts w:ascii="Arial" w:hAnsi="Arial" w:cs="Arial"/>
          <w:sz w:val="24"/>
        </w:rPr>
      </w:pPr>
    </w:p>
    <w:p w14:paraId="1CDD7068" w14:textId="77777777" w:rsidR="00B076A2" w:rsidRPr="002C531E" w:rsidRDefault="00B076A2" w:rsidP="00B076A2">
      <w:pPr>
        <w:spacing w:after="0" w:line="240" w:lineRule="auto"/>
        <w:jc w:val="both"/>
        <w:rPr>
          <w:rFonts w:ascii="Arial" w:hAnsi="Arial" w:cs="Arial"/>
          <w:i/>
        </w:rPr>
      </w:pPr>
      <w:r w:rsidRPr="00616786">
        <w:rPr>
          <w:noProof/>
        </w:rPr>
        <w:drawing>
          <wp:anchor distT="0" distB="0" distL="114300" distR="114300" simplePos="0" relativeHeight="251659264" behindDoc="1" locked="0" layoutInCell="1" allowOverlap="1" wp14:anchorId="3B2293CD" wp14:editId="388CEC20">
            <wp:simplePos x="0" y="0"/>
            <wp:positionH relativeFrom="margin">
              <wp:align>left</wp:align>
            </wp:positionH>
            <wp:positionV relativeFrom="paragraph">
              <wp:posOffset>168347</wp:posOffset>
            </wp:positionV>
            <wp:extent cx="3549650" cy="6124575"/>
            <wp:effectExtent l="0" t="0" r="0" b="9525"/>
            <wp:wrapThrough wrapText="bothSides">
              <wp:wrapPolygon edited="0">
                <wp:start x="0" y="0"/>
                <wp:lineTo x="0" y="21432"/>
                <wp:lineTo x="696" y="21566"/>
                <wp:lineTo x="18200" y="21566"/>
                <wp:lineTo x="21445" y="21365"/>
                <wp:lineTo x="21445" y="0"/>
                <wp:lineTo x="0" y="0"/>
              </wp:wrapPolygon>
            </wp:wrapThrough>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549650" cy="6124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2139">
        <w:rPr>
          <w:rFonts w:ascii="Arial" w:hAnsi="Arial" w:cs="Arial"/>
          <w:sz w:val="24"/>
        </w:rPr>
        <w:t>La Ley de Disciplina Financiera de las Entidades Federativas y los Municipios indica, en su artículo 5</w:t>
      </w:r>
      <w:r>
        <w:rPr>
          <w:rFonts w:ascii="Arial" w:hAnsi="Arial" w:cs="Arial"/>
          <w:sz w:val="24"/>
        </w:rPr>
        <w:t>°</w:t>
      </w:r>
      <w:r w:rsidRPr="00562139">
        <w:rPr>
          <w:rFonts w:ascii="Arial" w:hAnsi="Arial" w:cs="Arial"/>
          <w:sz w:val="24"/>
        </w:rPr>
        <w:t xml:space="preserve">, que la </w:t>
      </w:r>
      <w:r>
        <w:rPr>
          <w:rFonts w:ascii="Arial" w:hAnsi="Arial" w:cs="Arial"/>
          <w:sz w:val="24"/>
        </w:rPr>
        <w:t>i</w:t>
      </w:r>
      <w:r w:rsidRPr="00562139">
        <w:rPr>
          <w:rFonts w:ascii="Arial" w:hAnsi="Arial" w:cs="Arial"/>
          <w:sz w:val="24"/>
        </w:rPr>
        <w:t>niciativa de Ley de Ingresos y el proyecto de Presupuesto de Egresos de las Entidades Federativas deben de elaborarse conforme a lo</w:t>
      </w:r>
      <w:r>
        <w:rPr>
          <w:rFonts w:ascii="Arial" w:hAnsi="Arial" w:cs="Arial"/>
          <w:sz w:val="24"/>
        </w:rPr>
        <w:t xml:space="preserve"> </w:t>
      </w:r>
      <w:r w:rsidRPr="00562139">
        <w:rPr>
          <w:rFonts w:ascii="Arial" w:hAnsi="Arial" w:cs="Arial"/>
          <w:sz w:val="24"/>
        </w:rPr>
        <w:t>dispuesto en la Ley General de Contabilidad Gubernamental y en las normas del</w:t>
      </w:r>
      <w:r>
        <w:rPr>
          <w:rFonts w:ascii="Arial" w:hAnsi="Arial" w:cs="Arial"/>
          <w:sz w:val="24"/>
        </w:rPr>
        <w:t xml:space="preserve"> </w:t>
      </w:r>
      <w:r w:rsidRPr="00562139">
        <w:rPr>
          <w:rFonts w:ascii="Arial" w:hAnsi="Arial" w:cs="Arial"/>
          <w:sz w:val="24"/>
        </w:rPr>
        <w:t>Consejo Nacional de Armonización Contable (CONAC). Además de lo anterior, para</w:t>
      </w:r>
      <w:r>
        <w:rPr>
          <w:rFonts w:ascii="Arial" w:hAnsi="Arial" w:cs="Arial"/>
          <w:sz w:val="24"/>
        </w:rPr>
        <w:t xml:space="preserve"> </w:t>
      </w:r>
      <w:r w:rsidRPr="00562139">
        <w:rPr>
          <w:rFonts w:ascii="Arial" w:hAnsi="Arial" w:cs="Arial"/>
          <w:sz w:val="24"/>
        </w:rPr>
        <w:t>que proceda la aprobación del paquete económico por parte del Congreso Estatal,</w:t>
      </w:r>
      <w:r>
        <w:rPr>
          <w:rFonts w:ascii="Arial" w:hAnsi="Arial" w:cs="Arial"/>
          <w:sz w:val="24"/>
        </w:rPr>
        <w:t xml:space="preserve"> </w:t>
      </w:r>
      <w:r w:rsidRPr="00562139">
        <w:rPr>
          <w:rFonts w:ascii="Arial" w:hAnsi="Arial" w:cs="Arial"/>
          <w:sz w:val="24"/>
        </w:rPr>
        <w:t>dicho paquete deberá incluir, entre otras cosas, lo siguiente:</w:t>
      </w:r>
      <w:r w:rsidRPr="00562139">
        <w:rPr>
          <w:rFonts w:ascii="Arial" w:hAnsi="Arial" w:cs="Arial"/>
          <w:sz w:val="24"/>
        </w:rPr>
        <w:cr/>
      </w:r>
    </w:p>
    <w:p w14:paraId="762E0FBC" w14:textId="77777777" w:rsidR="00B076A2" w:rsidRPr="002C531E" w:rsidRDefault="00B076A2" w:rsidP="00B076A2">
      <w:pPr>
        <w:spacing w:after="0" w:line="240" w:lineRule="auto"/>
        <w:jc w:val="both"/>
        <w:rPr>
          <w:rFonts w:ascii="Arial" w:hAnsi="Arial" w:cs="Arial"/>
          <w:i/>
          <w:sz w:val="24"/>
        </w:rPr>
      </w:pPr>
      <w:r w:rsidRPr="002C531E">
        <w:rPr>
          <w:rFonts w:ascii="Arial" w:hAnsi="Arial" w:cs="Arial"/>
          <w:i/>
          <w:sz w:val="24"/>
        </w:rPr>
        <w:t xml:space="preserve">“IV. Un estudio actuarial de las pensiones de sus trabajadores, el cual como mínimo deberá actualizarse cada tres años. El estudio deberá incluir la población afiliada, la edad promedio, las características de las prestaciones otorgadas </w:t>
      </w:r>
      <w:r w:rsidRPr="002C531E">
        <w:rPr>
          <w:rFonts w:ascii="Arial" w:hAnsi="Arial" w:cs="Arial"/>
          <w:i/>
          <w:sz w:val="24"/>
        </w:rPr>
        <w:lastRenderedPageBreak/>
        <w:t>por la Ley aplicable, el monto de reservas de pensiones, así como el periodo de suficiencia y el balance actuarial en valor presente”.</w:t>
      </w:r>
    </w:p>
    <w:p w14:paraId="601E8F5A" w14:textId="77777777" w:rsidR="00B076A2" w:rsidRDefault="00B076A2" w:rsidP="00B076A2">
      <w:pPr>
        <w:spacing w:after="0" w:line="240" w:lineRule="auto"/>
        <w:jc w:val="both"/>
        <w:rPr>
          <w:rFonts w:ascii="Arial" w:hAnsi="Arial" w:cs="Arial"/>
          <w:sz w:val="24"/>
        </w:rPr>
      </w:pPr>
    </w:p>
    <w:p w14:paraId="0F6E4F15" w14:textId="77777777" w:rsidR="00B076A2" w:rsidRDefault="00B076A2" w:rsidP="00B076A2">
      <w:pPr>
        <w:spacing w:after="0" w:line="240" w:lineRule="auto"/>
        <w:jc w:val="both"/>
        <w:rPr>
          <w:rFonts w:ascii="Arial" w:hAnsi="Arial" w:cs="Arial"/>
          <w:sz w:val="24"/>
        </w:rPr>
      </w:pPr>
      <w:r>
        <w:rPr>
          <w:rFonts w:ascii="Arial" w:hAnsi="Arial" w:cs="Arial"/>
          <w:sz w:val="24"/>
        </w:rPr>
        <w:t>Aunado a lo anterior, se presenta el flujo esperado de egresos, aportaciones y aportaciones adicionales, así como la gráfica del comportamiento de los egresos y aportaciones futuras, todo ello para el Personal Ejecutivo Centralizado.</w:t>
      </w:r>
    </w:p>
    <w:p w14:paraId="15DC94E0" w14:textId="77777777" w:rsidR="00B076A2" w:rsidRDefault="00B076A2" w:rsidP="00B076A2">
      <w:pPr>
        <w:spacing w:after="0" w:line="240" w:lineRule="auto"/>
        <w:jc w:val="both"/>
        <w:rPr>
          <w:rFonts w:ascii="Arial" w:hAnsi="Arial" w:cs="Arial"/>
          <w:sz w:val="24"/>
        </w:rPr>
      </w:pPr>
    </w:p>
    <w:p w14:paraId="4A480A59" w14:textId="77777777" w:rsidR="00B076A2" w:rsidRDefault="00B076A2" w:rsidP="00B076A2">
      <w:pPr>
        <w:spacing w:after="0" w:line="240" w:lineRule="auto"/>
        <w:rPr>
          <w:rFonts w:ascii="Arial" w:hAnsi="Arial" w:cs="Arial"/>
          <w:sz w:val="24"/>
        </w:rPr>
      </w:pPr>
    </w:p>
    <w:p w14:paraId="48C1E248" w14:textId="77777777" w:rsidR="00B076A2" w:rsidRDefault="00B076A2" w:rsidP="00B076A2">
      <w:pPr>
        <w:spacing w:after="0" w:line="240" w:lineRule="auto"/>
        <w:jc w:val="center"/>
        <w:rPr>
          <w:rFonts w:ascii="Arial" w:hAnsi="Arial" w:cs="Arial"/>
          <w:sz w:val="24"/>
        </w:rPr>
      </w:pPr>
      <w:r w:rsidRPr="00F6761F">
        <w:rPr>
          <w:noProof/>
        </w:rPr>
        <w:drawing>
          <wp:inline distT="0" distB="0" distL="0" distR="0" wp14:anchorId="114B5A80" wp14:editId="12DB8FEF">
            <wp:extent cx="5253450" cy="3407434"/>
            <wp:effectExtent l="0" t="0" r="4445" b="254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268738" cy="3417350"/>
                    </a:xfrm>
                    <a:prstGeom prst="rect">
                      <a:avLst/>
                    </a:prstGeom>
                    <a:noFill/>
                    <a:ln>
                      <a:noFill/>
                    </a:ln>
                  </pic:spPr>
                </pic:pic>
              </a:graphicData>
            </a:graphic>
          </wp:inline>
        </w:drawing>
      </w:r>
    </w:p>
    <w:p w14:paraId="5112B7DA" w14:textId="77777777" w:rsidR="00B076A2" w:rsidRDefault="00B076A2" w:rsidP="00B076A2">
      <w:pPr>
        <w:spacing w:after="0" w:line="240" w:lineRule="auto"/>
        <w:jc w:val="center"/>
        <w:rPr>
          <w:rFonts w:ascii="Arial" w:hAnsi="Arial" w:cs="Arial"/>
          <w:sz w:val="24"/>
        </w:rPr>
      </w:pPr>
    </w:p>
    <w:p w14:paraId="5623FBEA" w14:textId="77777777" w:rsidR="00B076A2" w:rsidRDefault="00B076A2" w:rsidP="00B076A2">
      <w:pPr>
        <w:spacing w:after="0"/>
        <w:jc w:val="both"/>
        <w:rPr>
          <w:rFonts w:ascii="Arial" w:hAnsi="Arial" w:cs="Arial"/>
          <w:b/>
          <w:sz w:val="24"/>
        </w:rPr>
      </w:pPr>
    </w:p>
    <w:p w14:paraId="3D84120E" w14:textId="77777777" w:rsidR="00B076A2" w:rsidRDefault="00B076A2" w:rsidP="00B076A2">
      <w:pPr>
        <w:spacing w:after="0"/>
        <w:jc w:val="both"/>
        <w:rPr>
          <w:rFonts w:ascii="Arial" w:hAnsi="Arial" w:cs="Arial"/>
          <w:b/>
          <w:sz w:val="24"/>
        </w:rPr>
      </w:pPr>
    </w:p>
    <w:p w14:paraId="0EB578F5" w14:textId="77777777" w:rsidR="00B076A2" w:rsidRDefault="00B076A2" w:rsidP="00B076A2">
      <w:pPr>
        <w:spacing w:after="0"/>
        <w:jc w:val="both"/>
        <w:rPr>
          <w:rFonts w:ascii="Arial" w:hAnsi="Arial" w:cs="Arial"/>
          <w:b/>
          <w:sz w:val="24"/>
        </w:rPr>
      </w:pPr>
    </w:p>
    <w:p w14:paraId="62EE089F" w14:textId="77777777" w:rsidR="00B076A2" w:rsidRDefault="00B076A2" w:rsidP="00B076A2">
      <w:pPr>
        <w:spacing w:after="0"/>
        <w:jc w:val="both"/>
        <w:rPr>
          <w:rFonts w:ascii="Arial" w:hAnsi="Arial" w:cs="Arial"/>
          <w:b/>
          <w:sz w:val="24"/>
        </w:rPr>
      </w:pPr>
    </w:p>
    <w:p w14:paraId="60CDAFC0" w14:textId="77777777" w:rsidR="00B076A2" w:rsidRDefault="00B076A2" w:rsidP="00B076A2">
      <w:pPr>
        <w:spacing w:after="0"/>
        <w:jc w:val="both"/>
        <w:rPr>
          <w:rFonts w:ascii="Arial" w:hAnsi="Arial" w:cs="Arial"/>
          <w:b/>
          <w:sz w:val="24"/>
        </w:rPr>
      </w:pPr>
    </w:p>
    <w:p w14:paraId="4DDC397B" w14:textId="77777777" w:rsidR="00B076A2" w:rsidRDefault="00B076A2" w:rsidP="00B076A2">
      <w:pPr>
        <w:spacing w:after="0"/>
        <w:jc w:val="both"/>
        <w:rPr>
          <w:rFonts w:ascii="Arial" w:hAnsi="Arial" w:cs="Arial"/>
          <w:b/>
          <w:sz w:val="24"/>
        </w:rPr>
      </w:pPr>
    </w:p>
    <w:p w14:paraId="149610A2" w14:textId="77777777" w:rsidR="00B076A2" w:rsidRDefault="00B076A2" w:rsidP="00B076A2">
      <w:pPr>
        <w:spacing w:after="0"/>
        <w:jc w:val="both"/>
        <w:rPr>
          <w:rFonts w:ascii="Arial" w:hAnsi="Arial" w:cs="Arial"/>
          <w:b/>
          <w:sz w:val="24"/>
        </w:rPr>
      </w:pPr>
    </w:p>
    <w:p w14:paraId="5C08CE5F" w14:textId="77777777" w:rsidR="00B076A2" w:rsidRDefault="00B076A2" w:rsidP="00B076A2">
      <w:pPr>
        <w:spacing w:after="0"/>
        <w:jc w:val="both"/>
        <w:rPr>
          <w:rFonts w:ascii="Arial" w:hAnsi="Arial" w:cs="Arial"/>
          <w:b/>
          <w:sz w:val="24"/>
        </w:rPr>
      </w:pPr>
    </w:p>
    <w:p w14:paraId="58E20334" w14:textId="77777777" w:rsidR="00B076A2" w:rsidRDefault="00B076A2" w:rsidP="00B076A2">
      <w:pPr>
        <w:spacing w:after="0"/>
        <w:jc w:val="both"/>
        <w:rPr>
          <w:rFonts w:ascii="Arial" w:hAnsi="Arial" w:cs="Arial"/>
          <w:b/>
          <w:sz w:val="24"/>
        </w:rPr>
      </w:pPr>
    </w:p>
    <w:p w14:paraId="71A1C2EC" w14:textId="77777777" w:rsidR="00B076A2" w:rsidRDefault="00B076A2" w:rsidP="00B076A2">
      <w:pPr>
        <w:spacing w:after="0"/>
        <w:jc w:val="both"/>
        <w:rPr>
          <w:rFonts w:ascii="Arial" w:hAnsi="Arial" w:cs="Arial"/>
          <w:b/>
          <w:sz w:val="24"/>
        </w:rPr>
      </w:pPr>
    </w:p>
    <w:p w14:paraId="65BFBA30" w14:textId="77777777" w:rsidR="00B076A2" w:rsidRDefault="00B076A2" w:rsidP="00B076A2">
      <w:pPr>
        <w:spacing w:after="0"/>
        <w:jc w:val="both"/>
        <w:rPr>
          <w:rFonts w:ascii="Arial" w:hAnsi="Arial" w:cs="Arial"/>
          <w:b/>
          <w:sz w:val="24"/>
        </w:rPr>
      </w:pPr>
    </w:p>
    <w:p w14:paraId="0756B75B" w14:textId="77777777" w:rsidR="00B076A2" w:rsidRPr="003E1F1D" w:rsidRDefault="00B076A2" w:rsidP="00B076A2">
      <w:pPr>
        <w:spacing w:after="0"/>
        <w:jc w:val="both"/>
        <w:rPr>
          <w:rFonts w:ascii="Arial" w:hAnsi="Arial" w:cs="Arial"/>
          <w:b/>
          <w:sz w:val="24"/>
        </w:rPr>
      </w:pPr>
      <w:r w:rsidRPr="003E1F1D">
        <w:rPr>
          <w:rFonts w:ascii="Arial" w:hAnsi="Arial" w:cs="Arial"/>
          <w:b/>
          <w:sz w:val="24"/>
        </w:rPr>
        <w:lastRenderedPageBreak/>
        <w:t>2.5.1 Estimación de las Pensiones y Jubilaciones, y Cuotas y Aportaciones al Instituto de Pensiones de los Servidores Públicos del Estado de Colima</w:t>
      </w:r>
    </w:p>
    <w:p w14:paraId="24C4D176" w14:textId="77777777" w:rsidR="00B076A2" w:rsidRDefault="00B076A2" w:rsidP="00B076A2">
      <w:pPr>
        <w:spacing w:after="0" w:line="240" w:lineRule="auto"/>
        <w:jc w:val="both"/>
        <w:rPr>
          <w:rFonts w:ascii="Arial" w:hAnsi="Arial" w:cs="Arial"/>
          <w:sz w:val="24"/>
        </w:rPr>
      </w:pPr>
    </w:p>
    <w:p w14:paraId="2DA46692" w14:textId="77777777" w:rsidR="00B076A2" w:rsidRDefault="00B076A2" w:rsidP="00B076A2">
      <w:pPr>
        <w:spacing w:after="0" w:line="240" w:lineRule="auto"/>
        <w:jc w:val="both"/>
        <w:rPr>
          <w:rFonts w:ascii="Arial" w:hAnsi="Arial" w:cs="Arial"/>
          <w:sz w:val="24"/>
        </w:rPr>
      </w:pPr>
      <w:r>
        <w:rPr>
          <w:rFonts w:ascii="Arial" w:hAnsi="Arial" w:cs="Arial"/>
          <w:sz w:val="24"/>
        </w:rPr>
        <w:t>Se presenta un resumen de los recursos ejercidos en materia de pensiones y jubilaciones durante el periodo 2015-2019, así como las erogaciones para dichos conceptos en el ejercicio fiscal 2020, y las estimadas para el 2021.</w:t>
      </w:r>
    </w:p>
    <w:p w14:paraId="16FFCC8D" w14:textId="77777777" w:rsidR="00B076A2" w:rsidRDefault="00B076A2" w:rsidP="00B076A2">
      <w:pPr>
        <w:spacing w:after="0" w:line="240" w:lineRule="auto"/>
        <w:jc w:val="both"/>
        <w:rPr>
          <w:rFonts w:ascii="Arial" w:hAnsi="Arial" w:cs="Arial"/>
          <w:sz w:val="24"/>
        </w:rPr>
      </w:pPr>
    </w:p>
    <w:p w14:paraId="6E570B12" w14:textId="77777777" w:rsidR="00B076A2" w:rsidRDefault="00B076A2" w:rsidP="00B076A2">
      <w:pPr>
        <w:spacing w:after="0" w:line="240" w:lineRule="auto"/>
        <w:jc w:val="both"/>
        <w:rPr>
          <w:rFonts w:ascii="Arial" w:hAnsi="Arial" w:cs="Arial"/>
          <w:sz w:val="24"/>
        </w:rPr>
      </w:pPr>
      <w:r w:rsidRPr="00845441">
        <w:rPr>
          <w:noProof/>
        </w:rPr>
        <w:drawing>
          <wp:inline distT="0" distB="0" distL="0" distR="0" wp14:anchorId="0C2D767B" wp14:editId="4726F811">
            <wp:extent cx="5396487" cy="164764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05588" cy="1650424"/>
                    </a:xfrm>
                    <a:prstGeom prst="rect">
                      <a:avLst/>
                    </a:prstGeom>
                    <a:noFill/>
                    <a:ln>
                      <a:noFill/>
                    </a:ln>
                  </pic:spPr>
                </pic:pic>
              </a:graphicData>
            </a:graphic>
          </wp:inline>
        </w:drawing>
      </w:r>
    </w:p>
    <w:p w14:paraId="1C50A72E" w14:textId="77777777" w:rsidR="00B076A2" w:rsidRDefault="00B076A2" w:rsidP="00B076A2">
      <w:pPr>
        <w:spacing w:after="0" w:line="240" w:lineRule="auto"/>
        <w:jc w:val="both"/>
        <w:rPr>
          <w:rFonts w:ascii="Arial" w:hAnsi="Arial" w:cs="Arial"/>
          <w:sz w:val="24"/>
        </w:rPr>
      </w:pPr>
    </w:p>
    <w:p w14:paraId="5D2A4A14" w14:textId="77777777" w:rsidR="00B076A2" w:rsidRDefault="00B076A2" w:rsidP="00B076A2">
      <w:pPr>
        <w:spacing w:after="0" w:line="240" w:lineRule="auto"/>
        <w:jc w:val="both"/>
        <w:rPr>
          <w:rFonts w:ascii="Arial" w:hAnsi="Arial" w:cs="Arial"/>
          <w:sz w:val="24"/>
        </w:rPr>
      </w:pPr>
      <w:r>
        <w:rPr>
          <w:rFonts w:ascii="Arial" w:hAnsi="Arial" w:cs="Arial"/>
          <w:sz w:val="24"/>
        </w:rPr>
        <w:t>Así mismo, en acatamiento a lo previsto en el artículo 60 de la Ley de Pensiones de los Servidores Públicos del Estado de Colima, aprobada por el H. Congreso del Estado, se presupuesta la aportación diferencia de Poder Ejecutivo Estatal al Instituto de Pensiones de los Servidores Públicos del Estado así como una asignación para la aportación extraordinaria al mencionado Instituto.</w:t>
      </w:r>
    </w:p>
    <w:p w14:paraId="3A68CE36" w14:textId="77777777" w:rsidR="00B076A2" w:rsidRDefault="00B076A2" w:rsidP="00B076A2">
      <w:pPr>
        <w:spacing w:after="0" w:line="240" w:lineRule="auto"/>
        <w:jc w:val="both"/>
        <w:rPr>
          <w:rFonts w:ascii="Arial" w:hAnsi="Arial" w:cs="Arial"/>
          <w:sz w:val="24"/>
        </w:rPr>
      </w:pPr>
    </w:p>
    <w:p w14:paraId="61BBCB80" w14:textId="77777777" w:rsidR="00B076A2" w:rsidRDefault="00B076A2" w:rsidP="00B076A2">
      <w:pPr>
        <w:spacing w:after="0" w:line="240" w:lineRule="auto"/>
        <w:jc w:val="both"/>
        <w:rPr>
          <w:rFonts w:ascii="Arial" w:hAnsi="Arial" w:cs="Arial"/>
          <w:sz w:val="24"/>
        </w:rPr>
      </w:pPr>
      <w:r w:rsidRPr="00FF16EC">
        <w:rPr>
          <w:rFonts w:ascii="Arial" w:hAnsi="Arial" w:cs="Arial"/>
          <w:sz w:val="24"/>
        </w:rPr>
        <w:t>Como se puede observar, de 2015 a lo estimado en 2021 las pensiones y jubilaciones para el magisterio y burocracia han crecido en aproximadamente 114 por ciento, y para 2020 representarán el 13 por ciento del total de los Ingresos de Libre Disposición (ILD) estimados en la Iniciativa de Ley de Ingresos, si a lo anterior se le suma la aportación diferenciada de los salarios de cotización de cada uno de los servidores públicos, esta participación porcentual asciende al 14 por ciento del total de los ILD, cuyo destino es el sistema pensionario estatal.</w:t>
      </w:r>
    </w:p>
    <w:p w14:paraId="7C7ADE30" w14:textId="77777777" w:rsidR="00B076A2" w:rsidRDefault="00B076A2" w:rsidP="00B076A2">
      <w:pPr>
        <w:spacing w:after="0" w:line="240" w:lineRule="auto"/>
        <w:jc w:val="both"/>
        <w:rPr>
          <w:rFonts w:ascii="Arial" w:hAnsi="Arial" w:cs="Arial"/>
          <w:sz w:val="24"/>
        </w:rPr>
      </w:pPr>
    </w:p>
    <w:p w14:paraId="10AADED6" w14:textId="77777777" w:rsidR="00B076A2" w:rsidRPr="003E1F1D" w:rsidRDefault="00B076A2" w:rsidP="00B076A2">
      <w:pPr>
        <w:spacing w:after="0"/>
        <w:rPr>
          <w:rFonts w:ascii="Arial" w:hAnsi="Arial" w:cs="Arial"/>
          <w:b/>
          <w:sz w:val="24"/>
        </w:rPr>
      </w:pPr>
      <w:r w:rsidRPr="003E1F1D">
        <w:rPr>
          <w:rFonts w:ascii="Arial" w:hAnsi="Arial" w:cs="Arial"/>
          <w:b/>
          <w:sz w:val="24"/>
        </w:rPr>
        <w:t>2.6 EL BALANCE PRESUPUESTARIO Y SU JUSTIFICACIÓN</w:t>
      </w:r>
    </w:p>
    <w:p w14:paraId="063373EA" w14:textId="77777777" w:rsidR="00B076A2" w:rsidRDefault="00B076A2" w:rsidP="00B076A2">
      <w:pPr>
        <w:spacing w:after="0" w:line="240" w:lineRule="auto"/>
        <w:jc w:val="both"/>
        <w:rPr>
          <w:rFonts w:ascii="Arial" w:hAnsi="Arial" w:cs="Arial"/>
          <w:sz w:val="24"/>
        </w:rPr>
      </w:pPr>
    </w:p>
    <w:p w14:paraId="7EF28603" w14:textId="77777777" w:rsidR="00B076A2" w:rsidRDefault="00B076A2" w:rsidP="00B076A2">
      <w:pPr>
        <w:spacing w:after="0" w:line="240" w:lineRule="auto"/>
        <w:jc w:val="both"/>
        <w:rPr>
          <w:rFonts w:ascii="Arial" w:hAnsi="Arial" w:cs="Arial"/>
          <w:sz w:val="24"/>
        </w:rPr>
      </w:pPr>
      <w:r>
        <w:rPr>
          <w:rFonts w:ascii="Arial" w:hAnsi="Arial" w:cs="Arial"/>
          <w:sz w:val="24"/>
        </w:rPr>
        <w:t xml:space="preserve">De acuerdo al artículo 2 fracción II y III, </w:t>
      </w:r>
      <w:r w:rsidRPr="003E1F1D">
        <w:rPr>
          <w:rFonts w:ascii="Arial" w:hAnsi="Arial" w:cs="Arial"/>
          <w:sz w:val="24"/>
        </w:rPr>
        <w:t>de la Ley de Disciplina</w:t>
      </w:r>
      <w:r>
        <w:rPr>
          <w:rFonts w:ascii="Arial" w:hAnsi="Arial" w:cs="Arial"/>
          <w:sz w:val="24"/>
        </w:rPr>
        <w:t xml:space="preserve"> </w:t>
      </w:r>
      <w:r w:rsidRPr="003E1F1D">
        <w:rPr>
          <w:rFonts w:ascii="Arial" w:hAnsi="Arial" w:cs="Arial"/>
          <w:sz w:val="24"/>
        </w:rPr>
        <w:t>Financiera de Entidad</w:t>
      </w:r>
      <w:r>
        <w:rPr>
          <w:rFonts w:ascii="Arial" w:hAnsi="Arial" w:cs="Arial"/>
          <w:sz w:val="24"/>
        </w:rPr>
        <w:t>es Federativas y los Municipios, el</w:t>
      </w:r>
      <w:r w:rsidRPr="003E1F1D">
        <w:rPr>
          <w:rFonts w:ascii="Arial" w:hAnsi="Arial" w:cs="Arial"/>
          <w:sz w:val="24"/>
        </w:rPr>
        <w:t xml:space="preserve"> Balance</w:t>
      </w:r>
      <w:r>
        <w:rPr>
          <w:rFonts w:ascii="Arial" w:hAnsi="Arial" w:cs="Arial"/>
          <w:sz w:val="24"/>
        </w:rPr>
        <w:t xml:space="preserve"> </w:t>
      </w:r>
      <w:r w:rsidRPr="003E1F1D">
        <w:rPr>
          <w:rFonts w:ascii="Arial" w:hAnsi="Arial" w:cs="Arial"/>
          <w:sz w:val="24"/>
        </w:rPr>
        <w:t>Presupuestario y al Balance Presupuestario de Recursos Disponibles se define de la siguiente manera:</w:t>
      </w:r>
    </w:p>
    <w:p w14:paraId="390C0F29" w14:textId="77777777" w:rsidR="00B076A2" w:rsidRDefault="00B076A2" w:rsidP="00B076A2">
      <w:pPr>
        <w:spacing w:after="0" w:line="240" w:lineRule="auto"/>
        <w:jc w:val="both"/>
        <w:rPr>
          <w:rFonts w:ascii="Arial" w:hAnsi="Arial" w:cs="Arial"/>
          <w:sz w:val="24"/>
        </w:rPr>
      </w:pPr>
    </w:p>
    <w:p w14:paraId="1EAE6B4B" w14:textId="77777777" w:rsidR="00B076A2" w:rsidRPr="00D02772" w:rsidRDefault="00B076A2" w:rsidP="00B076A2">
      <w:pPr>
        <w:spacing w:after="0" w:line="240" w:lineRule="auto"/>
        <w:jc w:val="both"/>
        <w:rPr>
          <w:rFonts w:ascii="Arial" w:hAnsi="Arial" w:cs="Arial"/>
          <w:i/>
          <w:sz w:val="24"/>
        </w:rPr>
      </w:pPr>
      <w:r w:rsidRPr="00D02772">
        <w:rPr>
          <w:rFonts w:ascii="Arial" w:hAnsi="Arial" w:cs="Arial"/>
          <w:i/>
          <w:sz w:val="24"/>
        </w:rPr>
        <w:lastRenderedPageBreak/>
        <w:t>“…</w:t>
      </w:r>
      <w:r w:rsidRPr="00D02772">
        <w:rPr>
          <w:rFonts w:ascii="Arial" w:hAnsi="Arial" w:cs="Arial"/>
          <w:b/>
          <w:i/>
          <w:sz w:val="24"/>
        </w:rPr>
        <w:t>II. Balance presupuestario</w:t>
      </w:r>
      <w:r w:rsidRPr="00D02772">
        <w:rPr>
          <w:rFonts w:ascii="Arial" w:hAnsi="Arial" w:cs="Arial"/>
          <w:i/>
          <w:sz w:val="24"/>
        </w:rPr>
        <w:t>: la diferencia entre los Ingresos totales incluidos en la Ley de Ingresos, y los Gastos totales considerados en el Presupuesto de Egresos, con excepción de la amortización de la deuda;</w:t>
      </w:r>
    </w:p>
    <w:p w14:paraId="2456D618" w14:textId="77777777" w:rsidR="00B076A2" w:rsidRPr="00D02772" w:rsidRDefault="00B076A2" w:rsidP="00B076A2">
      <w:pPr>
        <w:spacing w:after="0" w:line="240" w:lineRule="auto"/>
        <w:jc w:val="both"/>
        <w:rPr>
          <w:rFonts w:ascii="Arial" w:hAnsi="Arial" w:cs="Arial"/>
          <w:i/>
          <w:sz w:val="24"/>
        </w:rPr>
      </w:pPr>
    </w:p>
    <w:p w14:paraId="326012E3" w14:textId="77777777" w:rsidR="00B076A2" w:rsidRDefault="00B076A2" w:rsidP="00B076A2">
      <w:pPr>
        <w:spacing w:after="0" w:line="240" w:lineRule="auto"/>
        <w:jc w:val="both"/>
        <w:rPr>
          <w:rFonts w:ascii="Arial" w:hAnsi="Arial" w:cs="Arial"/>
          <w:i/>
          <w:sz w:val="24"/>
        </w:rPr>
      </w:pPr>
      <w:r w:rsidRPr="00D02772">
        <w:rPr>
          <w:rFonts w:ascii="Arial" w:hAnsi="Arial" w:cs="Arial"/>
          <w:b/>
          <w:i/>
          <w:sz w:val="24"/>
        </w:rPr>
        <w:t>III. Balance presupuestario de recursos disponibles</w:t>
      </w:r>
      <w:r w:rsidRPr="00D02772">
        <w:rPr>
          <w:rFonts w:ascii="Arial" w:hAnsi="Arial" w:cs="Arial"/>
          <w:i/>
          <w:sz w:val="24"/>
        </w:rPr>
        <w:t>: la diferencia entre los Ingresos de libre disposición, incluidos en la Ley de Ingresos, más el Financiamiento Neto y los Gastos no etiquetados considerados en el Presupuesto de Egresos, con excepción de la amortización de la deuda…”</w:t>
      </w:r>
    </w:p>
    <w:p w14:paraId="2AC162D6" w14:textId="77777777" w:rsidR="00B076A2" w:rsidRPr="007D269A" w:rsidRDefault="00B076A2" w:rsidP="00B076A2">
      <w:pPr>
        <w:spacing w:after="0" w:line="240" w:lineRule="auto"/>
        <w:jc w:val="both"/>
        <w:rPr>
          <w:rFonts w:ascii="Arial" w:hAnsi="Arial" w:cs="Arial"/>
          <w:sz w:val="24"/>
        </w:rPr>
      </w:pPr>
    </w:p>
    <w:p w14:paraId="57F97373" w14:textId="77777777" w:rsidR="00B076A2" w:rsidRDefault="00B076A2" w:rsidP="00B076A2">
      <w:pPr>
        <w:spacing w:after="0" w:line="240" w:lineRule="auto"/>
        <w:jc w:val="both"/>
        <w:rPr>
          <w:rFonts w:ascii="Arial" w:hAnsi="Arial" w:cs="Arial"/>
          <w:sz w:val="24"/>
        </w:rPr>
      </w:pPr>
      <w:r w:rsidRPr="00D02772">
        <w:rPr>
          <w:rFonts w:ascii="Arial" w:hAnsi="Arial" w:cs="Arial"/>
          <w:sz w:val="24"/>
        </w:rPr>
        <w:t>No atender debidamente a lo que está ocurriendo en el escenario económico puede</w:t>
      </w:r>
      <w:r>
        <w:rPr>
          <w:rFonts w:ascii="Arial" w:hAnsi="Arial" w:cs="Arial"/>
          <w:sz w:val="24"/>
        </w:rPr>
        <w:t xml:space="preserve"> </w:t>
      </w:r>
      <w:r w:rsidRPr="00D02772">
        <w:rPr>
          <w:rFonts w:ascii="Arial" w:hAnsi="Arial" w:cs="Arial"/>
          <w:sz w:val="24"/>
        </w:rPr>
        <w:t>afectar la estabilidad fiscal en la forma de desbalances entre ingresos y gastos; y</w:t>
      </w:r>
      <w:r>
        <w:rPr>
          <w:rFonts w:ascii="Arial" w:hAnsi="Arial" w:cs="Arial"/>
          <w:sz w:val="24"/>
        </w:rPr>
        <w:t xml:space="preserve"> </w:t>
      </w:r>
      <w:r w:rsidRPr="00D02772">
        <w:rPr>
          <w:rFonts w:ascii="Arial" w:hAnsi="Arial" w:cs="Arial"/>
          <w:sz w:val="24"/>
        </w:rPr>
        <w:t>cuando estos desbalances son significativos y frecuentes en el tiempo se crea un</w:t>
      </w:r>
      <w:r>
        <w:rPr>
          <w:rFonts w:ascii="Arial" w:hAnsi="Arial" w:cs="Arial"/>
          <w:sz w:val="24"/>
        </w:rPr>
        <w:t xml:space="preserve"> </w:t>
      </w:r>
      <w:r w:rsidRPr="00D02772">
        <w:rPr>
          <w:rFonts w:ascii="Arial" w:hAnsi="Arial" w:cs="Arial"/>
          <w:sz w:val="24"/>
        </w:rPr>
        <w:t>ambiente de indisciplina fiscal.</w:t>
      </w:r>
    </w:p>
    <w:p w14:paraId="17CED61A" w14:textId="77777777" w:rsidR="00B076A2" w:rsidRDefault="00B076A2" w:rsidP="00B076A2">
      <w:pPr>
        <w:spacing w:after="0" w:line="240" w:lineRule="auto"/>
        <w:jc w:val="both"/>
        <w:rPr>
          <w:rFonts w:ascii="Arial" w:hAnsi="Arial" w:cs="Arial"/>
          <w:sz w:val="24"/>
        </w:rPr>
      </w:pPr>
    </w:p>
    <w:p w14:paraId="74F85652" w14:textId="77777777" w:rsidR="00B076A2" w:rsidRPr="00E71B27" w:rsidRDefault="00B076A2" w:rsidP="00B076A2">
      <w:pPr>
        <w:spacing w:after="0" w:line="240" w:lineRule="auto"/>
        <w:jc w:val="both"/>
        <w:rPr>
          <w:rFonts w:ascii="Arial" w:hAnsi="Arial" w:cs="Arial"/>
          <w:sz w:val="28"/>
        </w:rPr>
      </w:pPr>
      <w:r w:rsidRPr="00D02772">
        <w:rPr>
          <w:rFonts w:ascii="Arial" w:hAnsi="Arial" w:cs="Arial"/>
          <w:i/>
          <w:sz w:val="24"/>
        </w:rPr>
        <w:t>“</w:t>
      </w:r>
      <w:r w:rsidRPr="00E71B27">
        <w:rPr>
          <w:rFonts w:ascii="Arial" w:hAnsi="Arial" w:cs="Arial"/>
          <w:sz w:val="24"/>
        </w:rPr>
        <w:t>El deterioro de los presupuestos como instrumento de la política fiscal y de asignación de los recursos públicos refleja la incapacidad del gobierno y del sistema político para adaptar sus demandas y sus prioridades a las disponibilidades p</w:t>
      </w:r>
      <w:r>
        <w:rPr>
          <w:rFonts w:ascii="Arial" w:hAnsi="Arial" w:cs="Arial"/>
          <w:sz w:val="24"/>
        </w:rPr>
        <w:t>ermanentes de ingresos públicos, cuando”</w:t>
      </w:r>
      <w:r w:rsidRPr="00E71B27">
        <w:rPr>
          <w:rStyle w:val="Refdenotaalpie"/>
          <w:rFonts w:ascii="Arial" w:hAnsi="Arial" w:cs="Arial"/>
          <w:sz w:val="24"/>
        </w:rPr>
        <w:footnoteReference w:id="4"/>
      </w:r>
      <w:r>
        <w:rPr>
          <w:rFonts w:ascii="Arial" w:hAnsi="Arial" w:cs="Arial"/>
          <w:sz w:val="24"/>
        </w:rPr>
        <w:t>:</w:t>
      </w:r>
    </w:p>
    <w:p w14:paraId="76146E70" w14:textId="77777777" w:rsidR="00B076A2" w:rsidRDefault="00B076A2" w:rsidP="00B076A2">
      <w:pPr>
        <w:spacing w:after="0" w:line="240" w:lineRule="auto"/>
        <w:jc w:val="both"/>
        <w:rPr>
          <w:rFonts w:ascii="Arial" w:hAnsi="Arial" w:cs="Arial"/>
          <w:sz w:val="24"/>
        </w:rPr>
      </w:pPr>
    </w:p>
    <w:p w14:paraId="08DDB933" w14:textId="77777777" w:rsidR="00B076A2" w:rsidRPr="00E71B27" w:rsidRDefault="00B076A2" w:rsidP="00B076A2">
      <w:pPr>
        <w:pStyle w:val="Prrafodelista"/>
        <w:numPr>
          <w:ilvl w:val="0"/>
          <w:numId w:val="34"/>
        </w:numPr>
        <w:spacing w:after="0" w:line="240" w:lineRule="auto"/>
        <w:jc w:val="both"/>
        <w:rPr>
          <w:rFonts w:ascii="Arial" w:hAnsi="Arial" w:cs="Arial"/>
          <w:sz w:val="24"/>
        </w:rPr>
      </w:pPr>
      <w:r w:rsidRPr="00E71B27">
        <w:rPr>
          <w:rFonts w:ascii="Arial" w:hAnsi="Arial" w:cs="Arial"/>
          <w:sz w:val="24"/>
        </w:rPr>
        <w:t xml:space="preserve">Si los presupuestos encuentran dificultades para adecuarse a las condiciones económicas menos favorables que provocan la disminución de los ingresos públicos, y no se efectúan todos los ajustes en el gasto que requiere la búsqueda de equilibrio; </w:t>
      </w:r>
    </w:p>
    <w:p w14:paraId="3D168C67" w14:textId="77777777" w:rsidR="00B076A2" w:rsidRPr="00E71B27" w:rsidRDefault="00B076A2" w:rsidP="00B076A2">
      <w:pPr>
        <w:pStyle w:val="Prrafodelista"/>
        <w:numPr>
          <w:ilvl w:val="0"/>
          <w:numId w:val="34"/>
        </w:numPr>
        <w:spacing w:after="0" w:line="240" w:lineRule="auto"/>
        <w:jc w:val="both"/>
        <w:rPr>
          <w:rFonts w:ascii="Arial" w:hAnsi="Arial" w:cs="Arial"/>
          <w:sz w:val="24"/>
        </w:rPr>
      </w:pPr>
      <w:r w:rsidRPr="00E71B27">
        <w:rPr>
          <w:rFonts w:ascii="Arial" w:hAnsi="Arial" w:cs="Arial"/>
          <w:sz w:val="24"/>
        </w:rPr>
        <w:t>Cuando las estimaciones presupuestarias de ingresos son demasiado optimistas en realidades de menor crecimiento o de decrecimiento económico, lo que deriva en ingresos efectivos que no cubren los gastos comprometidos;</w:t>
      </w:r>
    </w:p>
    <w:p w14:paraId="25153212" w14:textId="77777777" w:rsidR="00B076A2" w:rsidRPr="00E71B27" w:rsidRDefault="00B076A2" w:rsidP="00B076A2">
      <w:pPr>
        <w:pStyle w:val="Prrafodelista"/>
        <w:numPr>
          <w:ilvl w:val="0"/>
          <w:numId w:val="34"/>
        </w:numPr>
        <w:spacing w:after="0" w:line="240" w:lineRule="auto"/>
        <w:jc w:val="both"/>
        <w:rPr>
          <w:rFonts w:ascii="Arial" w:hAnsi="Arial" w:cs="Arial"/>
          <w:sz w:val="24"/>
        </w:rPr>
      </w:pPr>
      <w:r w:rsidRPr="00E71B27">
        <w:rPr>
          <w:rFonts w:ascii="Arial" w:hAnsi="Arial" w:cs="Arial"/>
          <w:sz w:val="24"/>
        </w:rPr>
        <w:t xml:space="preserve">Cuando situaciones consideradas transitorias se transforman en permanentes, y se instalan desequilibrios entre los ingresos y los gastos más profundos y persistentes; </w:t>
      </w:r>
    </w:p>
    <w:p w14:paraId="392EB089" w14:textId="77777777" w:rsidR="00B076A2" w:rsidRDefault="00B076A2" w:rsidP="00B076A2">
      <w:pPr>
        <w:pStyle w:val="Prrafodelista"/>
        <w:numPr>
          <w:ilvl w:val="0"/>
          <w:numId w:val="34"/>
        </w:numPr>
        <w:spacing w:after="0" w:line="240" w:lineRule="auto"/>
        <w:jc w:val="both"/>
        <w:rPr>
          <w:rFonts w:ascii="Arial" w:hAnsi="Arial" w:cs="Arial"/>
          <w:sz w:val="24"/>
        </w:rPr>
      </w:pPr>
      <w:r w:rsidRPr="00112661">
        <w:rPr>
          <w:rFonts w:ascii="Arial" w:hAnsi="Arial" w:cs="Arial"/>
          <w:sz w:val="24"/>
        </w:rPr>
        <w:t>Si, aún en contextos económicos expansivos y por tanto con ingresos crecientes, incrementos de gastos originados en demandas sociales y políticas no son consistentes</w:t>
      </w:r>
      <w:r>
        <w:rPr>
          <w:rFonts w:ascii="Arial" w:hAnsi="Arial" w:cs="Arial"/>
          <w:sz w:val="24"/>
        </w:rPr>
        <w:t xml:space="preserve"> en el tiempo con los ingresos.</w:t>
      </w:r>
    </w:p>
    <w:p w14:paraId="4F3742FF" w14:textId="77777777" w:rsidR="00B076A2" w:rsidRPr="00112661" w:rsidRDefault="00B076A2" w:rsidP="00B076A2">
      <w:pPr>
        <w:pStyle w:val="Prrafodelista"/>
        <w:numPr>
          <w:ilvl w:val="0"/>
          <w:numId w:val="34"/>
        </w:numPr>
        <w:spacing w:after="0" w:line="240" w:lineRule="auto"/>
        <w:jc w:val="both"/>
        <w:rPr>
          <w:rFonts w:ascii="Arial" w:hAnsi="Arial" w:cs="Arial"/>
          <w:sz w:val="24"/>
        </w:rPr>
      </w:pPr>
      <w:r w:rsidRPr="00112661">
        <w:rPr>
          <w:rFonts w:ascii="Arial" w:hAnsi="Arial" w:cs="Arial"/>
          <w:sz w:val="24"/>
        </w:rPr>
        <w:t xml:space="preserve">Otras situaciones ocurren cuando hechos económicos y políticos no previstos en la formulación del presupuesto, que comúnmente se realizan con meses de anticipación al inicio del año fiscal, terminan afectando al presupuesto, lo que puede derivar en un número importante de modificaciones durante su ejecución. </w:t>
      </w:r>
    </w:p>
    <w:p w14:paraId="16121891" w14:textId="77777777" w:rsidR="00B076A2" w:rsidRDefault="00B076A2" w:rsidP="00B076A2">
      <w:pPr>
        <w:spacing w:after="0" w:line="240" w:lineRule="auto"/>
        <w:jc w:val="both"/>
        <w:rPr>
          <w:rFonts w:ascii="Arial" w:hAnsi="Arial" w:cs="Arial"/>
          <w:sz w:val="24"/>
        </w:rPr>
      </w:pPr>
    </w:p>
    <w:p w14:paraId="4F4523AE" w14:textId="77777777" w:rsidR="00B076A2" w:rsidRDefault="00B076A2" w:rsidP="00B076A2">
      <w:pPr>
        <w:spacing w:after="0" w:line="240" w:lineRule="auto"/>
        <w:jc w:val="both"/>
        <w:rPr>
          <w:rFonts w:ascii="Arial" w:hAnsi="Arial" w:cs="Arial"/>
          <w:sz w:val="24"/>
        </w:rPr>
      </w:pPr>
      <w:r w:rsidRPr="00D02772">
        <w:rPr>
          <w:rFonts w:ascii="Arial" w:hAnsi="Arial" w:cs="Arial"/>
          <w:sz w:val="24"/>
        </w:rPr>
        <w:lastRenderedPageBreak/>
        <w:t>Si estas</w:t>
      </w:r>
      <w:r>
        <w:rPr>
          <w:rFonts w:ascii="Arial" w:hAnsi="Arial" w:cs="Arial"/>
          <w:sz w:val="24"/>
        </w:rPr>
        <w:t xml:space="preserve"> </w:t>
      </w:r>
      <w:r w:rsidRPr="00D02772">
        <w:rPr>
          <w:rFonts w:ascii="Arial" w:hAnsi="Arial" w:cs="Arial"/>
          <w:sz w:val="24"/>
        </w:rPr>
        <w:t>situaciones adquieren cierta regularidad, pasan a ser costumbre y se aprecian como</w:t>
      </w:r>
      <w:r>
        <w:rPr>
          <w:rFonts w:ascii="Arial" w:hAnsi="Arial" w:cs="Arial"/>
          <w:sz w:val="24"/>
        </w:rPr>
        <w:t xml:space="preserve"> </w:t>
      </w:r>
      <w:r w:rsidRPr="00D02772">
        <w:rPr>
          <w:rFonts w:ascii="Arial" w:hAnsi="Arial" w:cs="Arial"/>
          <w:sz w:val="24"/>
        </w:rPr>
        <w:t>algo “normal”, también se trata de indisciplina fiscal, ya que los presupuestos</w:t>
      </w:r>
      <w:r>
        <w:rPr>
          <w:rFonts w:ascii="Arial" w:hAnsi="Arial" w:cs="Arial"/>
          <w:sz w:val="24"/>
        </w:rPr>
        <w:t xml:space="preserve"> </w:t>
      </w:r>
      <w:r w:rsidRPr="00D02772">
        <w:rPr>
          <w:rFonts w:ascii="Arial" w:hAnsi="Arial" w:cs="Arial"/>
          <w:sz w:val="24"/>
        </w:rPr>
        <w:t>pierden predictibilidad y validez como instrumento para la gestión del gobierno.</w:t>
      </w:r>
    </w:p>
    <w:p w14:paraId="2A769C1C" w14:textId="77777777" w:rsidR="00B076A2" w:rsidRDefault="00B076A2" w:rsidP="00B076A2">
      <w:pPr>
        <w:spacing w:after="0" w:line="240" w:lineRule="auto"/>
        <w:jc w:val="both"/>
        <w:rPr>
          <w:rFonts w:ascii="Arial" w:hAnsi="Arial" w:cs="Arial"/>
          <w:sz w:val="24"/>
        </w:rPr>
      </w:pPr>
    </w:p>
    <w:p w14:paraId="234FA61B" w14:textId="77777777" w:rsidR="00B076A2" w:rsidRDefault="00B076A2" w:rsidP="00B076A2">
      <w:pPr>
        <w:spacing w:after="0" w:line="240" w:lineRule="auto"/>
        <w:jc w:val="both"/>
        <w:rPr>
          <w:rFonts w:ascii="Arial" w:hAnsi="Arial" w:cs="Arial"/>
          <w:sz w:val="24"/>
        </w:rPr>
      </w:pPr>
      <w:r w:rsidRPr="00C04317">
        <w:rPr>
          <w:rFonts w:ascii="Arial" w:hAnsi="Arial" w:cs="Arial"/>
          <w:sz w:val="24"/>
        </w:rPr>
        <w:t>Se torna muy importante buscar, primeramente, que los presupuestos cumplan su</w:t>
      </w:r>
      <w:r>
        <w:rPr>
          <w:rFonts w:ascii="Arial" w:hAnsi="Arial" w:cs="Arial"/>
          <w:sz w:val="24"/>
        </w:rPr>
        <w:t xml:space="preserve"> </w:t>
      </w:r>
      <w:r w:rsidRPr="00C04317">
        <w:rPr>
          <w:rFonts w:ascii="Arial" w:hAnsi="Arial" w:cs="Arial"/>
          <w:sz w:val="24"/>
        </w:rPr>
        <w:t>rol básico de asignar los recursos siguiendo un orden y respetando sus normas</w:t>
      </w:r>
      <w:r>
        <w:rPr>
          <w:rFonts w:ascii="Arial" w:hAnsi="Arial" w:cs="Arial"/>
          <w:sz w:val="24"/>
        </w:rPr>
        <w:t xml:space="preserve"> </w:t>
      </w:r>
      <w:r w:rsidRPr="00C04317">
        <w:rPr>
          <w:rFonts w:ascii="Arial" w:hAnsi="Arial" w:cs="Arial"/>
          <w:sz w:val="24"/>
        </w:rPr>
        <w:t>esenciales, en una senda de disciplina fiscal, para a través de este comportamiento</w:t>
      </w:r>
      <w:r>
        <w:rPr>
          <w:rFonts w:ascii="Arial" w:hAnsi="Arial" w:cs="Arial"/>
          <w:sz w:val="24"/>
        </w:rPr>
        <w:t xml:space="preserve"> </w:t>
      </w:r>
      <w:r w:rsidRPr="00C04317">
        <w:rPr>
          <w:rFonts w:ascii="Arial" w:hAnsi="Arial" w:cs="Arial"/>
          <w:sz w:val="24"/>
        </w:rPr>
        <w:t>constituirse en un instrumento de gestión.</w:t>
      </w:r>
    </w:p>
    <w:p w14:paraId="41A41BAC" w14:textId="77777777" w:rsidR="00B076A2" w:rsidRPr="00C04317" w:rsidRDefault="00B076A2" w:rsidP="00B076A2">
      <w:pPr>
        <w:spacing w:after="0" w:line="240" w:lineRule="auto"/>
        <w:jc w:val="both"/>
        <w:rPr>
          <w:rFonts w:ascii="Arial" w:hAnsi="Arial" w:cs="Arial"/>
          <w:sz w:val="24"/>
        </w:rPr>
      </w:pPr>
    </w:p>
    <w:p w14:paraId="4FC6625C" w14:textId="77777777" w:rsidR="00B076A2" w:rsidRDefault="00B076A2" w:rsidP="00B076A2">
      <w:pPr>
        <w:spacing w:after="0" w:line="240" w:lineRule="auto"/>
        <w:jc w:val="both"/>
        <w:rPr>
          <w:rFonts w:ascii="Arial" w:hAnsi="Arial" w:cs="Arial"/>
          <w:sz w:val="24"/>
        </w:rPr>
      </w:pPr>
      <w:r w:rsidRPr="00C04317">
        <w:rPr>
          <w:rFonts w:ascii="Arial" w:hAnsi="Arial" w:cs="Arial"/>
          <w:sz w:val="24"/>
        </w:rPr>
        <w:t>Más deseable y exigente aún es poner atención a la gobernabilidad fiscal, entendida</w:t>
      </w:r>
      <w:r>
        <w:rPr>
          <w:rFonts w:ascii="Arial" w:hAnsi="Arial" w:cs="Arial"/>
          <w:sz w:val="24"/>
        </w:rPr>
        <w:t xml:space="preserve"> </w:t>
      </w:r>
      <w:r w:rsidRPr="00C04317">
        <w:rPr>
          <w:rFonts w:ascii="Arial" w:hAnsi="Arial" w:cs="Arial"/>
          <w:sz w:val="24"/>
        </w:rPr>
        <w:t>como la capacidad de los gobiernos para llevar a cabo su política fiscal de modo</w:t>
      </w:r>
      <w:r>
        <w:rPr>
          <w:rFonts w:ascii="Arial" w:hAnsi="Arial" w:cs="Arial"/>
          <w:sz w:val="24"/>
        </w:rPr>
        <w:t xml:space="preserve"> </w:t>
      </w:r>
      <w:r w:rsidRPr="00C04317">
        <w:rPr>
          <w:rFonts w:ascii="Arial" w:hAnsi="Arial" w:cs="Arial"/>
          <w:sz w:val="24"/>
        </w:rPr>
        <w:t>sostenible y creíble en el tiempo.</w:t>
      </w:r>
    </w:p>
    <w:p w14:paraId="08B84B34" w14:textId="77777777" w:rsidR="00B076A2" w:rsidRPr="00C04317" w:rsidRDefault="00B076A2" w:rsidP="00B076A2">
      <w:pPr>
        <w:spacing w:after="0" w:line="240" w:lineRule="auto"/>
        <w:jc w:val="both"/>
        <w:rPr>
          <w:rFonts w:ascii="Arial" w:hAnsi="Arial" w:cs="Arial"/>
          <w:sz w:val="24"/>
        </w:rPr>
      </w:pPr>
    </w:p>
    <w:p w14:paraId="2129ACF6" w14:textId="77777777" w:rsidR="00B076A2" w:rsidRDefault="00B076A2" w:rsidP="00B076A2">
      <w:pPr>
        <w:spacing w:after="0" w:line="240" w:lineRule="auto"/>
        <w:jc w:val="both"/>
        <w:rPr>
          <w:rFonts w:ascii="Arial" w:hAnsi="Arial" w:cs="Arial"/>
          <w:sz w:val="24"/>
        </w:rPr>
      </w:pPr>
      <w:r w:rsidRPr="00C04317">
        <w:rPr>
          <w:rFonts w:ascii="Arial" w:hAnsi="Arial" w:cs="Arial"/>
          <w:sz w:val="24"/>
        </w:rPr>
        <w:t xml:space="preserve">En otras palabras, el </w:t>
      </w:r>
      <w:r>
        <w:rPr>
          <w:rFonts w:ascii="Arial" w:hAnsi="Arial" w:cs="Arial"/>
          <w:sz w:val="24"/>
        </w:rPr>
        <w:t>Presupuesto basado en R</w:t>
      </w:r>
      <w:r w:rsidRPr="00C04317">
        <w:rPr>
          <w:rFonts w:ascii="Arial" w:hAnsi="Arial" w:cs="Arial"/>
          <w:sz w:val="24"/>
        </w:rPr>
        <w:t>esultados que impulsa la presente</w:t>
      </w:r>
      <w:r>
        <w:rPr>
          <w:rFonts w:ascii="Arial" w:hAnsi="Arial" w:cs="Arial"/>
          <w:sz w:val="24"/>
        </w:rPr>
        <w:t xml:space="preserve"> </w:t>
      </w:r>
      <w:r w:rsidRPr="00C04317">
        <w:rPr>
          <w:rFonts w:ascii="Arial" w:hAnsi="Arial" w:cs="Arial"/>
          <w:sz w:val="24"/>
        </w:rPr>
        <w:t>administración, requiere de disciplina fiscal expresada como la capacidad básica</w:t>
      </w:r>
      <w:r>
        <w:rPr>
          <w:rFonts w:ascii="Arial" w:hAnsi="Arial" w:cs="Arial"/>
          <w:sz w:val="24"/>
        </w:rPr>
        <w:t xml:space="preserve"> </w:t>
      </w:r>
      <w:r w:rsidRPr="00C04317">
        <w:rPr>
          <w:rFonts w:ascii="Arial" w:hAnsi="Arial" w:cs="Arial"/>
          <w:sz w:val="24"/>
        </w:rPr>
        <w:t>para formular presupue</w:t>
      </w:r>
      <w:r>
        <w:rPr>
          <w:rFonts w:ascii="Arial" w:hAnsi="Arial" w:cs="Arial"/>
          <w:sz w:val="24"/>
        </w:rPr>
        <w:t xml:space="preserve">stos razonablemente balanceados. </w:t>
      </w:r>
      <w:r w:rsidRPr="00C04317">
        <w:rPr>
          <w:rFonts w:ascii="Arial" w:hAnsi="Arial" w:cs="Arial"/>
          <w:sz w:val="24"/>
        </w:rPr>
        <w:t>Es decir, que el marco de recursos en el que se debe integrar la</w:t>
      </w:r>
      <w:r>
        <w:rPr>
          <w:rFonts w:ascii="Arial" w:hAnsi="Arial" w:cs="Arial"/>
          <w:sz w:val="24"/>
        </w:rPr>
        <w:t xml:space="preserve"> </w:t>
      </w:r>
      <w:r w:rsidRPr="00C04317">
        <w:rPr>
          <w:rFonts w:ascii="Arial" w:hAnsi="Arial" w:cs="Arial"/>
          <w:sz w:val="24"/>
        </w:rPr>
        <w:t>información de desempeño a los procesos de toma de decisiones y en el que se</w:t>
      </w:r>
      <w:r>
        <w:rPr>
          <w:rFonts w:ascii="Arial" w:hAnsi="Arial" w:cs="Arial"/>
          <w:sz w:val="24"/>
        </w:rPr>
        <w:t xml:space="preserve"> </w:t>
      </w:r>
      <w:r w:rsidRPr="00C04317">
        <w:rPr>
          <w:rFonts w:ascii="Arial" w:hAnsi="Arial" w:cs="Arial"/>
          <w:sz w:val="24"/>
        </w:rPr>
        <w:t>deben introducir las condiciones y las exigencias para contribuir a mejorar la calidad</w:t>
      </w:r>
      <w:r>
        <w:rPr>
          <w:rFonts w:ascii="Arial" w:hAnsi="Arial" w:cs="Arial"/>
          <w:sz w:val="24"/>
        </w:rPr>
        <w:t xml:space="preserve"> </w:t>
      </w:r>
      <w:r w:rsidRPr="00C04317">
        <w:rPr>
          <w:rFonts w:ascii="Arial" w:hAnsi="Arial" w:cs="Arial"/>
          <w:sz w:val="24"/>
        </w:rPr>
        <w:t>del gasto deben ser creíbles y entregar señales que orienten y motiven, en particular</w:t>
      </w:r>
      <w:r>
        <w:rPr>
          <w:rFonts w:ascii="Arial" w:hAnsi="Arial" w:cs="Arial"/>
          <w:sz w:val="24"/>
        </w:rPr>
        <w:t xml:space="preserve"> </w:t>
      </w:r>
      <w:r w:rsidRPr="00C04317">
        <w:rPr>
          <w:rFonts w:ascii="Arial" w:hAnsi="Arial" w:cs="Arial"/>
          <w:sz w:val="24"/>
        </w:rPr>
        <w:t>a los ejecutores de gasto, a optimizar los recursos asignados para que se preocupen</w:t>
      </w:r>
      <w:r>
        <w:rPr>
          <w:rFonts w:ascii="Arial" w:hAnsi="Arial" w:cs="Arial"/>
          <w:sz w:val="24"/>
        </w:rPr>
        <w:t xml:space="preserve"> </w:t>
      </w:r>
      <w:r w:rsidRPr="00C04317">
        <w:rPr>
          <w:rFonts w:ascii="Arial" w:hAnsi="Arial" w:cs="Arial"/>
          <w:sz w:val="24"/>
        </w:rPr>
        <w:t>por el desempeño de sus programas y proyectos.</w:t>
      </w:r>
    </w:p>
    <w:p w14:paraId="56DD0D24" w14:textId="77777777" w:rsidR="00B076A2" w:rsidRDefault="00B076A2" w:rsidP="00B076A2">
      <w:pPr>
        <w:spacing w:after="0" w:line="240" w:lineRule="auto"/>
        <w:jc w:val="both"/>
        <w:rPr>
          <w:rFonts w:ascii="Arial" w:hAnsi="Arial" w:cs="Arial"/>
          <w:sz w:val="24"/>
        </w:rPr>
      </w:pPr>
    </w:p>
    <w:p w14:paraId="794E0B9F" w14:textId="77777777" w:rsidR="00B076A2" w:rsidRPr="00C04317" w:rsidRDefault="00B076A2" w:rsidP="00B076A2">
      <w:pPr>
        <w:spacing w:after="0" w:line="240" w:lineRule="auto"/>
        <w:jc w:val="both"/>
        <w:rPr>
          <w:rFonts w:ascii="Arial" w:hAnsi="Arial" w:cs="Arial"/>
          <w:sz w:val="28"/>
        </w:rPr>
      </w:pPr>
      <w:r w:rsidRPr="00C04317">
        <w:rPr>
          <w:rFonts w:ascii="Arial" w:hAnsi="Arial" w:cs="Arial"/>
          <w:sz w:val="24"/>
        </w:rPr>
        <w:t>De acuerdo a lo previsto en el artículo 7º de la Ley de Disciplina Financiera de las Entidades Federativas y los Municipios, los riesgos que pueden incurrir en el Balance Presupuestario de Recursos Disponible Negativo son:</w:t>
      </w:r>
    </w:p>
    <w:p w14:paraId="4220C208" w14:textId="77777777" w:rsidR="00B076A2" w:rsidRDefault="00B076A2" w:rsidP="00B076A2">
      <w:pPr>
        <w:spacing w:after="0" w:line="240" w:lineRule="auto"/>
        <w:jc w:val="both"/>
        <w:rPr>
          <w:rFonts w:ascii="Arial" w:hAnsi="Arial" w:cs="Arial"/>
          <w:sz w:val="24"/>
        </w:rPr>
      </w:pPr>
    </w:p>
    <w:p w14:paraId="7DC07CB4" w14:textId="77777777" w:rsidR="00B076A2" w:rsidRDefault="00B076A2" w:rsidP="00B076A2">
      <w:pPr>
        <w:pStyle w:val="Prrafodelista"/>
        <w:numPr>
          <w:ilvl w:val="0"/>
          <w:numId w:val="29"/>
        </w:numPr>
        <w:spacing w:after="0" w:line="240" w:lineRule="auto"/>
        <w:jc w:val="both"/>
        <w:rPr>
          <w:rFonts w:ascii="Arial" w:hAnsi="Arial" w:cs="Arial"/>
          <w:sz w:val="24"/>
        </w:rPr>
      </w:pPr>
      <w:r w:rsidRPr="00C04317">
        <w:rPr>
          <w:rFonts w:ascii="Arial" w:hAnsi="Arial" w:cs="Arial"/>
          <w:sz w:val="24"/>
        </w:rPr>
        <w:t xml:space="preserve">Cuando se presente una caída en el Producto Interno Bruto nacional en términos reales, y lo anterior origine una caída en las participaciones federales con respecto a lo aprobado en el Presupuesto de Egresos de la Federación, y ésta no logre compensarse con los recursos que, en su caso, se reciban del Fondo de Estabilización de los Ingresos de la Entidad Federativa en los términos del artículo 19 de la Ley Federal de Presupuesto </w:t>
      </w:r>
      <w:r>
        <w:rPr>
          <w:rFonts w:ascii="Arial" w:hAnsi="Arial" w:cs="Arial"/>
          <w:sz w:val="24"/>
        </w:rPr>
        <w:t>y Responsabilidad Hacendaria;</w:t>
      </w:r>
    </w:p>
    <w:p w14:paraId="5C7CF063" w14:textId="77777777" w:rsidR="00B076A2" w:rsidRDefault="00B076A2" w:rsidP="00B076A2">
      <w:pPr>
        <w:pStyle w:val="Prrafodelista"/>
        <w:numPr>
          <w:ilvl w:val="0"/>
          <w:numId w:val="29"/>
        </w:numPr>
        <w:spacing w:after="0" w:line="240" w:lineRule="auto"/>
        <w:jc w:val="both"/>
        <w:rPr>
          <w:rFonts w:ascii="Arial" w:hAnsi="Arial" w:cs="Arial"/>
          <w:sz w:val="24"/>
        </w:rPr>
      </w:pPr>
      <w:r w:rsidRPr="0090179A">
        <w:rPr>
          <w:rFonts w:ascii="Arial" w:hAnsi="Arial" w:cs="Arial"/>
          <w:sz w:val="24"/>
        </w:rPr>
        <w:t>Cuando sea necesario cubrir el costo de la reconstrucción provocada por los desastres naturales declarados en los términos de la Ley General de Protección Civil, o</w:t>
      </w:r>
    </w:p>
    <w:p w14:paraId="401EEE7D" w14:textId="77777777" w:rsidR="00B076A2" w:rsidRDefault="00B076A2" w:rsidP="00B076A2">
      <w:pPr>
        <w:pStyle w:val="Prrafodelista"/>
        <w:numPr>
          <w:ilvl w:val="0"/>
          <w:numId w:val="29"/>
        </w:numPr>
        <w:spacing w:after="0" w:line="240" w:lineRule="auto"/>
        <w:jc w:val="both"/>
        <w:rPr>
          <w:rFonts w:ascii="Arial" w:hAnsi="Arial" w:cs="Arial"/>
          <w:sz w:val="24"/>
        </w:rPr>
      </w:pPr>
      <w:r w:rsidRPr="0090179A">
        <w:rPr>
          <w:rFonts w:ascii="Arial" w:hAnsi="Arial" w:cs="Arial"/>
          <w:sz w:val="24"/>
        </w:rPr>
        <w:t>Cuando se tenga la necesid</w:t>
      </w:r>
      <w:r>
        <w:rPr>
          <w:rFonts w:ascii="Arial" w:hAnsi="Arial" w:cs="Arial"/>
          <w:sz w:val="24"/>
        </w:rPr>
        <w:t>ad de prever un costo mayor al dos</w:t>
      </w:r>
      <w:r w:rsidRPr="0090179A">
        <w:rPr>
          <w:rFonts w:ascii="Arial" w:hAnsi="Arial" w:cs="Arial"/>
          <w:sz w:val="24"/>
        </w:rPr>
        <w:t xml:space="preserve"> por ciento del Gasto no Etiquetado observado en el Presupuesto de Egresos del </w:t>
      </w:r>
      <w:r w:rsidRPr="0090179A">
        <w:rPr>
          <w:rFonts w:ascii="Arial" w:hAnsi="Arial" w:cs="Arial"/>
          <w:sz w:val="24"/>
        </w:rPr>
        <w:lastRenderedPageBreak/>
        <w:t>ejercicio fiscal inmediato anterior, derivado de la implementación de ordenamientos jurídicos o medidas de política fiscal que, en ejercicios fiscales posteriores, contribuyan a mejorar ampliamente el Balance presupuestario de recursos disponibles negativo, ya sea porque generen mayores ingresos o menores gastos permanentes; es decir, que el valor presente neto de dicha medida supere ampliamente el costo de la misma en el ejercicio fiscal que se implemente.</w:t>
      </w:r>
      <w:r w:rsidRPr="0090179A">
        <w:rPr>
          <w:rFonts w:ascii="Arial" w:hAnsi="Arial" w:cs="Arial"/>
          <w:sz w:val="24"/>
        </w:rPr>
        <w:cr/>
      </w:r>
    </w:p>
    <w:p w14:paraId="7DB01A28" w14:textId="77777777" w:rsidR="00B076A2" w:rsidRDefault="00B076A2" w:rsidP="00B076A2">
      <w:pPr>
        <w:spacing w:after="0" w:line="240" w:lineRule="auto"/>
        <w:jc w:val="both"/>
        <w:rPr>
          <w:rFonts w:ascii="Arial" w:hAnsi="Arial" w:cs="Arial"/>
          <w:sz w:val="24"/>
        </w:rPr>
      </w:pPr>
      <w:r w:rsidRPr="0090179A">
        <w:rPr>
          <w:rFonts w:ascii="Arial" w:hAnsi="Arial" w:cs="Arial"/>
          <w:sz w:val="24"/>
        </w:rPr>
        <w:t>En función de lo previsto en los Criterios para la elaboración y presentación</w:t>
      </w:r>
      <w:r>
        <w:rPr>
          <w:rFonts w:ascii="Arial" w:hAnsi="Arial" w:cs="Arial"/>
          <w:sz w:val="24"/>
        </w:rPr>
        <w:t xml:space="preserve"> </w:t>
      </w:r>
      <w:r w:rsidRPr="0090179A">
        <w:rPr>
          <w:rFonts w:ascii="Arial" w:hAnsi="Arial" w:cs="Arial"/>
          <w:sz w:val="24"/>
        </w:rPr>
        <w:t>homogénea de la información financiera y de los formatos a que hace referencia la</w:t>
      </w:r>
      <w:r>
        <w:rPr>
          <w:rFonts w:ascii="Arial" w:hAnsi="Arial" w:cs="Arial"/>
          <w:sz w:val="24"/>
        </w:rPr>
        <w:t xml:space="preserve"> </w:t>
      </w:r>
      <w:r w:rsidRPr="0090179A">
        <w:rPr>
          <w:rFonts w:ascii="Arial" w:hAnsi="Arial" w:cs="Arial"/>
          <w:sz w:val="24"/>
        </w:rPr>
        <w:t>Ley de Disciplina Financiera de las Entidades Federativas y los Municipios, emitidos</w:t>
      </w:r>
      <w:r>
        <w:rPr>
          <w:rFonts w:ascii="Arial" w:hAnsi="Arial" w:cs="Arial"/>
          <w:sz w:val="24"/>
        </w:rPr>
        <w:t xml:space="preserve"> </w:t>
      </w:r>
      <w:r w:rsidRPr="0090179A">
        <w:rPr>
          <w:rFonts w:ascii="Arial" w:hAnsi="Arial" w:cs="Arial"/>
          <w:sz w:val="24"/>
        </w:rPr>
        <w:t>por el CONAC; el f</w:t>
      </w:r>
      <w:r>
        <w:rPr>
          <w:rFonts w:ascii="Arial" w:hAnsi="Arial" w:cs="Arial"/>
          <w:sz w:val="24"/>
        </w:rPr>
        <w:t>ormato 4 Balance Presupuestario–</w:t>
      </w:r>
      <w:r w:rsidRPr="0090179A">
        <w:rPr>
          <w:rFonts w:ascii="Arial" w:hAnsi="Arial" w:cs="Arial"/>
          <w:sz w:val="24"/>
        </w:rPr>
        <w:t>LDF se presentará en el</w:t>
      </w:r>
      <w:r>
        <w:rPr>
          <w:rFonts w:ascii="Arial" w:hAnsi="Arial" w:cs="Arial"/>
          <w:sz w:val="24"/>
        </w:rPr>
        <w:t xml:space="preserve"> </w:t>
      </w:r>
      <w:r w:rsidRPr="0090179A">
        <w:rPr>
          <w:rFonts w:ascii="Arial" w:hAnsi="Arial" w:cs="Arial"/>
          <w:sz w:val="24"/>
        </w:rPr>
        <w:t>ejercicio</w:t>
      </w:r>
      <w:r>
        <w:rPr>
          <w:rFonts w:ascii="Arial" w:hAnsi="Arial" w:cs="Arial"/>
          <w:sz w:val="24"/>
        </w:rPr>
        <w:t xml:space="preserve"> fiscal</w:t>
      </w:r>
      <w:r w:rsidRPr="0090179A">
        <w:rPr>
          <w:rFonts w:ascii="Arial" w:hAnsi="Arial" w:cs="Arial"/>
          <w:sz w:val="24"/>
        </w:rPr>
        <w:t xml:space="preserve"> 2</w:t>
      </w:r>
      <w:r>
        <w:rPr>
          <w:rFonts w:ascii="Arial" w:hAnsi="Arial" w:cs="Arial"/>
          <w:sz w:val="24"/>
        </w:rPr>
        <w:t>021</w:t>
      </w:r>
      <w:r w:rsidRPr="0090179A">
        <w:rPr>
          <w:rFonts w:ascii="Arial" w:hAnsi="Arial" w:cs="Arial"/>
          <w:sz w:val="24"/>
        </w:rPr>
        <w:t xml:space="preserve"> de forma trimestral, acumulando cada periodo del mismo, con la</w:t>
      </w:r>
      <w:r>
        <w:rPr>
          <w:rFonts w:ascii="Arial" w:hAnsi="Arial" w:cs="Arial"/>
          <w:sz w:val="24"/>
        </w:rPr>
        <w:t xml:space="preserve"> </w:t>
      </w:r>
      <w:r w:rsidRPr="0090179A">
        <w:rPr>
          <w:rFonts w:ascii="Arial" w:hAnsi="Arial" w:cs="Arial"/>
          <w:sz w:val="24"/>
        </w:rPr>
        <w:t>desagregación de la información financiera ocurrida entre el inicio y el final del</w:t>
      </w:r>
      <w:r>
        <w:rPr>
          <w:rFonts w:ascii="Arial" w:hAnsi="Arial" w:cs="Arial"/>
          <w:sz w:val="24"/>
        </w:rPr>
        <w:t xml:space="preserve"> </w:t>
      </w:r>
      <w:r w:rsidRPr="0090179A">
        <w:rPr>
          <w:rFonts w:ascii="Arial" w:hAnsi="Arial" w:cs="Arial"/>
          <w:sz w:val="24"/>
        </w:rPr>
        <w:t>periodo, así como de manera anual en la Cuenta Pública.</w:t>
      </w:r>
    </w:p>
    <w:p w14:paraId="67E86E2F" w14:textId="77777777" w:rsidR="00B076A2" w:rsidRDefault="00B076A2" w:rsidP="00B076A2">
      <w:pPr>
        <w:spacing w:after="0" w:line="240" w:lineRule="auto"/>
        <w:jc w:val="both"/>
        <w:rPr>
          <w:rFonts w:ascii="Arial" w:hAnsi="Arial" w:cs="Arial"/>
          <w:sz w:val="24"/>
        </w:rPr>
      </w:pPr>
    </w:p>
    <w:p w14:paraId="5AD7F270" w14:textId="77777777" w:rsidR="00B076A2" w:rsidRDefault="00B076A2" w:rsidP="00B076A2">
      <w:pPr>
        <w:spacing w:after="0" w:line="240" w:lineRule="auto"/>
        <w:jc w:val="both"/>
        <w:rPr>
          <w:rFonts w:ascii="Arial" w:hAnsi="Arial" w:cs="Arial"/>
          <w:sz w:val="24"/>
        </w:rPr>
      </w:pPr>
      <w:r w:rsidRPr="00950FDC">
        <w:rPr>
          <w:rFonts w:ascii="Arial" w:hAnsi="Arial" w:cs="Arial"/>
          <w:sz w:val="24"/>
        </w:rPr>
        <w:t>De esta manera</w:t>
      </w:r>
      <w:r>
        <w:rPr>
          <w:rFonts w:ascii="Arial" w:hAnsi="Arial" w:cs="Arial"/>
          <w:sz w:val="24"/>
        </w:rPr>
        <w:t>, para el ejercicio fiscal 2021</w:t>
      </w:r>
      <w:r w:rsidRPr="00950FDC">
        <w:rPr>
          <w:rFonts w:ascii="Arial" w:hAnsi="Arial" w:cs="Arial"/>
          <w:sz w:val="24"/>
        </w:rPr>
        <w:t xml:space="preserve">, se prevé un balance presupuestario </w:t>
      </w:r>
      <w:r>
        <w:rPr>
          <w:rFonts w:ascii="Arial" w:hAnsi="Arial" w:cs="Arial"/>
          <w:sz w:val="24"/>
        </w:rPr>
        <w:t>sostenible</w:t>
      </w:r>
      <w:r w:rsidRPr="00950FDC">
        <w:rPr>
          <w:rFonts w:ascii="Arial" w:hAnsi="Arial" w:cs="Arial"/>
          <w:sz w:val="24"/>
        </w:rPr>
        <w:t>, toda vez que los ingresos totales contenidos en la Iniciativa de Ley con Proyecto de Decreto por la que se expide la Ley Ingresos del Estado de Colima para el Ejercicio Fiscal 202</w:t>
      </w:r>
      <w:r>
        <w:rPr>
          <w:rFonts w:ascii="Arial" w:hAnsi="Arial" w:cs="Arial"/>
          <w:sz w:val="24"/>
        </w:rPr>
        <w:t>1</w:t>
      </w:r>
      <w:r w:rsidRPr="00950FDC">
        <w:rPr>
          <w:rFonts w:ascii="Arial" w:hAnsi="Arial" w:cs="Arial"/>
          <w:sz w:val="24"/>
        </w:rPr>
        <w:t xml:space="preserve"> igualan a la totalidad de Gastos que se consideran en la presente Iniciativa con Proyecto de Decreto por la que se Expide el Presupuesto de Egresos del Estado de Coli</w:t>
      </w:r>
      <w:r>
        <w:rPr>
          <w:rFonts w:ascii="Arial" w:hAnsi="Arial" w:cs="Arial"/>
          <w:sz w:val="24"/>
        </w:rPr>
        <w:t>ma para el Ejercicio Fiscal 2021</w:t>
      </w:r>
      <w:r w:rsidRPr="00950FDC">
        <w:rPr>
          <w:rFonts w:ascii="Arial" w:hAnsi="Arial" w:cs="Arial"/>
          <w:sz w:val="24"/>
        </w:rPr>
        <w:t>, como se muestra a continuación:</w:t>
      </w:r>
    </w:p>
    <w:p w14:paraId="297CAC13" w14:textId="77777777" w:rsidR="00B076A2" w:rsidRDefault="00B076A2" w:rsidP="00B076A2">
      <w:pPr>
        <w:spacing w:after="0" w:line="240" w:lineRule="auto"/>
        <w:jc w:val="both"/>
        <w:rPr>
          <w:rFonts w:ascii="Arial" w:hAnsi="Arial" w:cs="Arial"/>
          <w:sz w:val="24"/>
        </w:rPr>
      </w:pPr>
    </w:p>
    <w:tbl>
      <w:tblPr>
        <w:tblW w:w="5000" w:type="pct"/>
        <w:tblCellMar>
          <w:left w:w="70" w:type="dxa"/>
          <w:right w:w="70" w:type="dxa"/>
        </w:tblCellMar>
        <w:tblLook w:val="04A0" w:firstRow="1" w:lastRow="0" w:firstColumn="1" w:lastColumn="0" w:noHBand="0" w:noVBand="1"/>
      </w:tblPr>
      <w:tblGrid>
        <w:gridCol w:w="181"/>
        <w:gridCol w:w="6751"/>
        <w:gridCol w:w="1552"/>
      </w:tblGrid>
      <w:tr w:rsidR="00B076A2" w:rsidRPr="00E4265B" w14:paraId="31E3B1D7" w14:textId="77777777" w:rsidTr="00B3646C">
        <w:trPr>
          <w:trHeight w:val="540"/>
        </w:trPr>
        <w:tc>
          <w:tcPr>
            <w:tcW w:w="5000" w:type="pct"/>
            <w:gridSpan w:val="3"/>
            <w:tcBorders>
              <w:top w:val="single" w:sz="8" w:space="0" w:color="auto"/>
              <w:left w:val="single" w:sz="8" w:space="0" w:color="auto"/>
              <w:bottom w:val="single" w:sz="8" w:space="0" w:color="auto"/>
              <w:right w:val="single" w:sz="8" w:space="0" w:color="auto"/>
            </w:tcBorders>
            <w:shd w:val="clear" w:color="000000" w:fill="DBDBDB"/>
            <w:vAlign w:val="center"/>
            <w:hideMark/>
          </w:tcPr>
          <w:p w14:paraId="2EE21245" w14:textId="77777777" w:rsidR="00B076A2" w:rsidRPr="00E4265B" w:rsidRDefault="00B076A2" w:rsidP="00B3646C">
            <w:pPr>
              <w:spacing w:after="0" w:line="240" w:lineRule="auto"/>
              <w:jc w:val="center"/>
              <w:rPr>
                <w:rFonts w:ascii="Arial" w:eastAsia="Times New Roman" w:hAnsi="Arial" w:cs="Arial"/>
                <w:b/>
                <w:bCs/>
                <w:color w:val="000000"/>
                <w:sz w:val="28"/>
                <w:szCs w:val="28"/>
              </w:rPr>
            </w:pPr>
            <w:bookmarkStart w:id="4" w:name="RANGE!C2:E55"/>
            <w:r w:rsidRPr="00E4265B">
              <w:rPr>
                <w:rFonts w:ascii="Arial" w:eastAsia="Times New Roman" w:hAnsi="Arial" w:cs="Arial"/>
                <w:b/>
                <w:bCs/>
                <w:color w:val="000000"/>
                <w:sz w:val="28"/>
                <w:szCs w:val="28"/>
              </w:rPr>
              <w:t>Gobierno del Estado de Colima</w:t>
            </w:r>
            <w:bookmarkEnd w:id="4"/>
          </w:p>
        </w:tc>
      </w:tr>
      <w:tr w:rsidR="00B076A2" w:rsidRPr="00E4265B" w14:paraId="7E6F8842" w14:textId="77777777" w:rsidTr="00B3646C">
        <w:trPr>
          <w:trHeight w:val="163"/>
        </w:trPr>
        <w:tc>
          <w:tcPr>
            <w:tcW w:w="5000" w:type="pct"/>
            <w:gridSpan w:val="3"/>
            <w:tcBorders>
              <w:top w:val="single" w:sz="8" w:space="0" w:color="auto"/>
              <w:left w:val="single" w:sz="8" w:space="0" w:color="auto"/>
              <w:bottom w:val="single" w:sz="8" w:space="0" w:color="auto"/>
              <w:right w:val="single" w:sz="8" w:space="0" w:color="auto"/>
            </w:tcBorders>
            <w:shd w:val="clear" w:color="000000" w:fill="DBDBDB"/>
            <w:vAlign w:val="center"/>
            <w:hideMark/>
          </w:tcPr>
          <w:p w14:paraId="072A579B" w14:textId="77777777" w:rsidR="00B076A2" w:rsidRPr="00E4265B" w:rsidRDefault="00B076A2" w:rsidP="00B3646C">
            <w:pPr>
              <w:spacing w:after="0" w:line="240" w:lineRule="auto"/>
              <w:jc w:val="center"/>
              <w:rPr>
                <w:rFonts w:ascii="Arial" w:eastAsia="Times New Roman" w:hAnsi="Arial" w:cs="Arial"/>
                <w:b/>
                <w:bCs/>
                <w:color w:val="000000"/>
                <w:sz w:val="28"/>
                <w:szCs w:val="28"/>
              </w:rPr>
            </w:pPr>
            <w:r w:rsidRPr="00E4265B">
              <w:rPr>
                <w:rFonts w:ascii="Arial" w:eastAsia="Times New Roman" w:hAnsi="Arial" w:cs="Arial"/>
                <w:b/>
                <w:bCs/>
                <w:color w:val="000000"/>
                <w:sz w:val="28"/>
                <w:szCs w:val="28"/>
              </w:rPr>
              <w:t>Balance Presupuestario - LDF                                                                                                Del 01 de enero al 31 de diciembre de 2021</w:t>
            </w:r>
          </w:p>
        </w:tc>
      </w:tr>
      <w:tr w:rsidR="00B076A2" w:rsidRPr="00E4265B" w14:paraId="6A6D7287" w14:textId="77777777" w:rsidTr="00B3646C">
        <w:trPr>
          <w:trHeight w:val="54"/>
        </w:trPr>
        <w:tc>
          <w:tcPr>
            <w:tcW w:w="5000" w:type="pct"/>
            <w:gridSpan w:val="3"/>
            <w:tcBorders>
              <w:top w:val="single" w:sz="8" w:space="0" w:color="auto"/>
              <w:left w:val="single" w:sz="8" w:space="0" w:color="auto"/>
              <w:bottom w:val="single" w:sz="8" w:space="0" w:color="auto"/>
              <w:right w:val="single" w:sz="8" w:space="0" w:color="auto"/>
            </w:tcBorders>
            <w:shd w:val="clear" w:color="000000" w:fill="DBDBDB"/>
            <w:vAlign w:val="center"/>
            <w:hideMark/>
          </w:tcPr>
          <w:p w14:paraId="17CB3999" w14:textId="77777777" w:rsidR="00B076A2" w:rsidRPr="00E4265B" w:rsidRDefault="00B076A2" w:rsidP="00B3646C">
            <w:pPr>
              <w:spacing w:after="0" w:line="240" w:lineRule="auto"/>
              <w:jc w:val="center"/>
              <w:rPr>
                <w:rFonts w:ascii="Arial" w:eastAsia="Times New Roman" w:hAnsi="Arial" w:cs="Arial"/>
                <w:b/>
                <w:bCs/>
                <w:color w:val="000000"/>
                <w:sz w:val="20"/>
                <w:szCs w:val="20"/>
              </w:rPr>
            </w:pPr>
            <w:r w:rsidRPr="00E4265B">
              <w:rPr>
                <w:rFonts w:ascii="Arial" w:eastAsia="Times New Roman" w:hAnsi="Arial" w:cs="Arial"/>
                <w:b/>
                <w:bCs/>
                <w:color w:val="000000"/>
                <w:sz w:val="20"/>
                <w:szCs w:val="20"/>
              </w:rPr>
              <w:t>(PESOS)</w:t>
            </w:r>
          </w:p>
        </w:tc>
      </w:tr>
      <w:tr w:rsidR="00B076A2" w:rsidRPr="00E4265B" w14:paraId="5D2FAEF1" w14:textId="77777777" w:rsidTr="00B3646C">
        <w:trPr>
          <w:trHeight w:val="315"/>
        </w:trPr>
        <w:tc>
          <w:tcPr>
            <w:tcW w:w="4129" w:type="pct"/>
            <w:gridSpan w:val="2"/>
            <w:vMerge w:val="restart"/>
            <w:tcBorders>
              <w:top w:val="single" w:sz="8" w:space="0" w:color="auto"/>
              <w:left w:val="single" w:sz="8" w:space="0" w:color="auto"/>
              <w:bottom w:val="single" w:sz="8" w:space="0" w:color="auto"/>
              <w:right w:val="single" w:sz="8" w:space="0" w:color="auto"/>
            </w:tcBorders>
            <w:shd w:val="clear" w:color="000000" w:fill="EDEDED"/>
            <w:noWrap/>
            <w:vAlign w:val="center"/>
            <w:hideMark/>
          </w:tcPr>
          <w:p w14:paraId="03CF9DFB" w14:textId="77777777" w:rsidR="00B076A2" w:rsidRPr="00E4265B" w:rsidRDefault="00B076A2" w:rsidP="00B3646C">
            <w:pPr>
              <w:spacing w:after="0" w:line="240" w:lineRule="auto"/>
              <w:jc w:val="center"/>
              <w:rPr>
                <w:rFonts w:ascii="Arial" w:eastAsia="Times New Roman" w:hAnsi="Arial" w:cs="Arial"/>
                <w:b/>
                <w:bCs/>
                <w:color w:val="000000"/>
                <w:sz w:val="20"/>
                <w:szCs w:val="20"/>
              </w:rPr>
            </w:pPr>
            <w:r w:rsidRPr="00E4265B">
              <w:rPr>
                <w:rFonts w:ascii="Arial" w:eastAsia="Times New Roman" w:hAnsi="Arial" w:cs="Arial"/>
                <w:b/>
                <w:bCs/>
                <w:color w:val="000000"/>
                <w:sz w:val="20"/>
                <w:szCs w:val="20"/>
              </w:rPr>
              <w:t>Concepto (c)</w:t>
            </w:r>
          </w:p>
        </w:tc>
        <w:tc>
          <w:tcPr>
            <w:tcW w:w="871" w:type="pct"/>
            <w:vMerge w:val="restart"/>
            <w:tcBorders>
              <w:top w:val="nil"/>
              <w:left w:val="single" w:sz="8" w:space="0" w:color="auto"/>
              <w:bottom w:val="single" w:sz="8" w:space="0" w:color="auto"/>
              <w:right w:val="single" w:sz="8" w:space="0" w:color="auto"/>
            </w:tcBorders>
            <w:shd w:val="clear" w:color="000000" w:fill="EDEDED"/>
            <w:vAlign w:val="center"/>
            <w:hideMark/>
          </w:tcPr>
          <w:p w14:paraId="4EEC601A" w14:textId="77777777" w:rsidR="00B076A2" w:rsidRPr="00E4265B" w:rsidRDefault="00B076A2" w:rsidP="00B3646C">
            <w:pPr>
              <w:spacing w:after="0" w:line="240" w:lineRule="auto"/>
              <w:jc w:val="center"/>
              <w:rPr>
                <w:rFonts w:ascii="Arial" w:eastAsia="Times New Roman" w:hAnsi="Arial" w:cs="Arial"/>
                <w:b/>
                <w:bCs/>
                <w:color w:val="000000"/>
                <w:sz w:val="18"/>
                <w:szCs w:val="18"/>
              </w:rPr>
            </w:pPr>
            <w:r w:rsidRPr="00E4265B">
              <w:rPr>
                <w:rFonts w:ascii="Arial" w:eastAsia="Times New Roman" w:hAnsi="Arial" w:cs="Arial"/>
                <w:b/>
                <w:bCs/>
                <w:color w:val="000000"/>
                <w:sz w:val="18"/>
                <w:szCs w:val="18"/>
              </w:rPr>
              <w:t>Estimado/ Aprobado</w:t>
            </w:r>
          </w:p>
        </w:tc>
      </w:tr>
      <w:tr w:rsidR="00B076A2" w:rsidRPr="00E4265B" w14:paraId="4304DA67" w14:textId="77777777" w:rsidTr="00B3646C">
        <w:trPr>
          <w:trHeight w:val="450"/>
        </w:trPr>
        <w:tc>
          <w:tcPr>
            <w:tcW w:w="4129" w:type="pct"/>
            <w:gridSpan w:val="2"/>
            <w:vMerge/>
            <w:tcBorders>
              <w:top w:val="single" w:sz="8" w:space="0" w:color="auto"/>
              <w:left w:val="single" w:sz="8" w:space="0" w:color="auto"/>
              <w:bottom w:val="single" w:sz="8" w:space="0" w:color="auto"/>
              <w:right w:val="single" w:sz="8" w:space="0" w:color="auto"/>
            </w:tcBorders>
            <w:vAlign w:val="center"/>
            <w:hideMark/>
          </w:tcPr>
          <w:p w14:paraId="09574A2A" w14:textId="77777777" w:rsidR="00B076A2" w:rsidRPr="00E4265B" w:rsidRDefault="00B076A2" w:rsidP="00B3646C">
            <w:pPr>
              <w:spacing w:after="0" w:line="240" w:lineRule="auto"/>
              <w:rPr>
                <w:rFonts w:ascii="Arial" w:eastAsia="Times New Roman" w:hAnsi="Arial" w:cs="Arial"/>
                <w:b/>
                <w:bCs/>
                <w:color w:val="000000"/>
                <w:sz w:val="20"/>
                <w:szCs w:val="20"/>
              </w:rPr>
            </w:pPr>
          </w:p>
        </w:tc>
        <w:tc>
          <w:tcPr>
            <w:tcW w:w="871" w:type="pct"/>
            <w:vMerge/>
            <w:tcBorders>
              <w:top w:val="nil"/>
              <w:left w:val="single" w:sz="8" w:space="0" w:color="auto"/>
              <w:bottom w:val="single" w:sz="8" w:space="0" w:color="auto"/>
              <w:right w:val="single" w:sz="8" w:space="0" w:color="auto"/>
            </w:tcBorders>
            <w:vAlign w:val="center"/>
            <w:hideMark/>
          </w:tcPr>
          <w:p w14:paraId="74C4F556" w14:textId="77777777" w:rsidR="00B076A2" w:rsidRPr="00E4265B" w:rsidRDefault="00B076A2" w:rsidP="00B3646C">
            <w:pPr>
              <w:spacing w:after="0" w:line="240" w:lineRule="auto"/>
              <w:rPr>
                <w:rFonts w:ascii="Arial" w:eastAsia="Times New Roman" w:hAnsi="Arial" w:cs="Arial"/>
                <w:b/>
                <w:bCs/>
                <w:color w:val="000000"/>
                <w:sz w:val="18"/>
                <w:szCs w:val="18"/>
              </w:rPr>
            </w:pPr>
          </w:p>
        </w:tc>
      </w:tr>
      <w:tr w:rsidR="00B076A2" w:rsidRPr="00E4265B" w14:paraId="51984286" w14:textId="77777777" w:rsidTr="00B3646C">
        <w:trPr>
          <w:trHeight w:val="64"/>
        </w:trPr>
        <w:tc>
          <w:tcPr>
            <w:tcW w:w="93" w:type="pct"/>
            <w:tcBorders>
              <w:top w:val="nil"/>
              <w:left w:val="single" w:sz="8" w:space="0" w:color="auto"/>
              <w:bottom w:val="single" w:sz="8" w:space="0" w:color="auto"/>
              <w:right w:val="nil"/>
            </w:tcBorders>
            <w:shd w:val="clear" w:color="000000" w:fill="FFFFFF"/>
            <w:vAlign w:val="center"/>
            <w:hideMark/>
          </w:tcPr>
          <w:p w14:paraId="2C3B8C7E" w14:textId="77777777" w:rsidR="00B076A2" w:rsidRPr="00E4265B" w:rsidRDefault="00B076A2" w:rsidP="00B3646C">
            <w:pPr>
              <w:spacing w:after="0" w:line="240" w:lineRule="auto"/>
              <w:rPr>
                <w:rFonts w:ascii="Arial" w:eastAsia="Times New Roman" w:hAnsi="Arial" w:cs="Arial"/>
                <w:color w:val="000000"/>
                <w:sz w:val="18"/>
                <w:szCs w:val="18"/>
              </w:rPr>
            </w:pPr>
            <w:r w:rsidRPr="00E4265B">
              <w:rPr>
                <w:rFonts w:ascii="Arial" w:eastAsia="Times New Roman" w:hAnsi="Arial" w:cs="Arial"/>
                <w:color w:val="000000"/>
                <w:sz w:val="18"/>
                <w:szCs w:val="18"/>
              </w:rPr>
              <w:t> </w:t>
            </w:r>
          </w:p>
        </w:tc>
        <w:tc>
          <w:tcPr>
            <w:tcW w:w="4036" w:type="pct"/>
            <w:tcBorders>
              <w:top w:val="nil"/>
              <w:left w:val="nil"/>
              <w:bottom w:val="single" w:sz="8" w:space="0" w:color="auto"/>
              <w:right w:val="single" w:sz="8" w:space="0" w:color="auto"/>
            </w:tcBorders>
            <w:shd w:val="clear" w:color="000000" w:fill="FFFFFF"/>
            <w:vAlign w:val="center"/>
            <w:hideMark/>
          </w:tcPr>
          <w:p w14:paraId="038986E8" w14:textId="77777777" w:rsidR="00B076A2" w:rsidRPr="00E4265B" w:rsidRDefault="00B076A2" w:rsidP="00B3646C">
            <w:pPr>
              <w:spacing w:after="0" w:line="240" w:lineRule="auto"/>
              <w:rPr>
                <w:rFonts w:ascii="Arial" w:eastAsia="Times New Roman" w:hAnsi="Arial" w:cs="Arial"/>
                <w:b/>
                <w:bCs/>
                <w:color w:val="000000"/>
                <w:sz w:val="18"/>
                <w:szCs w:val="18"/>
              </w:rPr>
            </w:pPr>
            <w:r w:rsidRPr="00E4265B">
              <w:rPr>
                <w:rFonts w:ascii="Arial" w:eastAsia="Times New Roman" w:hAnsi="Arial" w:cs="Arial"/>
                <w:b/>
                <w:bCs/>
                <w:color w:val="000000"/>
                <w:sz w:val="18"/>
                <w:szCs w:val="18"/>
              </w:rPr>
              <w:t>A. Ingresos Totales (A = A1+A2+A3)</w:t>
            </w:r>
          </w:p>
        </w:tc>
        <w:tc>
          <w:tcPr>
            <w:tcW w:w="871" w:type="pct"/>
            <w:tcBorders>
              <w:top w:val="nil"/>
              <w:left w:val="nil"/>
              <w:bottom w:val="single" w:sz="8" w:space="0" w:color="auto"/>
              <w:right w:val="single" w:sz="8" w:space="0" w:color="auto"/>
            </w:tcBorders>
            <w:shd w:val="clear" w:color="000000" w:fill="FFFFFF"/>
            <w:vAlign w:val="center"/>
            <w:hideMark/>
          </w:tcPr>
          <w:p w14:paraId="4E09308C" w14:textId="77777777" w:rsidR="00B076A2" w:rsidRPr="00E4265B" w:rsidRDefault="00B076A2" w:rsidP="00B3646C">
            <w:pPr>
              <w:spacing w:after="0" w:line="240" w:lineRule="auto"/>
              <w:jc w:val="right"/>
              <w:rPr>
                <w:rFonts w:ascii="Arial" w:eastAsia="Times New Roman" w:hAnsi="Arial" w:cs="Arial"/>
                <w:b/>
                <w:bCs/>
                <w:color w:val="000000"/>
                <w:sz w:val="18"/>
                <w:szCs w:val="18"/>
              </w:rPr>
            </w:pPr>
            <w:r w:rsidRPr="00E4265B">
              <w:rPr>
                <w:rFonts w:ascii="Arial" w:eastAsia="Times New Roman" w:hAnsi="Arial" w:cs="Arial"/>
                <w:b/>
                <w:bCs/>
                <w:color w:val="000000"/>
                <w:sz w:val="18"/>
                <w:szCs w:val="18"/>
              </w:rPr>
              <w:t>17,012,144,863.0</w:t>
            </w:r>
          </w:p>
        </w:tc>
      </w:tr>
      <w:tr w:rsidR="00B076A2" w:rsidRPr="00E4265B" w14:paraId="78F00421" w14:textId="77777777" w:rsidTr="00B3646C">
        <w:trPr>
          <w:trHeight w:val="124"/>
        </w:trPr>
        <w:tc>
          <w:tcPr>
            <w:tcW w:w="93" w:type="pct"/>
            <w:tcBorders>
              <w:top w:val="nil"/>
              <w:left w:val="single" w:sz="8" w:space="0" w:color="auto"/>
              <w:bottom w:val="single" w:sz="8" w:space="0" w:color="auto"/>
              <w:right w:val="nil"/>
            </w:tcBorders>
            <w:shd w:val="clear" w:color="000000" w:fill="FFFFFF"/>
            <w:vAlign w:val="center"/>
            <w:hideMark/>
          </w:tcPr>
          <w:p w14:paraId="593CFC73" w14:textId="77777777" w:rsidR="00B076A2" w:rsidRPr="00E4265B" w:rsidRDefault="00B076A2" w:rsidP="00B3646C">
            <w:pPr>
              <w:spacing w:after="0" w:line="240" w:lineRule="auto"/>
              <w:rPr>
                <w:rFonts w:ascii="Arial" w:eastAsia="Times New Roman" w:hAnsi="Arial" w:cs="Arial"/>
                <w:color w:val="000000"/>
                <w:sz w:val="18"/>
                <w:szCs w:val="18"/>
              </w:rPr>
            </w:pPr>
            <w:r w:rsidRPr="00E4265B">
              <w:rPr>
                <w:rFonts w:ascii="Arial" w:eastAsia="Times New Roman" w:hAnsi="Arial" w:cs="Arial"/>
                <w:color w:val="000000"/>
                <w:sz w:val="18"/>
                <w:szCs w:val="18"/>
              </w:rPr>
              <w:t> </w:t>
            </w:r>
          </w:p>
        </w:tc>
        <w:tc>
          <w:tcPr>
            <w:tcW w:w="4036" w:type="pct"/>
            <w:tcBorders>
              <w:top w:val="nil"/>
              <w:left w:val="nil"/>
              <w:bottom w:val="single" w:sz="8" w:space="0" w:color="auto"/>
              <w:right w:val="single" w:sz="8" w:space="0" w:color="auto"/>
            </w:tcBorders>
            <w:shd w:val="clear" w:color="000000" w:fill="FFFFFF"/>
            <w:vAlign w:val="center"/>
            <w:hideMark/>
          </w:tcPr>
          <w:p w14:paraId="13ADA597" w14:textId="77777777" w:rsidR="00B076A2" w:rsidRPr="00E4265B" w:rsidRDefault="00B076A2" w:rsidP="00B3646C">
            <w:pPr>
              <w:spacing w:after="0" w:line="240" w:lineRule="auto"/>
              <w:ind w:left="708"/>
              <w:rPr>
                <w:rFonts w:ascii="Arial" w:eastAsia="Times New Roman" w:hAnsi="Arial" w:cs="Arial"/>
                <w:color w:val="000000"/>
                <w:sz w:val="18"/>
                <w:szCs w:val="18"/>
              </w:rPr>
            </w:pPr>
            <w:r w:rsidRPr="00E4265B">
              <w:rPr>
                <w:rFonts w:ascii="Arial" w:eastAsia="Times New Roman" w:hAnsi="Arial" w:cs="Arial"/>
                <w:color w:val="000000"/>
                <w:sz w:val="18"/>
                <w:szCs w:val="18"/>
              </w:rPr>
              <w:t>A1. Ingresos de Libre Disposición</w:t>
            </w:r>
          </w:p>
        </w:tc>
        <w:tc>
          <w:tcPr>
            <w:tcW w:w="871" w:type="pct"/>
            <w:tcBorders>
              <w:top w:val="nil"/>
              <w:left w:val="nil"/>
              <w:bottom w:val="single" w:sz="8" w:space="0" w:color="auto"/>
              <w:right w:val="single" w:sz="8" w:space="0" w:color="auto"/>
            </w:tcBorders>
            <w:shd w:val="clear" w:color="000000" w:fill="FFFFFF"/>
            <w:vAlign w:val="center"/>
            <w:hideMark/>
          </w:tcPr>
          <w:p w14:paraId="07B65538" w14:textId="77777777" w:rsidR="00B076A2" w:rsidRPr="00E4265B" w:rsidRDefault="00B076A2" w:rsidP="00B3646C">
            <w:pPr>
              <w:spacing w:after="0" w:line="240" w:lineRule="auto"/>
              <w:jc w:val="right"/>
              <w:rPr>
                <w:rFonts w:ascii="Arial" w:eastAsia="Times New Roman" w:hAnsi="Arial" w:cs="Arial"/>
                <w:color w:val="000000"/>
                <w:sz w:val="18"/>
                <w:szCs w:val="18"/>
              </w:rPr>
            </w:pPr>
            <w:r w:rsidRPr="00E4265B">
              <w:rPr>
                <w:rFonts w:ascii="Arial" w:eastAsia="Times New Roman" w:hAnsi="Arial" w:cs="Arial"/>
                <w:color w:val="000000"/>
                <w:sz w:val="18"/>
                <w:szCs w:val="18"/>
              </w:rPr>
              <w:t>8,132,809,858.0</w:t>
            </w:r>
          </w:p>
        </w:tc>
      </w:tr>
      <w:tr w:rsidR="00B076A2" w:rsidRPr="00E4265B" w14:paraId="73C062C0" w14:textId="77777777" w:rsidTr="00B3646C">
        <w:trPr>
          <w:trHeight w:val="54"/>
        </w:trPr>
        <w:tc>
          <w:tcPr>
            <w:tcW w:w="93" w:type="pct"/>
            <w:tcBorders>
              <w:top w:val="nil"/>
              <w:left w:val="single" w:sz="8" w:space="0" w:color="auto"/>
              <w:bottom w:val="single" w:sz="8" w:space="0" w:color="auto"/>
              <w:right w:val="nil"/>
            </w:tcBorders>
            <w:shd w:val="clear" w:color="000000" w:fill="FFFFFF"/>
            <w:vAlign w:val="center"/>
            <w:hideMark/>
          </w:tcPr>
          <w:p w14:paraId="2ADB6E6F" w14:textId="77777777" w:rsidR="00B076A2" w:rsidRPr="00E4265B" w:rsidRDefault="00B076A2" w:rsidP="00B3646C">
            <w:pPr>
              <w:spacing w:after="0" w:line="240" w:lineRule="auto"/>
              <w:rPr>
                <w:rFonts w:ascii="Arial" w:eastAsia="Times New Roman" w:hAnsi="Arial" w:cs="Arial"/>
                <w:color w:val="000000"/>
                <w:sz w:val="18"/>
                <w:szCs w:val="18"/>
              </w:rPr>
            </w:pPr>
            <w:r w:rsidRPr="00E4265B">
              <w:rPr>
                <w:rFonts w:ascii="Arial" w:eastAsia="Times New Roman" w:hAnsi="Arial" w:cs="Arial"/>
                <w:color w:val="000000"/>
                <w:sz w:val="18"/>
                <w:szCs w:val="18"/>
              </w:rPr>
              <w:t> </w:t>
            </w:r>
          </w:p>
        </w:tc>
        <w:tc>
          <w:tcPr>
            <w:tcW w:w="4036" w:type="pct"/>
            <w:tcBorders>
              <w:top w:val="nil"/>
              <w:left w:val="nil"/>
              <w:bottom w:val="single" w:sz="8" w:space="0" w:color="auto"/>
              <w:right w:val="single" w:sz="8" w:space="0" w:color="auto"/>
            </w:tcBorders>
            <w:shd w:val="clear" w:color="000000" w:fill="FFFFFF"/>
            <w:vAlign w:val="center"/>
            <w:hideMark/>
          </w:tcPr>
          <w:p w14:paraId="3F286952" w14:textId="77777777" w:rsidR="00B076A2" w:rsidRPr="00E4265B" w:rsidRDefault="00B076A2" w:rsidP="00B3646C">
            <w:pPr>
              <w:spacing w:after="0" w:line="240" w:lineRule="auto"/>
              <w:ind w:left="708"/>
              <w:rPr>
                <w:rFonts w:ascii="Arial" w:eastAsia="Times New Roman" w:hAnsi="Arial" w:cs="Arial"/>
                <w:color w:val="000000"/>
                <w:sz w:val="18"/>
                <w:szCs w:val="18"/>
              </w:rPr>
            </w:pPr>
            <w:r w:rsidRPr="00E4265B">
              <w:rPr>
                <w:rFonts w:ascii="Arial" w:eastAsia="Times New Roman" w:hAnsi="Arial" w:cs="Arial"/>
                <w:color w:val="000000"/>
                <w:sz w:val="18"/>
                <w:szCs w:val="18"/>
              </w:rPr>
              <w:t>A2. Transferencias Federales Etiquetadas</w:t>
            </w:r>
          </w:p>
        </w:tc>
        <w:tc>
          <w:tcPr>
            <w:tcW w:w="871" w:type="pct"/>
            <w:tcBorders>
              <w:top w:val="nil"/>
              <w:left w:val="nil"/>
              <w:bottom w:val="single" w:sz="8" w:space="0" w:color="auto"/>
              <w:right w:val="single" w:sz="8" w:space="0" w:color="auto"/>
            </w:tcBorders>
            <w:shd w:val="clear" w:color="000000" w:fill="FFFFFF"/>
            <w:vAlign w:val="center"/>
            <w:hideMark/>
          </w:tcPr>
          <w:p w14:paraId="0C5D5632" w14:textId="77777777" w:rsidR="00B076A2" w:rsidRPr="00E4265B" w:rsidRDefault="00B076A2" w:rsidP="00B3646C">
            <w:pPr>
              <w:spacing w:after="0" w:line="240" w:lineRule="auto"/>
              <w:jc w:val="right"/>
              <w:rPr>
                <w:rFonts w:ascii="Arial" w:eastAsia="Times New Roman" w:hAnsi="Arial" w:cs="Arial"/>
                <w:color w:val="000000"/>
                <w:sz w:val="18"/>
                <w:szCs w:val="18"/>
              </w:rPr>
            </w:pPr>
            <w:r w:rsidRPr="00E4265B">
              <w:rPr>
                <w:rFonts w:ascii="Arial" w:eastAsia="Times New Roman" w:hAnsi="Arial" w:cs="Arial"/>
                <w:color w:val="000000"/>
                <w:sz w:val="18"/>
                <w:szCs w:val="18"/>
              </w:rPr>
              <w:t>9,341,190,142.0</w:t>
            </w:r>
          </w:p>
        </w:tc>
      </w:tr>
      <w:tr w:rsidR="00B076A2" w:rsidRPr="00E4265B" w14:paraId="1C568FE8" w14:textId="77777777" w:rsidTr="00B3646C">
        <w:trPr>
          <w:trHeight w:val="88"/>
        </w:trPr>
        <w:tc>
          <w:tcPr>
            <w:tcW w:w="93" w:type="pct"/>
            <w:tcBorders>
              <w:top w:val="nil"/>
              <w:left w:val="single" w:sz="8" w:space="0" w:color="auto"/>
              <w:bottom w:val="single" w:sz="8" w:space="0" w:color="auto"/>
              <w:right w:val="nil"/>
            </w:tcBorders>
            <w:shd w:val="clear" w:color="000000" w:fill="FFFFFF"/>
            <w:vAlign w:val="center"/>
            <w:hideMark/>
          </w:tcPr>
          <w:p w14:paraId="36994E7F" w14:textId="77777777" w:rsidR="00B076A2" w:rsidRPr="00E4265B" w:rsidRDefault="00B076A2" w:rsidP="00B3646C">
            <w:pPr>
              <w:spacing w:after="0" w:line="240" w:lineRule="auto"/>
              <w:rPr>
                <w:rFonts w:ascii="Arial" w:eastAsia="Times New Roman" w:hAnsi="Arial" w:cs="Arial"/>
                <w:color w:val="000000"/>
                <w:sz w:val="18"/>
                <w:szCs w:val="18"/>
              </w:rPr>
            </w:pPr>
            <w:r w:rsidRPr="00E4265B">
              <w:rPr>
                <w:rFonts w:ascii="Arial" w:eastAsia="Times New Roman" w:hAnsi="Arial" w:cs="Arial"/>
                <w:color w:val="000000"/>
                <w:sz w:val="18"/>
                <w:szCs w:val="18"/>
              </w:rPr>
              <w:t> </w:t>
            </w:r>
          </w:p>
        </w:tc>
        <w:tc>
          <w:tcPr>
            <w:tcW w:w="4036" w:type="pct"/>
            <w:tcBorders>
              <w:top w:val="nil"/>
              <w:left w:val="nil"/>
              <w:bottom w:val="single" w:sz="8" w:space="0" w:color="auto"/>
              <w:right w:val="single" w:sz="8" w:space="0" w:color="auto"/>
            </w:tcBorders>
            <w:shd w:val="clear" w:color="000000" w:fill="FFFFFF"/>
            <w:vAlign w:val="center"/>
            <w:hideMark/>
          </w:tcPr>
          <w:p w14:paraId="32652399" w14:textId="77777777" w:rsidR="00B076A2" w:rsidRPr="00E4265B" w:rsidRDefault="00B076A2" w:rsidP="00B3646C">
            <w:pPr>
              <w:spacing w:after="0" w:line="240" w:lineRule="auto"/>
              <w:ind w:left="708"/>
              <w:rPr>
                <w:rFonts w:ascii="Arial" w:eastAsia="Times New Roman" w:hAnsi="Arial" w:cs="Arial"/>
                <w:color w:val="000000"/>
                <w:sz w:val="18"/>
                <w:szCs w:val="18"/>
              </w:rPr>
            </w:pPr>
            <w:r w:rsidRPr="00E4265B">
              <w:rPr>
                <w:rFonts w:ascii="Arial" w:eastAsia="Times New Roman" w:hAnsi="Arial" w:cs="Arial"/>
                <w:color w:val="000000"/>
                <w:sz w:val="18"/>
                <w:szCs w:val="18"/>
              </w:rPr>
              <w:t>A3. Financiamiento Neto</w:t>
            </w:r>
          </w:p>
        </w:tc>
        <w:tc>
          <w:tcPr>
            <w:tcW w:w="871" w:type="pct"/>
            <w:tcBorders>
              <w:top w:val="nil"/>
              <w:left w:val="nil"/>
              <w:bottom w:val="single" w:sz="8" w:space="0" w:color="auto"/>
              <w:right w:val="single" w:sz="8" w:space="0" w:color="auto"/>
            </w:tcBorders>
            <w:shd w:val="clear" w:color="000000" w:fill="FFFFFF"/>
            <w:vAlign w:val="center"/>
            <w:hideMark/>
          </w:tcPr>
          <w:p w14:paraId="6D1366AB" w14:textId="77777777" w:rsidR="00B076A2" w:rsidRPr="00E4265B" w:rsidRDefault="00B076A2" w:rsidP="00B3646C">
            <w:pPr>
              <w:spacing w:after="0" w:line="240" w:lineRule="auto"/>
              <w:jc w:val="right"/>
              <w:rPr>
                <w:rFonts w:ascii="Arial" w:eastAsia="Times New Roman" w:hAnsi="Arial" w:cs="Arial"/>
                <w:color w:val="000000"/>
                <w:sz w:val="18"/>
                <w:szCs w:val="18"/>
              </w:rPr>
            </w:pPr>
            <w:r w:rsidRPr="00E4265B">
              <w:rPr>
                <w:rFonts w:ascii="Arial" w:eastAsia="Times New Roman" w:hAnsi="Arial" w:cs="Arial"/>
                <w:color w:val="000000"/>
                <w:sz w:val="18"/>
                <w:szCs w:val="18"/>
              </w:rPr>
              <w:t>-461,855,137.0</w:t>
            </w:r>
          </w:p>
        </w:tc>
      </w:tr>
      <w:tr w:rsidR="00B076A2" w:rsidRPr="00E4265B" w14:paraId="5F52C5D9" w14:textId="77777777" w:rsidTr="00B3646C">
        <w:trPr>
          <w:trHeight w:val="54"/>
        </w:trPr>
        <w:tc>
          <w:tcPr>
            <w:tcW w:w="93" w:type="pct"/>
            <w:tcBorders>
              <w:top w:val="nil"/>
              <w:left w:val="single" w:sz="8" w:space="0" w:color="auto"/>
              <w:bottom w:val="single" w:sz="8" w:space="0" w:color="auto"/>
              <w:right w:val="nil"/>
            </w:tcBorders>
            <w:shd w:val="clear" w:color="000000" w:fill="FFFFFF"/>
            <w:vAlign w:val="center"/>
            <w:hideMark/>
          </w:tcPr>
          <w:p w14:paraId="3FDB6C68" w14:textId="77777777" w:rsidR="00B076A2" w:rsidRPr="00E4265B" w:rsidRDefault="00B076A2" w:rsidP="00B3646C">
            <w:pPr>
              <w:spacing w:after="0" w:line="240" w:lineRule="auto"/>
              <w:rPr>
                <w:rFonts w:ascii="Arial" w:eastAsia="Times New Roman" w:hAnsi="Arial" w:cs="Arial"/>
                <w:b/>
                <w:bCs/>
                <w:color w:val="000000"/>
                <w:sz w:val="18"/>
                <w:szCs w:val="18"/>
              </w:rPr>
            </w:pPr>
            <w:r w:rsidRPr="00E4265B">
              <w:rPr>
                <w:rFonts w:ascii="Arial" w:eastAsia="Times New Roman" w:hAnsi="Arial" w:cs="Arial"/>
                <w:b/>
                <w:bCs/>
                <w:color w:val="000000"/>
                <w:sz w:val="18"/>
                <w:szCs w:val="18"/>
              </w:rPr>
              <w:t> </w:t>
            </w:r>
          </w:p>
        </w:tc>
        <w:tc>
          <w:tcPr>
            <w:tcW w:w="4036" w:type="pct"/>
            <w:tcBorders>
              <w:top w:val="nil"/>
              <w:left w:val="nil"/>
              <w:bottom w:val="single" w:sz="8" w:space="0" w:color="auto"/>
              <w:right w:val="single" w:sz="8" w:space="0" w:color="auto"/>
            </w:tcBorders>
            <w:shd w:val="clear" w:color="000000" w:fill="FFFFFF"/>
            <w:vAlign w:val="center"/>
            <w:hideMark/>
          </w:tcPr>
          <w:p w14:paraId="5FDAA34D" w14:textId="77777777" w:rsidR="00B076A2" w:rsidRPr="00E4265B" w:rsidRDefault="00B076A2" w:rsidP="00B3646C">
            <w:pPr>
              <w:spacing w:after="0" w:line="240" w:lineRule="auto"/>
              <w:rPr>
                <w:rFonts w:ascii="Arial" w:eastAsia="Times New Roman" w:hAnsi="Arial" w:cs="Arial"/>
                <w:b/>
                <w:bCs/>
                <w:color w:val="000000"/>
                <w:sz w:val="18"/>
                <w:szCs w:val="18"/>
              </w:rPr>
            </w:pPr>
            <w:r w:rsidRPr="00E4265B">
              <w:rPr>
                <w:rFonts w:ascii="Arial" w:eastAsia="Times New Roman" w:hAnsi="Arial" w:cs="Arial"/>
                <w:b/>
                <w:bCs/>
                <w:color w:val="000000"/>
                <w:sz w:val="18"/>
                <w:szCs w:val="18"/>
              </w:rPr>
              <w:t>B. Egresos Presupuestarios (B = B1+B2)</w:t>
            </w:r>
          </w:p>
        </w:tc>
        <w:tc>
          <w:tcPr>
            <w:tcW w:w="871" w:type="pct"/>
            <w:tcBorders>
              <w:top w:val="nil"/>
              <w:left w:val="nil"/>
              <w:bottom w:val="single" w:sz="8" w:space="0" w:color="auto"/>
              <w:right w:val="single" w:sz="8" w:space="0" w:color="auto"/>
            </w:tcBorders>
            <w:shd w:val="clear" w:color="000000" w:fill="FFFFFF"/>
            <w:vAlign w:val="center"/>
            <w:hideMark/>
          </w:tcPr>
          <w:p w14:paraId="61B7B2C9" w14:textId="77777777" w:rsidR="00B076A2" w:rsidRPr="00E4265B" w:rsidRDefault="00B076A2" w:rsidP="00B3646C">
            <w:pPr>
              <w:spacing w:after="0" w:line="240" w:lineRule="auto"/>
              <w:jc w:val="right"/>
              <w:rPr>
                <w:rFonts w:ascii="Arial" w:eastAsia="Times New Roman" w:hAnsi="Arial" w:cs="Arial"/>
                <w:b/>
                <w:bCs/>
                <w:color w:val="000000"/>
                <w:sz w:val="18"/>
                <w:szCs w:val="18"/>
              </w:rPr>
            </w:pPr>
            <w:r w:rsidRPr="00E4265B">
              <w:rPr>
                <w:rFonts w:ascii="Arial" w:eastAsia="Times New Roman" w:hAnsi="Arial" w:cs="Arial"/>
                <w:b/>
                <w:bCs/>
                <w:color w:val="000000"/>
                <w:sz w:val="18"/>
                <w:szCs w:val="18"/>
              </w:rPr>
              <w:t>17,012,144,863.0</w:t>
            </w:r>
          </w:p>
        </w:tc>
      </w:tr>
      <w:tr w:rsidR="00B076A2" w:rsidRPr="00E4265B" w14:paraId="333AA9A1" w14:textId="77777777" w:rsidTr="00B3646C">
        <w:trPr>
          <w:trHeight w:val="54"/>
        </w:trPr>
        <w:tc>
          <w:tcPr>
            <w:tcW w:w="93" w:type="pct"/>
            <w:tcBorders>
              <w:top w:val="nil"/>
              <w:left w:val="single" w:sz="8" w:space="0" w:color="auto"/>
              <w:bottom w:val="single" w:sz="8" w:space="0" w:color="auto"/>
              <w:right w:val="nil"/>
            </w:tcBorders>
            <w:shd w:val="clear" w:color="000000" w:fill="FFFFFF"/>
            <w:vAlign w:val="center"/>
            <w:hideMark/>
          </w:tcPr>
          <w:p w14:paraId="057D0734" w14:textId="77777777" w:rsidR="00B076A2" w:rsidRPr="00E4265B" w:rsidRDefault="00B076A2" w:rsidP="00B3646C">
            <w:pPr>
              <w:spacing w:after="0" w:line="240" w:lineRule="auto"/>
              <w:rPr>
                <w:rFonts w:ascii="Arial" w:eastAsia="Times New Roman" w:hAnsi="Arial" w:cs="Arial"/>
                <w:color w:val="000000"/>
                <w:sz w:val="18"/>
                <w:szCs w:val="18"/>
              </w:rPr>
            </w:pPr>
            <w:r w:rsidRPr="00E4265B">
              <w:rPr>
                <w:rFonts w:ascii="Arial" w:eastAsia="Times New Roman" w:hAnsi="Arial" w:cs="Arial"/>
                <w:color w:val="000000"/>
                <w:sz w:val="18"/>
                <w:szCs w:val="18"/>
              </w:rPr>
              <w:t> </w:t>
            </w:r>
          </w:p>
        </w:tc>
        <w:tc>
          <w:tcPr>
            <w:tcW w:w="4036" w:type="pct"/>
            <w:tcBorders>
              <w:top w:val="nil"/>
              <w:left w:val="nil"/>
              <w:bottom w:val="single" w:sz="8" w:space="0" w:color="auto"/>
              <w:right w:val="single" w:sz="8" w:space="0" w:color="auto"/>
            </w:tcBorders>
            <w:shd w:val="clear" w:color="000000" w:fill="FFFFFF"/>
            <w:vAlign w:val="center"/>
            <w:hideMark/>
          </w:tcPr>
          <w:p w14:paraId="288A028D" w14:textId="77777777" w:rsidR="00B076A2" w:rsidRPr="00E4265B" w:rsidRDefault="00B076A2" w:rsidP="00B3646C">
            <w:pPr>
              <w:spacing w:after="0" w:line="240" w:lineRule="auto"/>
              <w:ind w:left="708"/>
              <w:rPr>
                <w:rFonts w:ascii="Arial" w:eastAsia="Times New Roman" w:hAnsi="Arial" w:cs="Arial"/>
                <w:color w:val="000000"/>
                <w:sz w:val="18"/>
                <w:szCs w:val="18"/>
              </w:rPr>
            </w:pPr>
            <w:r w:rsidRPr="00E4265B">
              <w:rPr>
                <w:rFonts w:ascii="Arial" w:eastAsia="Times New Roman" w:hAnsi="Arial" w:cs="Arial"/>
                <w:color w:val="000000"/>
                <w:sz w:val="18"/>
                <w:szCs w:val="18"/>
              </w:rPr>
              <w:t>B1. Gasto No Etiquetado (sin incluir Amortización de la Deuda Pública)</w:t>
            </w:r>
          </w:p>
        </w:tc>
        <w:tc>
          <w:tcPr>
            <w:tcW w:w="871" w:type="pct"/>
            <w:tcBorders>
              <w:top w:val="nil"/>
              <w:left w:val="nil"/>
              <w:bottom w:val="single" w:sz="8" w:space="0" w:color="auto"/>
              <w:right w:val="single" w:sz="8" w:space="0" w:color="auto"/>
            </w:tcBorders>
            <w:shd w:val="clear" w:color="000000" w:fill="FFFFFF"/>
            <w:vAlign w:val="center"/>
            <w:hideMark/>
          </w:tcPr>
          <w:p w14:paraId="51909897" w14:textId="77777777" w:rsidR="00B076A2" w:rsidRPr="00E4265B" w:rsidRDefault="00B076A2" w:rsidP="00B3646C">
            <w:pPr>
              <w:spacing w:after="0" w:line="240" w:lineRule="auto"/>
              <w:jc w:val="right"/>
              <w:rPr>
                <w:rFonts w:ascii="Arial" w:eastAsia="Times New Roman" w:hAnsi="Arial" w:cs="Arial"/>
                <w:color w:val="000000"/>
                <w:sz w:val="18"/>
                <w:szCs w:val="18"/>
              </w:rPr>
            </w:pPr>
            <w:r w:rsidRPr="00E4265B">
              <w:rPr>
                <w:rFonts w:ascii="Arial" w:eastAsia="Times New Roman" w:hAnsi="Arial" w:cs="Arial"/>
                <w:color w:val="000000"/>
                <w:sz w:val="18"/>
                <w:szCs w:val="18"/>
              </w:rPr>
              <w:t>7,948,918,240.0</w:t>
            </w:r>
          </w:p>
        </w:tc>
      </w:tr>
      <w:tr w:rsidR="00B076A2" w:rsidRPr="00E4265B" w14:paraId="4E60045E" w14:textId="77777777" w:rsidTr="00B3646C">
        <w:trPr>
          <w:trHeight w:val="54"/>
        </w:trPr>
        <w:tc>
          <w:tcPr>
            <w:tcW w:w="93" w:type="pct"/>
            <w:tcBorders>
              <w:top w:val="nil"/>
              <w:left w:val="single" w:sz="8" w:space="0" w:color="auto"/>
              <w:bottom w:val="single" w:sz="8" w:space="0" w:color="auto"/>
              <w:right w:val="nil"/>
            </w:tcBorders>
            <w:shd w:val="clear" w:color="000000" w:fill="FFFFFF"/>
            <w:vAlign w:val="center"/>
            <w:hideMark/>
          </w:tcPr>
          <w:p w14:paraId="6C8A57FB" w14:textId="77777777" w:rsidR="00B076A2" w:rsidRPr="00E4265B" w:rsidRDefault="00B076A2" w:rsidP="00B3646C">
            <w:pPr>
              <w:spacing w:after="0" w:line="240" w:lineRule="auto"/>
              <w:rPr>
                <w:rFonts w:ascii="Arial" w:eastAsia="Times New Roman" w:hAnsi="Arial" w:cs="Arial"/>
                <w:color w:val="000000"/>
                <w:sz w:val="18"/>
                <w:szCs w:val="18"/>
              </w:rPr>
            </w:pPr>
            <w:r w:rsidRPr="00E4265B">
              <w:rPr>
                <w:rFonts w:ascii="Arial" w:eastAsia="Times New Roman" w:hAnsi="Arial" w:cs="Arial"/>
                <w:color w:val="000000"/>
                <w:sz w:val="18"/>
                <w:szCs w:val="18"/>
              </w:rPr>
              <w:t> </w:t>
            </w:r>
          </w:p>
        </w:tc>
        <w:tc>
          <w:tcPr>
            <w:tcW w:w="4036" w:type="pct"/>
            <w:tcBorders>
              <w:top w:val="nil"/>
              <w:left w:val="nil"/>
              <w:bottom w:val="single" w:sz="8" w:space="0" w:color="auto"/>
              <w:right w:val="single" w:sz="8" w:space="0" w:color="auto"/>
            </w:tcBorders>
            <w:shd w:val="clear" w:color="000000" w:fill="FFFFFF"/>
            <w:vAlign w:val="center"/>
            <w:hideMark/>
          </w:tcPr>
          <w:p w14:paraId="125E37DD" w14:textId="77777777" w:rsidR="00B076A2" w:rsidRPr="00E4265B" w:rsidRDefault="00B076A2" w:rsidP="00B3646C">
            <w:pPr>
              <w:spacing w:after="0" w:line="240" w:lineRule="auto"/>
              <w:ind w:left="708"/>
              <w:rPr>
                <w:rFonts w:ascii="Arial" w:eastAsia="Times New Roman" w:hAnsi="Arial" w:cs="Arial"/>
                <w:color w:val="000000"/>
                <w:sz w:val="18"/>
                <w:szCs w:val="18"/>
              </w:rPr>
            </w:pPr>
            <w:r w:rsidRPr="00E4265B">
              <w:rPr>
                <w:rFonts w:ascii="Arial" w:eastAsia="Times New Roman" w:hAnsi="Arial" w:cs="Arial"/>
                <w:color w:val="000000"/>
                <w:sz w:val="18"/>
                <w:szCs w:val="18"/>
              </w:rPr>
              <w:t xml:space="preserve">B2. Gasto Etiquetado (sin incluir Amortización de la Deuda Pública)  </w:t>
            </w:r>
          </w:p>
        </w:tc>
        <w:tc>
          <w:tcPr>
            <w:tcW w:w="871" w:type="pct"/>
            <w:tcBorders>
              <w:top w:val="nil"/>
              <w:left w:val="nil"/>
              <w:bottom w:val="single" w:sz="8" w:space="0" w:color="auto"/>
              <w:right w:val="single" w:sz="8" w:space="0" w:color="auto"/>
            </w:tcBorders>
            <w:shd w:val="clear" w:color="000000" w:fill="FFFFFF"/>
            <w:vAlign w:val="center"/>
            <w:hideMark/>
          </w:tcPr>
          <w:p w14:paraId="4391E08B" w14:textId="77777777" w:rsidR="00B076A2" w:rsidRPr="00E4265B" w:rsidRDefault="00B076A2" w:rsidP="00B3646C">
            <w:pPr>
              <w:spacing w:after="0" w:line="240" w:lineRule="auto"/>
              <w:jc w:val="right"/>
              <w:rPr>
                <w:rFonts w:ascii="Arial" w:eastAsia="Times New Roman" w:hAnsi="Arial" w:cs="Arial"/>
                <w:color w:val="000000"/>
                <w:sz w:val="18"/>
                <w:szCs w:val="18"/>
              </w:rPr>
            </w:pPr>
            <w:r w:rsidRPr="00E4265B">
              <w:rPr>
                <w:rFonts w:ascii="Arial" w:eastAsia="Times New Roman" w:hAnsi="Arial" w:cs="Arial"/>
                <w:color w:val="000000"/>
                <w:sz w:val="18"/>
                <w:szCs w:val="18"/>
              </w:rPr>
              <w:t>9,063,226,623.0</w:t>
            </w:r>
          </w:p>
        </w:tc>
      </w:tr>
      <w:tr w:rsidR="00B076A2" w:rsidRPr="00E4265B" w14:paraId="56B4B8D5" w14:textId="77777777" w:rsidTr="00B3646C">
        <w:trPr>
          <w:trHeight w:val="315"/>
        </w:trPr>
        <w:tc>
          <w:tcPr>
            <w:tcW w:w="93" w:type="pct"/>
            <w:tcBorders>
              <w:top w:val="nil"/>
              <w:left w:val="single" w:sz="8" w:space="0" w:color="auto"/>
              <w:bottom w:val="single" w:sz="8" w:space="0" w:color="auto"/>
              <w:right w:val="nil"/>
            </w:tcBorders>
            <w:shd w:val="clear" w:color="000000" w:fill="FFFFFF"/>
            <w:vAlign w:val="center"/>
            <w:hideMark/>
          </w:tcPr>
          <w:p w14:paraId="54947C1D" w14:textId="77777777" w:rsidR="00B076A2" w:rsidRPr="00E4265B" w:rsidRDefault="00B076A2" w:rsidP="00B3646C">
            <w:pPr>
              <w:spacing w:after="0" w:line="240" w:lineRule="auto"/>
              <w:rPr>
                <w:rFonts w:ascii="Arial" w:eastAsia="Times New Roman" w:hAnsi="Arial" w:cs="Arial"/>
                <w:color w:val="000000"/>
                <w:sz w:val="18"/>
                <w:szCs w:val="18"/>
              </w:rPr>
            </w:pPr>
            <w:r w:rsidRPr="00E4265B">
              <w:rPr>
                <w:rFonts w:ascii="Arial" w:eastAsia="Times New Roman" w:hAnsi="Arial" w:cs="Arial"/>
                <w:color w:val="000000"/>
                <w:sz w:val="18"/>
                <w:szCs w:val="18"/>
              </w:rPr>
              <w:t> </w:t>
            </w:r>
          </w:p>
        </w:tc>
        <w:tc>
          <w:tcPr>
            <w:tcW w:w="4036" w:type="pct"/>
            <w:tcBorders>
              <w:top w:val="nil"/>
              <w:left w:val="nil"/>
              <w:bottom w:val="single" w:sz="8" w:space="0" w:color="auto"/>
              <w:right w:val="single" w:sz="8" w:space="0" w:color="auto"/>
            </w:tcBorders>
            <w:shd w:val="clear" w:color="000000" w:fill="FFFFFF"/>
            <w:vAlign w:val="center"/>
            <w:hideMark/>
          </w:tcPr>
          <w:p w14:paraId="5F6A48F0" w14:textId="77777777" w:rsidR="00B076A2" w:rsidRPr="00E4265B" w:rsidRDefault="00B076A2" w:rsidP="00B3646C">
            <w:pPr>
              <w:spacing w:after="0" w:line="240" w:lineRule="auto"/>
              <w:rPr>
                <w:rFonts w:ascii="Arial" w:eastAsia="Times New Roman" w:hAnsi="Arial" w:cs="Arial"/>
                <w:b/>
                <w:bCs/>
                <w:color w:val="000000"/>
                <w:sz w:val="18"/>
                <w:szCs w:val="18"/>
              </w:rPr>
            </w:pPr>
            <w:r w:rsidRPr="00E4265B">
              <w:rPr>
                <w:rFonts w:ascii="Arial" w:eastAsia="Times New Roman" w:hAnsi="Arial" w:cs="Arial"/>
                <w:b/>
                <w:bCs/>
                <w:color w:val="000000"/>
                <w:sz w:val="18"/>
                <w:szCs w:val="18"/>
              </w:rPr>
              <w:t>C. Remanentes del Ejercicio Anterior (C=C1+C2)</w:t>
            </w:r>
          </w:p>
        </w:tc>
        <w:tc>
          <w:tcPr>
            <w:tcW w:w="871" w:type="pct"/>
            <w:tcBorders>
              <w:top w:val="nil"/>
              <w:left w:val="nil"/>
              <w:bottom w:val="single" w:sz="8" w:space="0" w:color="auto"/>
              <w:right w:val="single" w:sz="8" w:space="0" w:color="auto"/>
            </w:tcBorders>
            <w:shd w:val="clear" w:color="000000" w:fill="FFFFFF"/>
            <w:vAlign w:val="center"/>
            <w:hideMark/>
          </w:tcPr>
          <w:p w14:paraId="0B7D0851" w14:textId="77777777" w:rsidR="00B076A2" w:rsidRPr="00E4265B" w:rsidRDefault="00B076A2" w:rsidP="00B3646C">
            <w:pPr>
              <w:spacing w:after="0" w:line="240" w:lineRule="auto"/>
              <w:jc w:val="right"/>
              <w:rPr>
                <w:rFonts w:ascii="Arial" w:eastAsia="Times New Roman" w:hAnsi="Arial" w:cs="Arial"/>
                <w:b/>
                <w:bCs/>
                <w:color w:val="000000"/>
                <w:sz w:val="18"/>
                <w:szCs w:val="18"/>
              </w:rPr>
            </w:pPr>
            <w:r w:rsidRPr="00E4265B">
              <w:rPr>
                <w:rFonts w:ascii="Arial" w:eastAsia="Times New Roman" w:hAnsi="Arial" w:cs="Arial"/>
                <w:b/>
                <w:bCs/>
                <w:color w:val="000000"/>
                <w:sz w:val="18"/>
                <w:szCs w:val="18"/>
              </w:rPr>
              <w:t>0.0</w:t>
            </w:r>
          </w:p>
        </w:tc>
      </w:tr>
      <w:tr w:rsidR="00B076A2" w:rsidRPr="00E4265B" w14:paraId="022EF567" w14:textId="77777777" w:rsidTr="00B3646C">
        <w:trPr>
          <w:trHeight w:val="54"/>
        </w:trPr>
        <w:tc>
          <w:tcPr>
            <w:tcW w:w="93" w:type="pct"/>
            <w:tcBorders>
              <w:top w:val="nil"/>
              <w:left w:val="single" w:sz="8" w:space="0" w:color="auto"/>
              <w:bottom w:val="single" w:sz="8" w:space="0" w:color="auto"/>
              <w:right w:val="nil"/>
            </w:tcBorders>
            <w:shd w:val="clear" w:color="000000" w:fill="FFFFFF"/>
            <w:vAlign w:val="center"/>
            <w:hideMark/>
          </w:tcPr>
          <w:p w14:paraId="6E23A010" w14:textId="77777777" w:rsidR="00B076A2" w:rsidRPr="00E4265B" w:rsidRDefault="00B076A2" w:rsidP="00B3646C">
            <w:pPr>
              <w:spacing w:after="0" w:line="240" w:lineRule="auto"/>
              <w:rPr>
                <w:rFonts w:ascii="Arial" w:eastAsia="Times New Roman" w:hAnsi="Arial" w:cs="Arial"/>
                <w:color w:val="000000"/>
                <w:sz w:val="18"/>
                <w:szCs w:val="18"/>
              </w:rPr>
            </w:pPr>
            <w:r w:rsidRPr="00E4265B">
              <w:rPr>
                <w:rFonts w:ascii="Arial" w:eastAsia="Times New Roman" w:hAnsi="Arial" w:cs="Arial"/>
                <w:color w:val="000000"/>
                <w:sz w:val="18"/>
                <w:szCs w:val="18"/>
              </w:rPr>
              <w:t> </w:t>
            </w:r>
          </w:p>
        </w:tc>
        <w:tc>
          <w:tcPr>
            <w:tcW w:w="4036" w:type="pct"/>
            <w:tcBorders>
              <w:top w:val="nil"/>
              <w:left w:val="nil"/>
              <w:bottom w:val="single" w:sz="8" w:space="0" w:color="auto"/>
              <w:right w:val="single" w:sz="8" w:space="0" w:color="auto"/>
            </w:tcBorders>
            <w:shd w:val="clear" w:color="000000" w:fill="FFFFFF"/>
            <w:vAlign w:val="center"/>
            <w:hideMark/>
          </w:tcPr>
          <w:p w14:paraId="67C07A19" w14:textId="77777777" w:rsidR="00B076A2" w:rsidRPr="00E4265B" w:rsidRDefault="00B076A2" w:rsidP="00B3646C">
            <w:pPr>
              <w:spacing w:after="0" w:line="240" w:lineRule="auto"/>
              <w:ind w:left="708"/>
              <w:rPr>
                <w:rFonts w:ascii="Arial" w:eastAsia="Times New Roman" w:hAnsi="Arial" w:cs="Arial"/>
                <w:color w:val="000000"/>
                <w:sz w:val="18"/>
                <w:szCs w:val="18"/>
              </w:rPr>
            </w:pPr>
            <w:r w:rsidRPr="00E4265B">
              <w:rPr>
                <w:rFonts w:ascii="Arial" w:eastAsia="Times New Roman" w:hAnsi="Arial" w:cs="Arial"/>
                <w:color w:val="000000"/>
                <w:sz w:val="18"/>
                <w:szCs w:val="18"/>
              </w:rPr>
              <w:t>C1. Remanentes de Ingresos de Libre Disposición aplicados en el periodo</w:t>
            </w:r>
          </w:p>
        </w:tc>
        <w:tc>
          <w:tcPr>
            <w:tcW w:w="871" w:type="pct"/>
            <w:tcBorders>
              <w:top w:val="nil"/>
              <w:left w:val="nil"/>
              <w:bottom w:val="single" w:sz="8" w:space="0" w:color="auto"/>
              <w:right w:val="single" w:sz="8" w:space="0" w:color="auto"/>
            </w:tcBorders>
            <w:shd w:val="clear" w:color="000000" w:fill="FFFFFF"/>
            <w:vAlign w:val="center"/>
            <w:hideMark/>
          </w:tcPr>
          <w:p w14:paraId="5E190DB0" w14:textId="77777777" w:rsidR="00B076A2" w:rsidRPr="00E4265B" w:rsidRDefault="00B076A2" w:rsidP="00B3646C">
            <w:pPr>
              <w:spacing w:after="0" w:line="240" w:lineRule="auto"/>
              <w:jc w:val="right"/>
              <w:rPr>
                <w:rFonts w:ascii="Arial" w:eastAsia="Times New Roman" w:hAnsi="Arial" w:cs="Arial"/>
                <w:color w:val="000000"/>
                <w:sz w:val="18"/>
                <w:szCs w:val="18"/>
              </w:rPr>
            </w:pPr>
            <w:r w:rsidRPr="00E4265B">
              <w:rPr>
                <w:rFonts w:ascii="Arial" w:eastAsia="Times New Roman" w:hAnsi="Arial" w:cs="Arial"/>
                <w:color w:val="000000"/>
                <w:sz w:val="18"/>
                <w:szCs w:val="18"/>
              </w:rPr>
              <w:t>0.0</w:t>
            </w:r>
          </w:p>
        </w:tc>
      </w:tr>
      <w:tr w:rsidR="00B076A2" w:rsidRPr="00E4265B" w14:paraId="1C267E61" w14:textId="77777777" w:rsidTr="00B3646C">
        <w:trPr>
          <w:trHeight w:val="54"/>
        </w:trPr>
        <w:tc>
          <w:tcPr>
            <w:tcW w:w="93" w:type="pct"/>
            <w:tcBorders>
              <w:top w:val="nil"/>
              <w:left w:val="single" w:sz="8" w:space="0" w:color="auto"/>
              <w:bottom w:val="single" w:sz="8" w:space="0" w:color="auto"/>
              <w:right w:val="nil"/>
            </w:tcBorders>
            <w:shd w:val="clear" w:color="000000" w:fill="FFFFFF"/>
            <w:vAlign w:val="center"/>
            <w:hideMark/>
          </w:tcPr>
          <w:p w14:paraId="5E892970" w14:textId="77777777" w:rsidR="00B076A2" w:rsidRPr="00E4265B" w:rsidRDefault="00B076A2" w:rsidP="00B3646C">
            <w:pPr>
              <w:spacing w:after="0" w:line="240" w:lineRule="auto"/>
              <w:rPr>
                <w:rFonts w:ascii="Arial" w:eastAsia="Times New Roman" w:hAnsi="Arial" w:cs="Arial"/>
                <w:color w:val="000000"/>
                <w:sz w:val="18"/>
                <w:szCs w:val="18"/>
              </w:rPr>
            </w:pPr>
            <w:r w:rsidRPr="00E4265B">
              <w:rPr>
                <w:rFonts w:ascii="Arial" w:eastAsia="Times New Roman" w:hAnsi="Arial" w:cs="Arial"/>
                <w:color w:val="000000"/>
                <w:sz w:val="18"/>
                <w:szCs w:val="18"/>
              </w:rPr>
              <w:t> </w:t>
            </w:r>
          </w:p>
        </w:tc>
        <w:tc>
          <w:tcPr>
            <w:tcW w:w="4036" w:type="pct"/>
            <w:tcBorders>
              <w:top w:val="nil"/>
              <w:left w:val="nil"/>
              <w:bottom w:val="single" w:sz="8" w:space="0" w:color="auto"/>
              <w:right w:val="single" w:sz="8" w:space="0" w:color="auto"/>
            </w:tcBorders>
            <w:shd w:val="clear" w:color="000000" w:fill="FFFFFF"/>
            <w:vAlign w:val="center"/>
            <w:hideMark/>
          </w:tcPr>
          <w:p w14:paraId="4F07904B" w14:textId="77777777" w:rsidR="00B076A2" w:rsidRPr="00E4265B" w:rsidRDefault="00B076A2" w:rsidP="00B3646C">
            <w:pPr>
              <w:spacing w:after="0" w:line="240" w:lineRule="auto"/>
              <w:ind w:left="708"/>
              <w:rPr>
                <w:rFonts w:ascii="Arial" w:eastAsia="Times New Roman" w:hAnsi="Arial" w:cs="Arial"/>
                <w:color w:val="000000"/>
                <w:sz w:val="18"/>
                <w:szCs w:val="18"/>
              </w:rPr>
            </w:pPr>
            <w:r w:rsidRPr="00E4265B">
              <w:rPr>
                <w:rFonts w:ascii="Arial" w:eastAsia="Times New Roman" w:hAnsi="Arial" w:cs="Arial"/>
                <w:color w:val="000000"/>
                <w:sz w:val="18"/>
                <w:szCs w:val="18"/>
              </w:rPr>
              <w:t>C2. Remanentes de Transferencias Federales Etiquetadas aplicados en el periodo</w:t>
            </w:r>
          </w:p>
        </w:tc>
        <w:tc>
          <w:tcPr>
            <w:tcW w:w="871" w:type="pct"/>
            <w:tcBorders>
              <w:top w:val="nil"/>
              <w:left w:val="nil"/>
              <w:bottom w:val="single" w:sz="8" w:space="0" w:color="auto"/>
              <w:right w:val="single" w:sz="8" w:space="0" w:color="auto"/>
            </w:tcBorders>
            <w:shd w:val="clear" w:color="000000" w:fill="FFFFFF"/>
            <w:vAlign w:val="center"/>
            <w:hideMark/>
          </w:tcPr>
          <w:p w14:paraId="70377F96" w14:textId="77777777" w:rsidR="00B076A2" w:rsidRPr="00E4265B" w:rsidRDefault="00B076A2" w:rsidP="00B3646C">
            <w:pPr>
              <w:spacing w:after="0" w:line="240" w:lineRule="auto"/>
              <w:jc w:val="right"/>
              <w:rPr>
                <w:rFonts w:ascii="Arial" w:eastAsia="Times New Roman" w:hAnsi="Arial" w:cs="Arial"/>
                <w:color w:val="000000"/>
                <w:sz w:val="18"/>
                <w:szCs w:val="18"/>
              </w:rPr>
            </w:pPr>
            <w:r w:rsidRPr="00E4265B">
              <w:rPr>
                <w:rFonts w:ascii="Arial" w:eastAsia="Times New Roman" w:hAnsi="Arial" w:cs="Arial"/>
                <w:color w:val="000000"/>
                <w:sz w:val="18"/>
                <w:szCs w:val="18"/>
              </w:rPr>
              <w:t>0.0</w:t>
            </w:r>
          </w:p>
        </w:tc>
      </w:tr>
      <w:tr w:rsidR="00B076A2" w:rsidRPr="00E4265B" w14:paraId="153A52FC" w14:textId="77777777" w:rsidTr="00B3646C">
        <w:trPr>
          <w:trHeight w:val="54"/>
        </w:trPr>
        <w:tc>
          <w:tcPr>
            <w:tcW w:w="93" w:type="pct"/>
            <w:tcBorders>
              <w:top w:val="nil"/>
              <w:left w:val="single" w:sz="8" w:space="0" w:color="auto"/>
              <w:bottom w:val="single" w:sz="8" w:space="0" w:color="auto"/>
              <w:right w:val="nil"/>
            </w:tcBorders>
            <w:shd w:val="clear" w:color="000000" w:fill="FFFFFF"/>
            <w:noWrap/>
            <w:vAlign w:val="center"/>
            <w:hideMark/>
          </w:tcPr>
          <w:p w14:paraId="0BCAFD79" w14:textId="77777777" w:rsidR="00B076A2" w:rsidRPr="00E4265B" w:rsidRDefault="00B076A2" w:rsidP="00B3646C">
            <w:pPr>
              <w:spacing w:after="0" w:line="240" w:lineRule="auto"/>
              <w:rPr>
                <w:rFonts w:ascii="Arial" w:eastAsia="Times New Roman" w:hAnsi="Arial" w:cs="Arial"/>
                <w:color w:val="000000"/>
                <w:sz w:val="18"/>
                <w:szCs w:val="18"/>
              </w:rPr>
            </w:pPr>
            <w:r w:rsidRPr="00E4265B">
              <w:rPr>
                <w:rFonts w:ascii="Arial" w:eastAsia="Times New Roman" w:hAnsi="Arial" w:cs="Arial"/>
                <w:color w:val="000000"/>
                <w:sz w:val="18"/>
                <w:szCs w:val="18"/>
              </w:rPr>
              <w:t> </w:t>
            </w:r>
          </w:p>
        </w:tc>
        <w:tc>
          <w:tcPr>
            <w:tcW w:w="4036" w:type="pct"/>
            <w:tcBorders>
              <w:top w:val="nil"/>
              <w:left w:val="nil"/>
              <w:bottom w:val="single" w:sz="8" w:space="0" w:color="auto"/>
              <w:right w:val="single" w:sz="8" w:space="0" w:color="auto"/>
            </w:tcBorders>
            <w:shd w:val="clear" w:color="000000" w:fill="FFFFFF"/>
            <w:vAlign w:val="center"/>
            <w:hideMark/>
          </w:tcPr>
          <w:p w14:paraId="056AC136" w14:textId="77777777" w:rsidR="00B076A2" w:rsidRPr="00E4265B" w:rsidRDefault="00B076A2" w:rsidP="00B3646C">
            <w:pPr>
              <w:spacing w:after="0" w:line="240" w:lineRule="auto"/>
              <w:rPr>
                <w:rFonts w:ascii="Arial" w:eastAsia="Times New Roman" w:hAnsi="Arial" w:cs="Arial"/>
                <w:b/>
                <w:bCs/>
                <w:color w:val="000000"/>
                <w:sz w:val="18"/>
                <w:szCs w:val="18"/>
              </w:rPr>
            </w:pPr>
            <w:r w:rsidRPr="00E4265B">
              <w:rPr>
                <w:rFonts w:ascii="Arial" w:eastAsia="Times New Roman" w:hAnsi="Arial" w:cs="Arial"/>
                <w:b/>
                <w:bCs/>
                <w:color w:val="000000"/>
                <w:sz w:val="18"/>
                <w:szCs w:val="18"/>
              </w:rPr>
              <w:t>I. Balance Presupuestario (I = A – B + C)</w:t>
            </w:r>
          </w:p>
        </w:tc>
        <w:tc>
          <w:tcPr>
            <w:tcW w:w="871" w:type="pct"/>
            <w:tcBorders>
              <w:top w:val="nil"/>
              <w:left w:val="nil"/>
              <w:bottom w:val="single" w:sz="8" w:space="0" w:color="auto"/>
              <w:right w:val="single" w:sz="8" w:space="0" w:color="auto"/>
            </w:tcBorders>
            <w:shd w:val="clear" w:color="000000" w:fill="FFFFFF"/>
            <w:vAlign w:val="center"/>
            <w:hideMark/>
          </w:tcPr>
          <w:p w14:paraId="6B82D535" w14:textId="77777777" w:rsidR="00B076A2" w:rsidRPr="00E4265B" w:rsidRDefault="00B076A2" w:rsidP="00B3646C">
            <w:pPr>
              <w:spacing w:after="0" w:line="240" w:lineRule="auto"/>
              <w:jc w:val="right"/>
              <w:rPr>
                <w:rFonts w:ascii="Arial" w:eastAsia="Times New Roman" w:hAnsi="Arial" w:cs="Arial"/>
                <w:b/>
                <w:bCs/>
                <w:color w:val="000000"/>
                <w:sz w:val="18"/>
                <w:szCs w:val="18"/>
              </w:rPr>
            </w:pPr>
            <w:r w:rsidRPr="00E4265B">
              <w:rPr>
                <w:rFonts w:ascii="Arial" w:eastAsia="Times New Roman" w:hAnsi="Arial" w:cs="Arial"/>
                <w:b/>
                <w:bCs/>
                <w:color w:val="000000"/>
                <w:sz w:val="18"/>
                <w:szCs w:val="18"/>
              </w:rPr>
              <w:t>0.0</w:t>
            </w:r>
          </w:p>
        </w:tc>
      </w:tr>
      <w:tr w:rsidR="00B076A2" w:rsidRPr="00E4265B" w14:paraId="2242F6F3" w14:textId="77777777" w:rsidTr="00B3646C">
        <w:trPr>
          <w:trHeight w:val="54"/>
        </w:trPr>
        <w:tc>
          <w:tcPr>
            <w:tcW w:w="93" w:type="pct"/>
            <w:tcBorders>
              <w:top w:val="nil"/>
              <w:left w:val="single" w:sz="8" w:space="0" w:color="auto"/>
              <w:bottom w:val="single" w:sz="8" w:space="0" w:color="auto"/>
              <w:right w:val="nil"/>
            </w:tcBorders>
            <w:shd w:val="clear" w:color="000000" w:fill="FFFFFF"/>
            <w:noWrap/>
            <w:vAlign w:val="center"/>
            <w:hideMark/>
          </w:tcPr>
          <w:p w14:paraId="798E436B" w14:textId="77777777" w:rsidR="00B076A2" w:rsidRPr="00E4265B" w:rsidRDefault="00B076A2" w:rsidP="00B3646C">
            <w:pPr>
              <w:spacing w:after="0" w:line="240" w:lineRule="auto"/>
              <w:rPr>
                <w:rFonts w:ascii="Arial" w:eastAsia="Times New Roman" w:hAnsi="Arial" w:cs="Arial"/>
                <w:color w:val="000000"/>
                <w:sz w:val="18"/>
                <w:szCs w:val="18"/>
              </w:rPr>
            </w:pPr>
            <w:r w:rsidRPr="00E4265B">
              <w:rPr>
                <w:rFonts w:ascii="Arial" w:eastAsia="Times New Roman" w:hAnsi="Arial" w:cs="Arial"/>
                <w:color w:val="000000"/>
                <w:sz w:val="18"/>
                <w:szCs w:val="18"/>
              </w:rPr>
              <w:t> </w:t>
            </w:r>
          </w:p>
        </w:tc>
        <w:tc>
          <w:tcPr>
            <w:tcW w:w="4036" w:type="pct"/>
            <w:tcBorders>
              <w:top w:val="nil"/>
              <w:left w:val="nil"/>
              <w:bottom w:val="single" w:sz="8" w:space="0" w:color="auto"/>
              <w:right w:val="single" w:sz="8" w:space="0" w:color="auto"/>
            </w:tcBorders>
            <w:shd w:val="clear" w:color="000000" w:fill="FFFFFF"/>
            <w:vAlign w:val="center"/>
            <w:hideMark/>
          </w:tcPr>
          <w:p w14:paraId="61BD50B6" w14:textId="77777777" w:rsidR="00B076A2" w:rsidRPr="00E4265B" w:rsidRDefault="00B076A2" w:rsidP="00B3646C">
            <w:pPr>
              <w:spacing w:after="0" w:line="240" w:lineRule="auto"/>
              <w:rPr>
                <w:rFonts w:ascii="Arial" w:eastAsia="Times New Roman" w:hAnsi="Arial" w:cs="Arial"/>
                <w:b/>
                <w:bCs/>
                <w:color w:val="000000"/>
                <w:sz w:val="18"/>
                <w:szCs w:val="18"/>
              </w:rPr>
            </w:pPr>
            <w:r w:rsidRPr="00E4265B">
              <w:rPr>
                <w:rFonts w:ascii="Arial" w:eastAsia="Times New Roman" w:hAnsi="Arial" w:cs="Arial"/>
                <w:b/>
                <w:bCs/>
                <w:color w:val="000000"/>
                <w:sz w:val="18"/>
                <w:szCs w:val="18"/>
              </w:rPr>
              <w:t>II. Balance Presupuestario sin Financiamiento Neto (II = I - A3)</w:t>
            </w:r>
          </w:p>
        </w:tc>
        <w:tc>
          <w:tcPr>
            <w:tcW w:w="871" w:type="pct"/>
            <w:tcBorders>
              <w:top w:val="nil"/>
              <w:left w:val="nil"/>
              <w:bottom w:val="single" w:sz="8" w:space="0" w:color="auto"/>
              <w:right w:val="single" w:sz="8" w:space="0" w:color="auto"/>
            </w:tcBorders>
            <w:shd w:val="clear" w:color="000000" w:fill="FFFFFF"/>
            <w:vAlign w:val="center"/>
            <w:hideMark/>
          </w:tcPr>
          <w:p w14:paraId="36CE453D" w14:textId="77777777" w:rsidR="00B076A2" w:rsidRPr="00E4265B" w:rsidRDefault="00B076A2" w:rsidP="00B3646C">
            <w:pPr>
              <w:spacing w:after="0" w:line="240" w:lineRule="auto"/>
              <w:jc w:val="right"/>
              <w:rPr>
                <w:rFonts w:ascii="Arial" w:eastAsia="Times New Roman" w:hAnsi="Arial" w:cs="Arial"/>
                <w:b/>
                <w:bCs/>
                <w:color w:val="000000"/>
                <w:sz w:val="18"/>
                <w:szCs w:val="18"/>
              </w:rPr>
            </w:pPr>
            <w:r w:rsidRPr="00E4265B">
              <w:rPr>
                <w:rFonts w:ascii="Arial" w:eastAsia="Times New Roman" w:hAnsi="Arial" w:cs="Arial"/>
                <w:b/>
                <w:bCs/>
                <w:color w:val="000000"/>
                <w:sz w:val="18"/>
                <w:szCs w:val="18"/>
              </w:rPr>
              <w:t>461,855,137.0</w:t>
            </w:r>
          </w:p>
        </w:tc>
      </w:tr>
      <w:tr w:rsidR="00B076A2" w:rsidRPr="00E4265B" w14:paraId="246E8041" w14:textId="77777777" w:rsidTr="00B3646C">
        <w:trPr>
          <w:trHeight w:val="103"/>
        </w:trPr>
        <w:tc>
          <w:tcPr>
            <w:tcW w:w="93" w:type="pct"/>
            <w:tcBorders>
              <w:top w:val="nil"/>
              <w:left w:val="single" w:sz="8" w:space="0" w:color="auto"/>
              <w:bottom w:val="single" w:sz="8" w:space="0" w:color="auto"/>
              <w:right w:val="nil"/>
            </w:tcBorders>
            <w:shd w:val="clear" w:color="000000" w:fill="FFFFFF"/>
            <w:vAlign w:val="center"/>
            <w:hideMark/>
          </w:tcPr>
          <w:p w14:paraId="7E088E2F" w14:textId="77777777" w:rsidR="00B076A2" w:rsidRPr="00E4265B" w:rsidRDefault="00B076A2" w:rsidP="00B3646C">
            <w:pPr>
              <w:spacing w:after="0" w:line="240" w:lineRule="auto"/>
              <w:rPr>
                <w:rFonts w:ascii="Arial" w:eastAsia="Times New Roman" w:hAnsi="Arial" w:cs="Arial"/>
                <w:color w:val="000000"/>
                <w:sz w:val="18"/>
                <w:szCs w:val="18"/>
              </w:rPr>
            </w:pPr>
            <w:r w:rsidRPr="00E4265B">
              <w:rPr>
                <w:rFonts w:ascii="Arial" w:eastAsia="Times New Roman" w:hAnsi="Arial" w:cs="Arial"/>
                <w:color w:val="000000"/>
                <w:sz w:val="18"/>
                <w:szCs w:val="18"/>
              </w:rPr>
              <w:t> </w:t>
            </w:r>
          </w:p>
        </w:tc>
        <w:tc>
          <w:tcPr>
            <w:tcW w:w="4036" w:type="pct"/>
            <w:tcBorders>
              <w:top w:val="nil"/>
              <w:left w:val="nil"/>
              <w:bottom w:val="single" w:sz="8" w:space="0" w:color="auto"/>
              <w:right w:val="single" w:sz="8" w:space="0" w:color="auto"/>
            </w:tcBorders>
            <w:shd w:val="clear" w:color="000000" w:fill="FFFFFF"/>
            <w:vAlign w:val="center"/>
            <w:hideMark/>
          </w:tcPr>
          <w:p w14:paraId="29438CF9" w14:textId="77777777" w:rsidR="00B076A2" w:rsidRPr="00E4265B" w:rsidRDefault="00B076A2" w:rsidP="00B3646C">
            <w:pPr>
              <w:spacing w:after="0" w:line="240" w:lineRule="auto"/>
              <w:rPr>
                <w:rFonts w:ascii="Arial" w:eastAsia="Times New Roman" w:hAnsi="Arial" w:cs="Arial"/>
                <w:b/>
                <w:bCs/>
                <w:color w:val="000000"/>
                <w:sz w:val="18"/>
                <w:szCs w:val="18"/>
              </w:rPr>
            </w:pPr>
            <w:r w:rsidRPr="00E4265B">
              <w:rPr>
                <w:rFonts w:ascii="Arial" w:eastAsia="Times New Roman" w:hAnsi="Arial" w:cs="Arial"/>
                <w:b/>
                <w:bCs/>
                <w:color w:val="000000"/>
                <w:sz w:val="18"/>
                <w:szCs w:val="18"/>
              </w:rPr>
              <w:t>III. Balance Presupuestario sin Financiamiento Neto y sin Remanentes del Ejercicio Anterior (III= II - C)</w:t>
            </w:r>
          </w:p>
        </w:tc>
        <w:tc>
          <w:tcPr>
            <w:tcW w:w="871" w:type="pct"/>
            <w:tcBorders>
              <w:top w:val="nil"/>
              <w:left w:val="nil"/>
              <w:bottom w:val="single" w:sz="8" w:space="0" w:color="auto"/>
              <w:right w:val="single" w:sz="8" w:space="0" w:color="auto"/>
            </w:tcBorders>
            <w:shd w:val="clear" w:color="000000" w:fill="FFFFFF"/>
            <w:vAlign w:val="center"/>
            <w:hideMark/>
          </w:tcPr>
          <w:p w14:paraId="1F83F584" w14:textId="77777777" w:rsidR="00B076A2" w:rsidRPr="00E4265B" w:rsidRDefault="00B076A2" w:rsidP="00B3646C">
            <w:pPr>
              <w:spacing w:after="0" w:line="240" w:lineRule="auto"/>
              <w:jc w:val="right"/>
              <w:rPr>
                <w:rFonts w:ascii="Arial" w:eastAsia="Times New Roman" w:hAnsi="Arial" w:cs="Arial"/>
                <w:b/>
                <w:bCs/>
                <w:color w:val="000000"/>
                <w:sz w:val="18"/>
                <w:szCs w:val="18"/>
              </w:rPr>
            </w:pPr>
            <w:r w:rsidRPr="00E4265B">
              <w:rPr>
                <w:rFonts w:ascii="Arial" w:eastAsia="Times New Roman" w:hAnsi="Arial" w:cs="Arial"/>
                <w:b/>
                <w:bCs/>
                <w:color w:val="000000"/>
                <w:sz w:val="18"/>
                <w:szCs w:val="18"/>
              </w:rPr>
              <w:t>461,855,137.0</w:t>
            </w:r>
          </w:p>
        </w:tc>
      </w:tr>
      <w:tr w:rsidR="00B076A2" w:rsidRPr="00E4265B" w14:paraId="3C699417" w14:textId="77777777" w:rsidTr="00B3646C">
        <w:trPr>
          <w:trHeight w:val="315"/>
        </w:trPr>
        <w:tc>
          <w:tcPr>
            <w:tcW w:w="4129" w:type="pct"/>
            <w:gridSpan w:val="2"/>
            <w:vMerge w:val="restart"/>
            <w:tcBorders>
              <w:top w:val="single" w:sz="8" w:space="0" w:color="auto"/>
              <w:left w:val="single" w:sz="8" w:space="0" w:color="auto"/>
              <w:bottom w:val="single" w:sz="8" w:space="0" w:color="auto"/>
              <w:right w:val="single" w:sz="8" w:space="0" w:color="auto"/>
            </w:tcBorders>
            <w:shd w:val="clear" w:color="000000" w:fill="EDEDED"/>
            <w:noWrap/>
            <w:vAlign w:val="center"/>
            <w:hideMark/>
          </w:tcPr>
          <w:p w14:paraId="3E3AF30A" w14:textId="77777777" w:rsidR="00B076A2" w:rsidRPr="00E4265B" w:rsidRDefault="00B076A2" w:rsidP="00B3646C">
            <w:pPr>
              <w:spacing w:after="0" w:line="240" w:lineRule="auto"/>
              <w:jc w:val="center"/>
              <w:rPr>
                <w:rFonts w:ascii="Arial" w:eastAsia="Times New Roman" w:hAnsi="Arial" w:cs="Arial"/>
                <w:b/>
                <w:bCs/>
                <w:color w:val="000000"/>
                <w:sz w:val="18"/>
                <w:szCs w:val="18"/>
              </w:rPr>
            </w:pPr>
            <w:r w:rsidRPr="00E4265B">
              <w:rPr>
                <w:rFonts w:ascii="Arial" w:eastAsia="Times New Roman" w:hAnsi="Arial" w:cs="Arial"/>
                <w:b/>
                <w:bCs/>
                <w:color w:val="000000"/>
                <w:sz w:val="18"/>
                <w:szCs w:val="18"/>
              </w:rPr>
              <w:t>Concepto (c)</w:t>
            </w:r>
          </w:p>
        </w:tc>
        <w:tc>
          <w:tcPr>
            <w:tcW w:w="871" w:type="pct"/>
            <w:vMerge w:val="restart"/>
            <w:tcBorders>
              <w:top w:val="nil"/>
              <w:left w:val="single" w:sz="8" w:space="0" w:color="auto"/>
              <w:bottom w:val="single" w:sz="8" w:space="0" w:color="auto"/>
              <w:right w:val="single" w:sz="8" w:space="0" w:color="auto"/>
            </w:tcBorders>
            <w:shd w:val="clear" w:color="000000" w:fill="EDEDED"/>
            <w:vAlign w:val="center"/>
            <w:hideMark/>
          </w:tcPr>
          <w:p w14:paraId="768A8DA9" w14:textId="77777777" w:rsidR="00B076A2" w:rsidRPr="00E4265B" w:rsidRDefault="00B076A2" w:rsidP="00B3646C">
            <w:pPr>
              <w:spacing w:after="0" w:line="240" w:lineRule="auto"/>
              <w:jc w:val="center"/>
              <w:rPr>
                <w:rFonts w:ascii="Arial" w:eastAsia="Times New Roman" w:hAnsi="Arial" w:cs="Arial"/>
                <w:b/>
                <w:bCs/>
                <w:color w:val="000000"/>
                <w:sz w:val="18"/>
                <w:szCs w:val="18"/>
              </w:rPr>
            </w:pPr>
            <w:r w:rsidRPr="00E4265B">
              <w:rPr>
                <w:rFonts w:ascii="Arial" w:eastAsia="Times New Roman" w:hAnsi="Arial" w:cs="Arial"/>
                <w:b/>
                <w:bCs/>
                <w:color w:val="000000"/>
                <w:sz w:val="18"/>
                <w:szCs w:val="18"/>
              </w:rPr>
              <w:t>Estimado/ Aprobado</w:t>
            </w:r>
          </w:p>
        </w:tc>
      </w:tr>
      <w:tr w:rsidR="00B076A2" w:rsidRPr="00E4265B" w14:paraId="404540C2" w14:textId="77777777" w:rsidTr="00B3646C">
        <w:trPr>
          <w:trHeight w:val="450"/>
        </w:trPr>
        <w:tc>
          <w:tcPr>
            <w:tcW w:w="4129" w:type="pct"/>
            <w:gridSpan w:val="2"/>
            <w:vMerge/>
            <w:tcBorders>
              <w:top w:val="single" w:sz="8" w:space="0" w:color="auto"/>
              <w:left w:val="single" w:sz="8" w:space="0" w:color="auto"/>
              <w:bottom w:val="single" w:sz="8" w:space="0" w:color="auto"/>
              <w:right w:val="single" w:sz="8" w:space="0" w:color="auto"/>
            </w:tcBorders>
            <w:vAlign w:val="center"/>
            <w:hideMark/>
          </w:tcPr>
          <w:p w14:paraId="39630E66" w14:textId="77777777" w:rsidR="00B076A2" w:rsidRPr="00E4265B" w:rsidRDefault="00B076A2" w:rsidP="00B3646C">
            <w:pPr>
              <w:spacing w:after="0" w:line="240" w:lineRule="auto"/>
              <w:rPr>
                <w:rFonts w:ascii="Arial" w:eastAsia="Times New Roman" w:hAnsi="Arial" w:cs="Arial"/>
                <w:b/>
                <w:bCs/>
                <w:color w:val="000000"/>
                <w:sz w:val="18"/>
                <w:szCs w:val="18"/>
              </w:rPr>
            </w:pPr>
          </w:p>
        </w:tc>
        <w:tc>
          <w:tcPr>
            <w:tcW w:w="871" w:type="pct"/>
            <w:vMerge/>
            <w:tcBorders>
              <w:top w:val="nil"/>
              <w:left w:val="single" w:sz="8" w:space="0" w:color="auto"/>
              <w:bottom w:val="single" w:sz="8" w:space="0" w:color="auto"/>
              <w:right w:val="single" w:sz="8" w:space="0" w:color="auto"/>
            </w:tcBorders>
            <w:vAlign w:val="center"/>
            <w:hideMark/>
          </w:tcPr>
          <w:p w14:paraId="282C22F1" w14:textId="77777777" w:rsidR="00B076A2" w:rsidRPr="00E4265B" w:rsidRDefault="00B076A2" w:rsidP="00B3646C">
            <w:pPr>
              <w:spacing w:after="0" w:line="240" w:lineRule="auto"/>
              <w:rPr>
                <w:rFonts w:ascii="Arial" w:eastAsia="Times New Roman" w:hAnsi="Arial" w:cs="Arial"/>
                <w:b/>
                <w:bCs/>
                <w:color w:val="000000"/>
                <w:sz w:val="18"/>
                <w:szCs w:val="18"/>
              </w:rPr>
            </w:pPr>
          </w:p>
        </w:tc>
      </w:tr>
      <w:tr w:rsidR="00B076A2" w:rsidRPr="00E4265B" w14:paraId="7BB0396B" w14:textId="77777777" w:rsidTr="00B3646C">
        <w:trPr>
          <w:trHeight w:val="110"/>
        </w:trPr>
        <w:tc>
          <w:tcPr>
            <w:tcW w:w="93" w:type="pct"/>
            <w:tcBorders>
              <w:top w:val="nil"/>
              <w:left w:val="single" w:sz="8" w:space="0" w:color="auto"/>
              <w:bottom w:val="single" w:sz="8" w:space="0" w:color="auto"/>
              <w:right w:val="nil"/>
            </w:tcBorders>
            <w:shd w:val="clear" w:color="auto" w:fill="auto"/>
            <w:noWrap/>
            <w:vAlign w:val="center"/>
            <w:hideMark/>
          </w:tcPr>
          <w:p w14:paraId="3BD217B6" w14:textId="77777777" w:rsidR="00B076A2" w:rsidRPr="00E4265B" w:rsidRDefault="00B076A2" w:rsidP="00B3646C">
            <w:pPr>
              <w:spacing w:after="0" w:line="240" w:lineRule="auto"/>
              <w:rPr>
                <w:rFonts w:ascii="Arial" w:eastAsia="Times New Roman" w:hAnsi="Arial" w:cs="Arial"/>
                <w:b/>
                <w:bCs/>
                <w:color w:val="000000"/>
                <w:sz w:val="18"/>
                <w:szCs w:val="18"/>
              </w:rPr>
            </w:pPr>
            <w:r w:rsidRPr="00E4265B">
              <w:rPr>
                <w:rFonts w:ascii="Arial" w:eastAsia="Times New Roman" w:hAnsi="Arial" w:cs="Arial"/>
                <w:b/>
                <w:bCs/>
                <w:color w:val="000000"/>
                <w:sz w:val="18"/>
                <w:szCs w:val="18"/>
              </w:rPr>
              <w:t> </w:t>
            </w:r>
          </w:p>
        </w:tc>
        <w:tc>
          <w:tcPr>
            <w:tcW w:w="4036" w:type="pct"/>
            <w:tcBorders>
              <w:top w:val="nil"/>
              <w:left w:val="nil"/>
              <w:bottom w:val="single" w:sz="8" w:space="0" w:color="auto"/>
              <w:right w:val="single" w:sz="8" w:space="0" w:color="auto"/>
            </w:tcBorders>
            <w:shd w:val="clear" w:color="auto" w:fill="auto"/>
            <w:vAlign w:val="center"/>
            <w:hideMark/>
          </w:tcPr>
          <w:p w14:paraId="05E474AB" w14:textId="77777777" w:rsidR="00B076A2" w:rsidRPr="00E4265B" w:rsidRDefault="00B076A2" w:rsidP="00B3646C">
            <w:pPr>
              <w:spacing w:after="0" w:line="240" w:lineRule="auto"/>
              <w:rPr>
                <w:rFonts w:ascii="Arial" w:eastAsia="Times New Roman" w:hAnsi="Arial" w:cs="Arial"/>
                <w:b/>
                <w:bCs/>
                <w:color w:val="000000"/>
                <w:sz w:val="18"/>
                <w:szCs w:val="18"/>
              </w:rPr>
            </w:pPr>
            <w:r w:rsidRPr="00E4265B">
              <w:rPr>
                <w:rFonts w:ascii="Arial" w:eastAsia="Times New Roman" w:hAnsi="Arial" w:cs="Arial"/>
                <w:b/>
                <w:bCs/>
                <w:color w:val="000000"/>
                <w:sz w:val="18"/>
                <w:szCs w:val="18"/>
              </w:rPr>
              <w:t>E. Intereses, Comisiones y Gastos de la Deuda (E = E1+E2)</w:t>
            </w:r>
          </w:p>
        </w:tc>
        <w:tc>
          <w:tcPr>
            <w:tcW w:w="871" w:type="pct"/>
            <w:tcBorders>
              <w:top w:val="nil"/>
              <w:left w:val="nil"/>
              <w:bottom w:val="single" w:sz="8" w:space="0" w:color="auto"/>
              <w:right w:val="single" w:sz="8" w:space="0" w:color="auto"/>
            </w:tcBorders>
            <w:shd w:val="clear" w:color="auto" w:fill="auto"/>
            <w:vAlign w:val="center"/>
            <w:hideMark/>
          </w:tcPr>
          <w:p w14:paraId="285C658A" w14:textId="77777777" w:rsidR="00B076A2" w:rsidRPr="00E4265B" w:rsidRDefault="00B076A2" w:rsidP="00B3646C">
            <w:pPr>
              <w:spacing w:after="0" w:line="240" w:lineRule="auto"/>
              <w:jc w:val="right"/>
              <w:rPr>
                <w:rFonts w:ascii="Arial" w:eastAsia="Times New Roman" w:hAnsi="Arial" w:cs="Arial"/>
                <w:b/>
                <w:bCs/>
                <w:color w:val="000000"/>
                <w:sz w:val="18"/>
                <w:szCs w:val="18"/>
              </w:rPr>
            </w:pPr>
            <w:r w:rsidRPr="00E4265B">
              <w:rPr>
                <w:rFonts w:ascii="Arial" w:eastAsia="Times New Roman" w:hAnsi="Arial" w:cs="Arial"/>
                <w:b/>
                <w:bCs/>
                <w:color w:val="000000"/>
                <w:sz w:val="18"/>
                <w:szCs w:val="18"/>
              </w:rPr>
              <w:t>259,320,558.0</w:t>
            </w:r>
          </w:p>
        </w:tc>
      </w:tr>
      <w:tr w:rsidR="00B076A2" w:rsidRPr="00E4265B" w14:paraId="1D840D34" w14:textId="77777777" w:rsidTr="00B3646C">
        <w:trPr>
          <w:trHeight w:val="72"/>
        </w:trPr>
        <w:tc>
          <w:tcPr>
            <w:tcW w:w="93" w:type="pct"/>
            <w:tcBorders>
              <w:top w:val="nil"/>
              <w:left w:val="single" w:sz="8" w:space="0" w:color="auto"/>
              <w:bottom w:val="single" w:sz="8" w:space="0" w:color="auto"/>
              <w:right w:val="nil"/>
            </w:tcBorders>
            <w:shd w:val="clear" w:color="auto" w:fill="auto"/>
            <w:noWrap/>
            <w:vAlign w:val="center"/>
            <w:hideMark/>
          </w:tcPr>
          <w:p w14:paraId="3297B95B" w14:textId="77777777" w:rsidR="00B076A2" w:rsidRPr="00E4265B" w:rsidRDefault="00B076A2" w:rsidP="00B3646C">
            <w:pPr>
              <w:spacing w:after="0" w:line="240" w:lineRule="auto"/>
              <w:rPr>
                <w:rFonts w:ascii="Arial" w:eastAsia="Times New Roman" w:hAnsi="Arial" w:cs="Arial"/>
                <w:b/>
                <w:bCs/>
                <w:color w:val="000000"/>
                <w:sz w:val="18"/>
                <w:szCs w:val="18"/>
              </w:rPr>
            </w:pPr>
            <w:r w:rsidRPr="00E4265B">
              <w:rPr>
                <w:rFonts w:ascii="Arial" w:eastAsia="Times New Roman" w:hAnsi="Arial" w:cs="Arial"/>
                <w:b/>
                <w:bCs/>
                <w:color w:val="000000"/>
                <w:sz w:val="18"/>
                <w:szCs w:val="18"/>
              </w:rPr>
              <w:t> </w:t>
            </w:r>
          </w:p>
        </w:tc>
        <w:tc>
          <w:tcPr>
            <w:tcW w:w="4036" w:type="pct"/>
            <w:tcBorders>
              <w:top w:val="nil"/>
              <w:left w:val="nil"/>
              <w:bottom w:val="single" w:sz="8" w:space="0" w:color="auto"/>
              <w:right w:val="single" w:sz="8" w:space="0" w:color="auto"/>
            </w:tcBorders>
            <w:shd w:val="clear" w:color="auto" w:fill="auto"/>
            <w:vAlign w:val="center"/>
            <w:hideMark/>
          </w:tcPr>
          <w:p w14:paraId="01AE98BA" w14:textId="77777777" w:rsidR="00B076A2" w:rsidRPr="00E4265B" w:rsidRDefault="00B076A2" w:rsidP="00B3646C">
            <w:pPr>
              <w:spacing w:after="0" w:line="240" w:lineRule="auto"/>
              <w:ind w:left="708"/>
              <w:rPr>
                <w:rFonts w:ascii="Arial" w:eastAsia="Times New Roman" w:hAnsi="Arial" w:cs="Arial"/>
                <w:color w:val="000000"/>
                <w:sz w:val="18"/>
                <w:szCs w:val="18"/>
              </w:rPr>
            </w:pPr>
            <w:r w:rsidRPr="00E4265B">
              <w:rPr>
                <w:rFonts w:ascii="Arial" w:eastAsia="Times New Roman" w:hAnsi="Arial" w:cs="Arial"/>
                <w:color w:val="000000"/>
                <w:sz w:val="18"/>
                <w:szCs w:val="18"/>
              </w:rPr>
              <w:t>E1. Intereses, Comisiones y Gastos de la Deuda con Gasto No Etiquetado</w:t>
            </w:r>
          </w:p>
        </w:tc>
        <w:tc>
          <w:tcPr>
            <w:tcW w:w="871" w:type="pct"/>
            <w:tcBorders>
              <w:top w:val="nil"/>
              <w:left w:val="nil"/>
              <w:bottom w:val="single" w:sz="8" w:space="0" w:color="auto"/>
              <w:right w:val="single" w:sz="8" w:space="0" w:color="auto"/>
            </w:tcBorders>
            <w:shd w:val="clear" w:color="auto" w:fill="auto"/>
            <w:vAlign w:val="center"/>
            <w:hideMark/>
          </w:tcPr>
          <w:p w14:paraId="2225C1AF" w14:textId="77777777" w:rsidR="00B076A2" w:rsidRPr="00E4265B" w:rsidRDefault="00B076A2" w:rsidP="00B3646C">
            <w:pPr>
              <w:spacing w:after="0" w:line="240" w:lineRule="auto"/>
              <w:jc w:val="right"/>
              <w:rPr>
                <w:rFonts w:ascii="Arial" w:eastAsia="Times New Roman" w:hAnsi="Arial" w:cs="Arial"/>
                <w:color w:val="000000"/>
                <w:sz w:val="18"/>
                <w:szCs w:val="18"/>
              </w:rPr>
            </w:pPr>
            <w:r w:rsidRPr="00E4265B">
              <w:rPr>
                <w:rFonts w:ascii="Arial" w:eastAsia="Times New Roman" w:hAnsi="Arial" w:cs="Arial"/>
                <w:color w:val="000000"/>
                <w:sz w:val="18"/>
                <w:szCs w:val="18"/>
              </w:rPr>
              <w:t>252,296,729.0</w:t>
            </w:r>
          </w:p>
        </w:tc>
      </w:tr>
      <w:tr w:rsidR="00B076A2" w:rsidRPr="00E4265B" w14:paraId="643901CC" w14:textId="77777777" w:rsidTr="00B3646C">
        <w:trPr>
          <w:trHeight w:val="122"/>
        </w:trPr>
        <w:tc>
          <w:tcPr>
            <w:tcW w:w="93" w:type="pct"/>
            <w:tcBorders>
              <w:top w:val="nil"/>
              <w:left w:val="single" w:sz="8" w:space="0" w:color="auto"/>
              <w:bottom w:val="single" w:sz="8" w:space="0" w:color="auto"/>
              <w:right w:val="nil"/>
            </w:tcBorders>
            <w:shd w:val="clear" w:color="auto" w:fill="auto"/>
            <w:noWrap/>
            <w:vAlign w:val="center"/>
            <w:hideMark/>
          </w:tcPr>
          <w:p w14:paraId="6DFB37F7" w14:textId="77777777" w:rsidR="00B076A2" w:rsidRPr="00E4265B" w:rsidRDefault="00B076A2" w:rsidP="00B3646C">
            <w:pPr>
              <w:spacing w:after="0" w:line="240" w:lineRule="auto"/>
              <w:rPr>
                <w:rFonts w:ascii="Arial" w:eastAsia="Times New Roman" w:hAnsi="Arial" w:cs="Arial"/>
                <w:b/>
                <w:bCs/>
                <w:color w:val="000000"/>
                <w:sz w:val="18"/>
                <w:szCs w:val="18"/>
              </w:rPr>
            </w:pPr>
            <w:r w:rsidRPr="00E4265B">
              <w:rPr>
                <w:rFonts w:ascii="Arial" w:eastAsia="Times New Roman" w:hAnsi="Arial" w:cs="Arial"/>
                <w:b/>
                <w:bCs/>
                <w:color w:val="000000"/>
                <w:sz w:val="18"/>
                <w:szCs w:val="18"/>
              </w:rPr>
              <w:t> </w:t>
            </w:r>
          </w:p>
        </w:tc>
        <w:tc>
          <w:tcPr>
            <w:tcW w:w="4036" w:type="pct"/>
            <w:tcBorders>
              <w:top w:val="nil"/>
              <w:left w:val="nil"/>
              <w:bottom w:val="single" w:sz="8" w:space="0" w:color="auto"/>
              <w:right w:val="single" w:sz="8" w:space="0" w:color="auto"/>
            </w:tcBorders>
            <w:shd w:val="clear" w:color="auto" w:fill="auto"/>
            <w:vAlign w:val="center"/>
            <w:hideMark/>
          </w:tcPr>
          <w:p w14:paraId="599EE1C9" w14:textId="77777777" w:rsidR="00B076A2" w:rsidRPr="00E4265B" w:rsidRDefault="00B076A2" w:rsidP="00B3646C">
            <w:pPr>
              <w:spacing w:after="0" w:line="240" w:lineRule="auto"/>
              <w:ind w:left="708"/>
              <w:rPr>
                <w:rFonts w:ascii="Arial" w:eastAsia="Times New Roman" w:hAnsi="Arial" w:cs="Arial"/>
                <w:color w:val="000000"/>
                <w:sz w:val="18"/>
                <w:szCs w:val="18"/>
              </w:rPr>
            </w:pPr>
            <w:r w:rsidRPr="00E4265B">
              <w:rPr>
                <w:rFonts w:ascii="Arial" w:eastAsia="Times New Roman" w:hAnsi="Arial" w:cs="Arial"/>
                <w:color w:val="000000"/>
                <w:sz w:val="18"/>
                <w:szCs w:val="18"/>
              </w:rPr>
              <w:t>E2. Intereses, Comisiones y Gastos de la Deuda con Gasto Etiquetado</w:t>
            </w:r>
          </w:p>
        </w:tc>
        <w:tc>
          <w:tcPr>
            <w:tcW w:w="871" w:type="pct"/>
            <w:tcBorders>
              <w:top w:val="nil"/>
              <w:left w:val="nil"/>
              <w:bottom w:val="single" w:sz="8" w:space="0" w:color="auto"/>
              <w:right w:val="single" w:sz="8" w:space="0" w:color="auto"/>
            </w:tcBorders>
            <w:shd w:val="clear" w:color="auto" w:fill="auto"/>
            <w:vAlign w:val="center"/>
            <w:hideMark/>
          </w:tcPr>
          <w:p w14:paraId="3F48BAF4" w14:textId="77777777" w:rsidR="00B076A2" w:rsidRPr="00E4265B" w:rsidRDefault="00B076A2" w:rsidP="00B3646C">
            <w:pPr>
              <w:spacing w:after="0" w:line="240" w:lineRule="auto"/>
              <w:jc w:val="right"/>
              <w:rPr>
                <w:rFonts w:ascii="Arial" w:eastAsia="Times New Roman" w:hAnsi="Arial" w:cs="Arial"/>
                <w:color w:val="000000"/>
                <w:sz w:val="18"/>
                <w:szCs w:val="18"/>
              </w:rPr>
            </w:pPr>
            <w:r w:rsidRPr="00E4265B">
              <w:rPr>
                <w:rFonts w:ascii="Arial" w:eastAsia="Times New Roman" w:hAnsi="Arial" w:cs="Arial"/>
                <w:color w:val="000000"/>
                <w:sz w:val="18"/>
                <w:szCs w:val="18"/>
              </w:rPr>
              <w:t>7,023,829.0</w:t>
            </w:r>
          </w:p>
        </w:tc>
      </w:tr>
      <w:tr w:rsidR="00B076A2" w:rsidRPr="00E4265B" w14:paraId="0BEBA765" w14:textId="77777777" w:rsidTr="00B3646C">
        <w:trPr>
          <w:trHeight w:val="315"/>
        </w:trPr>
        <w:tc>
          <w:tcPr>
            <w:tcW w:w="93" w:type="pct"/>
            <w:tcBorders>
              <w:top w:val="nil"/>
              <w:left w:val="single" w:sz="8" w:space="0" w:color="auto"/>
              <w:bottom w:val="single" w:sz="8" w:space="0" w:color="auto"/>
              <w:right w:val="nil"/>
            </w:tcBorders>
            <w:shd w:val="clear" w:color="auto" w:fill="auto"/>
            <w:vAlign w:val="center"/>
            <w:hideMark/>
          </w:tcPr>
          <w:p w14:paraId="7A06E32C" w14:textId="77777777" w:rsidR="00B076A2" w:rsidRPr="00E4265B" w:rsidRDefault="00B076A2" w:rsidP="00B3646C">
            <w:pPr>
              <w:spacing w:after="0" w:line="240" w:lineRule="auto"/>
              <w:rPr>
                <w:rFonts w:ascii="Arial" w:eastAsia="Times New Roman" w:hAnsi="Arial" w:cs="Arial"/>
                <w:b/>
                <w:bCs/>
                <w:color w:val="000000"/>
                <w:sz w:val="18"/>
                <w:szCs w:val="18"/>
              </w:rPr>
            </w:pPr>
            <w:r w:rsidRPr="00E4265B">
              <w:rPr>
                <w:rFonts w:ascii="Arial" w:eastAsia="Times New Roman" w:hAnsi="Arial" w:cs="Arial"/>
                <w:b/>
                <w:bCs/>
                <w:color w:val="000000"/>
                <w:sz w:val="18"/>
                <w:szCs w:val="18"/>
              </w:rPr>
              <w:t> </w:t>
            </w:r>
          </w:p>
        </w:tc>
        <w:tc>
          <w:tcPr>
            <w:tcW w:w="4036" w:type="pct"/>
            <w:tcBorders>
              <w:top w:val="nil"/>
              <w:left w:val="nil"/>
              <w:bottom w:val="single" w:sz="8" w:space="0" w:color="auto"/>
              <w:right w:val="single" w:sz="8" w:space="0" w:color="auto"/>
            </w:tcBorders>
            <w:shd w:val="clear" w:color="auto" w:fill="auto"/>
            <w:vAlign w:val="center"/>
            <w:hideMark/>
          </w:tcPr>
          <w:p w14:paraId="7545F6AF" w14:textId="77777777" w:rsidR="00B076A2" w:rsidRPr="00E4265B" w:rsidRDefault="00B076A2" w:rsidP="00B3646C">
            <w:pPr>
              <w:spacing w:after="0" w:line="240" w:lineRule="auto"/>
              <w:rPr>
                <w:rFonts w:ascii="Arial" w:eastAsia="Times New Roman" w:hAnsi="Arial" w:cs="Arial"/>
                <w:b/>
                <w:bCs/>
                <w:color w:val="000000"/>
                <w:sz w:val="18"/>
                <w:szCs w:val="18"/>
              </w:rPr>
            </w:pPr>
            <w:r w:rsidRPr="00E4265B">
              <w:rPr>
                <w:rFonts w:ascii="Arial" w:eastAsia="Times New Roman" w:hAnsi="Arial" w:cs="Arial"/>
                <w:b/>
                <w:bCs/>
                <w:color w:val="000000"/>
                <w:sz w:val="18"/>
                <w:szCs w:val="18"/>
              </w:rPr>
              <w:t>IV. Balance Primario (IV = III + E)</w:t>
            </w:r>
          </w:p>
        </w:tc>
        <w:tc>
          <w:tcPr>
            <w:tcW w:w="871" w:type="pct"/>
            <w:tcBorders>
              <w:top w:val="nil"/>
              <w:left w:val="nil"/>
              <w:bottom w:val="single" w:sz="8" w:space="0" w:color="auto"/>
              <w:right w:val="single" w:sz="8" w:space="0" w:color="auto"/>
            </w:tcBorders>
            <w:shd w:val="clear" w:color="auto" w:fill="auto"/>
            <w:vAlign w:val="center"/>
            <w:hideMark/>
          </w:tcPr>
          <w:p w14:paraId="18158067" w14:textId="77777777" w:rsidR="00B076A2" w:rsidRPr="00E4265B" w:rsidRDefault="00B076A2" w:rsidP="00B3646C">
            <w:pPr>
              <w:spacing w:after="0" w:line="240" w:lineRule="auto"/>
              <w:jc w:val="right"/>
              <w:rPr>
                <w:rFonts w:ascii="Arial" w:eastAsia="Times New Roman" w:hAnsi="Arial" w:cs="Arial"/>
                <w:b/>
                <w:bCs/>
                <w:sz w:val="18"/>
                <w:szCs w:val="18"/>
              </w:rPr>
            </w:pPr>
            <w:r w:rsidRPr="00E4265B">
              <w:rPr>
                <w:rFonts w:ascii="Arial" w:eastAsia="Times New Roman" w:hAnsi="Arial" w:cs="Arial"/>
                <w:b/>
                <w:bCs/>
                <w:sz w:val="18"/>
                <w:szCs w:val="18"/>
              </w:rPr>
              <w:t>721,175,695.0</w:t>
            </w:r>
          </w:p>
        </w:tc>
      </w:tr>
      <w:tr w:rsidR="00B076A2" w:rsidRPr="00E4265B" w14:paraId="6DAC1E3C" w14:textId="77777777" w:rsidTr="00B3646C">
        <w:trPr>
          <w:trHeight w:val="315"/>
        </w:trPr>
        <w:tc>
          <w:tcPr>
            <w:tcW w:w="4129" w:type="pct"/>
            <w:gridSpan w:val="2"/>
            <w:vMerge w:val="restart"/>
            <w:tcBorders>
              <w:top w:val="single" w:sz="8" w:space="0" w:color="auto"/>
              <w:left w:val="single" w:sz="8" w:space="0" w:color="auto"/>
              <w:bottom w:val="single" w:sz="8" w:space="0" w:color="auto"/>
              <w:right w:val="single" w:sz="8" w:space="0" w:color="auto"/>
            </w:tcBorders>
            <w:shd w:val="clear" w:color="000000" w:fill="EDEDED"/>
            <w:noWrap/>
            <w:vAlign w:val="center"/>
            <w:hideMark/>
          </w:tcPr>
          <w:p w14:paraId="6A81751A" w14:textId="77777777" w:rsidR="00B076A2" w:rsidRPr="00E4265B" w:rsidRDefault="00B076A2" w:rsidP="00B3646C">
            <w:pPr>
              <w:spacing w:after="0" w:line="240" w:lineRule="auto"/>
              <w:jc w:val="center"/>
              <w:rPr>
                <w:rFonts w:ascii="Arial" w:eastAsia="Times New Roman" w:hAnsi="Arial" w:cs="Arial"/>
                <w:b/>
                <w:bCs/>
                <w:color w:val="000000"/>
                <w:sz w:val="18"/>
                <w:szCs w:val="18"/>
              </w:rPr>
            </w:pPr>
            <w:r w:rsidRPr="00E4265B">
              <w:rPr>
                <w:rFonts w:ascii="Arial" w:eastAsia="Times New Roman" w:hAnsi="Arial" w:cs="Arial"/>
                <w:b/>
                <w:bCs/>
                <w:color w:val="000000"/>
                <w:sz w:val="18"/>
                <w:szCs w:val="18"/>
              </w:rPr>
              <w:t>Concepto (c)</w:t>
            </w:r>
          </w:p>
        </w:tc>
        <w:tc>
          <w:tcPr>
            <w:tcW w:w="871" w:type="pct"/>
            <w:vMerge w:val="restart"/>
            <w:tcBorders>
              <w:top w:val="nil"/>
              <w:left w:val="single" w:sz="8" w:space="0" w:color="auto"/>
              <w:bottom w:val="single" w:sz="8" w:space="0" w:color="auto"/>
              <w:right w:val="single" w:sz="8" w:space="0" w:color="auto"/>
            </w:tcBorders>
            <w:shd w:val="clear" w:color="000000" w:fill="EDEDED"/>
            <w:vAlign w:val="center"/>
            <w:hideMark/>
          </w:tcPr>
          <w:p w14:paraId="0376551E" w14:textId="77777777" w:rsidR="00B076A2" w:rsidRPr="00E4265B" w:rsidRDefault="00B076A2" w:rsidP="00B3646C">
            <w:pPr>
              <w:spacing w:after="0" w:line="240" w:lineRule="auto"/>
              <w:jc w:val="center"/>
              <w:rPr>
                <w:rFonts w:ascii="Arial" w:eastAsia="Times New Roman" w:hAnsi="Arial" w:cs="Arial"/>
                <w:b/>
                <w:bCs/>
                <w:color w:val="000000"/>
                <w:sz w:val="18"/>
                <w:szCs w:val="18"/>
              </w:rPr>
            </w:pPr>
            <w:r w:rsidRPr="00E4265B">
              <w:rPr>
                <w:rFonts w:ascii="Arial" w:eastAsia="Times New Roman" w:hAnsi="Arial" w:cs="Arial"/>
                <w:b/>
                <w:bCs/>
                <w:color w:val="000000"/>
                <w:sz w:val="18"/>
                <w:szCs w:val="18"/>
              </w:rPr>
              <w:t>Estimado/ Aprobado</w:t>
            </w:r>
          </w:p>
        </w:tc>
      </w:tr>
      <w:tr w:rsidR="00B076A2" w:rsidRPr="00E4265B" w14:paraId="4008E9D2" w14:textId="77777777" w:rsidTr="00B3646C">
        <w:trPr>
          <w:trHeight w:val="450"/>
        </w:trPr>
        <w:tc>
          <w:tcPr>
            <w:tcW w:w="4129" w:type="pct"/>
            <w:gridSpan w:val="2"/>
            <w:vMerge/>
            <w:tcBorders>
              <w:top w:val="single" w:sz="8" w:space="0" w:color="auto"/>
              <w:left w:val="single" w:sz="8" w:space="0" w:color="auto"/>
              <w:bottom w:val="single" w:sz="8" w:space="0" w:color="auto"/>
              <w:right w:val="single" w:sz="8" w:space="0" w:color="auto"/>
            </w:tcBorders>
            <w:vAlign w:val="center"/>
            <w:hideMark/>
          </w:tcPr>
          <w:p w14:paraId="7F10E8CB" w14:textId="77777777" w:rsidR="00B076A2" w:rsidRPr="00E4265B" w:rsidRDefault="00B076A2" w:rsidP="00B3646C">
            <w:pPr>
              <w:spacing w:after="0" w:line="240" w:lineRule="auto"/>
              <w:rPr>
                <w:rFonts w:ascii="Arial" w:eastAsia="Times New Roman" w:hAnsi="Arial" w:cs="Arial"/>
                <w:b/>
                <w:bCs/>
                <w:color w:val="000000"/>
                <w:sz w:val="18"/>
                <w:szCs w:val="18"/>
              </w:rPr>
            </w:pPr>
          </w:p>
        </w:tc>
        <w:tc>
          <w:tcPr>
            <w:tcW w:w="871" w:type="pct"/>
            <w:vMerge/>
            <w:tcBorders>
              <w:top w:val="nil"/>
              <w:left w:val="single" w:sz="8" w:space="0" w:color="auto"/>
              <w:bottom w:val="single" w:sz="8" w:space="0" w:color="auto"/>
              <w:right w:val="single" w:sz="8" w:space="0" w:color="auto"/>
            </w:tcBorders>
            <w:vAlign w:val="center"/>
            <w:hideMark/>
          </w:tcPr>
          <w:p w14:paraId="46BF9D78" w14:textId="77777777" w:rsidR="00B076A2" w:rsidRPr="00E4265B" w:rsidRDefault="00B076A2" w:rsidP="00B3646C">
            <w:pPr>
              <w:spacing w:after="0" w:line="240" w:lineRule="auto"/>
              <w:rPr>
                <w:rFonts w:ascii="Arial" w:eastAsia="Times New Roman" w:hAnsi="Arial" w:cs="Arial"/>
                <w:b/>
                <w:bCs/>
                <w:color w:val="000000"/>
                <w:sz w:val="18"/>
                <w:szCs w:val="18"/>
              </w:rPr>
            </w:pPr>
          </w:p>
        </w:tc>
      </w:tr>
      <w:tr w:rsidR="00B076A2" w:rsidRPr="00E4265B" w14:paraId="55F07068" w14:textId="77777777" w:rsidTr="00B3646C">
        <w:trPr>
          <w:trHeight w:val="315"/>
        </w:trPr>
        <w:tc>
          <w:tcPr>
            <w:tcW w:w="93" w:type="pct"/>
            <w:tcBorders>
              <w:top w:val="nil"/>
              <w:left w:val="single" w:sz="8" w:space="0" w:color="auto"/>
              <w:bottom w:val="single" w:sz="8" w:space="0" w:color="auto"/>
              <w:right w:val="nil"/>
            </w:tcBorders>
            <w:shd w:val="clear" w:color="000000" w:fill="FFFFFF"/>
            <w:vAlign w:val="center"/>
            <w:hideMark/>
          </w:tcPr>
          <w:p w14:paraId="30FF0657" w14:textId="77777777" w:rsidR="00B076A2" w:rsidRPr="00E4265B" w:rsidRDefault="00B076A2" w:rsidP="00B3646C">
            <w:pPr>
              <w:spacing w:after="0" w:line="240" w:lineRule="auto"/>
              <w:rPr>
                <w:rFonts w:ascii="Arial" w:eastAsia="Times New Roman" w:hAnsi="Arial" w:cs="Arial"/>
                <w:b/>
                <w:bCs/>
                <w:color w:val="000000"/>
                <w:sz w:val="18"/>
                <w:szCs w:val="18"/>
              </w:rPr>
            </w:pPr>
            <w:r w:rsidRPr="00E4265B">
              <w:rPr>
                <w:rFonts w:ascii="Arial" w:eastAsia="Times New Roman" w:hAnsi="Arial" w:cs="Arial"/>
                <w:b/>
                <w:bCs/>
                <w:color w:val="000000"/>
                <w:sz w:val="18"/>
                <w:szCs w:val="18"/>
              </w:rPr>
              <w:t> </w:t>
            </w:r>
          </w:p>
        </w:tc>
        <w:tc>
          <w:tcPr>
            <w:tcW w:w="4036" w:type="pct"/>
            <w:tcBorders>
              <w:top w:val="nil"/>
              <w:left w:val="nil"/>
              <w:bottom w:val="single" w:sz="8" w:space="0" w:color="auto"/>
              <w:right w:val="single" w:sz="8" w:space="0" w:color="auto"/>
            </w:tcBorders>
            <w:shd w:val="clear" w:color="000000" w:fill="FFFFFF"/>
            <w:vAlign w:val="center"/>
            <w:hideMark/>
          </w:tcPr>
          <w:p w14:paraId="42A30468" w14:textId="77777777" w:rsidR="00B076A2" w:rsidRPr="00E4265B" w:rsidRDefault="00B076A2" w:rsidP="00B3646C">
            <w:pPr>
              <w:spacing w:after="0" w:line="240" w:lineRule="auto"/>
              <w:rPr>
                <w:rFonts w:ascii="Arial" w:eastAsia="Times New Roman" w:hAnsi="Arial" w:cs="Arial"/>
                <w:b/>
                <w:bCs/>
                <w:color w:val="000000"/>
                <w:sz w:val="18"/>
                <w:szCs w:val="18"/>
              </w:rPr>
            </w:pPr>
            <w:r w:rsidRPr="00E4265B">
              <w:rPr>
                <w:rFonts w:ascii="Arial" w:eastAsia="Times New Roman" w:hAnsi="Arial" w:cs="Arial"/>
                <w:b/>
                <w:bCs/>
                <w:color w:val="000000"/>
                <w:sz w:val="18"/>
                <w:szCs w:val="18"/>
              </w:rPr>
              <w:t>F. Financiamiento (F = F1 + F2)</w:t>
            </w:r>
          </w:p>
        </w:tc>
        <w:tc>
          <w:tcPr>
            <w:tcW w:w="871" w:type="pct"/>
            <w:tcBorders>
              <w:top w:val="nil"/>
              <w:left w:val="nil"/>
              <w:bottom w:val="single" w:sz="8" w:space="0" w:color="auto"/>
              <w:right w:val="single" w:sz="8" w:space="0" w:color="auto"/>
            </w:tcBorders>
            <w:shd w:val="clear" w:color="000000" w:fill="FFFFFF"/>
            <w:vAlign w:val="center"/>
            <w:hideMark/>
          </w:tcPr>
          <w:p w14:paraId="02ECEA98" w14:textId="77777777" w:rsidR="00B076A2" w:rsidRPr="00E4265B" w:rsidRDefault="00B076A2" w:rsidP="00B3646C">
            <w:pPr>
              <w:spacing w:after="0" w:line="240" w:lineRule="auto"/>
              <w:jc w:val="right"/>
              <w:rPr>
                <w:rFonts w:ascii="Arial" w:eastAsia="Times New Roman" w:hAnsi="Arial" w:cs="Arial"/>
                <w:b/>
                <w:bCs/>
                <w:color w:val="000000"/>
                <w:sz w:val="18"/>
                <w:szCs w:val="18"/>
              </w:rPr>
            </w:pPr>
            <w:r w:rsidRPr="00E4265B">
              <w:rPr>
                <w:rFonts w:ascii="Arial" w:eastAsia="Times New Roman" w:hAnsi="Arial" w:cs="Arial"/>
                <w:b/>
                <w:bCs/>
                <w:color w:val="000000"/>
                <w:sz w:val="18"/>
                <w:szCs w:val="18"/>
              </w:rPr>
              <w:t>0.0</w:t>
            </w:r>
          </w:p>
        </w:tc>
      </w:tr>
      <w:tr w:rsidR="00B076A2" w:rsidRPr="00E4265B" w14:paraId="2A7CBDF0" w14:textId="77777777" w:rsidTr="00B3646C">
        <w:trPr>
          <w:trHeight w:val="114"/>
        </w:trPr>
        <w:tc>
          <w:tcPr>
            <w:tcW w:w="93" w:type="pct"/>
            <w:tcBorders>
              <w:top w:val="nil"/>
              <w:left w:val="single" w:sz="8" w:space="0" w:color="auto"/>
              <w:bottom w:val="single" w:sz="8" w:space="0" w:color="auto"/>
              <w:right w:val="nil"/>
            </w:tcBorders>
            <w:shd w:val="clear" w:color="000000" w:fill="FFFFFF"/>
            <w:noWrap/>
            <w:vAlign w:val="center"/>
            <w:hideMark/>
          </w:tcPr>
          <w:p w14:paraId="04151F8D" w14:textId="77777777" w:rsidR="00B076A2" w:rsidRPr="00E4265B" w:rsidRDefault="00B076A2" w:rsidP="00B3646C">
            <w:pPr>
              <w:spacing w:after="0" w:line="240" w:lineRule="auto"/>
              <w:rPr>
                <w:rFonts w:ascii="Arial" w:eastAsia="Times New Roman" w:hAnsi="Arial" w:cs="Arial"/>
                <w:color w:val="000000"/>
                <w:sz w:val="18"/>
                <w:szCs w:val="18"/>
              </w:rPr>
            </w:pPr>
            <w:r w:rsidRPr="00E4265B">
              <w:rPr>
                <w:rFonts w:ascii="Arial" w:eastAsia="Times New Roman" w:hAnsi="Arial" w:cs="Arial"/>
                <w:color w:val="000000"/>
                <w:sz w:val="18"/>
                <w:szCs w:val="18"/>
              </w:rPr>
              <w:t> </w:t>
            </w:r>
          </w:p>
        </w:tc>
        <w:tc>
          <w:tcPr>
            <w:tcW w:w="4036" w:type="pct"/>
            <w:tcBorders>
              <w:top w:val="nil"/>
              <w:left w:val="nil"/>
              <w:bottom w:val="single" w:sz="8" w:space="0" w:color="auto"/>
              <w:right w:val="single" w:sz="8" w:space="0" w:color="auto"/>
            </w:tcBorders>
            <w:shd w:val="clear" w:color="000000" w:fill="FFFFFF"/>
            <w:vAlign w:val="center"/>
            <w:hideMark/>
          </w:tcPr>
          <w:p w14:paraId="39681F91" w14:textId="77777777" w:rsidR="00B076A2" w:rsidRPr="00E4265B" w:rsidRDefault="00B076A2" w:rsidP="00B3646C">
            <w:pPr>
              <w:spacing w:after="0" w:line="240" w:lineRule="auto"/>
              <w:ind w:left="708"/>
              <w:rPr>
                <w:rFonts w:ascii="Arial" w:eastAsia="Times New Roman" w:hAnsi="Arial" w:cs="Arial"/>
                <w:color w:val="000000"/>
                <w:sz w:val="18"/>
                <w:szCs w:val="18"/>
              </w:rPr>
            </w:pPr>
            <w:r w:rsidRPr="00E4265B">
              <w:rPr>
                <w:rFonts w:ascii="Arial" w:eastAsia="Times New Roman" w:hAnsi="Arial" w:cs="Arial"/>
                <w:color w:val="000000"/>
                <w:sz w:val="18"/>
                <w:szCs w:val="18"/>
              </w:rPr>
              <w:t>F1. Financiamiento con Fuente de Pago de Ingresos de Libre Disposición</w:t>
            </w:r>
          </w:p>
        </w:tc>
        <w:tc>
          <w:tcPr>
            <w:tcW w:w="871" w:type="pct"/>
            <w:tcBorders>
              <w:top w:val="nil"/>
              <w:left w:val="nil"/>
              <w:bottom w:val="single" w:sz="8" w:space="0" w:color="auto"/>
              <w:right w:val="single" w:sz="8" w:space="0" w:color="auto"/>
            </w:tcBorders>
            <w:shd w:val="clear" w:color="000000" w:fill="FFFFFF"/>
            <w:vAlign w:val="center"/>
            <w:hideMark/>
          </w:tcPr>
          <w:p w14:paraId="6A8FD21E" w14:textId="77777777" w:rsidR="00B076A2" w:rsidRPr="00E4265B" w:rsidRDefault="00B076A2" w:rsidP="00B3646C">
            <w:pPr>
              <w:spacing w:after="0" w:line="240" w:lineRule="auto"/>
              <w:jc w:val="right"/>
              <w:rPr>
                <w:rFonts w:ascii="Arial" w:eastAsia="Times New Roman" w:hAnsi="Arial" w:cs="Arial"/>
                <w:color w:val="000000"/>
                <w:sz w:val="18"/>
                <w:szCs w:val="18"/>
              </w:rPr>
            </w:pPr>
            <w:r w:rsidRPr="00E4265B">
              <w:rPr>
                <w:rFonts w:ascii="Arial" w:eastAsia="Times New Roman" w:hAnsi="Arial" w:cs="Arial"/>
                <w:color w:val="000000"/>
                <w:sz w:val="18"/>
                <w:szCs w:val="18"/>
              </w:rPr>
              <w:t>0.0</w:t>
            </w:r>
          </w:p>
        </w:tc>
      </w:tr>
      <w:tr w:rsidR="00B076A2" w:rsidRPr="00E4265B" w14:paraId="49C098F2" w14:textId="77777777" w:rsidTr="00B3646C">
        <w:trPr>
          <w:trHeight w:val="302"/>
        </w:trPr>
        <w:tc>
          <w:tcPr>
            <w:tcW w:w="93" w:type="pct"/>
            <w:tcBorders>
              <w:top w:val="nil"/>
              <w:left w:val="single" w:sz="8" w:space="0" w:color="auto"/>
              <w:bottom w:val="single" w:sz="8" w:space="0" w:color="auto"/>
              <w:right w:val="nil"/>
            </w:tcBorders>
            <w:shd w:val="clear" w:color="000000" w:fill="FFFFFF"/>
            <w:noWrap/>
            <w:vAlign w:val="center"/>
            <w:hideMark/>
          </w:tcPr>
          <w:p w14:paraId="0E8F6F64" w14:textId="77777777" w:rsidR="00B076A2" w:rsidRPr="00E4265B" w:rsidRDefault="00B076A2" w:rsidP="00B3646C">
            <w:pPr>
              <w:spacing w:after="0" w:line="240" w:lineRule="auto"/>
              <w:rPr>
                <w:rFonts w:ascii="Arial" w:eastAsia="Times New Roman" w:hAnsi="Arial" w:cs="Arial"/>
                <w:color w:val="000000"/>
                <w:sz w:val="18"/>
                <w:szCs w:val="18"/>
              </w:rPr>
            </w:pPr>
            <w:r w:rsidRPr="00E4265B">
              <w:rPr>
                <w:rFonts w:ascii="Arial" w:eastAsia="Times New Roman" w:hAnsi="Arial" w:cs="Arial"/>
                <w:color w:val="000000"/>
                <w:sz w:val="18"/>
                <w:szCs w:val="18"/>
              </w:rPr>
              <w:t> </w:t>
            </w:r>
          </w:p>
        </w:tc>
        <w:tc>
          <w:tcPr>
            <w:tcW w:w="4036" w:type="pct"/>
            <w:tcBorders>
              <w:top w:val="nil"/>
              <w:left w:val="nil"/>
              <w:bottom w:val="single" w:sz="8" w:space="0" w:color="auto"/>
              <w:right w:val="single" w:sz="8" w:space="0" w:color="auto"/>
            </w:tcBorders>
            <w:shd w:val="clear" w:color="000000" w:fill="FFFFFF"/>
            <w:vAlign w:val="center"/>
            <w:hideMark/>
          </w:tcPr>
          <w:p w14:paraId="2FB10295" w14:textId="77777777" w:rsidR="00B076A2" w:rsidRPr="00E4265B" w:rsidRDefault="00B076A2" w:rsidP="00B3646C">
            <w:pPr>
              <w:spacing w:after="0" w:line="240" w:lineRule="auto"/>
              <w:ind w:left="708"/>
              <w:rPr>
                <w:rFonts w:ascii="Arial" w:eastAsia="Times New Roman" w:hAnsi="Arial" w:cs="Arial"/>
                <w:color w:val="000000"/>
                <w:sz w:val="18"/>
                <w:szCs w:val="18"/>
              </w:rPr>
            </w:pPr>
            <w:r w:rsidRPr="00E4265B">
              <w:rPr>
                <w:rFonts w:ascii="Arial" w:eastAsia="Times New Roman" w:hAnsi="Arial" w:cs="Arial"/>
                <w:color w:val="000000"/>
                <w:sz w:val="18"/>
                <w:szCs w:val="18"/>
              </w:rPr>
              <w:t>F2. Financiamiento con Fuente de Pago de Transferencias Federales Etiquetadas</w:t>
            </w:r>
          </w:p>
        </w:tc>
        <w:tc>
          <w:tcPr>
            <w:tcW w:w="871" w:type="pct"/>
            <w:tcBorders>
              <w:top w:val="nil"/>
              <w:left w:val="nil"/>
              <w:bottom w:val="single" w:sz="8" w:space="0" w:color="auto"/>
              <w:right w:val="single" w:sz="8" w:space="0" w:color="auto"/>
            </w:tcBorders>
            <w:shd w:val="clear" w:color="000000" w:fill="FFFFFF"/>
            <w:vAlign w:val="center"/>
            <w:hideMark/>
          </w:tcPr>
          <w:p w14:paraId="34BCCAE6" w14:textId="77777777" w:rsidR="00B076A2" w:rsidRPr="00E4265B" w:rsidRDefault="00B076A2" w:rsidP="00B3646C">
            <w:pPr>
              <w:spacing w:after="0" w:line="240" w:lineRule="auto"/>
              <w:jc w:val="right"/>
              <w:rPr>
                <w:rFonts w:ascii="Arial" w:eastAsia="Times New Roman" w:hAnsi="Arial" w:cs="Arial"/>
                <w:color w:val="000000"/>
                <w:sz w:val="18"/>
                <w:szCs w:val="18"/>
              </w:rPr>
            </w:pPr>
            <w:r w:rsidRPr="00E4265B">
              <w:rPr>
                <w:rFonts w:ascii="Arial" w:eastAsia="Times New Roman" w:hAnsi="Arial" w:cs="Arial"/>
                <w:color w:val="000000"/>
                <w:sz w:val="18"/>
                <w:szCs w:val="18"/>
              </w:rPr>
              <w:t>0.0</w:t>
            </w:r>
          </w:p>
        </w:tc>
      </w:tr>
      <w:tr w:rsidR="00B076A2" w:rsidRPr="00E4265B" w14:paraId="522B6DE6" w14:textId="77777777" w:rsidTr="00B3646C">
        <w:trPr>
          <w:trHeight w:val="152"/>
        </w:trPr>
        <w:tc>
          <w:tcPr>
            <w:tcW w:w="93" w:type="pct"/>
            <w:tcBorders>
              <w:top w:val="nil"/>
              <w:left w:val="single" w:sz="8" w:space="0" w:color="auto"/>
              <w:bottom w:val="single" w:sz="8" w:space="0" w:color="auto"/>
              <w:right w:val="nil"/>
            </w:tcBorders>
            <w:shd w:val="clear" w:color="000000" w:fill="FFFFFF"/>
            <w:vAlign w:val="center"/>
            <w:hideMark/>
          </w:tcPr>
          <w:p w14:paraId="7CB84903" w14:textId="77777777" w:rsidR="00B076A2" w:rsidRPr="00E4265B" w:rsidRDefault="00B076A2" w:rsidP="00B3646C">
            <w:pPr>
              <w:spacing w:after="0" w:line="240" w:lineRule="auto"/>
              <w:rPr>
                <w:rFonts w:ascii="Arial" w:eastAsia="Times New Roman" w:hAnsi="Arial" w:cs="Arial"/>
                <w:b/>
                <w:bCs/>
                <w:color w:val="000000"/>
                <w:sz w:val="18"/>
                <w:szCs w:val="18"/>
              </w:rPr>
            </w:pPr>
            <w:r w:rsidRPr="00E4265B">
              <w:rPr>
                <w:rFonts w:ascii="Arial" w:eastAsia="Times New Roman" w:hAnsi="Arial" w:cs="Arial"/>
                <w:b/>
                <w:bCs/>
                <w:color w:val="000000"/>
                <w:sz w:val="18"/>
                <w:szCs w:val="18"/>
              </w:rPr>
              <w:t> </w:t>
            </w:r>
          </w:p>
        </w:tc>
        <w:tc>
          <w:tcPr>
            <w:tcW w:w="4036" w:type="pct"/>
            <w:tcBorders>
              <w:top w:val="nil"/>
              <w:left w:val="nil"/>
              <w:bottom w:val="single" w:sz="8" w:space="0" w:color="auto"/>
              <w:right w:val="single" w:sz="8" w:space="0" w:color="auto"/>
            </w:tcBorders>
            <w:shd w:val="clear" w:color="000000" w:fill="FFFFFF"/>
            <w:vAlign w:val="center"/>
            <w:hideMark/>
          </w:tcPr>
          <w:p w14:paraId="44D5F4C5" w14:textId="77777777" w:rsidR="00B076A2" w:rsidRPr="00E4265B" w:rsidRDefault="00B076A2" w:rsidP="00B3646C">
            <w:pPr>
              <w:spacing w:after="0" w:line="240" w:lineRule="auto"/>
              <w:rPr>
                <w:rFonts w:ascii="Arial" w:eastAsia="Times New Roman" w:hAnsi="Arial" w:cs="Arial"/>
                <w:b/>
                <w:bCs/>
                <w:color w:val="000000"/>
                <w:sz w:val="18"/>
                <w:szCs w:val="18"/>
              </w:rPr>
            </w:pPr>
            <w:r w:rsidRPr="00E4265B">
              <w:rPr>
                <w:rFonts w:ascii="Arial" w:eastAsia="Times New Roman" w:hAnsi="Arial" w:cs="Arial"/>
                <w:b/>
                <w:bCs/>
                <w:color w:val="000000"/>
                <w:sz w:val="18"/>
                <w:szCs w:val="18"/>
              </w:rPr>
              <w:t>G. Amortización de la Deuda (G = G1 + G2)</w:t>
            </w:r>
          </w:p>
        </w:tc>
        <w:tc>
          <w:tcPr>
            <w:tcW w:w="871" w:type="pct"/>
            <w:tcBorders>
              <w:top w:val="nil"/>
              <w:left w:val="nil"/>
              <w:bottom w:val="single" w:sz="8" w:space="0" w:color="auto"/>
              <w:right w:val="single" w:sz="8" w:space="0" w:color="auto"/>
            </w:tcBorders>
            <w:shd w:val="clear" w:color="000000" w:fill="FFFFFF"/>
            <w:vAlign w:val="center"/>
            <w:hideMark/>
          </w:tcPr>
          <w:p w14:paraId="5F1C0CFF" w14:textId="77777777" w:rsidR="00B076A2" w:rsidRPr="00E4265B" w:rsidRDefault="00B076A2" w:rsidP="00B3646C">
            <w:pPr>
              <w:spacing w:after="0" w:line="240" w:lineRule="auto"/>
              <w:jc w:val="right"/>
              <w:rPr>
                <w:rFonts w:ascii="Arial" w:eastAsia="Times New Roman" w:hAnsi="Arial" w:cs="Arial"/>
                <w:b/>
                <w:bCs/>
                <w:color w:val="000000"/>
                <w:sz w:val="18"/>
                <w:szCs w:val="18"/>
              </w:rPr>
            </w:pPr>
            <w:r w:rsidRPr="00E4265B">
              <w:rPr>
                <w:rFonts w:ascii="Arial" w:eastAsia="Times New Roman" w:hAnsi="Arial" w:cs="Arial"/>
                <w:b/>
                <w:bCs/>
                <w:color w:val="000000"/>
                <w:sz w:val="18"/>
                <w:szCs w:val="18"/>
              </w:rPr>
              <w:t>461,855,137.0</w:t>
            </w:r>
          </w:p>
        </w:tc>
      </w:tr>
      <w:tr w:rsidR="00B076A2" w:rsidRPr="00E4265B" w14:paraId="689CF04F" w14:textId="77777777" w:rsidTr="00B3646C">
        <w:trPr>
          <w:trHeight w:val="54"/>
        </w:trPr>
        <w:tc>
          <w:tcPr>
            <w:tcW w:w="93" w:type="pct"/>
            <w:tcBorders>
              <w:top w:val="nil"/>
              <w:left w:val="single" w:sz="8" w:space="0" w:color="auto"/>
              <w:bottom w:val="single" w:sz="8" w:space="0" w:color="auto"/>
              <w:right w:val="nil"/>
            </w:tcBorders>
            <w:shd w:val="clear" w:color="000000" w:fill="FFFFFF"/>
            <w:vAlign w:val="center"/>
            <w:hideMark/>
          </w:tcPr>
          <w:p w14:paraId="6723F388" w14:textId="77777777" w:rsidR="00B076A2" w:rsidRPr="00E4265B" w:rsidRDefault="00B076A2" w:rsidP="00B3646C">
            <w:pPr>
              <w:spacing w:after="0" w:line="240" w:lineRule="auto"/>
              <w:rPr>
                <w:rFonts w:ascii="Arial" w:eastAsia="Times New Roman" w:hAnsi="Arial" w:cs="Arial"/>
                <w:b/>
                <w:bCs/>
                <w:color w:val="000000"/>
                <w:sz w:val="18"/>
                <w:szCs w:val="18"/>
              </w:rPr>
            </w:pPr>
            <w:r w:rsidRPr="00E4265B">
              <w:rPr>
                <w:rFonts w:ascii="Arial" w:eastAsia="Times New Roman" w:hAnsi="Arial" w:cs="Arial"/>
                <w:b/>
                <w:bCs/>
                <w:color w:val="000000"/>
                <w:sz w:val="18"/>
                <w:szCs w:val="18"/>
              </w:rPr>
              <w:t> </w:t>
            </w:r>
          </w:p>
        </w:tc>
        <w:tc>
          <w:tcPr>
            <w:tcW w:w="4036" w:type="pct"/>
            <w:tcBorders>
              <w:top w:val="nil"/>
              <w:left w:val="nil"/>
              <w:bottom w:val="single" w:sz="8" w:space="0" w:color="auto"/>
              <w:right w:val="single" w:sz="8" w:space="0" w:color="auto"/>
            </w:tcBorders>
            <w:shd w:val="clear" w:color="000000" w:fill="FFFFFF"/>
            <w:vAlign w:val="center"/>
            <w:hideMark/>
          </w:tcPr>
          <w:p w14:paraId="6942A695" w14:textId="77777777" w:rsidR="00B076A2" w:rsidRPr="00E4265B" w:rsidRDefault="00B076A2" w:rsidP="00B3646C">
            <w:pPr>
              <w:spacing w:after="0" w:line="240" w:lineRule="auto"/>
              <w:ind w:left="708"/>
              <w:rPr>
                <w:rFonts w:ascii="Arial" w:eastAsia="Times New Roman" w:hAnsi="Arial" w:cs="Arial"/>
                <w:color w:val="000000"/>
                <w:sz w:val="18"/>
                <w:szCs w:val="18"/>
              </w:rPr>
            </w:pPr>
            <w:r w:rsidRPr="00E4265B">
              <w:rPr>
                <w:rFonts w:ascii="Arial" w:eastAsia="Times New Roman" w:hAnsi="Arial" w:cs="Arial"/>
                <w:color w:val="000000"/>
                <w:sz w:val="18"/>
                <w:szCs w:val="18"/>
              </w:rPr>
              <w:t>G1. Amortización de la Deuda Pública con Gasto No Etiquetado</w:t>
            </w:r>
          </w:p>
        </w:tc>
        <w:tc>
          <w:tcPr>
            <w:tcW w:w="871" w:type="pct"/>
            <w:tcBorders>
              <w:top w:val="nil"/>
              <w:left w:val="nil"/>
              <w:bottom w:val="single" w:sz="8" w:space="0" w:color="auto"/>
              <w:right w:val="single" w:sz="8" w:space="0" w:color="auto"/>
            </w:tcBorders>
            <w:shd w:val="clear" w:color="000000" w:fill="FFFFFF"/>
            <w:vAlign w:val="center"/>
            <w:hideMark/>
          </w:tcPr>
          <w:p w14:paraId="3CFD9DD6" w14:textId="77777777" w:rsidR="00B076A2" w:rsidRPr="00E4265B" w:rsidRDefault="00B076A2" w:rsidP="00B3646C">
            <w:pPr>
              <w:spacing w:after="0" w:line="240" w:lineRule="auto"/>
              <w:jc w:val="right"/>
              <w:rPr>
                <w:rFonts w:ascii="Arial" w:eastAsia="Times New Roman" w:hAnsi="Arial" w:cs="Arial"/>
                <w:color w:val="000000"/>
                <w:sz w:val="18"/>
                <w:szCs w:val="18"/>
              </w:rPr>
            </w:pPr>
            <w:r w:rsidRPr="00E4265B">
              <w:rPr>
                <w:rFonts w:ascii="Arial" w:eastAsia="Times New Roman" w:hAnsi="Arial" w:cs="Arial"/>
                <w:color w:val="000000"/>
                <w:sz w:val="18"/>
                <w:szCs w:val="18"/>
              </w:rPr>
              <w:t>183,891,618.0</w:t>
            </w:r>
          </w:p>
        </w:tc>
      </w:tr>
      <w:tr w:rsidR="00B076A2" w:rsidRPr="00E4265B" w14:paraId="0A2FFB50" w14:textId="77777777" w:rsidTr="00B3646C">
        <w:trPr>
          <w:trHeight w:val="54"/>
        </w:trPr>
        <w:tc>
          <w:tcPr>
            <w:tcW w:w="93" w:type="pct"/>
            <w:tcBorders>
              <w:top w:val="nil"/>
              <w:left w:val="single" w:sz="8" w:space="0" w:color="auto"/>
              <w:bottom w:val="single" w:sz="8" w:space="0" w:color="auto"/>
              <w:right w:val="nil"/>
            </w:tcBorders>
            <w:shd w:val="clear" w:color="000000" w:fill="FFFFFF"/>
            <w:vAlign w:val="center"/>
            <w:hideMark/>
          </w:tcPr>
          <w:p w14:paraId="67BBF12C" w14:textId="77777777" w:rsidR="00B076A2" w:rsidRPr="00E4265B" w:rsidRDefault="00B076A2" w:rsidP="00B3646C">
            <w:pPr>
              <w:spacing w:after="0" w:line="240" w:lineRule="auto"/>
              <w:rPr>
                <w:rFonts w:ascii="Arial" w:eastAsia="Times New Roman" w:hAnsi="Arial" w:cs="Arial"/>
                <w:b/>
                <w:bCs/>
                <w:color w:val="000000"/>
                <w:sz w:val="18"/>
                <w:szCs w:val="18"/>
              </w:rPr>
            </w:pPr>
            <w:r w:rsidRPr="00E4265B">
              <w:rPr>
                <w:rFonts w:ascii="Arial" w:eastAsia="Times New Roman" w:hAnsi="Arial" w:cs="Arial"/>
                <w:b/>
                <w:bCs/>
                <w:color w:val="000000"/>
                <w:sz w:val="18"/>
                <w:szCs w:val="18"/>
              </w:rPr>
              <w:t> </w:t>
            </w:r>
          </w:p>
        </w:tc>
        <w:tc>
          <w:tcPr>
            <w:tcW w:w="4036" w:type="pct"/>
            <w:tcBorders>
              <w:top w:val="nil"/>
              <w:left w:val="nil"/>
              <w:bottom w:val="single" w:sz="8" w:space="0" w:color="auto"/>
              <w:right w:val="single" w:sz="8" w:space="0" w:color="auto"/>
            </w:tcBorders>
            <w:shd w:val="clear" w:color="000000" w:fill="FFFFFF"/>
            <w:vAlign w:val="center"/>
            <w:hideMark/>
          </w:tcPr>
          <w:p w14:paraId="30200318" w14:textId="77777777" w:rsidR="00B076A2" w:rsidRPr="00E4265B" w:rsidRDefault="00B076A2" w:rsidP="00B3646C">
            <w:pPr>
              <w:spacing w:after="0" w:line="240" w:lineRule="auto"/>
              <w:ind w:left="708"/>
              <w:rPr>
                <w:rFonts w:ascii="Arial" w:eastAsia="Times New Roman" w:hAnsi="Arial" w:cs="Arial"/>
                <w:color w:val="000000"/>
                <w:sz w:val="18"/>
                <w:szCs w:val="18"/>
              </w:rPr>
            </w:pPr>
            <w:r w:rsidRPr="00E4265B">
              <w:rPr>
                <w:rFonts w:ascii="Arial" w:eastAsia="Times New Roman" w:hAnsi="Arial" w:cs="Arial"/>
                <w:color w:val="000000"/>
                <w:sz w:val="18"/>
                <w:szCs w:val="18"/>
              </w:rPr>
              <w:t>G2. Amortización de la Deuda Pública con Gasto Etiquetado</w:t>
            </w:r>
          </w:p>
        </w:tc>
        <w:tc>
          <w:tcPr>
            <w:tcW w:w="871" w:type="pct"/>
            <w:tcBorders>
              <w:top w:val="nil"/>
              <w:left w:val="nil"/>
              <w:bottom w:val="single" w:sz="8" w:space="0" w:color="auto"/>
              <w:right w:val="single" w:sz="8" w:space="0" w:color="auto"/>
            </w:tcBorders>
            <w:shd w:val="clear" w:color="000000" w:fill="FFFFFF"/>
            <w:vAlign w:val="center"/>
            <w:hideMark/>
          </w:tcPr>
          <w:p w14:paraId="57238EF4" w14:textId="77777777" w:rsidR="00B076A2" w:rsidRPr="00E4265B" w:rsidRDefault="00B076A2" w:rsidP="00B3646C">
            <w:pPr>
              <w:spacing w:after="0" w:line="240" w:lineRule="auto"/>
              <w:jc w:val="right"/>
              <w:rPr>
                <w:rFonts w:ascii="Arial" w:eastAsia="Times New Roman" w:hAnsi="Arial" w:cs="Arial"/>
                <w:color w:val="000000"/>
                <w:sz w:val="18"/>
                <w:szCs w:val="18"/>
              </w:rPr>
            </w:pPr>
            <w:r w:rsidRPr="00E4265B">
              <w:rPr>
                <w:rFonts w:ascii="Arial" w:eastAsia="Times New Roman" w:hAnsi="Arial" w:cs="Arial"/>
                <w:color w:val="000000"/>
                <w:sz w:val="18"/>
                <w:szCs w:val="18"/>
              </w:rPr>
              <w:t>277,963,519.0</w:t>
            </w:r>
          </w:p>
        </w:tc>
      </w:tr>
      <w:tr w:rsidR="00B076A2" w:rsidRPr="00E4265B" w14:paraId="4D3C23A8" w14:textId="77777777" w:rsidTr="00B3646C">
        <w:trPr>
          <w:trHeight w:val="54"/>
        </w:trPr>
        <w:tc>
          <w:tcPr>
            <w:tcW w:w="93" w:type="pct"/>
            <w:tcBorders>
              <w:top w:val="nil"/>
              <w:left w:val="single" w:sz="8" w:space="0" w:color="auto"/>
              <w:bottom w:val="single" w:sz="8" w:space="0" w:color="auto"/>
              <w:right w:val="nil"/>
            </w:tcBorders>
            <w:shd w:val="clear" w:color="000000" w:fill="FFFFFF"/>
            <w:vAlign w:val="center"/>
            <w:hideMark/>
          </w:tcPr>
          <w:p w14:paraId="6DC8E947" w14:textId="77777777" w:rsidR="00B076A2" w:rsidRPr="00E4265B" w:rsidRDefault="00B076A2" w:rsidP="00B3646C">
            <w:pPr>
              <w:spacing w:after="0" w:line="240" w:lineRule="auto"/>
              <w:rPr>
                <w:rFonts w:ascii="Arial" w:eastAsia="Times New Roman" w:hAnsi="Arial" w:cs="Arial"/>
                <w:b/>
                <w:bCs/>
                <w:color w:val="000000"/>
                <w:sz w:val="18"/>
                <w:szCs w:val="18"/>
              </w:rPr>
            </w:pPr>
            <w:r w:rsidRPr="00E4265B">
              <w:rPr>
                <w:rFonts w:ascii="Arial" w:eastAsia="Times New Roman" w:hAnsi="Arial" w:cs="Arial"/>
                <w:b/>
                <w:bCs/>
                <w:color w:val="000000"/>
                <w:sz w:val="18"/>
                <w:szCs w:val="18"/>
              </w:rPr>
              <w:t> </w:t>
            </w:r>
          </w:p>
        </w:tc>
        <w:tc>
          <w:tcPr>
            <w:tcW w:w="4036" w:type="pct"/>
            <w:tcBorders>
              <w:top w:val="nil"/>
              <w:left w:val="nil"/>
              <w:bottom w:val="single" w:sz="8" w:space="0" w:color="auto"/>
              <w:right w:val="single" w:sz="8" w:space="0" w:color="auto"/>
            </w:tcBorders>
            <w:shd w:val="clear" w:color="000000" w:fill="FFFFFF"/>
            <w:vAlign w:val="center"/>
            <w:hideMark/>
          </w:tcPr>
          <w:p w14:paraId="4FAA31FE" w14:textId="77777777" w:rsidR="00B076A2" w:rsidRPr="00E4265B" w:rsidRDefault="00B076A2" w:rsidP="00B3646C">
            <w:pPr>
              <w:spacing w:after="0" w:line="240" w:lineRule="auto"/>
              <w:rPr>
                <w:rFonts w:ascii="Arial" w:eastAsia="Times New Roman" w:hAnsi="Arial" w:cs="Arial"/>
                <w:b/>
                <w:bCs/>
                <w:color w:val="000000"/>
                <w:sz w:val="18"/>
                <w:szCs w:val="18"/>
              </w:rPr>
            </w:pPr>
            <w:r w:rsidRPr="00E4265B">
              <w:rPr>
                <w:rFonts w:ascii="Arial" w:eastAsia="Times New Roman" w:hAnsi="Arial" w:cs="Arial"/>
                <w:b/>
                <w:bCs/>
                <w:color w:val="000000"/>
                <w:sz w:val="18"/>
                <w:szCs w:val="18"/>
              </w:rPr>
              <w:t>A3. Financiamiento Neto (A3 = F – G )</w:t>
            </w:r>
          </w:p>
        </w:tc>
        <w:tc>
          <w:tcPr>
            <w:tcW w:w="871" w:type="pct"/>
            <w:tcBorders>
              <w:top w:val="nil"/>
              <w:left w:val="nil"/>
              <w:bottom w:val="single" w:sz="8" w:space="0" w:color="auto"/>
              <w:right w:val="single" w:sz="8" w:space="0" w:color="auto"/>
            </w:tcBorders>
            <w:shd w:val="clear" w:color="000000" w:fill="FFFFFF"/>
            <w:vAlign w:val="center"/>
            <w:hideMark/>
          </w:tcPr>
          <w:p w14:paraId="4F4CB803" w14:textId="77777777" w:rsidR="00B076A2" w:rsidRPr="00E4265B" w:rsidRDefault="00B076A2" w:rsidP="00B3646C">
            <w:pPr>
              <w:spacing w:after="0" w:line="240" w:lineRule="auto"/>
              <w:jc w:val="right"/>
              <w:rPr>
                <w:rFonts w:ascii="Arial" w:eastAsia="Times New Roman" w:hAnsi="Arial" w:cs="Arial"/>
                <w:b/>
                <w:bCs/>
                <w:color w:val="000000"/>
                <w:sz w:val="18"/>
                <w:szCs w:val="18"/>
              </w:rPr>
            </w:pPr>
            <w:r w:rsidRPr="00E4265B">
              <w:rPr>
                <w:rFonts w:ascii="Arial" w:eastAsia="Times New Roman" w:hAnsi="Arial" w:cs="Arial"/>
                <w:b/>
                <w:bCs/>
                <w:color w:val="000000"/>
                <w:sz w:val="18"/>
                <w:szCs w:val="18"/>
              </w:rPr>
              <w:t>-461,855,137.0</w:t>
            </w:r>
          </w:p>
        </w:tc>
      </w:tr>
      <w:tr w:rsidR="00B076A2" w:rsidRPr="00E4265B" w14:paraId="354C90CD" w14:textId="77777777" w:rsidTr="00B3646C">
        <w:trPr>
          <w:trHeight w:val="315"/>
        </w:trPr>
        <w:tc>
          <w:tcPr>
            <w:tcW w:w="4129" w:type="pct"/>
            <w:gridSpan w:val="2"/>
            <w:vMerge w:val="restart"/>
            <w:tcBorders>
              <w:top w:val="single" w:sz="8" w:space="0" w:color="auto"/>
              <w:left w:val="single" w:sz="8" w:space="0" w:color="auto"/>
              <w:bottom w:val="single" w:sz="8" w:space="0" w:color="auto"/>
              <w:right w:val="single" w:sz="8" w:space="0" w:color="auto"/>
            </w:tcBorders>
            <w:shd w:val="clear" w:color="000000" w:fill="EDEDED"/>
            <w:noWrap/>
            <w:vAlign w:val="center"/>
            <w:hideMark/>
          </w:tcPr>
          <w:p w14:paraId="1730B256" w14:textId="77777777" w:rsidR="00B076A2" w:rsidRPr="00E4265B" w:rsidRDefault="00B076A2" w:rsidP="00B3646C">
            <w:pPr>
              <w:spacing w:after="0" w:line="240" w:lineRule="auto"/>
              <w:jc w:val="center"/>
              <w:rPr>
                <w:rFonts w:ascii="Arial" w:eastAsia="Times New Roman" w:hAnsi="Arial" w:cs="Arial"/>
                <w:b/>
                <w:bCs/>
                <w:color w:val="000000"/>
                <w:sz w:val="18"/>
                <w:szCs w:val="18"/>
              </w:rPr>
            </w:pPr>
            <w:r w:rsidRPr="00E4265B">
              <w:rPr>
                <w:rFonts w:ascii="Arial" w:eastAsia="Times New Roman" w:hAnsi="Arial" w:cs="Arial"/>
                <w:b/>
                <w:bCs/>
                <w:color w:val="000000"/>
                <w:sz w:val="18"/>
                <w:szCs w:val="18"/>
              </w:rPr>
              <w:t>Concepto (c)</w:t>
            </w:r>
          </w:p>
        </w:tc>
        <w:tc>
          <w:tcPr>
            <w:tcW w:w="871" w:type="pct"/>
            <w:vMerge w:val="restart"/>
            <w:tcBorders>
              <w:top w:val="nil"/>
              <w:left w:val="single" w:sz="8" w:space="0" w:color="auto"/>
              <w:bottom w:val="single" w:sz="8" w:space="0" w:color="auto"/>
              <w:right w:val="single" w:sz="8" w:space="0" w:color="auto"/>
            </w:tcBorders>
            <w:shd w:val="clear" w:color="000000" w:fill="EDEDED"/>
            <w:noWrap/>
            <w:vAlign w:val="center"/>
            <w:hideMark/>
          </w:tcPr>
          <w:p w14:paraId="4236399A" w14:textId="77777777" w:rsidR="00B076A2" w:rsidRPr="00E4265B" w:rsidRDefault="00B076A2" w:rsidP="00B3646C">
            <w:pPr>
              <w:spacing w:after="0" w:line="240" w:lineRule="auto"/>
              <w:jc w:val="center"/>
              <w:rPr>
                <w:rFonts w:ascii="Arial" w:eastAsia="Times New Roman" w:hAnsi="Arial" w:cs="Arial"/>
                <w:b/>
                <w:bCs/>
                <w:color w:val="000000"/>
                <w:sz w:val="18"/>
                <w:szCs w:val="18"/>
              </w:rPr>
            </w:pPr>
            <w:r w:rsidRPr="00E4265B">
              <w:rPr>
                <w:rFonts w:ascii="Arial" w:eastAsia="Times New Roman" w:hAnsi="Arial" w:cs="Arial"/>
                <w:b/>
                <w:bCs/>
                <w:color w:val="000000"/>
                <w:sz w:val="18"/>
                <w:szCs w:val="18"/>
              </w:rPr>
              <w:t>Estimado/ Aprobado</w:t>
            </w:r>
          </w:p>
        </w:tc>
      </w:tr>
      <w:tr w:rsidR="00B076A2" w:rsidRPr="00E4265B" w14:paraId="3FF940DD" w14:textId="77777777" w:rsidTr="00B3646C">
        <w:trPr>
          <w:trHeight w:val="450"/>
        </w:trPr>
        <w:tc>
          <w:tcPr>
            <w:tcW w:w="4129" w:type="pct"/>
            <w:gridSpan w:val="2"/>
            <w:vMerge/>
            <w:tcBorders>
              <w:top w:val="single" w:sz="8" w:space="0" w:color="auto"/>
              <w:left w:val="single" w:sz="8" w:space="0" w:color="auto"/>
              <w:bottom w:val="single" w:sz="8" w:space="0" w:color="auto"/>
              <w:right w:val="single" w:sz="8" w:space="0" w:color="auto"/>
            </w:tcBorders>
            <w:vAlign w:val="center"/>
            <w:hideMark/>
          </w:tcPr>
          <w:p w14:paraId="555BE9BB" w14:textId="77777777" w:rsidR="00B076A2" w:rsidRPr="00E4265B" w:rsidRDefault="00B076A2" w:rsidP="00B3646C">
            <w:pPr>
              <w:spacing w:after="0" w:line="240" w:lineRule="auto"/>
              <w:rPr>
                <w:rFonts w:ascii="Arial" w:eastAsia="Times New Roman" w:hAnsi="Arial" w:cs="Arial"/>
                <w:b/>
                <w:bCs/>
                <w:color w:val="000000"/>
                <w:sz w:val="18"/>
                <w:szCs w:val="18"/>
              </w:rPr>
            </w:pPr>
          </w:p>
        </w:tc>
        <w:tc>
          <w:tcPr>
            <w:tcW w:w="871" w:type="pct"/>
            <w:vMerge/>
            <w:tcBorders>
              <w:top w:val="nil"/>
              <w:left w:val="single" w:sz="8" w:space="0" w:color="auto"/>
              <w:bottom w:val="single" w:sz="8" w:space="0" w:color="auto"/>
              <w:right w:val="single" w:sz="8" w:space="0" w:color="auto"/>
            </w:tcBorders>
            <w:vAlign w:val="center"/>
            <w:hideMark/>
          </w:tcPr>
          <w:p w14:paraId="42227BEE" w14:textId="77777777" w:rsidR="00B076A2" w:rsidRPr="00E4265B" w:rsidRDefault="00B076A2" w:rsidP="00B3646C">
            <w:pPr>
              <w:spacing w:after="0" w:line="240" w:lineRule="auto"/>
              <w:rPr>
                <w:rFonts w:ascii="Arial" w:eastAsia="Times New Roman" w:hAnsi="Arial" w:cs="Arial"/>
                <w:b/>
                <w:bCs/>
                <w:color w:val="000000"/>
                <w:sz w:val="18"/>
                <w:szCs w:val="18"/>
              </w:rPr>
            </w:pPr>
          </w:p>
        </w:tc>
      </w:tr>
      <w:tr w:rsidR="00B076A2" w:rsidRPr="00E4265B" w14:paraId="1643715A" w14:textId="77777777" w:rsidTr="00B3646C">
        <w:trPr>
          <w:trHeight w:val="74"/>
        </w:trPr>
        <w:tc>
          <w:tcPr>
            <w:tcW w:w="93" w:type="pct"/>
            <w:tcBorders>
              <w:top w:val="nil"/>
              <w:left w:val="single" w:sz="8" w:space="0" w:color="auto"/>
              <w:bottom w:val="single" w:sz="8" w:space="0" w:color="auto"/>
              <w:right w:val="nil"/>
            </w:tcBorders>
            <w:shd w:val="clear" w:color="000000" w:fill="FFFFFF"/>
            <w:noWrap/>
            <w:vAlign w:val="center"/>
            <w:hideMark/>
          </w:tcPr>
          <w:p w14:paraId="583A2B3C" w14:textId="77777777" w:rsidR="00B076A2" w:rsidRPr="00E4265B" w:rsidRDefault="00B076A2" w:rsidP="00B3646C">
            <w:pPr>
              <w:spacing w:after="0" w:line="240" w:lineRule="auto"/>
              <w:rPr>
                <w:rFonts w:ascii="Arial" w:eastAsia="Times New Roman" w:hAnsi="Arial" w:cs="Arial"/>
                <w:color w:val="000000"/>
                <w:sz w:val="18"/>
                <w:szCs w:val="18"/>
              </w:rPr>
            </w:pPr>
            <w:r w:rsidRPr="00E4265B">
              <w:rPr>
                <w:rFonts w:ascii="Arial" w:eastAsia="Times New Roman" w:hAnsi="Arial" w:cs="Arial"/>
                <w:color w:val="000000"/>
                <w:sz w:val="18"/>
                <w:szCs w:val="18"/>
              </w:rPr>
              <w:t> </w:t>
            </w:r>
          </w:p>
        </w:tc>
        <w:tc>
          <w:tcPr>
            <w:tcW w:w="4036" w:type="pct"/>
            <w:tcBorders>
              <w:top w:val="nil"/>
              <w:left w:val="nil"/>
              <w:bottom w:val="single" w:sz="8" w:space="0" w:color="auto"/>
              <w:right w:val="single" w:sz="8" w:space="0" w:color="auto"/>
            </w:tcBorders>
            <w:shd w:val="clear" w:color="000000" w:fill="FFFFFF"/>
            <w:noWrap/>
            <w:vAlign w:val="center"/>
            <w:hideMark/>
          </w:tcPr>
          <w:p w14:paraId="4A998B8A" w14:textId="77777777" w:rsidR="00B076A2" w:rsidRPr="00E4265B" w:rsidRDefault="00B076A2" w:rsidP="00B3646C">
            <w:pPr>
              <w:spacing w:after="0" w:line="240" w:lineRule="auto"/>
              <w:rPr>
                <w:rFonts w:ascii="Arial" w:eastAsia="Times New Roman" w:hAnsi="Arial" w:cs="Arial"/>
                <w:b/>
                <w:bCs/>
                <w:color w:val="000000"/>
                <w:sz w:val="18"/>
                <w:szCs w:val="18"/>
              </w:rPr>
            </w:pPr>
            <w:r w:rsidRPr="00E4265B">
              <w:rPr>
                <w:rFonts w:ascii="Arial" w:eastAsia="Times New Roman" w:hAnsi="Arial" w:cs="Arial"/>
                <w:b/>
                <w:bCs/>
                <w:color w:val="000000"/>
                <w:sz w:val="18"/>
                <w:szCs w:val="18"/>
              </w:rPr>
              <w:t xml:space="preserve">A1. Ingresos de Libre Disposición </w:t>
            </w:r>
          </w:p>
        </w:tc>
        <w:tc>
          <w:tcPr>
            <w:tcW w:w="871" w:type="pct"/>
            <w:tcBorders>
              <w:top w:val="nil"/>
              <w:left w:val="nil"/>
              <w:bottom w:val="single" w:sz="8" w:space="0" w:color="auto"/>
              <w:right w:val="single" w:sz="8" w:space="0" w:color="auto"/>
            </w:tcBorders>
            <w:shd w:val="clear" w:color="000000" w:fill="FFFFFF"/>
            <w:noWrap/>
            <w:vAlign w:val="center"/>
            <w:hideMark/>
          </w:tcPr>
          <w:p w14:paraId="7F8B18CD" w14:textId="77777777" w:rsidR="00B076A2" w:rsidRPr="00E4265B" w:rsidRDefault="00B076A2" w:rsidP="00B3646C">
            <w:pPr>
              <w:spacing w:after="0" w:line="240" w:lineRule="auto"/>
              <w:jc w:val="right"/>
              <w:rPr>
                <w:rFonts w:ascii="Arial" w:eastAsia="Times New Roman" w:hAnsi="Arial" w:cs="Arial"/>
                <w:b/>
                <w:bCs/>
                <w:color w:val="000000"/>
                <w:sz w:val="18"/>
                <w:szCs w:val="18"/>
              </w:rPr>
            </w:pPr>
            <w:r w:rsidRPr="00E4265B">
              <w:rPr>
                <w:rFonts w:ascii="Arial" w:eastAsia="Times New Roman" w:hAnsi="Arial" w:cs="Arial"/>
                <w:b/>
                <w:bCs/>
                <w:color w:val="000000"/>
                <w:sz w:val="18"/>
                <w:szCs w:val="18"/>
              </w:rPr>
              <w:t>8,132,809,858.0</w:t>
            </w:r>
          </w:p>
        </w:tc>
      </w:tr>
      <w:tr w:rsidR="00B076A2" w:rsidRPr="00E4265B" w14:paraId="4F807955" w14:textId="77777777" w:rsidTr="00B3646C">
        <w:trPr>
          <w:trHeight w:val="148"/>
        </w:trPr>
        <w:tc>
          <w:tcPr>
            <w:tcW w:w="93" w:type="pct"/>
            <w:tcBorders>
              <w:top w:val="nil"/>
              <w:left w:val="single" w:sz="8" w:space="0" w:color="auto"/>
              <w:bottom w:val="single" w:sz="8" w:space="0" w:color="auto"/>
              <w:right w:val="nil"/>
            </w:tcBorders>
            <w:shd w:val="clear" w:color="000000" w:fill="FFFFFF"/>
            <w:vAlign w:val="center"/>
            <w:hideMark/>
          </w:tcPr>
          <w:p w14:paraId="34604D5B" w14:textId="77777777" w:rsidR="00B076A2" w:rsidRPr="00E4265B" w:rsidRDefault="00B076A2" w:rsidP="00B3646C">
            <w:pPr>
              <w:spacing w:after="0" w:line="240" w:lineRule="auto"/>
              <w:rPr>
                <w:rFonts w:ascii="Arial" w:eastAsia="Times New Roman" w:hAnsi="Arial" w:cs="Arial"/>
                <w:color w:val="000000"/>
                <w:sz w:val="18"/>
                <w:szCs w:val="18"/>
              </w:rPr>
            </w:pPr>
            <w:r w:rsidRPr="00E4265B">
              <w:rPr>
                <w:rFonts w:ascii="Arial" w:eastAsia="Times New Roman" w:hAnsi="Arial" w:cs="Arial"/>
                <w:color w:val="000000"/>
                <w:sz w:val="18"/>
                <w:szCs w:val="18"/>
              </w:rPr>
              <w:t> </w:t>
            </w:r>
          </w:p>
        </w:tc>
        <w:tc>
          <w:tcPr>
            <w:tcW w:w="4036" w:type="pct"/>
            <w:tcBorders>
              <w:top w:val="nil"/>
              <w:left w:val="nil"/>
              <w:bottom w:val="single" w:sz="8" w:space="0" w:color="auto"/>
              <w:right w:val="single" w:sz="8" w:space="0" w:color="auto"/>
            </w:tcBorders>
            <w:shd w:val="clear" w:color="000000" w:fill="FFFFFF"/>
            <w:noWrap/>
            <w:vAlign w:val="center"/>
            <w:hideMark/>
          </w:tcPr>
          <w:p w14:paraId="6D8476B8" w14:textId="77777777" w:rsidR="00B076A2" w:rsidRPr="00E4265B" w:rsidRDefault="00B076A2" w:rsidP="00B3646C">
            <w:pPr>
              <w:spacing w:after="0" w:line="240" w:lineRule="auto"/>
              <w:jc w:val="both"/>
              <w:rPr>
                <w:rFonts w:ascii="Arial" w:eastAsia="Times New Roman" w:hAnsi="Arial" w:cs="Arial"/>
                <w:b/>
                <w:bCs/>
                <w:color w:val="000000"/>
                <w:sz w:val="18"/>
                <w:szCs w:val="18"/>
              </w:rPr>
            </w:pPr>
            <w:r w:rsidRPr="00E4265B">
              <w:rPr>
                <w:rFonts w:ascii="Arial" w:eastAsia="Times New Roman" w:hAnsi="Arial" w:cs="Arial"/>
                <w:b/>
                <w:bCs/>
                <w:color w:val="000000"/>
                <w:sz w:val="18"/>
                <w:szCs w:val="18"/>
              </w:rPr>
              <w:t>A3.1 Financiamiento Neto con Fuente de Pago de Ingresos de Libre Disposición (A3.1 = F1 – G1)</w:t>
            </w:r>
          </w:p>
        </w:tc>
        <w:tc>
          <w:tcPr>
            <w:tcW w:w="871" w:type="pct"/>
            <w:tcBorders>
              <w:top w:val="nil"/>
              <w:left w:val="nil"/>
              <w:bottom w:val="single" w:sz="8" w:space="0" w:color="auto"/>
              <w:right w:val="single" w:sz="8" w:space="0" w:color="auto"/>
            </w:tcBorders>
            <w:shd w:val="clear" w:color="000000" w:fill="FFFFFF"/>
            <w:noWrap/>
            <w:vAlign w:val="center"/>
            <w:hideMark/>
          </w:tcPr>
          <w:p w14:paraId="0DCB68CF" w14:textId="77777777" w:rsidR="00B076A2" w:rsidRPr="00E4265B" w:rsidRDefault="00B076A2" w:rsidP="00B3646C">
            <w:pPr>
              <w:spacing w:after="0" w:line="240" w:lineRule="auto"/>
              <w:jc w:val="right"/>
              <w:rPr>
                <w:rFonts w:ascii="Arial" w:eastAsia="Times New Roman" w:hAnsi="Arial" w:cs="Arial"/>
                <w:b/>
                <w:bCs/>
                <w:color w:val="000000"/>
                <w:sz w:val="18"/>
                <w:szCs w:val="18"/>
              </w:rPr>
            </w:pPr>
            <w:r w:rsidRPr="00E4265B">
              <w:rPr>
                <w:rFonts w:ascii="Arial" w:eastAsia="Times New Roman" w:hAnsi="Arial" w:cs="Arial"/>
                <w:b/>
                <w:bCs/>
                <w:color w:val="000000"/>
                <w:sz w:val="18"/>
                <w:szCs w:val="18"/>
              </w:rPr>
              <w:t>-183,891,618.0</w:t>
            </w:r>
          </w:p>
        </w:tc>
      </w:tr>
      <w:tr w:rsidR="00B076A2" w:rsidRPr="00E4265B" w14:paraId="569084C6" w14:textId="77777777" w:rsidTr="00B3646C">
        <w:trPr>
          <w:trHeight w:val="54"/>
        </w:trPr>
        <w:tc>
          <w:tcPr>
            <w:tcW w:w="93" w:type="pct"/>
            <w:tcBorders>
              <w:top w:val="nil"/>
              <w:left w:val="single" w:sz="8" w:space="0" w:color="auto"/>
              <w:bottom w:val="single" w:sz="8" w:space="0" w:color="auto"/>
              <w:right w:val="nil"/>
            </w:tcBorders>
            <w:shd w:val="clear" w:color="000000" w:fill="FFFFFF"/>
            <w:vAlign w:val="center"/>
            <w:hideMark/>
          </w:tcPr>
          <w:p w14:paraId="0EBB8B32" w14:textId="77777777" w:rsidR="00B076A2" w:rsidRPr="00E4265B" w:rsidRDefault="00B076A2" w:rsidP="00B3646C">
            <w:pPr>
              <w:spacing w:after="0" w:line="240" w:lineRule="auto"/>
              <w:rPr>
                <w:rFonts w:ascii="Arial" w:eastAsia="Times New Roman" w:hAnsi="Arial" w:cs="Arial"/>
                <w:color w:val="000000"/>
                <w:sz w:val="18"/>
                <w:szCs w:val="18"/>
              </w:rPr>
            </w:pPr>
            <w:r w:rsidRPr="00E4265B">
              <w:rPr>
                <w:rFonts w:ascii="Arial" w:eastAsia="Times New Roman" w:hAnsi="Arial" w:cs="Arial"/>
                <w:color w:val="000000"/>
                <w:sz w:val="18"/>
                <w:szCs w:val="18"/>
              </w:rPr>
              <w:t> </w:t>
            </w:r>
          </w:p>
        </w:tc>
        <w:tc>
          <w:tcPr>
            <w:tcW w:w="4036" w:type="pct"/>
            <w:tcBorders>
              <w:top w:val="nil"/>
              <w:left w:val="nil"/>
              <w:bottom w:val="single" w:sz="8" w:space="0" w:color="auto"/>
              <w:right w:val="single" w:sz="8" w:space="0" w:color="auto"/>
            </w:tcBorders>
            <w:shd w:val="clear" w:color="000000" w:fill="FFFFFF"/>
            <w:vAlign w:val="center"/>
            <w:hideMark/>
          </w:tcPr>
          <w:p w14:paraId="4BD7C46C" w14:textId="77777777" w:rsidR="00B076A2" w:rsidRPr="00E4265B" w:rsidRDefault="00B076A2" w:rsidP="00B3646C">
            <w:pPr>
              <w:spacing w:after="0" w:line="240" w:lineRule="auto"/>
              <w:ind w:left="708"/>
              <w:rPr>
                <w:rFonts w:ascii="Arial" w:eastAsia="Times New Roman" w:hAnsi="Arial" w:cs="Arial"/>
                <w:color w:val="000000"/>
                <w:sz w:val="18"/>
                <w:szCs w:val="18"/>
              </w:rPr>
            </w:pPr>
            <w:r w:rsidRPr="00E4265B">
              <w:rPr>
                <w:rFonts w:ascii="Arial" w:eastAsia="Times New Roman" w:hAnsi="Arial" w:cs="Arial"/>
                <w:color w:val="000000"/>
                <w:sz w:val="18"/>
                <w:szCs w:val="18"/>
              </w:rPr>
              <w:t>F1. Financiamiento con Fuente de Pago de Ingresos de Libre Disposición</w:t>
            </w:r>
          </w:p>
        </w:tc>
        <w:tc>
          <w:tcPr>
            <w:tcW w:w="871" w:type="pct"/>
            <w:tcBorders>
              <w:top w:val="nil"/>
              <w:left w:val="nil"/>
              <w:bottom w:val="single" w:sz="8" w:space="0" w:color="auto"/>
              <w:right w:val="single" w:sz="8" w:space="0" w:color="auto"/>
            </w:tcBorders>
            <w:shd w:val="clear" w:color="000000" w:fill="FFFFFF"/>
            <w:noWrap/>
            <w:vAlign w:val="center"/>
            <w:hideMark/>
          </w:tcPr>
          <w:p w14:paraId="2F97331C" w14:textId="77777777" w:rsidR="00B076A2" w:rsidRPr="00E4265B" w:rsidRDefault="00B076A2" w:rsidP="00B3646C">
            <w:pPr>
              <w:spacing w:after="0" w:line="240" w:lineRule="auto"/>
              <w:jc w:val="right"/>
              <w:rPr>
                <w:rFonts w:ascii="Arial" w:eastAsia="Times New Roman" w:hAnsi="Arial" w:cs="Arial"/>
                <w:color w:val="000000"/>
                <w:sz w:val="18"/>
                <w:szCs w:val="18"/>
              </w:rPr>
            </w:pPr>
            <w:r w:rsidRPr="00E4265B">
              <w:rPr>
                <w:rFonts w:ascii="Arial" w:eastAsia="Times New Roman" w:hAnsi="Arial" w:cs="Arial"/>
                <w:color w:val="000000"/>
                <w:sz w:val="18"/>
                <w:szCs w:val="18"/>
              </w:rPr>
              <w:t>0.0</w:t>
            </w:r>
          </w:p>
        </w:tc>
      </w:tr>
      <w:tr w:rsidR="00B076A2" w:rsidRPr="00E4265B" w14:paraId="3602BC94" w14:textId="77777777" w:rsidTr="00B3646C">
        <w:trPr>
          <w:trHeight w:val="54"/>
        </w:trPr>
        <w:tc>
          <w:tcPr>
            <w:tcW w:w="93" w:type="pct"/>
            <w:tcBorders>
              <w:top w:val="nil"/>
              <w:left w:val="single" w:sz="8" w:space="0" w:color="auto"/>
              <w:bottom w:val="single" w:sz="8" w:space="0" w:color="auto"/>
              <w:right w:val="nil"/>
            </w:tcBorders>
            <w:shd w:val="clear" w:color="000000" w:fill="FFFFFF"/>
            <w:vAlign w:val="center"/>
            <w:hideMark/>
          </w:tcPr>
          <w:p w14:paraId="01428456" w14:textId="77777777" w:rsidR="00B076A2" w:rsidRPr="00E4265B" w:rsidRDefault="00B076A2" w:rsidP="00B3646C">
            <w:pPr>
              <w:spacing w:after="0" w:line="240" w:lineRule="auto"/>
              <w:rPr>
                <w:rFonts w:ascii="Arial" w:eastAsia="Times New Roman" w:hAnsi="Arial" w:cs="Arial"/>
                <w:color w:val="000000"/>
                <w:sz w:val="18"/>
                <w:szCs w:val="18"/>
              </w:rPr>
            </w:pPr>
            <w:r w:rsidRPr="00E4265B">
              <w:rPr>
                <w:rFonts w:ascii="Arial" w:eastAsia="Times New Roman" w:hAnsi="Arial" w:cs="Arial"/>
                <w:color w:val="000000"/>
                <w:sz w:val="18"/>
                <w:szCs w:val="18"/>
              </w:rPr>
              <w:t> </w:t>
            </w:r>
          </w:p>
        </w:tc>
        <w:tc>
          <w:tcPr>
            <w:tcW w:w="4036" w:type="pct"/>
            <w:tcBorders>
              <w:top w:val="nil"/>
              <w:left w:val="nil"/>
              <w:bottom w:val="single" w:sz="8" w:space="0" w:color="auto"/>
              <w:right w:val="single" w:sz="8" w:space="0" w:color="auto"/>
            </w:tcBorders>
            <w:shd w:val="clear" w:color="000000" w:fill="FFFFFF"/>
            <w:vAlign w:val="center"/>
            <w:hideMark/>
          </w:tcPr>
          <w:p w14:paraId="6FDB9A00" w14:textId="77777777" w:rsidR="00B076A2" w:rsidRPr="00E4265B" w:rsidRDefault="00B076A2" w:rsidP="00B3646C">
            <w:pPr>
              <w:spacing w:after="0" w:line="240" w:lineRule="auto"/>
              <w:ind w:left="708"/>
              <w:rPr>
                <w:rFonts w:ascii="Arial" w:eastAsia="Times New Roman" w:hAnsi="Arial" w:cs="Arial"/>
                <w:color w:val="000000"/>
                <w:sz w:val="18"/>
                <w:szCs w:val="18"/>
              </w:rPr>
            </w:pPr>
            <w:r w:rsidRPr="00E4265B">
              <w:rPr>
                <w:rFonts w:ascii="Arial" w:eastAsia="Times New Roman" w:hAnsi="Arial" w:cs="Arial"/>
                <w:color w:val="000000"/>
                <w:sz w:val="18"/>
                <w:szCs w:val="18"/>
              </w:rPr>
              <w:t>G1. Amortización de la Deuda Pública con Gasto No Etiquetado</w:t>
            </w:r>
          </w:p>
        </w:tc>
        <w:tc>
          <w:tcPr>
            <w:tcW w:w="871" w:type="pct"/>
            <w:tcBorders>
              <w:top w:val="nil"/>
              <w:left w:val="nil"/>
              <w:bottom w:val="single" w:sz="8" w:space="0" w:color="auto"/>
              <w:right w:val="single" w:sz="8" w:space="0" w:color="auto"/>
            </w:tcBorders>
            <w:shd w:val="clear" w:color="000000" w:fill="FFFFFF"/>
            <w:noWrap/>
            <w:vAlign w:val="center"/>
            <w:hideMark/>
          </w:tcPr>
          <w:p w14:paraId="56AFEC22" w14:textId="77777777" w:rsidR="00B076A2" w:rsidRPr="00E4265B" w:rsidRDefault="00B076A2" w:rsidP="00B3646C">
            <w:pPr>
              <w:spacing w:after="0" w:line="240" w:lineRule="auto"/>
              <w:jc w:val="right"/>
              <w:rPr>
                <w:rFonts w:ascii="Arial" w:eastAsia="Times New Roman" w:hAnsi="Arial" w:cs="Arial"/>
                <w:color w:val="000000"/>
                <w:sz w:val="18"/>
                <w:szCs w:val="18"/>
              </w:rPr>
            </w:pPr>
            <w:r w:rsidRPr="00E4265B">
              <w:rPr>
                <w:rFonts w:ascii="Arial" w:eastAsia="Times New Roman" w:hAnsi="Arial" w:cs="Arial"/>
                <w:color w:val="000000"/>
                <w:sz w:val="18"/>
                <w:szCs w:val="18"/>
              </w:rPr>
              <w:t>183,891,618.0</w:t>
            </w:r>
          </w:p>
        </w:tc>
      </w:tr>
      <w:tr w:rsidR="00B076A2" w:rsidRPr="00E4265B" w14:paraId="3BDBC28D" w14:textId="77777777" w:rsidTr="00B3646C">
        <w:trPr>
          <w:trHeight w:val="54"/>
        </w:trPr>
        <w:tc>
          <w:tcPr>
            <w:tcW w:w="93" w:type="pct"/>
            <w:tcBorders>
              <w:top w:val="nil"/>
              <w:left w:val="single" w:sz="8" w:space="0" w:color="auto"/>
              <w:bottom w:val="single" w:sz="8" w:space="0" w:color="auto"/>
              <w:right w:val="nil"/>
            </w:tcBorders>
            <w:shd w:val="clear" w:color="000000" w:fill="FFFFFF"/>
            <w:noWrap/>
            <w:vAlign w:val="center"/>
            <w:hideMark/>
          </w:tcPr>
          <w:p w14:paraId="220946A5" w14:textId="77777777" w:rsidR="00B076A2" w:rsidRPr="00E4265B" w:rsidRDefault="00B076A2" w:rsidP="00B3646C">
            <w:pPr>
              <w:spacing w:after="0" w:line="240" w:lineRule="auto"/>
              <w:rPr>
                <w:rFonts w:ascii="Arial" w:eastAsia="Times New Roman" w:hAnsi="Arial" w:cs="Arial"/>
                <w:color w:val="000000"/>
                <w:sz w:val="18"/>
                <w:szCs w:val="18"/>
              </w:rPr>
            </w:pPr>
            <w:r w:rsidRPr="00E4265B">
              <w:rPr>
                <w:rFonts w:ascii="Arial" w:eastAsia="Times New Roman" w:hAnsi="Arial" w:cs="Arial"/>
                <w:color w:val="000000"/>
                <w:sz w:val="18"/>
                <w:szCs w:val="18"/>
              </w:rPr>
              <w:t> </w:t>
            </w:r>
          </w:p>
        </w:tc>
        <w:tc>
          <w:tcPr>
            <w:tcW w:w="4036" w:type="pct"/>
            <w:tcBorders>
              <w:top w:val="nil"/>
              <w:left w:val="nil"/>
              <w:bottom w:val="single" w:sz="8" w:space="0" w:color="auto"/>
              <w:right w:val="single" w:sz="8" w:space="0" w:color="auto"/>
            </w:tcBorders>
            <w:shd w:val="clear" w:color="000000" w:fill="FFFFFF"/>
            <w:vAlign w:val="center"/>
            <w:hideMark/>
          </w:tcPr>
          <w:p w14:paraId="58E7E95A" w14:textId="77777777" w:rsidR="00B076A2" w:rsidRPr="00E4265B" w:rsidRDefault="00B076A2" w:rsidP="00B3646C">
            <w:pPr>
              <w:spacing w:after="0" w:line="240" w:lineRule="auto"/>
              <w:rPr>
                <w:rFonts w:ascii="Arial" w:eastAsia="Times New Roman" w:hAnsi="Arial" w:cs="Arial"/>
                <w:b/>
                <w:bCs/>
                <w:color w:val="000000"/>
                <w:sz w:val="18"/>
                <w:szCs w:val="18"/>
              </w:rPr>
            </w:pPr>
            <w:r w:rsidRPr="00E4265B">
              <w:rPr>
                <w:rFonts w:ascii="Arial" w:eastAsia="Times New Roman" w:hAnsi="Arial" w:cs="Arial"/>
                <w:b/>
                <w:bCs/>
                <w:color w:val="000000"/>
                <w:sz w:val="18"/>
                <w:szCs w:val="18"/>
              </w:rPr>
              <w:t>B1. Gasto No Etiquetado (sin incluir Amortización de la Deuda Pública)</w:t>
            </w:r>
          </w:p>
        </w:tc>
        <w:tc>
          <w:tcPr>
            <w:tcW w:w="871" w:type="pct"/>
            <w:tcBorders>
              <w:top w:val="nil"/>
              <w:left w:val="nil"/>
              <w:bottom w:val="single" w:sz="8" w:space="0" w:color="auto"/>
              <w:right w:val="single" w:sz="8" w:space="0" w:color="auto"/>
            </w:tcBorders>
            <w:shd w:val="clear" w:color="000000" w:fill="FFFFFF"/>
            <w:noWrap/>
            <w:vAlign w:val="center"/>
            <w:hideMark/>
          </w:tcPr>
          <w:p w14:paraId="53F0117D" w14:textId="77777777" w:rsidR="00B076A2" w:rsidRPr="00E4265B" w:rsidRDefault="00B076A2" w:rsidP="00B3646C">
            <w:pPr>
              <w:spacing w:after="0" w:line="240" w:lineRule="auto"/>
              <w:jc w:val="right"/>
              <w:rPr>
                <w:rFonts w:ascii="Arial" w:eastAsia="Times New Roman" w:hAnsi="Arial" w:cs="Arial"/>
                <w:b/>
                <w:bCs/>
                <w:color w:val="000000"/>
                <w:sz w:val="18"/>
                <w:szCs w:val="18"/>
              </w:rPr>
            </w:pPr>
            <w:r w:rsidRPr="00E4265B">
              <w:rPr>
                <w:rFonts w:ascii="Arial" w:eastAsia="Times New Roman" w:hAnsi="Arial" w:cs="Arial"/>
                <w:b/>
                <w:bCs/>
                <w:color w:val="000000"/>
                <w:sz w:val="18"/>
                <w:szCs w:val="18"/>
              </w:rPr>
              <w:t>7,948,918,240.0</w:t>
            </w:r>
          </w:p>
        </w:tc>
      </w:tr>
      <w:tr w:rsidR="00B076A2" w:rsidRPr="00E4265B" w14:paraId="6C6BE25E" w14:textId="77777777" w:rsidTr="00B3646C">
        <w:trPr>
          <w:trHeight w:val="54"/>
        </w:trPr>
        <w:tc>
          <w:tcPr>
            <w:tcW w:w="93" w:type="pct"/>
            <w:tcBorders>
              <w:top w:val="nil"/>
              <w:left w:val="single" w:sz="8" w:space="0" w:color="auto"/>
              <w:bottom w:val="single" w:sz="8" w:space="0" w:color="auto"/>
              <w:right w:val="nil"/>
            </w:tcBorders>
            <w:shd w:val="clear" w:color="000000" w:fill="FFFFFF"/>
            <w:noWrap/>
            <w:vAlign w:val="center"/>
            <w:hideMark/>
          </w:tcPr>
          <w:p w14:paraId="78C36267" w14:textId="77777777" w:rsidR="00B076A2" w:rsidRPr="00E4265B" w:rsidRDefault="00B076A2" w:rsidP="00B3646C">
            <w:pPr>
              <w:spacing w:after="0" w:line="240" w:lineRule="auto"/>
              <w:rPr>
                <w:rFonts w:ascii="Arial" w:eastAsia="Times New Roman" w:hAnsi="Arial" w:cs="Arial"/>
                <w:color w:val="000000"/>
                <w:sz w:val="18"/>
                <w:szCs w:val="18"/>
              </w:rPr>
            </w:pPr>
            <w:r w:rsidRPr="00E4265B">
              <w:rPr>
                <w:rFonts w:ascii="Arial" w:eastAsia="Times New Roman" w:hAnsi="Arial" w:cs="Arial"/>
                <w:color w:val="000000"/>
                <w:sz w:val="18"/>
                <w:szCs w:val="18"/>
              </w:rPr>
              <w:t> </w:t>
            </w:r>
          </w:p>
        </w:tc>
        <w:tc>
          <w:tcPr>
            <w:tcW w:w="4036" w:type="pct"/>
            <w:tcBorders>
              <w:top w:val="nil"/>
              <w:left w:val="nil"/>
              <w:bottom w:val="single" w:sz="8" w:space="0" w:color="auto"/>
              <w:right w:val="single" w:sz="8" w:space="0" w:color="auto"/>
            </w:tcBorders>
            <w:shd w:val="clear" w:color="000000" w:fill="FFFFFF"/>
            <w:vAlign w:val="center"/>
            <w:hideMark/>
          </w:tcPr>
          <w:p w14:paraId="7AA2F8AF" w14:textId="77777777" w:rsidR="00B076A2" w:rsidRPr="00E4265B" w:rsidRDefault="00B076A2" w:rsidP="00B3646C">
            <w:pPr>
              <w:spacing w:after="0" w:line="240" w:lineRule="auto"/>
              <w:rPr>
                <w:rFonts w:ascii="Arial" w:eastAsia="Times New Roman" w:hAnsi="Arial" w:cs="Arial"/>
                <w:b/>
                <w:bCs/>
                <w:color w:val="000000"/>
                <w:sz w:val="18"/>
                <w:szCs w:val="18"/>
              </w:rPr>
            </w:pPr>
            <w:r w:rsidRPr="00E4265B">
              <w:rPr>
                <w:rFonts w:ascii="Arial" w:eastAsia="Times New Roman" w:hAnsi="Arial" w:cs="Arial"/>
                <w:b/>
                <w:bCs/>
                <w:color w:val="000000"/>
                <w:sz w:val="18"/>
                <w:szCs w:val="18"/>
              </w:rPr>
              <w:t>C1. Remanentes de Ingresos de Libre Disposición aplicados en el periodo</w:t>
            </w:r>
          </w:p>
        </w:tc>
        <w:tc>
          <w:tcPr>
            <w:tcW w:w="871" w:type="pct"/>
            <w:tcBorders>
              <w:top w:val="nil"/>
              <w:left w:val="nil"/>
              <w:bottom w:val="single" w:sz="8" w:space="0" w:color="auto"/>
              <w:right w:val="single" w:sz="8" w:space="0" w:color="auto"/>
            </w:tcBorders>
            <w:shd w:val="clear" w:color="000000" w:fill="FFFFFF"/>
            <w:noWrap/>
            <w:vAlign w:val="center"/>
            <w:hideMark/>
          </w:tcPr>
          <w:p w14:paraId="592B47BC" w14:textId="77777777" w:rsidR="00B076A2" w:rsidRPr="00E4265B" w:rsidRDefault="00B076A2" w:rsidP="00B3646C">
            <w:pPr>
              <w:spacing w:after="0" w:line="240" w:lineRule="auto"/>
              <w:jc w:val="right"/>
              <w:rPr>
                <w:rFonts w:ascii="Arial" w:eastAsia="Times New Roman" w:hAnsi="Arial" w:cs="Arial"/>
                <w:b/>
                <w:bCs/>
                <w:color w:val="000000"/>
                <w:sz w:val="18"/>
                <w:szCs w:val="18"/>
              </w:rPr>
            </w:pPr>
            <w:r w:rsidRPr="00E4265B">
              <w:rPr>
                <w:rFonts w:ascii="Arial" w:eastAsia="Times New Roman" w:hAnsi="Arial" w:cs="Arial"/>
                <w:b/>
                <w:bCs/>
                <w:color w:val="000000"/>
                <w:sz w:val="18"/>
                <w:szCs w:val="18"/>
              </w:rPr>
              <w:t>0.0</w:t>
            </w:r>
          </w:p>
        </w:tc>
      </w:tr>
      <w:tr w:rsidR="00B076A2" w:rsidRPr="00E4265B" w14:paraId="77E0B724" w14:textId="77777777" w:rsidTr="00B3646C">
        <w:trPr>
          <w:trHeight w:val="54"/>
        </w:trPr>
        <w:tc>
          <w:tcPr>
            <w:tcW w:w="93" w:type="pct"/>
            <w:tcBorders>
              <w:top w:val="nil"/>
              <w:left w:val="single" w:sz="8" w:space="0" w:color="auto"/>
              <w:bottom w:val="single" w:sz="8" w:space="0" w:color="auto"/>
              <w:right w:val="nil"/>
            </w:tcBorders>
            <w:shd w:val="clear" w:color="000000" w:fill="FFFFFF"/>
            <w:vAlign w:val="center"/>
            <w:hideMark/>
          </w:tcPr>
          <w:p w14:paraId="01D81FA5" w14:textId="77777777" w:rsidR="00B076A2" w:rsidRPr="00E4265B" w:rsidRDefault="00B076A2" w:rsidP="00B3646C">
            <w:pPr>
              <w:spacing w:after="0" w:line="240" w:lineRule="auto"/>
              <w:rPr>
                <w:rFonts w:ascii="Arial" w:eastAsia="Times New Roman" w:hAnsi="Arial" w:cs="Arial"/>
                <w:b/>
                <w:bCs/>
                <w:color w:val="000000"/>
                <w:sz w:val="18"/>
                <w:szCs w:val="18"/>
              </w:rPr>
            </w:pPr>
            <w:r w:rsidRPr="00E4265B">
              <w:rPr>
                <w:rFonts w:ascii="Arial" w:eastAsia="Times New Roman" w:hAnsi="Arial" w:cs="Arial"/>
                <w:b/>
                <w:bCs/>
                <w:color w:val="000000"/>
                <w:sz w:val="18"/>
                <w:szCs w:val="18"/>
              </w:rPr>
              <w:t> </w:t>
            </w:r>
          </w:p>
        </w:tc>
        <w:tc>
          <w:tcPr>
            <w:tcW w:w="4036" w:type="pct"/>
            <w:tcBorders>
              <w:top w:val="nil"/>
              <w:left w:val="nil"/>
              <w:bottom w:val="single" w:sz="8" w:space="0" w:color="auto"/>
              <w:right w:val="single" w:sz="8" w:space="0" w:color="auto"/>
            </w:tcBorders>
            <w:shd w:val="clear" w:color="000000" w:fill="FFFFFF"/>
            <w:vAlign w:val="center"/>
            <w:hideMark/>
          </w:tcPr>
          <w:p w14:paraId="5B42BB35" w14:textId="77777777" w:rsidR="00B076A2" w:rsidRPr="00E4265B" w:rsidRDefault="00B076A2" w:rsidP="00B3646C">
            <w:pPr>
              <w:spacing w:after="0" w:line="240" w:lineRule="auto"/>
              <w:rPr>
                <w:rFonts w:ascii="Arial" w:eastAsia="Times New Roman" w:hAnsi="Arial" w:cs="Arial"/>
                <w:b/>
                <w:bCs/>
                <w:color w:val="000000"/>
                <w:sz w:val="18"/>
                <w:szCs w:val="18"/>
              </w:rPr>
            </w:pPr>
            <w:r w:rsidRPr="00E4265B">
              <w:rPr>
                <w:rFonts w:ascii="Arial" w:eastAsia="Times New Roman" w:hAnsi="Arial" w:cs="Arial"/>
                <w:b/>
                <w:bCs/>
                <w:color w:val="000000"/>
                <w:sz w:val="18"/>
                <w:szCs w:val="18"/>
              </w:rPr>
              <w:t>V. Balance Presupuestar</w:t>
            </w:r>
            <w:r>
              <w:rPr>
                <w:rFonts w:ascii="Arial" w:eastAsia="Times New Roman" w:hAnsi="Arial" w:cs="Arial"/>
                <w:b/>
                <w:bCs/>
                <w:color w:val="000000"/>
                <w:sz w:val="18"/>
                <w:szCs w:val="18"/>
              </w:rPr>
              <w:t>io de Recursos Disponibles (V=</w:t>
            </w:r>
            <w:r w:rsidRPr="00E4265B">
              <w:rPr>
                <w:rFonts w:ascii="Arial" w:eastAsia="Times New Roman" w:hAnsi="Arial" w:cs="Arial"/>
                <w:b/>
                <w:bCs/>
                <w:color w:val="000000"/>
                <w:sz w:val="18"/>
                <w:szCs w:val="18"/>
              </w:rPr>
              <w:t>A1 + A3.1 – B 1 + C1)</w:t>
            </w:r>
          </w:p>
        </w:tc>
        <w:tc>
          <w:tcPr>
            <w:tcW w:w="871" w:type="pct"/>
            <w:tcBorders>
              <w:top w:val="nil"/>
              <w:left w:val="nil"/>
              <w:bottom w:val="single" w:sz="8" w:space="0" w:color="auto"/>
              <w:right w:val="single" w:sz="8" w:space="0" w:color="auto"/>
            </w:tcBorders>
            <w:shd w:val="clear" w:color="000000" w:fill="FFFFFF"/>
            <w:vAlign w:val="center"/>
            <w:hideMark/>
          </w:tcPr>
          <w:p w14:paraId="2A14B7ED" w14:textId="77777777" w:rsidR="00B076A2" w:rsidRPr="00E4265B" w:rsidRDefault="00B076A2" w:rsidP="00B3646C">
            <w:pPr>
              <w:spacing w:after="0" w:line="240" w:lineRule="auto"/>
              <w:jc w:val="right"/>
              <w:rPr>
                <w:rFonts w:ascii="Arial" w:eastAsia="Times New Roman" w:hAnsi="Arial" w:cs="Arial"/>
                <w:b/>
                <w:bCs/>
                <w:color w:val="000000"/>
                <w:sz w:val="18"/>
                <w:szCs w:val="18"/>
              </w:rPr>
            </w:pPr>
            <w:r w:rsidRPr="00E4265B">
              <w:rPr>
                <w:rFonts w:ascii="Arial" w:eastAsia="Times New Roman" w:hAnsi="Arial" w:cs="Arial"/>
                <w:b/>
                <w:bCs/>
                <w:color w:val="000000"/>
                <w:sz w:val="18"/>
                <w:szCs w:val="18"/>
              </w:rPr>
              <w:t>0.0</w:t>
            </w:r>
          </w:p>
        </w:tc>
      </w:tr>
      <w:tr w:rsidR="00B076A2" w:rsidRPr="00E4265B" w14:paraId="4D19101D" w14:textId="77777777" w:rsidTr="00B3646C">
        <w:trPr>
          <w:trHeight w:val="270"/>
        </w:trPr>
        <w:tc>
          <w:tcPr>
            <w:tcW w:w="93" w:type="pct"/>
            <w:tcBorders>
              <w:top w:val="nil"/>
              <w:left w:val="single" w:sz="8" w:space="0" w:color="auto"/>
              <w:bottom w:val="single" w:sz="8" w:space="0" w:color="auto"/>
              <w:right w:val="nil"/>
            </w:tcBorders>
            <w:shd w:val="clear" w:color="000000" w:fill="FFFFFF"/>
            <w:vAlign w:val="center"/>
            <w:hideMark/>
          </w:tcPr>
          <w:p w14:paraId="02DEDB30" w14:textId="77777777" w:rsidR="00B076A2" w:rsidRPr="00E4265B" w:rsidRDefault="00B076A2" w:rsidP="00B3646C">
            <w:pPr>
              <w:spacing w:after="0" w:line="240" w:lineRule="auto"/>
              <w:rPr>
                <w:rFonts w:ascii="Arial" w:eastAsia="Times New Roman" w:hAnsi="Arial" w:cs="Arial"/>
                <w:b/>
                <w:bCs/>
                <w:color w:val="000000"/>
                <w:sz w:val="18"/>
                <w:szCs w:val="18"/>
              </w:rPr>
            </w:pPr>
            <w:r w:rsidRPr="00E4265B">
              <w:rPr>
                <w:rFonts w:ascii="Arial" w:eastAsia="Times New Roman" w:hAnsi="Arial" w:cs="Arial"/>
                <w:b/>
                <w:bCs/>
                <w:color w:val="000000"/>
                <w:sz w:val="18"/>
                <w:szCs w:val="18"/>
              </w:rPr>
              <w:t> </w:t>
            </w:r>
          </w:p>
        </w:tc>
        <w:tc>
          <w:tcPr>
            <w:tcW w:w="4036" w:type="pct"/>
            <w:tcBorders>
              <w:top w:val="nil"/>
              <w:left w:val="nil"/>
              <w:bottom w:val="single" w:sz="8" w:space="0" w:color="auto"/>
              <w:right w:val="single" w:sz="8" w:space="0" w:color="auto"/>
            </w:tcBorders>
            <w:shd w:val="clear" w:color="000000" w:fill="FFFFFF"/>
            <w:vAlign w:val="center"/>
            <w:hideMark/>
          </w:tcPr>
          <w:p w14:paraId="3A8B84B3" w14:textId="77777777" w:rsidR="00B076A2" w:rsidRPr="00E4265B" w:rsidRDefault="00B076A2" w:rsidP="00B3646C">
            <w:pPr>
              <w:spacing w:after="0" w:line="240" w:lineRule="auto"/>
              <w:rPr>
                <w:rFonts w:ascii="Arial" w:eastAsia="Times New Roman" w:hAnsi="Arial" w:cs="Arial"/>
                <w:b/>
                <w:bCs/>
                <w:color w:val="000000"/>
                <w:sz w:val="18"/>
                <w:szCs w:val="18"/>
              </w:rPr>
            </w:pPr>
            <w:r w:rsidRPr="00E4265B">
              <w:rPr>
                <w:rFonts w:ascii="Arial" w:eastAsia="Times New Roman" w:hAnsi="Arial" w:cs="Arial"/>
                <w:b/>
                <w:bCs/>
                <w:color w:val="000000"/>
                <w:sz w:val="18"/>
                <w:szCs w:val="18"/>
              </w:rPr>
              <w:t>VI. Balance Presupuestario de Recursos Disponibles sin Financiamiento Neto (VI = V – A3.1)</w:t>
            </w:r>
          </w:p>
        </w:tc>
        <w:tc>
          <w:tcPr>
            <w:tcW w:w="871" w:type="pct"/>
            <w:tcBorders>
              <w:top w:val="nil"/>
              <w:left w:val="nil"/>
              <w:bottom w:val="single" w:sz="8" w:space="0" w:color="auto"/>
              <w:right w:val="single" w:sz="8" w:space="0" w:color="auto"/>
            </w:tcBorders>
            <w:shd w:val="clear" w:color="000000" w:fill="FFFFFF"/>
            <w:vAlign w:val="center"/>
            <w:hideMark/>
          </w:tcPr>
          <w:p w14:paraId="156E8CB7" w14:textId="77777777" w:rsidR="00B076A2" w:rsidRPr="00E4265B" w:rsidRDefault="00B076A2" w:rsidP="00B3646C">
            <w:pPr>
              <w:spacing w:after="0" w:line="240" w:lineRule="auto"/>
              <w:jc w:val="right"/>
              <w:rPr>
                <w:rFonts w:ascii="Arial" w:eastAsia="Times New Roman" w:hAnsi="Arial" w:cs="Arial"/>
                <w:b/>
                <w:bCs/>
                <w:color w:val="000000"/>
                <w:sz w:val="18"/>
                <w:szCs w:val="18"/>
              </w:rPr>
            </w:pPr>
            <w:r w:rsidRPr="00E4265B">
              <w:rPr>
                <w:rFonts w:ascii="Arial" w:eastAsia="Times New Roman" w:hAnsi="Arial" w:cs="Arial"/>
                <w:b/>
                <w:bCs/>
                <w:color w:val="000000"/>
                <w:sz w:val="18"/>
                <w:szCs w:val="18"/>
              </w:rPr>
              <w:t>183,891,618.0</w:t>
            </w:r>
          </w:p>
        </w:tc>
      </w:tr>
      <w:tr w:rsidR="00B076A2" w:rsidRPr="00E4265B" w14:paraId="7AA0D5ED" w14:textId="77777777" w:rsidTr="00B3646C">
        <w:trPr>
          <w:trHeight w:val="315"/>
        </w:trPr>
        <w:tc>
          <w:tcPr>
            <w:tcW w:w="4129" w:type="pct"/>
            <w:gridSpan w:val="2"/>
            <w:vMerge w:val="restart"/>
            <w:tcBorders>
              <w:top w:val="single" w:sz="8" w:space="0" w:color="auto"/>
              <w:left w:val="single" w:sz="8" w:space="0" w:color="auto"/>
              <w:bottom w:val="single" w:sz="8" w:space="0" w:color="auto"/>
              <w:right w:val="single" w:sz="8" w:space="0" w:color="auto"/>
            </w:tcBorders>
            <w:shd w:val="clear" w:color="000000" w:fill="EDEDED"/>
            <w:noWrap/>
            <w:vAlign w:val="center"/>
            <w:hideMark/>
          </w:tcPr>
          <w:p w14:paraId="558BF4E3" w14:textId="77777777" w:rsidR="00B076A2" w:rsidRPr="00E4265B" w:rsidRDefault="00B076A2" w:rsidP="00B3646C">
            <w:pPr>
              <w:spacing w:after="0" w:line="240" w:lineRule="auto"/>
              <w:jc w:val="center"/>
              <w:rPr>
                <w:rFonts w:ascii="Arial" w:eastAsia="Times New Roman" w:hAnsi="Arial" w:cs="Arial"/>
                <w:b/>
                <w:bCs/>
                <w:color w:val="000000"/>
                <w:sz w:val="18"/>
                <w:szCs w:val="18"/>
              </w:rPr>
            </w:pPr>
            <w:r w:rsidRPr="00E4265B">
              <w:rPr>
                <w:rFonts w:ascii="Arial" w:eastAsia="Times New Roman" w:hAnsi="Arial" w:cs="Arial"/>
                <w:b/>
                <w:bCs/>
                <w:color w:val="000000"/>
                <w:sz w:val="18"/>
                <w:szCs w:val="18"/>
              </w:rPr>
              <w:t>Concepto (c)</w:t>
            </w:r>
          </w:p>
        </w:tc>
        <w:tc>
          <w:tcPr>
            <w:tcW w:w="871" w:type="pct"/>
            <w:vMerge w:val="restart"/>
            <w:tcBorders>
              <w:top w:val="nil"/>
              <w:left w:val="single" w:sz="8" w:space="0" w:color="auto"/>
              <w:bottom w:val="single" w:sz="8" w:space="0" w:color="auto"/>
              <w:right w:val="single" w:sz="8" w:space="0" w:color="auto"/>
            </w:tcBorders>
            <w:shd w:val="clear" w:color="000000" w:fill="EDEDED"/>
            <w:noWrap/>
            <w:vAlign w:val="center"/>
            <w:hideMark/>
          </w:tcPr>
          <w:p w14:paraId="753E85D3" w14:textId="77777777" w:rsidR="00B076A2" w:rsidRPr="00E4265B" w:rsidRDefault="00B076A2" w:rsidP="00B3646C">
            <w:pPr>
              <w:spacing w:after="0" w:line="240" w:lineRule="auto"/>
              <w:jc w:val="center"/>
              <w:rPr>
                <w:rFonts w:ascii="Arial" w:eastAsia="Times New Roman" w:hAnsi="Arial" w:cs="Arial"/>
                <w:b/>
                <w:bCs/>
                <w:color w:val="000000"/>
                <w:sz w:val="18"/>
                <w:szCs w:val="18"/>
              </w:rPr>
            </w:pPr>
            <w:r w:rsidRPr="00E4265B">
              <w:rPr>
                <w:rFonts w:ascii="Arial" w:eastAsia="Times New Roman" w:hAnsi="Arial" w:cs="Arial"/>
                <w:b/>
                <w:bCs/>
                <w:color w:val="000000"/>
                <w:sz w:val="18"/>
                <w:szCs w:val="18"/>
              </w:rPr>
              <w:t>Estimado/ Aprobado</w:t>
            </w:r>
          </w:p>
        </w:tc>
      </w:tr>
      <w:tr w:rsidR="00B076A2" w:rsidRPr="00E4265B" w14:paraId="655AE67B" w14:textId="77777777" w:rsidTr="00B3646C">
        <w:trPr>
          <w:trHeight w:val="450"/>
        </w:trPr>
        <w:tc>
          <w:tcPr>
            <w:tcW w:w="4129" w:type="pct"/>
            <w:gridSpan w:val="2"/>
            <w:vMerge/>
            <w:tcBorders>
              <w:top w:val="single" w:sz="8" w:space="0" w:color="auto"/>
              <w:left w:val="single" w:sz="8" w:space="0" w:color="auto"/>
              <w:bottom w:val="single" w:sz="8" w:space="0" w:color="auto"/>
              <w:right w:val="single" w:sz="8" w:space="0" w:color="auto"/>
            </w:tcBorders>
            <w:vAlign w:val="center"/>
            <w:hideMark/>
          </w:tcPr>
          <w:p w14:paraId="073BE30E" w14:textId="77777777" w:rsidR="00B076A2" w:rsidRPr="00E4265B" w:rsidRDefault="00B076A2" w:rsidP="00B3646C">
            <w:pPr>
              <w:spacing w:after="0" w:line="240" w:lineRule="auto"/>
              <w:rPr>
                <w:rFonts w:ascii="Arial" w:eastAsia="Times New Roman" w:hAnsi="Arial" w:cs="Arial"/>
                <w:b/>
                <w:bCs/>
                <w:color w:val="000000"/>
                <w:sz w:val="18"/>
                <w:szCs w:val="18"/>
              </w:rPr>
            </w:pPr>
          </w:p>
        </w:tc>
        <w:tc>
          <w:tcPr>
            <w:tcW w:w="871" w:type="pct"/>
            <w:vMerge/>
            <w:tcBorders>
              <w:top w:val="nil"/>
              <w:left w:val="single" w:sz="8" w:space="0" w:color="auto"/>
              <w:bottom w:val="single" w:sz="8" w:space="0" w:color="auto"/>
              <w:right w:val="single" w:sz="8" w:space="0" w:color="auto"/>
            </w:tcBorders>
            <w:vAlign w:val="center"/>
            <w:hideMark/>
          </w:tcPr>
          <w:p w14:paraId="1F82509A" w14:textId="77777777" w:rsidR="00B076A2" w:rsidRPr="00E4265B" w:rsidRDefault="00B076A2" w:rsidP="00B3646C">
            <w:pPr>
              <w:spacing w:after="0" w:line="240" w:lineRule="auto"/>
              <w:rPr>
                <w:rFonts w:ascii="Arial" w:eastAsia="Times New Roman" w:hAnsi="Arial" w:cs="Arial"/>
                <w:b/>
                <w:bCs/>
                <w:color w:val="000000"/>
                <w:sz w:val="18"/>
                <w:szCs w:val="18"/>
              </w:rPr>
            </w:pPr>
          </w:p>
        </w:tc>
      </w:tr>
      <w:tr w:rsidR="00B076A2" w:rsidRPr="00E4265B" w14:paraId="63F97AC7" w14:textId="77777777" w:rsidTr="00B3646C">
        <w:trPr>
          <w:trHeight w:val="54"/>
        </w:trPr>
        <w:tc>
          <w:tcPr>
            <w:tcW w:w="93" w:type="pct"/>
            <w:tcBorders>
              <w:top w:val="nil"/>
              <w:left w:val="single" w:sz="8" w:space="0" w:color="auto"/>
              <w:bottom w:val="single" w:sz="8" w:space="0" w:color="auto"/>
              <w:right w:val="nil"/>
            </w:tcBorders>
            <w:shd w:val="clear" w:color="000000" w:fill="FFFFFF"/>
            <w:noWrap/>
            <w:vAlign w:val="center"/>
            <w:hideMark/>
          </w:tcPr>
          <w:p w14:paraId="6B48E1E9" w14:textId="77777777" w:rsidR="00B076A2" w:rsidRPr="00E4265B" w:rsidRDefault="00B076A2" w:rsidP="00B3646C">
            <w:pPr>
              <w:spacing w:after="0" w:line="240" w:lineRule="auto"/>
              <w:rPr>
                <w:rFonts w:ascii="Arial" w:eastAsia="Times New Roman" w:hAnsi="Arial" w:cs="Arial"/>
                <w:color w:val="000000"/>
                <w:sz w:val="18"/>
                <w:szCs w:val="18"/>
              </w:rPr>
            </w:pPr>
            <w:r w:rsidRPr="00E4265B">
              <w:rPr>
                <w:rFonts w:ascii="Arial" w:eastAsia="Times New Roman" w:hAnsi="Arial" w:cs="Arial"/>
                <w:color w:val="000000"/>
                <w:sz w:val="18"/>
                <w:szCs w:val="18"/>
              </w:rPr>
              <w:t> </w:t>
            </w:r>
          </w:p>
        </w:tc>
        <w:tc>
          <w:tcPr>
            <w:tcW w:w="4036" w:type="pct"/>
            <w:tcBorders>
              <w:top w:val="nil"/>
              <w:left w:val="nil"/>
              <w:bottom w:val="single" w:sz="8" w:space="0" w:color="auto"/>
              <w:right w:val="single" w:sz="8" w:space="0" w:color="auto"/>
            </w:tcBorders>
            <w:shd w:val="clear" w:color="000000" w:fill="FFFFFF"/>
            <w:noWrap/>
            <w:vAlign w:val="center"/>
            <w:hideMark/>
          </w:tcPr>
          <w:p w14:paraId="660F90B1" w14:textId="77777777" w:rsidR="00B076A2" w:rsidRPr="00E4265B" w:rsidRDefault="00B076A2" w:rsidP="00B3646C">
            <w:pPr>
              <w:spacing w:after="0" w:line="240" w:lineRule="auto"/>
              <w:ind w:firstLineChars="100" w:firstLine="181"/>
              <w:rPr>
                <w:rFonts w:ascii="Arial" w:eastAsia="Times New Roman" w:hAnsi="Arial" w:cs="Arial"/>
                <w:b/>
                <w:bCs/>
                <w:color w:val="000000"/>
                <w:sz w:val="18"/>
                <w:szCs w:val="18"/>
              </w:rPr>
            </w:pPr>
            <w:r w:rsidRPr="00E4265B">
              <w:rPr>
                <w:rFonts w:ascii="Arial" w:eastAsia="Times New Roman" w:hAnsi="Arial" w:cs="Arial"/>
                <w:b/>
                <w:bCs/>
                <w:color w:val="000000"/>
                <w:sz w:val="18"/>
                <w:szCs w:val="18"/>
              </w:rPr>
              <w:t>A2. Transferencias Federales Etiquetadas</w:t>
            </w:r>
          </w:p>
        </w:tc>
        <w:tc>
          <w:tcPr>
            <w:tcW w:w="871" w:type="pct"/>
            <w:tcBorders>
              <w:top w:val="nil"/>
              <w:left w:val="nil"/>
              <w:bottom w:val="single" w:sz="8" w:space="0" w:color="auto"/>
              <w:right w:val="single" w:sz="8" w:space="0" w:color="auto"/>
            </w:tcBorders>
            <w:shd w:val="clear" w:color="000000" w:fill="FFFFFF"/>
            <w:noWrap/>
            <w:vAlign w:val="center"/>
            <w:hideMark/>
          </w:tcPr>
          <w:p w14:paraId="7E2EC99D" w14:textId="77777777" w:rsidR="00B076A2" w:rsidRPr="00E4265B" w:rsidRDefault="00B076A2" w:rsidP="00B3646C">
            <w:pPr>
              <w:spacing w:after="0" w:line="240" w:lineRule="auto"/>
              <w:jc w:val="right"/>
              <w:rPr>
                <w:rFonts w:ascii="Arial" w:eastAsia="Times New Roman" w:hAnsi="Arial" w:cs="Arial"/>
                <w:b/>
                <w:bCs/>
                <w:color w:val="000000"/>
                <w:sz w:val="18"/>
                <w:szCs w:val="18"/>
              </w:rPr>
            </w:pPr>
            <w:r w:rsidRPr="00E4265B">
              <w:rPr>
                <w:rFonts w:ascii="Arial" w:eastAsia="Times New Roman" w:hAnsi="Arial" w:cs="Arial"/>
                <w:b/>
                <w:bCs/>
                <w:color w:val="000000"/>
                <w:sz w:val="18"/>
                <w:szCs w:val="18"/>
              </w:rPr>
              <w:t>9,341,190,142.0</w:t>
            </w:r>
          </w:p>
        </w:tc>
      </w:tr>
      <w:tr w:rsidR="00B076A2" w:rsidRPr="00E4265B" w14:paraId="02D6B2AC" w14:textId="77777777" w:rsidTr="00B3646C">
        <w:trPr>
          <w:trHeight w:val="220"/>
        </w:trPr>
        <w:tc>
          <w:tcPr>
            <w:tcW w:w="93" w:type="pct"/>
            <w:tcBorders>
              <w:top w:val="nil"/>
              <w:left w:val="single" w:sz="8" w:space="0" w:color="auto"/>
              <w:bottom w:val="single" w:sz="8" w:space="0" w:color="auto"/>
              <w:right w:val="nil"/>
            </w:tcBorders>
            <w:shd w:val="clear" w:color="000000" w:fill="FFFFFF"/>
            <w:vAlign w:val="center"/>
            <w:hideMark/>
          </w:tcPr>
          <w:p w14:paraId="74E8101D" w14:textId="77777777" w:rsidR="00B076A2" w:rsidRPr="00E4265B" w:rsidRDefault="00B076A2" w:rsidP="00B3646C">
            <w:pPr>
              <w:spacing w:after="0" w:line="240" w:lineRule="auto"/>
              <w:rPr>
                <w:rFonts w:ascii="Arial" w:eastAsia="Times New Roman" w:hAnsi="Arial" w:cs="Arial"/>
                <w:color w:val="000000"/>
                <w:sz w:val="18"/>
                <w:szCs w:val="18"/>
              </w:rPr>
            </w:pPr>
            <w:r w:rsidRPr="00E4265B">
              <w:rPr>
                <w:rFonts w:ascii="Arial" w:eastAsia="Times New Roman" w:hAnsi="Arial" w:cs="Arial"/>
                <w:color w:val="000000"/>
                <w:sz w:val="18"/>
                <w:szCs w:val="18"/>
              </w:rPr>
              <w:t> </w:t>
            </w:r>
          </w:p>
        </w:tc>
        <w:tc>
          <w:tcPr>
            <w:tcW w:w="4036" w:type="pct"/>
            <w:tcBorders>
              <w:top w:val="nil"/>
              <w:left w:val="nil"/>
              <w:bottom w:val="single" w:sz="8" w:space="0" w:color="auto"/>
              <w:right w:val="single" w:sz="8" w:space="0" w:color="auto"/>
            </w:tcBorders>
            <w:shd w:val="clear" w:color="000000" w:fill="FFFFFF"/>
            <w:vAlign w:val="center"/>
            <w:hideMark/>
          </w:tcPr>
          <w:p w14:paraId="05BF10FD" w14:textId="77777777" w:rsidR="00B076A2" w:rsidRPr="00E4265B" w:rsidRDefault="00B076A2" w:rsidP="00B3646C">
            <w:pPr>
              <w:spacing w:after="0" w:line="240" w:lineRule="auto"/>
              <w:ind w:firstLineChars="100" w:firstLine="181"/>
              <w:rPr>
                <w:rFonts w:ascii="Arial" w:eastAsia="Times New Roman" w:hAnsi="Arial" w:cs="Arial"/>
                <w:b/>
                <w:bCs/>
                <w:color w:val="000000"/>
                <w:sz w:val="18"/>
                <w:szCs w:val="18"/>
              </w:rPr>
            </w:pPr>
            <w:r w:rsidRPr="00E4265B">
              <w:rPr>
                <w:rFonts w:ascii="Arial" w:eastAsia="Times New Roman" w:hAnsi="Arial" w:cs="Arial"/>
                <w:b/>
                <w:bCs/>
                <w:color w:val="000000"/>
                <w:sz w:val="18"/>
                <w:szCs w:val="18"/>
              </w:rPr>
              <w:t>A3.2 Financiamiento Neto con Fuente de Pago de Transferencias Federales Etiquetadas (A3.2 = F2 – G2)</w:t>
            </w:r>
          </w:p>
        </w:tc>
        <w:tc>
          <w:tcPr>
            <w:tcW w:w="871" w:type="pct"/>
            <w:tcBorders>
              <w:top w:val="nil"/>
              <w:left w:val="nil"/>
              <w:bottom w:val="single" w:sz="8" w:space="0" w:color="auto"/>
              <w:right w:val="single" w:sz="8" w:space="0" w:color="auto"/>
            </w:tcBorders>
            <w:shd w:val="clear" w:color="000000" w:fill="FFFFFF"/>
            <w:vAlign w:val="center"/>
            <w:hideMark/>
          </w:tcPr>
          <w:p w14:paraId="0DFB757B" w14:textId="77777777" w:rsidR="00B076A2" w:rsidRPr="00E4265B" w:rsidRDefault="00B076A2" w:rsidP="00B3646C">
            <w:pPr>
              <w:spacing w:after="0" w:line="240" w:lineRule="auto"/>
              <w:jc w:val="right"/>
              <w:rPr>
                <w:rFonts w:ascii="Arial" w:eastAsia="Times New Roman" w:hAnsi="Arial" w:cs="Arial"/>
                <w:b/>
                <w:bCs/>
                <w:color w:val="000000"/>
                <w:sz w:val="18"/>
                <w:szCs w:val="18"/>
              </w:rPr>
            </w:pPr>
            <w:r w:rsidRPr="00E4265B">
              <w:rPr>
                <w:rFonts w:ascii="Arial" w:eastAsia="Times New Roman" w:hAnsi="Arial" w:cs="Arial"/>
                <w:b/>
                <w:bCs/>
                <w:color w:val="000000"/>
                <w:sz w:val="18"/>
                <w:szCs w:val="18"/>
              </w:rPr>
              <w:t>-277,963,519.0</w:t>
            </w:r>
          </w:p>
        </w:tc>
      </w:tr>
      <w:tr w:rsidR="00B076A2" w:rsidRPr="00E4265B" w14:paraId="7E556660" w14:textId="77777777" w:rsidTr="00B3646C">
        <w:trPr>
          <w:trHeight w:val="495"/>
        </w:trPr>
        <w:tc>
          <w:tcPr>
            <w:tcW w:w="93" w:type="pct"/>
            <w:tcBorders>
              <w:top w:val="nil"/>
              <w:left w:val="single" w:sz="8" w:space="0" w:color="auto"/>
              <w:bottom w:val="single" w:sz="8" w:space="0" w:color="auto"/>
              <w:right w:val="nil"/>
            </w:tcBorders>
            <w:shd w:val="clear" w:color="000000" w:fill="FFFFFF"/>
            <w:vAlign w:val="center"/>
            <w:hideMark/>
          </w:tcPr>
          <w:p w14:paraId="019132CD" w14:textId="77777777" w:rsidR="00B076A2" w:rsidRPr="00E4265B" w:rsidRDefault="00B076A2" w:rsidP="00B3646C">
            <w:pPr>
              <w:spacing w:after="0" w:line="240" w:lineRule="auto"/>
              <w:rPr>
                <w:rFonts w:ascii="Arial" w:eastAsia="Times New Roman" w:hAnsi="Arial" w:cs="Arial"/>
                <w:color w:val="000000"/>
                <w:sz w:val="18"/>
                <w:szCs w:val="18"/>
              </w:rPr>
            </w:pPr>
            <w:r w:rsidRPr="00E4265B">
              <w:rPr>
                <w:rFonts w:ascii="Arial" w:eastAsia="Times New Roman" w:hAnsi="Arial" w:cs="Arial"/>
                <w:color w:val="000000"/>
                <w:sz w:val="18"/>
                <w:szCs w:val="18"/>
              </w:rPr>
              <w:t> </w:t>
            </w:r>
          </w:p>
        </w:tc>
        <w:tc>
          <w:tcPr>
            <w:tcW w:w="4036" w:type="pct"/>
            <w:tcBorders>
              <w:top w:val="nil"/>
              <w:left w:val="nil"/>
              <w:bottom w:val="single" w:sz="8" w:space="0" w:color="auto"/>
              <w:right w:val="single" w:sz="8" w:space="0" w:color="auto"/>
            </w:tcBorders>
            <w:shd w:val="clear" w:color="000000" w:fill="FFFFFF"/>
            <w:vAlign w:val="center"/>
            <w:hideMark/>
          </w:tcPr>
          <w:p w14:paraId="3A568C6F" w14:textId="77777777" w:rsidR="00B076A2" w:rsidRPr="00E4265B" w:rsidRDefault="00B076A2" w:rsidP="00B3646C">
            <w:pPr>
              <w:spacing w:after="0" w:line="240" w:lineRule="auto"/>
              <w:ind w:left="708"/>
              <w:rPr>
                <w:rFonts w:ascii="Arial" w:eastAsia="Times New Roman" w:hAnsi="Arial" w:cs="Arial"/>
                <w:color w:val="000000"/>
                <w:sz w:val="18"/>
                <w:szCs w:val="18"/>
              </w:rPr>
            </w:pPr>
            <w:r w:rsidRPr="00E4265B">
              <w:rPr>
                <w:rFonts w:ascii="Arial" w:eastAsia="Times New Roman" w:hAnsi="Arial" w:cs="Arial"/>
                <w:color w:val="000000"/>
                <w:sz w:val="18"/>
                <w:szCs w:val="18"/>
              </w:rPr>
              <w:t>F2. Financiamiento con Fuente de Pago de Transferencias Federales Etiquetadas</w:t>
            </w:r>
          </w:p>
        </w:tc>
        <w:tc>
          <w:tcPr>
            <w:tcW w:w="871" w:type="pct"/>
            <w:tcBorders>
              <w:top w:val="nil"/>
              <w:left w:val="nil"/>
              <w:bottom w:val="single" w:sz="8" w:space="0" w:color="auto"/>
              <w:right w:val="single" w:sz="8" w:space="0" w:color="auto"/>
            </w:tcBorders>
            <w:shd w:val="clear" w:color="000000" w:fill="FFFFFF"/>
            <w:vAlign w:val="center"/>
            <w:hideMark/>
          </w:tcPr>
          <w:p w14:paraId="2556645F" w14:textId="77777777" w:rsidR="00B076A2" w:rsidRPr="00E4265B" w:rsidRDefault="00B076A2" w:rsidP="00B3646C">
            <w:pPr>
              <w:spacing w:after="0" w:line="240" w:lineRule="auto"/>
              <w:jc w:val="right"/>
              <w:rPr>
                <w:rFonts w:ascii="Arial" w:eastAsia="Times New Roman" w:hAnsi="Arial" w:cs="Arial"/>
                <w:color w:val="000000"/>
                <w:sz w:val="18"/>
                <w:szCs w:val="18"/>
              </w:rPr>
            </w:pPr>
            <w:r w:rsidRPr="00E4265B">
              <w:rPr>
                <w:rFonts w:ascii="Arial" w:eastAsia="Times New Roman" w:hAnsi="Arial" w:cs="Arial"/>
                <w:color w:val="000000"/>
                <w:sz w:val="18"/>
                <w:szCs w:val="18"/>
              </w:rPr>
              <w:t>0.0</w:t>
            </w:r>
          </w:p>
        </w:tc>
      </w:tr>
      <w:tr w:rsidR="00B076A2" w:rsidRPr="00E4265B" w14:paraId="19142B83" w14:textId="77777777" w:rsidTr="00B3646C">
        <w:trPr>
          <w:trHeight w:val="54"/>
        </w:trPr>
        <w:tc>
          <w:tcPr>
            <w:tcW w:w="93" w:type="pct"/>
            <w:tcBorders>
              <w:top w:val="nil"/>
              <w:left w:val="single" w:sz="8" w:space="0" w:color="auto"/>
              <w:bottom w:val="single" w:sz="8" w:space="0" w:color="auto"/>
              <w:right w:val="nil"/>
            </w:tcBorders>
            <w:shd w:val="clear" w:color="000000" w:fill="FFFFFF"/>
            <w:vAlign w:val="center"/>
            <w:hideMark/>
          </w:tcPr>
          <w:p w14:paraId="2D457739" w14:textId="77777777" w:rsidR="00B076A2" w:rsidRPr="00E4265B" w:rsidRDefault="00B076A2" w:rsidP="00B3646C">
            <w:pPr>
              <w:spacing w:after="0" w:line="240" w:lineRule="auto"/>
              <w:rPr>
                <w:rFonts w:ascii="Arial" w:eastAsia="Times New Roman" w:hAnsi="Arial" w:cs="Arial"/>
                <w:color w:val="000000"/>
                <w:sz w:val="18"/>
                <w:szCs w:val="18"/>
              </w:rPr>
            </w:pPr>
            <w:r w:rsidRPr="00E4265B">
              <w:rPr>
                <w:rFonts w:ascii="Arial" w:eastAsia="Times New Roman" w:hAnsi="Arial" w:cs="Arial"/>
                <w:color w:val="000000"/>
                <w:sz w:val="18"/>
                <w:szCs w:val="18"/>
              </w:rPr>
              <w:t> </w:t>
            </w:r>
          </w:p>
        </w:tc>
        <w:tc>
          <w:tcPr>
            <w:tcW w:w="4036" w:type="pct"/>
            <w:tcBorders>
              <w:top w:val="nil"/>
              <w:left w:val="nil"/>
              <w:bottom w:val="single" w:sz="8" w:space="0" w:color="auto"/>
              <w:right w:val="single" w:sz="8" w:space="0" w:color="auto"/>
            </w:tcBorders>
            <w:shd w:val="clear" w:color="000000" w:fill="FFFFFF"/>
            <w:vAlign w:val="center"/>
            <w:hideMark/>
          </w:tcPr>
          <w:p w14:paraId="5CFB9368" w14:textId="77777777" w:rsidR="00B076A2" w:rsidRPr="00E4265B" w:rsidRDefault="00B076A2" w:rsidP="00B3646C">
            <w:pPr>
              <w:spacing w:after="0" w:line="240" w:lineRule="auto"/>
              <w:ind w:left="708"/>
              <w:rPr>
                <w:rFonts w:ascii="Arial" w:eastAsia="Times New Roman" w:hAnsi="Arial" w:cs="Arial"/>
                <w:color w:val="000000"/>
                <w:sz w:val="18"/>
                <w:szCs w:val="18"/>
              </w:rPr>
            </w:pPr>
            <w:r w:rsidRPr="00E4265B">
              <w:rPr>
                <w:rFonts w:ascii="Arial" w:eastAsia="Times New Roman" w:hAnsi="Arial" w:cs="Arial"/>
                <w:color w:val="000000"/>
                <w:sz w:val="18"/>
                <w:szCs w:val="18"/>
              </w:rPr>
              <w:t>G2. Amortización de la Deuda Pública con Gasto Etiquetado</w:t>
            </w:r>
          </w:p>
        </w:tc>
        <w:tc>
          <w:tcPr>
            <w:tcW w:w="871" w:type="pct"/>
            <w:tcBorders>
              <w:top w:val="nil"/>
              <w:left w:val="nil"/>
              <w:bottom w:val="single" w:sz="8" w:space="0" w:color="auto"/>
              <w:right w:val="single" w:sz="8" w:space="0" w:color="auto"/>
            </w:tcBorders>
            <w:shd w:val="clear" w:color="000000" w:fill="FFFFFF"/>
            <w:vAlign w:val="center"/>
            <w:hideMark/>
          </w:tcPr>
          <w:p w14:paraId="3A52E47C" w14:textId="77777777" w:rsidR="00B076A2" w:rsidRPr="00E4265B" w:rsidRDefault="00B076A2" w:rsidP="00B3646C">
            <w:pPr>
              <w:spacing w:after="0" w:line="240" w:lineRule="auto"/>
              <w:jc w:val="right"/>
              <w:rPr>
                <w:rFonts w:ascii="Arial" w:eastAsia="Times New Roman" w:hAnsi="Arial" w:cs="Arial"/>
                <w:color w:val="000000"/>
                <w:sz w:val="18"/>
                <w:szCs w:val="18"/>
              </w:rPr>
            </w:pPr>
            <w:r w:rsidRPr="00E4265B">
              <w:rPr>
                <w:rFonts w:ascii="Arial" w:eastAsia="Times New Roman" w:hAnsi="Arial" w:cs="Arial"/>
                <w:color w:val="000000"/>
                <w:sz w:val="18"/>
                <w:szCs w:val="18"/>
              </w:rPr>
              <w:t>277,963,519.0</w:t>
            </w:r>
          </w:p>
        </w:tc>
      </w:tr>
      <w:tr w:rsidR="00B076A2" w:rsidRPr="00E4265B" w14:paraId="42A1C3E5" w14:textId="77777777" w:rsidTr="00B3646C">
        <w:trPr>
          <w:trHeight w:val="54"/>
        </w:trPr>
        <w:tc>
          <w:tcPr>
            <w:tcW w:w="93" w:type="pct"/>
            <w:tcBorders>
              <w:top w:val="nil"/>
              <w:left w:val="single" w:sz="8" w:space="0" w:color="auto"/>
              <w:bottom w:val="single" w:sz="8" w:space="0" w:color="auto"/>
              <w:right w:val="nil"/>
            </w:tcBorders>
            <w:shd w:val="clear" w:color="000000" w:fill="FFFFFF"/>
            <w:noWrap/>
            <w:vAlign w:val="center"/>
            <w:hideMark/>
          </w:tcPr>
          <w:p w14:paraId="35D5F87D" w14:textId="77777777" w:rsidR="00B076A2" w:rsidRPr="00E4265B" w:rsidRDefault="00B076A2" w:rsidP="00B3646C">
            <w:pPr>
              <w:spacing w:after="0" w:line="240" w:lineRule="auto"/>
              <w:rPr>
                <w:rFonts w:ascii="Arial" w:eastAsia="Times New Roman" w:hAnsi="Arial" w:cs="Arial"/>
                <w:color w:val="000000"/>
                <w:sz w:val="18"/>
                <w:szCs w:val="18"/>
              </w:rPr>
            </w:pPr>
            <w:r w:rsidRPr="00E4265B">
              <w:rPr>
                <w:rFonts w:ascii="Arial" w:eastAsia="Times New Roman" w:hAnsi="Arial" w:cs="Arial"/>
                <w:color w:val="000000"/>
                <w:sz w:val="18"/>
                <w:szCs w:val="18"/>
              </w:rPr>
              <w:t> </w:t>
            </w:r>
          </w:p>
        </w:tc>
        <w:tc>
          <w:tcPr>
            <w:tcW w:w="4036" w:type="pct"/>
            <w:tcBorders>
              <w:top w:val="nil"/>
              <w:left w:val="nil"/>
              <w:bottom w:val="single" w:sz="8" w:space="0" w:color="auto"/>
              <w:right w:val="single" w:sz="8" w:space="0" w:color="auto"/>
            </w:tcBorders>
            <w:shd w:val="clear" w:color="000000" w:fill="FFFFFF"/>
            <w:noWrap/>
            <w:vAlign w:val="center"/>
            <w:hideMark/>
          </w:tcPr>
          <w:p w14:paraId="6CAA9A37" w14:textId="77777777" w:rsidR="00B076A2" w:rsidRPr="00E4265B" w:rsidRDefault="00B076A2" w:rsidP="00B3646C">
            <w:pPr>
              <w:spacing w:after="0" w:line="240" w:lineRule="auto"/>
              <w:rPr>
                <w:rFonts w:ascii="Arial" w:eastAsia="Times New Roman" w:hAnsi="Arial" w:cs="Arial"/>
                <w:b/>
                <w:bCs/>
                <w:color w:val="000000"/>
                <w:sz w:val="18"/>
                <w:szCs w:val="18"/>
              </w:rPr>
            </w:pPr>
            <w:r w:rsidRPr="00E4265B">
              <w:rPr>
                <w:rFonts w:ascii="Arial" w:eastAsia="Times New Roman" w:hAnsi="Arial" w:cs="Arial"/>
                <w:b/>
                <w:bCs/>
                <w:color w:val="000000"/>
                <w:sz w:val="18"/>
                <w:szCs w:val="18"/>
              </w:rPr>
              <w:t>B2. Gasto Etiquetado (sin incluir Amortización de la Deuda Pública)</w:t>
            </w:r>
          </w:p>
        </w:tc>
        <w:tc>
          <w:tcPr>
            <w:tcW w:w="871" w:type="pct"/>
            <w:tcBorders>
              <w:top w:val="nil"/>
              <w:left w:val="nil"/>
              <w:bottom w:val="single" w:sz="8" w:space="0" w:color="auto"/>
              <w:right w:val="single" w:sz="8" w:space="0" w:color="auto"/>
            </w:tcBorders>
            <w:shd w:val="clear" w:color="000000" w:fill="FFFFFF"/>
            <w:noWrap/>
            <w:vAlign w:val="center"/>
            <w:hideMark/>
          </w:tcPr>
          <w:p w14:paraId="67EB22C5" w14:textId="77777777" w:rsidR="00B076A2" w:rsidRPr="00E4265B" w:rsidRDefault="00B076A2" w:rsidP="00B3646C">
            <w:pPr>
              <w:spacing w:after="0" w:line="240" w:lineRule="auto"/>
              <w:jc w:val="right"/>
              <w:rPr>
                <w:rFonts w:ascii="Arial" w:eastAsia="Times New Roman" w:hAnsi="Arial" w:cs="Arial"/>
                <w:b/>
                <w:bCs/>
                <w:color w:val="000000"/>
                <w:sz w:val="18"/>
                <w:szCs w:val="18"/>
              </w:rPr>
            </w:pPr>
            <w:r w:rsidRPr="00E4265B">
              <w:rPr>
                <w:rFonts w:ascii="Arial" w:eastAsia="Times New Roman" w:hAnsi="Arial" w:cs="Arial"/>
                <w:b/>
                <w:bCs/>
                <w:color w:val="000000"/>
                <w:sz w:val="18"/>
                <w:szCs w:val="18"/>
              </w:rPr>
              <w:t>9,063,226,623.0</w:t>
            </w:r>
          </w:p>
        </w:tc>
      </w:tr>
      <w:tr w:rsidR="00B076A2" w:rsidRPr="00E4265B" w14:paraId="58EB4C43" w14:textId="77777777" w:rsidTr="00B3646C">
        <w:trPr>
          <w:trHeight w:val="65"/>
        </w:trPr>
        <w:tc>
          <w:tcPr>
            <w:tcW w:w="93" w:type="pct"/>
            <w:tcBorders>
              <w:top w:val="nil"/>
              <w:left w:val="single" w:sz="8" w:space="0" w:color="auto"/>
              <w:bottom w:val="single" w:sz="8" w:space="0" w:color="auto"/>
              <w:right w:val="nil"/>
            </w:tcBorders>
            <w:shd w:val="clear" w:color="000000" w:fill="FFFFFF"/>
            <w:noWrap/>
            <w:vAlign w:val="center"/>
            <w:hideMark/>
          </w:tcPr>
          <w:p w14:paraId="52E50A59" w14:textId="77777777" w:rsidR="00B076A2" w:rsidRPr="00E4265B" w:rsidRDefault="00B076A2" w:rsidP="00B3646C">
            <w:pPr>
              <w:spacing w:after="0" w:line="240" w:lineRule="auto"/>
              <w:rPr>
                <w:rFonts w:ascii="Arial" w:eastAsia="Times New Roman" w:hAnsi="Arial" w:cs="Arial"/>
                <w:color w:val="000000"/>
                <w:sz w:val="18"/>
                <w:szCs w:val="18"/>
              </w:rPr>
            </w:pPr>
            <w:r w:rsidRPr="00E4265B">
              <w:rPr>
                <w:rFonts w:ascii="Arial" w:eastAsia="Times New Roman" w:hAnsi="Arial" w:cs="Arial"/>
                <w:color w:val="000000"/>
                <w:sz w:val="18"/>
                <w:szCs w:val="18"/>
              </w:rPr>
              <w:t> </w:t>
            </w:r>
          </w:p>
        </w:tc>
        <w:tc>
          <w:tcPr>
            <w:tcW w:w="4036" w:type="pct"/>
            <w:tcBorders>
              <w:top w:val="nil"/>
              <w:left w:val="nil"/>
              <w:bottom w:val="single" w:sz="8" w:space="0" w:color="auto"/>
              <w:right w:val="single" w:sz="8" w:space="0" w:color="auto"/>
            </w:tcBorders>
            <w:shd w:val="clear" w:color="000000" w:fill="FFFFFF"/>
            <w:vAlign w:val="center"/>
            <w:hideMark/>
          </w:tcPr>
          <w:p w14:paraId="37CAD039" w14:textId="77777777" w:rsidR="00B076A2" w:rsidRPr="00E4265B" w:rsidRDefault="00B076A2" w:rsidP="00B3646C">
            <w:pPr>
              <w:spacing w:after="0" w:line="240" w:lineRule="auto"/>
              <w:ind w:firstLineChars="100" w:firstLine="181"/>
              <w:rPr>
                <w:rFonts w:ascii="Arial" w:eastAsia="Times New Roman" w:hAnsi="Arial" w:cs="Arial"/>
                <w:b/>
                <w:bCs/>
                <w:color w:val="000000"/>
                <w:sz w:val="18"/>
                <w:szCs w:val="18"/>
              </w:rPr>
            </w:pPr>
            <w:r w:rsidRPr="00E4265B">
              <w:rPr>
                <w:rFonts w:ascii="Arial" w:eastAsia="Times New Roman" w:hAnsi="Arial" w:cs="Arial"/>
                <w:b/>
                <w:bCs/>
                <w:color w:val="000000"/>
                <w:sz w:val="18"/>
                <w:szCs w:val="18"/>
              </w:rPr>
              <w:t>C2. Remanentes de Transferencias Federales Etiquetadas aplicados en el periodo</w:t>
            </w:r>
          </w:p>
        </w:tc>
        <w:tc>
          <w:tcPr>
            <w:tcW w:w="871" w:type="pct"/>
            <w:tcBorders>
              <w:top w:val="nil"/>
              <w:left w:val="nil"/>
              <w:bottom w:val="single" w:sz="8" w:space="0" w:color="auto"/>
              <w:right w:val="single" w:sz="8" w:space="0" w:color="auto"/>
            </w:tcBorders>
            <w:shd w:val="clear" w:color="000000" w:fill="FFFFFF"/>
            <w:noWrap/>
            <w:vAlign w:val="center"/>
            <w:hideMark/>
          </w:tcPr>
          <w:p w14:paraId="7AA2F704" w14:textId="77777777" w:rsidR="00B076A2" w:rsidRPr="00E4265B" w:rsidRDefault="00B076A2" w:rsidP="00B3646C">
            <w:pPr>
              <w:spacing w:after="0" w:line="240" w:lineRule="auto"/>
              <w:jc w:val="right"/>
              <w:rPr>
                <w:rFonts w:ascii="Arial" w:eastAsia="Times New Roman" w:hAnsi="Arial" w:cs="Arial"/>
                <w:b/>
                <w:bCs/>
                <w:color w:val="000000"/>
                <w:sz w:val="18"/>
                <w:szCs w:val="18"/>
              </w:rPr>
            </w:pPr>
            <w:r w:rsidRPr="00E4265B">
              <w:rPr>
                <w:rFonts w:ascii="Arial" w:eastAsia="Times New Roman" w:hAnsi="Arial" w:cs="Arial"/>
                <w:b/>
                <w:bCs/>
                <w:color w:val="000000"/>
                <w:sz w:val="18"/>
                <w:szCs w:val="18"/>
              </w:rPr>
              <w:t>0.0</w:t>
            </w:r>
          </w:p>
        </w:tc>
      </w:tr>
      <w:tr w:rsidR="00B076A2" w:rsidRPr="00E4265B" w14:paraId="2D721ABB" w14:textId="77777777" w:rsidTr="00B3646C">
        <w:trPr>
          <w:trHeight w:val="54"/>
        </w:trPr>
        <w:tc>
          <w:tcPr>
            <w:tcW w:w="93" w:type="pct"/>
            <w:tcBorders>
              <w:top w:val="nil"/>
              <w:left w:val="single" w:sz="8" w:space="0" w:color="auto"/>
              <w:bottom w:val="single" w:sz="8" w:space="0" w:color="auto"/>
              <w:right w:val="nil"/>
            </w:tcBorders>
            <w:shd w:val="clear" w:color="000000" w:fill="FFFFFF"/>
            <w:noWrap/>
            <w:vAlign w:val="center"/>
            <w:hideMark/>
          </w:tcPr>
          <w:p w14:paraId="55D99143" w14:textId="77777777" w:rsidR="00B076A2" w:rsidRPr="00E4265B" w:rsidRDefault="00B076A2" w:rsidP="00B3646C">
            <w:pPr>
              <w:spacing w:after="0" w:line="240" w:lineRule="auto"/>
              <w:rPr>
                <w:rFonts w:ascii="Arial" w:eastAsia="Times New Roman" w:hAnsi="Arial" w:cs="Arial"/>
                <w:b/>
                <w:bCs/>
                <w:color w:val="000000"/>
                <w:sz w:val="18"/>
                <w:szCs w:val="18"/>
              </w:rPr>
            </w:pPr>
            <w:r w:rsidRPr="00E4265B">
              <w:rPr>
                <w:rFonts w:ascii="Arial" w:eastAsia="Times New Roman" w:hAnsi="Arial" w:cs="Arial"/>
                <w:b/>
                <w:bCs/>
                <w:color w:val="000000"/>
                <w:sz w:val="18"/>
                <w:szCs w:val="18"/>
              </w:rPr>
              <w:t> </w:t>
            </w:r>
          </w:p>
        </w:tc>
        <w:tc>
          <w:tcPr>
            <w:tcW w:w="4036" w:type="pct"/>
            <w:tcBorders>
              <w:top w:val="nil"/>
              <w:left w:val="nil"/>
              <w:bottom w:val="single" w:sz="8" w:space="0" w:color="auto"/>
              <w:right w:val="single" w:sz="8" w:space="0" w:color="auto"/>
            </w:tcBorders>
            <w:shd w:val="clear" w:color="000000" w:fill="FFFFFF"/>
            <w:vAlign w:val="center"/>
            <w:hideMark/>
          </w:tcPr>
          <w:p w14:paraId="16A698E6" w14:textId="77777777" w:rsidR="00B076A2" w:rsidRPr="00E4265B" w:rsidRDefault="00B076A2" w:rsidP="00B3646C">
            <w:pPr>
              <w:spacing w:after="0" w:line="240" w:lineRule="auto"/>
              <w:ind w:firstLineChars="100" w:firstLine="181"/>
              <w:rPr>
                <w:rFonts w:ascii="Arial" w:eastAsia="Times New Roman" w:hAnsi="Arial" w:cs="Arial"/>
                <w:b/>
                <w:bCs/>
                <w:color w:val="000000"/>
                <w:sz w:val="18"/>
                <w:szCs w:val="18"/>
              </w:rPr>
            </w:pPr>
            <w:r w:rsidRPr="00E4265B">
              <w:rPr>
                <w:rFonts w:ascii="Arial" w:eastAsia="Times New Roman" w:hAnsi="Arial" w:cs="Arial"/>
                <w:b/>
                <w:bCs/>
                <w:color w:val="000000"/>
                <w:sz w:val="18"/>
                <w:szCs w:val="18"/>
              </w:rPr>
              <w:t>VII. Balance Presupuestario de Recursos Etiquetados (VII = A2 + A3.2 – B2  + C2)</w:t>
            </w:r>
          </w:p>
        </w:tc>
        <w:tc>
          <w:tcPr>
            <w:tcW w:w="871" w:type="pct"/>
            <w:tcBorders>
              <w:top w:val="nil"/>
              <w:left w:val="nil"/>
              <w:bottom w:val="single" w:sz="8" w:space="0" w:color="auto"/>
              <w:right w:val="single" w:sz="8" w:space="0" w:color="auto"/>
            </w:tcBorders>
            <w:shd w:val="clear" w:color="000000" w:fill="FFFFFF"/>
            <w:vAlign w:val="center"/>
            <w:hideMark/>
          </w:tcPr>
          <w:p w14:paraId="10447611" w14:textId="77777777" w:rsidR="00B076A2" w:rsidRPr="00E4265B" w:rsidRDefault="00B076A2" w:rsidP="00B3646C">
            <w:pPr>
              <w:spacing w:after="0" w:line="240" w:lineRule="auto"/>
              <w:jc w:val="right"/>
              <w:rPr>
                <w:rFonts w:ascii="Arial" w:eastAsia="Times New Roman" w:hAnsi="Arial" w:cs="Arial"/>
                <w:b/>
                <w:bCs/>
                <w:color w:val="000000"/>
                <w:sz w:val="18"/>
                <w:szCs w:val="18"/>
              </w:rPr>
            </w:pPr>
            <w:r w:rsidRPr="00E4265B">
              <w:rPr>
                <w:rFonts w:ascii="Arial" w:eastAsia="Times New Roman" w:hAnsi="Arial" w:cs="Arial"/>
                <w:b/>
                <w:bCs/>
                <w:color w:val="000000"/>
                <w:sz w:val="18"/>
                <w:szCs w:val="18"/>
              </w:rPr>
              <w:t>0.0</w:t>
            </w:r>
          </w:p>
        </w:tc>
      </w:tr>
      <w:tr w:rsidR="00B076A2" w:rsidRPr="00E4265B" w14:paraId="524BE5A5" w14:textId="77777777" w:rsidTr="00B3646C">
        <w:trPr>
          <w:trHeight w:val="54"/>
        </w:trPr>
        <w:tc>
          <w:tcPr>
            <w:tcW w:w="93" w:type="pct"/>
            <w:tcBorders>
              <w:top w:val="nil"/>
              <w:left w:val="single" w:sz="8" w:space="0" w:color="auto"/>
              <w:bottom w:val="single" w:sz="8" w:space="0" w:color="auto"/>
              <w:right w:val="nil"/>
            </w:tcBorders>
            <w:shd w:val="clear" w:color="000000" w:fill="EDEDED"/>
            <w:noWrap/>
            <w:vAlign w:val="center"/>
            <w:hideMark/>
          </w:tcPr>
          <w:p w14:paraId="0D784663" w14:textId="77777777" w:rsidR="00B076A2" w:rsidRPr="00E4265B" w:rsidRDefault="00B076A2" w:rsidP="00B3646C">
            <w:pPr>
              <w:spacing w:after="0" w:line="240" w:lineRule="auto"/>
              <w:rPr>
                <w:rFonts w:ascii="Arial" w:eastAsia="Times New Roman" w:hAnsi="Arial" w:cs="Arial"/>
                <w:b/>
                <w:bCs/>
                <w:color w:val="000000"/>
                <w:sz w:val="18"/>
                <w:szCs w:val="18"/>
              </w:rPr>
            </w:pPr>
            <w:r w:rsidRPr="00E4265B">
              <w:rPr>
                <w:rFonts w:ascii="Arial" w:eastAsia="Times New Roman" w:hAnsi="Arial" w:cs="Arial"/>
                <w:b/>
                <w:bCs/>
                <w:color w:val="000000"/>
                <w:sz w:val="18"/>
                <w:szCs w:val="18"/>
              </w:rPr>
              <w:t> </w:t>
            </w:r>
          </w:p>
        </w:tc>
        <w:tc>
          <w:tcPr>
            <w:tcW w:w="4036" w:type="pct"/>
            <w:tcBorders>
              <w:top w:val="nil"/>
              <w:left w:val="nil"/>
              <w:bottom w:val="single" w:sz="8" w:space="0" w:color="auto"/>
              <w:right w:val="single" w:sz="8" w:space="0" w:color="auto"/>
            </w:tcBorders>
            <w:shd w:val="clear" w:color="000000" w:fill="EDEDED"/>
            <w:vAlign w:val="center"/>
            <w:hideMark/>
          </w:tcPr>
          <w:p w14:paraId="5A30FE42" w14:textId="77777777" w:rsidR="00B076A2" w:rsidRPr="00E4265B" w:rsidRDefault="00B076A2" w:rsidP="00B3646C">
            <w:pPr>
              <w:spacing w:after="0" w:line="240" w:lineRule="auto"/>
              <w:ind w:firstLineChars="100" w:firstLine="181"/>
              <w:rPr>
                <w:rFonts w:ascii="Arial" w:eastAsia="Times New Roman" w:hAnsi="Arial" w:cs="Arial"/>
                <w:b/>
                <w:bCs/>
                <w:color w:val="000000"/>
                <w:sz w:val="18"/>
                <w:szCs w:val="18"/>
              </w:rPr>
            </w:pPr>
            <w:r w:rsidRPr="00E4265B">
              <w:rPr>
                <w:rFonts w:ascii="Arial" w:eastAsia="Times New Roman" w:hAnsi="Arial" w:cs="Arial"/>
                <w:b/>
                <w:bCs/>
                <w:color w:val="000000"/>
                <w:sz w:val="18"/>
                <w:szCs w:val="18"/>
              </w:rPr>
              <w:t>VIII. Balance Presupuestario de Recursos Etiquetados sin Financiamiento Neto (VIII = VII – A3.2)</w:t>
            </w:r>
          </w:p>
        </w:tc>
        <w:tc>
          <w:tcPr>
            <w:tcW w:w="871" w:type="pct"/>
            <w:tcBorders>
              <w:top w:val="nil"/>
              <w:left w:val="nil"/>
              <w:bottom w:val="single" w:sz="8" w:space="0" w:color="auto"/>
              <w:right w:val="single" w:sz="8" w:space="0" w:color="auto"/>
            </w:tcBorders>
            <w:shd w:val="clear" w:color="000000" w:fill="EDEDED"/>
            <w:vAlign w:val="center"/>
            <w:hideMark/>
          </w:tcPr>
          <w:p w14:paraId="24970FF5" w14:textId="77777777" w:rsidR="00B076A2" w:rsidRPr="00E4265B" w:rsidRDefault="00B076A2" w:rsidP="00B3646C">
            <w:pPr>
              <w:spacing w:after="0" w:line="240" w:lineRule="auto"/>
              <w:jc w:val="right"/>
              <w:rPr>
                <w:rFonts w:ascii="Arial" w:eastAsia="Times New Roman" w:hAnsi="Arial" w:cs="Arial"/>
                <w:b/>
                <w:bCs/>
                <w:color w:val="000000"/>
                <w:sz w:val="18"/>
                <w:szCs w:val="18"/>
              </w:rPr>
            </w:pPr>
            <w:r w:rsidRPr="00E4265B">
              <w:rPr>
                <w:rFonts w:ascii="Arial" w:eastAsia="Times New Roman" w:hAnsi="Arial" w:cs="Arial"/>
                <w:b/>
                <w:bCs/>
                <w:color w:val="000000"/>
                <w:sz w:val="18"/>
                <w:szCs w:val="18"/>
              </w:rPr>
              <w:t>277,963,519.0</w:t>
            </w:r>
          </w:p>
        </w:tc>
      </w:tr>
      <w:tr w:rsidR="00B076A2" w:rsidRPr="00E4265B" w14:paraId="6E8FCD1A" w14:textId="77777777" w:rsidTr="00B3646C">
        <w:trPr>
          <w:trHeight w:val="300"/>
        </w:trPr>
        <w:tc>
          <w:tcPr>
            <w:tcW w:w="4129" w:type="pct"/>
            <w:gridSpan w:val="2"/>
            <w:tcBorders>
              <w:top w:val="nil"/>
              <w:left w:val="nil"/>
              <w:bottom w:val="nil"/>
              <w:right w:val="nil"/>
            </w:tcBorders>
            <w:shd w:val="clear" w:color="auto" w:fill="auto"/>
            <w:noWrap/>
            <w:vAlign w:val="bottom"/>
            <w:hideMark/>
          </w:tcPr>
          <w:p w14:paraId="44B5DB42" w14:textId="77777777" w:rsidR="00B076A2" w:rsidRPr="00E4265B" w:rsidRDefault="00B076A2" w:rsidP="00B3646C">
            <w:pPr>
              <w:spacing w:after="0" w:line="240" w:lineRule="auto"/>
              <w:rPr>
                <w:rFonts w:ascii="Arial" w:eastAsia="Times New Roman" w:hAnsi="Arial" w:cs="Arial"/>
                <w:color w:val="000000"/>
                <w:sz w:val="18"/>
                <w:szCs w:val="18"/>
              </w:rPr>
            </w:pPr>
            <w:r w:rsidRPr="00E4265B">
              <w:rPr>
                <w:rFonts w:ascii="Arial" w:eastAsia="Times New Roman" w:hAnsi="Arial" w:cs="Arial"/>
                <w:color w:val="000000"/>
                <w:sz w:val="18"/>
                <w:szCs w:val="18"/>
              </w:rPr>
              <w:t>Fuente: Estimación de Ingresos y Egresos 2021</w:t>
            </w:r>
          </w:p>
        </w:tc>
        <w:tc>
          <w:tcPr>
            <w:tcW w:w="871" w:type="pct"/>
            <w:tcBorders>
              <w:top w:val="nil"/>
              <w:left w:val="nil"/>
              <w:bottom w:val="nil"/>
              <w:right w:val="single" w:sz="4" w:space="0" w:color="FFFFFF"/>
            </w:tcBorders>
            <w:shd w:val="clear" w:color="auto" w:fill="auto"/>
            <w:noWrap/>
            <w:vAlign w:val="bottom"/>
            <w:hideMark/>
          </w:tcPr>
          <w:p w14:paraId="0FA95789" w14:textId="77777777" w:rsidR="00B076A2" w:rsidRPr="00E4265B" w:rsidRDefault="00B076A2" w:rsidP="00B3646C">
            <w:pPr>
              <w:spacing w:after="0" w:line="240" w:lineRule="auto"/>
              <w:rPr>
                <w:rFonts w:ascii="Calibri" w:eastAsia="Times New Roman" w:hAnsi="Calibri" w:cs="Times New Roman"/>
                <w:color w:val="000000"/>
                <w:sz w:val="18"/>
                <w:szCs w:val="18"/>
              </w:rPr>
            </w:pPr>
            <w:r w:rsidRPr="00E4265B">
              <w:rPr>
                <w:rFonts w:ascii="Calibri" w:eastAsia="Times New Roman" w:hAnsi="Calibri" w:cs="Times New Roman"/>
                <w:color w:val="000000"/>
                <w:sz w:val="18"/>
                <w:szCs w:val="18"/>
              </w:rPr>
              <w:t> </w:t>
            </w:r>
          </w:p>
        </w:tc>
      </w:tr>
    </w:tbl>
    <w:p w14:paraId="1DBC5057" w14:textId="77777777" w:rsidR="00B076A2" w:rsidRDefault="00B076A2" w:rsidP="00B076A2">
      <w:pPr>
        <w:spacing w:after="0" w:line="240" w:lineRule="auto"/>
        <w:jc w:val="both"/>
        <w:rPr>
          <w:rFonts w:ascii="Arial" w:hAnsi="Arial" w:cs="Arial"/>
          <w:b/>
          <w:sz w:val="24"/>
        </w:rPr>
      </w:pPr>
    </w:p>
    <w:p w14:paraId="5C62D0AD" w14:textId="77777777" w:rsidR="00B076A2" w:rsidRPr="00BC0DC1" w:rsidRDefault="00B076A2" w:rsidP="00B076A2">
      <w:pPr>
        <w:spacing w:after="0" w:line="240" w:lineRule="auto"/>
        <w:jc w:val="both"/>
        <w:rPr>
          <w:rFonts w:ascii="Arial" w:hAnsi="Arial" w:cs="Arial"/>
          <w:b/>
          <w:sz w:val="24"/>
        </w:rPr>
      </w:pPr>
      <w:r w:rsidRPr="00BC0DC1">
        <w:rPr>
          <w:rFonts w:ascii="Arial" w:hAnsi="Arial" w:cs="Arial"/>
          <w:b/>
          <w:sz w:val="24"/>
        </w:rPr>
        <w:t>2.7 PREVISIÓN DE RECURSOS PARA EL FONDO DE DESASTRES NATURALES</w:t>
      </w:r>
    </w:p>
    <w:p w14:paraId="55EC6A18" w14:textId="77777777" w:rsidR="00B076A2" w:rsidRDefault="00B076A2" w:rsidP="00B076A2">
      <w:pPr>
        <w:spacing w:after="0" w:line="240" w:lineRule="auto"/>
        <w:jc w:val="both"/>
        <w:rPr>
          <w:rFonts w:ascii="Arial" w:hAnsi="Arial" w:cs="Arial"/>
          <w:sz w:val="24"/>
        </w:rPr>
      </w:pPr>
    </w:p>
    <w:p w14:paraId="69AEEE1D" w14:textId="77777777" w:rsidR="00B076A2" w:rsidRDefault="00B076A2" w:rsidP="00B076A2">
      <w:pPr>
        <w:spacing w:after="0" w:line="240" w:lineRule="auto"/>
        <w:jc w:val="both"/>
        <w:rPr>
          <w:rFonts w:ascii="Arial" w:hAnsi="Arial" w:cs="Arial"/>
          <w:sz w:val="24"/>
        </w:rPr>
      </w:pPr>
      <w:r w:rsidRPr="00D706E6">
        <w:rPr>
          <w:rFonts w:ascii="Arial" w:hAnsi="Arial" w:cs="Arial"/>
          <w:sz w:val="24"/>
        </w:rPr>
        <w:t>Las consecuencias de fenómenos naturales y otros problemas medioambientales</w:t>
      </w:r>
      <w:r>
        <w:rPr>
          <w:rFonts w:ascii="Arial" w:hAnsi="Arial" w:cs="Arial"/>
          <w:sz w:val="24"/>
        </w:rPr>
        <w:t xml:space="preserve"> </w:t>
      </w:r>
      <w:r w:rsidRPr="00D706E6">
        <w:rPr>
          <w:rFonts w:ascii="Arial" w:hAnsi="Arial" w:cs="Arial"/>
          <w:sz w:val="24"/>
        </w:rPr>
        <w:t>origin</w:t>
      </w:r>
      <w:r>
        <w:rPr>
          <w:rFonts w:ascii="Arial" w:hAnsi="Arial" w:cs="Arial"/>
          <w:sz w:val="24"/>
        </w:rPr>
        <w:t xml:space="preserve">ados por el cambio climático </w:t>
      </w:r>
      <w:r w:rsidRPr="00D706E6">
        <w:rPr>
          <w:rFonts w:ascii="Arial" w:hAnsi="Arial" w:cs="Arial"/>
          <w:sz w:val="24"/>
        </w:rPr>
        <w:t>han trascendido fronteras de países y</w:t>
      </w:r>
      <w:r>
        <w:rPr>
          <w:rFonts w:ascii="Arial" w:hAnsi="Arial" w:cs="Arial"/>
          <w:sz w:val="24"/>
        </w:rPr>
        <w:t xml:space="preserve"> </w:t>
      </w:r>
      <w:r w:rsidRPr="00D706E6">
        <w:rPr>
          <w:rFonts w:ascii="Arial" w:hAnsi="Arial" w:cs="Arial"/>
          <w:sz w:val="24"/>
        </w:rPr>
        <w:t>regiones, y han llegado a tornarse en inminentes riesgos o desastres susceptibles</w:t>
      </w:r>
      <w:r>
        <w:rPr>
          <w:rFonts w:ascii="Arial" w:hAnsi="Arial" w:cs="Arial"/>
          <w:sz w:val="24"/>
        </w:rPr>
        <w:t xml:space="preserve"> </w:t>
      </w:r>
      <w:r w:rsidRPr="00D706E6">
        <w:rPr>
          <w:rFonts w:ascii="Arial" w:hAnsi="Arial" w:cs="Arial"/>
          <w:sz w:val="24"/>
        </w:rPr>
        <w:t>de afectar a la humanidad en su conjunto, o a vastos sectores poblacionales.</w:t>
      </w:r>
    </w:p>
    <w:p w14:paraId="76F1AEBD" w14:textId="77777777" w:rsidR="00B076A2" w:rsidRDefault="00B076A2" w:rsidP="00B076A2">
      <w:pPr>
        <w:spacing w:after="0" w:line="240" w:lineRule="auto"/>
        <w:jc w:val="both"/>
        <w:rPr>
          <w:rFonts w:ascii="Arial" w:hAnsi="Arial" w:cs="Arial"/>
          <w:sz w:val="24"/>
        </w:rPr>
      </w:pPr>
    </w:p>
    <w:p w14:paraId="30C9918E" w14:textId="77777777" w:rsidR="00B076A2" w:rsidRDefault="00B076A2" w:rsidP="00B076A2">
      <w:pPr>
        <w:spacing w:after="0" w:line="240" w:lineRule="auto"/>
        <w:jc w:val="both"/>
        <w:rPr>
          <w:rFonts w:ascii="Arial" w:hAnsi="Arial" w:cs="Arial"/>
          <w:sz w:val="24"/>
        </w:rPr>
      </w:pPr>
      <w:r w:rsidRPr="0002721F">
        <w:rPr>
          <w:rFonts w:ascii="Arial" w:hAnsi="Arial" w:cs="Arial"/>
          <w:sz w:val="24"/>
        </w:rPr>
        <w:t>En nuestro país los desastres naturales son sucesos periódicos, cada vez más</w:t>
      </w:r>
      <w:r>
        <w:rPr>
          <w:rFonts w:ascii="Arial" w:hAnsi="Arial" w:cs="Arial"/>
          <w:sz w:val="24"/>
        </w:rPr>
        <w:t xml:space="preserve"> </w:t>
      </w:r>
      <w:r w:rsidRPr="0002721F">
        <w:rPr>
          <w:rFonts w:ascii="Arial" w:hAnsi="Arial" w:cs="Arial"/>
          <w:sz w:val="24"/>
        </w:rPr>
        <w:t>fuertes y ampliándose a la mayor parte del territorio. Fenómenos que hasta</w:t>
      </w:r>
      <w:r>
        <w:rPr>
          <w:rFonts w:ascii="Arial" w:hAnsi="Arial" w:cs="Arial"/>
          <w:sz w:val="24"/>
        </w:rPr>
        <w:t xml:space="preserve"> </w:t>
      </w:r>
      <w:r w:rsidRPr="0002721F">
        <w:rPr>
          <w:rFonts w:ascii="Arial" w:hAnsi="Arial" w:cs="Arial"/>
          <w:sz w:val="24"/>
        </w:rPr>
        <w:t>hace</w:t>
      </w:r>
      <w:r>
        <w:rPr>
          <w:rFonts w:ascii="Arial" w:hAnsi="Arial" w:cs="Arial"/>
          <w:sz w:val="24"/>
        </w:rPr>
        <w:t xml:space="preserve"> </w:t>
      </w:r>
      <w:r w:rsidRPr="0002721F">
        <w:rPr>
          <w:rFonts w:ascii="Arial" w:hAnsi="Arial" w:cs="Arial"/>
          <w:sz w:val="24"/>
        </w:rPr>
        <w:t>poco eran considerados típicos o regulares, han variado en intensidad por el cambio</w:t>
      </w:r>
      <w:r>
        <w:rPr>
          <w:rFonts w:ascii="Arial" w:hAnsi="Arial" w:cs="Arial"/>
          <w:sz w:val="24"/>
        </w:rPr>
        <w:t xml:space="preserve"> </w:t>
      </w:r>
      <w:r w:rsidRPr="0002721F">
        <w:rPr>
          <w:rFonts w:ascii="Arial" w:hAnsi="Arial" w:cs="Arial"/>
          <w:sz w:val="24"/>
        </w:rPr>
        <w:t>del clima a nivel global, aumentando la fragilidad del entorno natural, provocando</w:t>
      </w:r>
      <w:r>
        <w:rPr>
          <w:rFonts w:ascii="Arial" w:hAnsi="Arial" w:cs="Arial"/>
          <w:sz w:val="24"/>
        </w:rPr>
        <w:t xml:space="preserve"> </w:t>
      </w:r>
      <w:r w:rsidRPr="0002721F">
        <w:rPr>
          <w:rFonts w:ascii="Arial" w:hAnsi="Arial" w:cs="Arial"/>
          <w:sz w:val="24"/>
        </w:rPr>
        <w:t>mermas drásticas en producción y productividad en actividades esenciales como la</w:t>
      </w:r>
      <w:r>
        <w:rPr>
          <w:rFonts w:ascii="Arial" w:hAnsi="Arial" w:cs="Arial"/>
          <w:sz w:val="24"/>
        </w:rPr>
        <w:t xml:space="preserve"> </w:t>
      </w:r>
      <w:r w:rsidRPr="0002721F">
        <w:rPr>
          <w:rFonts w:ascii="Arial" w:hAnsi="Arial" w:cs="Arial"/>
          <w:sz w:val="24"/>
        </w:rPr>
        <w:t xml:space="preserve">pesca, la agricultura, </w:t>
      </w:r>
      <w:r>
        <w:rPr>
          <w:rFonts w:ascii="Arial" w:hAnsi="Arial" w:cs="Arial"/>
          <w:sz w:val="24"/>
        </w:rPr>
        <w:t>la ganadería y la silvicultura.</w:t>
      </w:r>
    </w:p>
    <w:p w14:paraId="3FE1C908" w14:textId="77777777" w:rsidR="00B076A2" w:rsidRDefault="00B076A2" w:rsidP="00B076A2">
      <w:pPr>
        <w:spacing w:after="0" w:line="240" w:lineRule="auto"/>
        <w:jc w:val="both"/>
        <w:rPr>
          <w:rFonts w:ascii="Arial" w:hAnsi="Arial" w:cs="Arial"/>
          <w:sz w:val="24"/>
        </w:rPr>
      </w:pPr>
    </w:p>
    <w:p w14:paraId="53EA0694" w14:textId="77777777" w:rsidR="00B076A2" w:rsidRDefault="00B076A2" w:rsidP="00B076A2">
      <w:pPr>
        <w:spacing w:after="0" w:line="240" w:lineRule="auto"/>
        <w:jc w:val="both"/>
        <w:rPr>
          <w:rFonts w:ascii="Arial" w:hAnsi="Arial" w:cs="Arial"/>
          <w:sz w:val="24"/>
        </w:rPr>
      </w:pPr>
      <w:r w:rsidRPr="0002721F">
        <w:rPr>
          <w:rFonts w:ascii="Arial" w:hAnsi="Arial" w:cs="Arial"/>
          <w:sz w:val="24"/>
        </w:rPr>
        <w:t>Datos recientes dan cuenta de la inc</w:t>
      </w:r>
      <w:r>
        <w:rPr>
          <w:rFonts w:ascii="Arial" w:hAnsi="Arial" w:cs="Arial"/>
          <w:sz w:val="24"/>
        </w:rPr>
        <w:t>idencia anual de más de 54</w:t>
      </w:r>
      <w:r w:rsidRPr="0002721F">
        <w:rPr>
          <w:rFonts w:ascii="Arial" w:hAnsi="Arial" w:cs="Arial"/>
          <w:sz w:val="24"/>
        </w:rPr>
        <w:t xml:space="preserve"> frentes fríos</w:t>
      </w:r>
      <w:r>
        <w:rPr>
          <w:rFonts w:ascii="Arial" w:hAnsi="Arial" w:cs="Arial"/>
          <w:sz w:val="24"/>
        </w:rPr>
        <w:t xml:space="preserve"> en el país, para esta temporada otoño-invierno, mayor al promedio que ha sido de 44 frentes fríos</w:t>
      </w:r>
      <w:r w:rsidRPr="0002721F">
        <w:rPr>
          <w:rFonts w:ascii="Arial" w:hAnsi="Arial" w:cs="Arial"/>
          <w:sz w:val="24"/>
        </w:rPr>
        <w:t>; de precipitaciones que saturan y</w:t>
      </w:r>
      <w:r>
        <w:rPr>
          <w:rFonts w:ascii="Arial" w:hAnsi="Arial" w:cs="Arial"/>
          <w:sz w:val="24"/>
        </w:rPr>
        <w:t xml:space="preserve"> </w:t>
      </w:r>
      <w:r w:rsidRPr="0002721F">
        <w:rPr>
          <w:rFonts w:ascii="Arial" w:hAnsi="Arial" w:cs="Arial"/>
          <w:sz w:val="24"/>
        </w:rPr>
        <w:t>rebasan arroyos, ríos, sistemas hidrológicos y diversos cuerpos de agua,</w:t>
      </w:r>
      <w:r>
        <w:rPr>
          <w:rFonts w:ascii="Arial" w:hAnsi="Arial" w:cs="Arial"/>
          <w:sz w:val="24"/>
        </w:rPr>
        <w:t xml:space="preserve"> </w:t>
      </w:r>
      <w:r w:rsidRPr="0002721F">
        <w:rPr>
          <w:rFonts w:ascii="Arial" w:hAnsi="Arial" w:cs="Arial"/>
          <w:sz w:val="24"/>
        </w:rPr>
        <w:t>ocasionando serios daños en ciudades y en actividades productivas en la industria,</w:t>
      </w:r>
      <w:r>
        <w:rPr>
          <w:rFonts w:ascii="Arial" w:hAnsi="Arial" w:cs="Arial"/>
          <w:sz w:val="24"/>
        </w:rPr>
        <w:t xml:space="preserve"> </w:t>
      </w:r>
      <w:r w:rsidRPr="0002721F">
        <w:rPr>
          <w:rFonts w:ascii="Arial" w:hAnsi="Arial" w:cs="Arial"/>
          <w:sz w:val="24"/>
        </w:rPr>
        <w:t>los servicios y el sector agropecuario; otras veces, en las mismas o en otras zonas</w:t>
      </w:r>
      <w:r>
        <w:rPr>
          <w:rFonts w:ascii="Arial" w:hAnsi="Arial" w:cs="Arial"/>
          <w:sz w:val="24"/>
        </w:rPr>
        <w:t xml:space="preserve"> </w:t>
      </w:r>
      <w:r w:rsidRPr="0002721F">
        <w:rPr>
          <w:rFonts w:ascii="Arial" w:hAnsi="Arial" w:cs="Arial"/>
          <w:sz w:val="24"/>
        </w:rPr>
        <w:t>del país, ocurren incendios forestales que destruyen la cubierta vegetal; o bien los</w:t>
      </w:r>
      <w:r>
        <w:rPr>
          <w:rFonts w:ascii="Arial" w:hAnsi="Arial" w:cs="Arial"/>
          <w:sz w:val="24"/>
        </w:rPr>
        <w:t xml:space="preserve"> </w:t>
      </w:r>
      <w:r w:rsidRPr="0002721F">
        <w:rPr>
          <w:rFonts w:ascii="Arial" w:hAnsi="Arial" w:cs="Arial"/>
          <w:sz w:val="24"/>
        </w:rPr>
        <w:t>huracanes que se centran con mayor énfasis en las zonas costeras, tanto del lado del Pacífico como por el Atlántico, produciendo la destrucción</w:t>
      </w:r>
      <w:r>
        <w:rPr>
          <w:rFonts w:ascii="Arial" w:hAnsi="Arial" w:cs="Arial"/>
          <w:sz w:val="24"/>
        </w:rPr>
        <w:t xml:space="preserve"> </w:t>
      </w:r>
      <w:r w:rsidRPr="0002721F">
        <w:rPr>
          <w:rFonts w:ascii="Arial" w:hAnsi="Arial" w:cs="Arial"/>
          <w:sz w:val="24"/>
        </w:rPr>
        <w:t>de la infraestructura social y productiva, especialmente en</w:t>
      </w:r>
      <w:r>
        <w:rPr>
          <w:rFonts w:ascii="Arial" w:hAnsi="Arial" w:cs="Arial"/>
          <w:sz w:val="24"/>
        </w:rPr>
        <w:t xml:space="preserve"> el campo, i</w:t>
      </w:r>
      <w:r w:rsidRPr="0002721F">
        <w:rPr>
          <w:rFonts w:ascii="Arial" w:hAnsi="Arial" w:cs="Arial"/>
          <w:sz w:val="24"/>
        </w:rPr>
        <w:t>gual sucede</w:t>
      </w:r>
      <w:r>
        <w:rPr>
          <w:rFonts w:ascii="Arial" w:hAnsi="Arial" w:cs="Arial"/>
          <w:sz w:val="24"/>
        </w:rPr>
        <w:t xml:space="preserve"> </w:t>
      </w:r>
      <w:r w:rsidRPr="0002721F">
        <w:rPr>
          <w:rFonts w:ascii="Arial" w:hAnsi="Arial" w:cs="Arial"/>
          <w:sz w:val="24"/>
        </w:rPr>
        <w:t>a lo largo de las costas, como lo han señalado el Centro Nacional de Prevención de</w:t>
      </w:r>
      <w:r>
        <w:rPr>
          <w:rFonts w:ascii="Arial" w:hAnsi="Arial" w:cs="Arial"/>
          <w:sz w:val="24"/>
        </w:rPr>
        <w:t xml:space="preserve"> </w:t>
      </w:r>
      <w:r w:rsidRPr="0002721F">
        <w:rPr>
          <w:rFonts w:ascii="Arial" w:hAnsi="Arial" w:cs="Arial"/>
          <w:sz w:val="24"/>
        </w:rPr>
        <w:t>Desastres (CENAPRED) y la Comisión Nacional del Agua (CONAGUA).</w:t>
      </w:r>
      <w:r w:rsidRPr="0002721F">
        <w:rPr>
          <w:rFonts w:ascii="Arial" w:hAnsi="Arial" w:cs="Arial"/>
          <w:sz w:val="24"/>
        </w:rPr>
        <w:cr/>
      </w:r>
      <w:r>
        <w:rPr>
          <w:rFonts w:ascii="Arial" w:hAnsi="Arial" w:cs="Arial"/>
          <w:sz w:val="24"/>
        </w:rPr>
        <w:t xml:space="preserve"> </w:t>
      </w:r>
    </w:p>
    <w:p w14:paraId="540B5154" w14:textId="77777777" w:rsidR="00B076A2" w:rsidRPr="0081483E" w:rsidRDefault="00B076A2" w:rsidP="00B076A2">
      <w:pPr>
        <w:spacing w:after="0" w:line="240" w:lineRule="auto"/>
        <w:jc w:val="both"/>
        <w:rPr>
          <w:rFonts w:ascii="Arial" w:hAnsi="Arial" w:cs="Arial"/>
          <w:sz w:val="24"/>
        </w:rPr>
      </w:pPr>
      <w:r w:rsidRPr="0081483E">
        <w:rPr>
          <w:rFonts w:ascii="Arial" w:hAnsi="Arial" w:cs="Arial"/>
          <w:sz w:val="24"/>
        </w:rPr>
        <w:t>Es a partir de estos acontecimientos</w:t>
      </w:r>
      <w:r>
        <w:rPr>
          <w:rFonts w:ascii="Arial" w:hAnsi="Arial" w:cs="Arial"/>
          <w:sz w:val="24"/>
        </w:rPr>
        <w:t xml:space="preserve"> naturales que nuestro país ha tomado</w:t>
      </w:r>
      <w:r w:rsidRPr="0081483E">
        <w:rPr>
          <w:rFonts w:ascii="Arial" w:hAnsi="Arial" w:cs="Arial"/>
          <w:sz w:val="24"/>
        </w:rPr>
        <w:t xml:space="preserve"> plena</w:t>
      </w:r>
      <w:r>
        <w:rPr>
          <w:rFonts w:ascii="Arial" w:hAnsi="Arial" w:cs="Arial"/>
          <w:sz w:val="24"/>
        </w:rPr>
        <w:t xml:space="preserve"> </w:t>
      </w:r>
      <w:r w:rsidRPr="0081483E">
        <w:rPr>
          <w:rFonts w:ascii="Arial" w:hAnsi="Arial" w:cs="Arial"/>
          <w:sz w:val="24"/>
        </w:rPr>
        <w:t>conciencia de la importancia que tiene la prevención y en concreto la protección</w:t>
      </w:r>
      <w:r>
        <w:rPr>
          <w:rFonts w:ascii="Arial" w:hAnsi="Arial" w:cs="Arial"/>
          <w:sz w:val="24"/>
        </w:rPr>
        <w:t xml:space="preserve"> </w:t>
      </w:r>
      <w:r w:rsidRPr="0081483E">
        <w:rPr>
          <w:rFonts w:ascii="Arial" w:hAnsi="Arial" w:cs="Arial"/>
          <w:sz w:val="24"/>
        </w:rPr>
        <w:t xml:space="preserve">civil. Es así que </w:t>
      </w:r>
      <w:r>
        <w:rPr>
          <w:rFonts w:ascii="Arial" w:hAnsi="Arial" w:cs="Arial"/>
          <w:sz w:val="24"/>
        </w:rPr>
        <w:t>con l</w:t>
      </w:r>
      <w:r w:rsidRPr="0081483E">
        <w:rPr>
          <w:rFonts w:ascii="Arial" w:hAnsi="Arial" w:cs="Arial"/>
          <w:sz w:val="24"/>
        </w:rPr>
        <w:t xml:space="preserve">a creación del </w:t>
      </w:r>
      <w:r>
        <w:rPr>
          <w:rFonts w:ascii="Arial" w:hAnsi="Arial" w:cs="Arial"/>
          <w:sz w:val="24"/>
        </w:rPr>
        <w:t xml:space="preserve">Fideicomiso del </w:t>
      </w:r>
      <w:r w:rsidRPr="0081483E">
        <w:rPr>
          <w:rFonts w:ascii="Arial" w:hAnsi="Arial" w:cs="Arial"/>
          <w:sz w:val="24"/>
        </w:rPr>
        <w:t>Fondo de Desastres</w:t>
      </w:r>
      <w:r>
        <w:rPr>
          <w:rFonts w:ascii="Arial" w:hAnsi="Arial" w:cs="Arial"/>
          <w:sz w:val="24"/>
        </w:rPr>
        <w:t xml:space="preserve"> se preveían recursos para la atención de dichos fenómenos y la reconstrucción de la infraestructura dañada, sin embargo, recientemente se discute en la Cámara de Diputados, la eliminación del mencionado fideicomiso, lo que traería consigo nuevas necesidades financieras, en caso de desastres naturales.</w:t>
      </w:r>
    </w:p>
    <w:p w14:paraId="513BDD21" w14:textId="77777777" w:rsidR="00B076A2" w:rsidRDefault="00B076A2" w:rsidP="00B076A2">
      <w:pPr>
        <w:spacing w:after="0" w:line="240" w:lineRule="auto"/>
        <w:jc w:val="both"/>
        <w:rPr>
          <w:rFonts w:ascii="Arial" w:hAnsi="Arial" w:cs="Arial"/>
          <w:sz w:val="24"/>
        </w:rPr>
      </w:pPr>
    </w:p>
    <w:p w14:paraId="009F1E1F" w14:textId="77777777" w:rsidR="00B076A2" w:rsidRPr="0081483E" w:rsidRDefault="00B076A2" w:rsidP="00B076A2">
      <w:pPr>
        <w:spacing w:after="0" w:line="240" w:lineRule="auto"/>
        <w:jc w:val="both"/>
        <w:rPr>
          <w:rFonts w:ascii="Arial" w:hAnsi="Arial" w:cs="Arial"/>
          <w:sz w:val="24"/>
        </w:rPr>
      </w:pPr>
      <w:r w:rsidRPr="0081483E">
        <w:rPr>
          <w:rFonts w:ascii="Arial" w:hAnsi="Arial" w:cs="Arial"/>
          <w:sz w:val="24"/>
        </w:rPr>
        <w:t>En este contexto</w:t>
      </w:r>
      <w:r>
        <w:rPr>
          <w:rFonts w:ascii="Arial" w:hAnsi="Arial" w:cs="Arial"/>
          <w:sz w:val="24"/>
        </w:rPr>
        <w:t>,</w:t>
      </w:r>
      <w:r w:rsidRPr="0081483E">
        <w:rPr>
          <w:rFonts w:ascii="Arial" w:hAnsi="Arial" w:cs="Arial"/>
          <w:sz w:val="24"/>
        </w:rPr>
        <w:t xml:space="preserve"> cobra especial relevancia</w:t>
      </w:r>
      <w:r>
        <w:rPr>
          <w:rFonts w:ascii="Arial" w:hAnsi="Arial" w:cs="Arial"/>
          <w:sz w:val="24"/>
        </w:rPr>
        <w:t>,</w:t>
      </w:r>
      <w:r w:rsidRPr="0081483E">
        <w:rPr>
          <w:rFonts w:ascii="Arial" w:hAnsi="Arial" w:cs="Arial"/>
          <w:sz w:val="24"/>
        </w:rPr>
        <w:t xml:space="preserve"> el tema de referencia en la planificación</w:t>
      </w:r>
      <w:r>
        <w:rPr>
          <w:rFonts w:ascii="Arial" w:hAnsi="Arial" w:cs="Arial"/>
          <w:sz w:val="24"/>
        </w:rPr>
        <w:t xml:space="preserve"> </w:t>
      </w:r>
      <w:r w:rsidRPr="0081483E">
        <w:rPr>
          <w:rFonts w:ascii="Arial" w:hAnsi="Arial" w:cs="Arial"/>
          <w:sz w:val="24"/>
        </w:rPr>
        <w:t>del desarrollo y en las previsiones presupuestarias para atenderlo.</w:t>
      </w:r>
    </w:p>
    <w:p w14:paraId="73534AA6" w14:textId="77777777" w:rsidR="00B076A2" w:rsidRDefault="00B076A2" w:rsidP="00B076A2">
      <w:pPr>
        <w:spacing w:after="0" w:line="240" w:lineRule="auto"/>
        <w:jc w:val="both"/>
        <w:rPr>
          <w:rFonts w:ascii="Arial" w:hAnsi="Arial" w:cs="Arial"/>
          <w:sz w:val="24"/>
        </w:rPr>
      </w:pPr>
      <w:r w:rsidRPr="0081483E">
        <w:rPr>
          <w:rFonts w:ascii="Arial" w:hAnsi="Arial" w:cs="Arial"/>
          <w:sz w:val="24"/>
        </w:rPr>
        <w:t>Según el Atlas Nacional de Riesgos, la geografía de Colima, genera diferentes tipos</w:t>
      </w:r>
      <w:r>
        <w:rPr>
          <w:rFonts w:ascii="Arial" w:hAnsi="Arial" w:cs="Arial"/>
          <w:sz w:val="24"/>
        </w:rPr>
        <w:t xml:space="preserve"> </w:t>
      </w:r>
      <w:r w:rsidRPr="0081483E">
        <w:rPr>
          <w:rFonts w:ascii="Arial" w:hAnsi="Arial" w:cs="Arial"/>
          <w:sz w:val="24"/>
        </w:rPr>
        <w:t>de riesgos a la población que van d</w:t>
      </w:r>
      <w:r>
        <w:rPr>
          <w:rFonts w:ascii="Arial" w:hAnsi="Arial" w:cs="Arial"/>
          <w:sz w:val="24"/>
        </w:rPr>
        <w:t>esde las costas al sur hasta la</w:t>
      </w:r>
      <w:r w:rsidRPr="0081483E">
        <w:rPr>
          <w:rFonts w:ascii="Arial" w:hAnsi="Arial" w:cs="Arial"/>
          <w:sz w:val="24"/>
        </w:rPr>
        <w:t xml:space="preserve"> faldas del volcán.</w:t>
      </w:r>
    </w:p>
    <w:p w14:paraId="5D63B5C5" w14:textId="77777777" w:rsidR="00B076A2" w:rsidRDefault="00B076A2" w:rsidP="00B076A2">
      <w:pPr>
        <w:spacing w:after="0" w:line="240" w:lineRule="auto"/>
        <w:jc w:val="both"/>
        <w:rPr>
          <w:rFonts w:ascii="Arial" w:hAnsi="Arial" w:cs="Arial"/>
          <w:sz w:val="24"/>
        </w:rPr>
      </w:pPr>
    </w:p>
    <w:p w14:paraId="5541287F" w14:textId="77777777" w:rsidR="00B076A2" w:rsidRDefault="00B076A2" w:rsidP="00B076A2">
      <w:pPr>
        <w:spacing w:after="0" w:line="240" w:lineRule="auto"/>
        <w:jc w:val="both"/>
        <w:rPr>
          <w:rFonts w:ascii="Arial" w:hAnsi="Arial" w:cs="Arial"/>
          <w:sz w:val="24"/>
        </w:rPr>
      </w:pPr>
      <w:r>
        <w:rPr>
          <w:rFonts w:ascii="Arial" w:hAnsi="Arial" w:cs="Arial"/>
          <w:sz w:val="24"/>
        </w:rPr>
        <w:t>Nuestro estado, p</w:t>
      </w:r>
      <w:r w:rsidRPr="0081483E">
        <w:rPr>
          <w:rFonts w:ascii="Arial" w:hAnsi="Arial" w:cs="Arial"/>
          <w:sz w:val="24"/>
        </w:rPr>
        <w:t>or su propia naturaleza y</w:t>
      </w:r>
      <w:r>
        <w:rPr>
          <w:rFonts w:ascii="Arial" w:hAnsi="Arial" w:cs="Arial"/>
          <w:sz w:val="24"/>
        </w:rPr>
        <w:t xml:space="preserve"> ubicación se encuentra expuesto</w:t>
      </w:r>
      <w:r w:rsidRPr="0081483E">
        <w:rPr>
          <w:rFonts w:ascii="Arial" w:hAnsi="Arial" w:cs="Arial"/>
          <w:sz w:val="24"/>
        </w:rPr>
        <w:t xml:space="preserve"> a diversas</w:t>
      </w:r>
      <w:r>
        <w:rPr>
          <w:rFonts w:ascii="Arial" w:hAnsi="Arial" w:cs="Arial"/>
          <w:sz w:val="24"/>
        </w:rPr>
        <w:t xml:space="preserve"> </w:t>
      </w:r>
      <w:r w:rsidRPr="0081483E">
        <w:rPr>
          <w:rFonts w:ascii="Arial" w:hAnsi="Arial" w:cs="Arial"/>
          <w:sz w:val="24"/>
        </w:rPr>
        <w:t>contingencias y riesgos derivados de fenómenos naturales</w:t>
      </w:r>
      <w:r>
        <w:rPr>
          <w:rFonts w:ascii="Arial" w:hAnsi="Arial" w:cs="Arial"/>
          <w:sz w:val="24"/>
        </w:rPr>
        <w:t xml:space="preserve"> como</w:t>
      </w:r>
      <w:r w:rsidRPr="0081483E">
        <w:rPr>
          <w:rFonts w:ascii="Arial" w:hAnsi="Arial" w:cs="Arial"/>
          <w:sz w:val="24"/>
        </w:rPr>
        <w:t>:</w:t>
      </w:r>
    </w:p>
    <w:p w14:paraId="3FBB797C" w14:textId="77777777" w:rsidR="00B076A2" w:rsidRDefault="00B076A2" w:rsidP="00B076A2">
      <w:pPr>
        <w:spacing w:after="0" w:line="240" w:lineRule="auto"/>
        <w:jc w:val="both"/>
        <w:rPr>
          <w:rFonts w:ascii="Arial" w:hAnsi="Arial" w:cs="Arial"/>
          <w:sz w:val="24"/>
        </w:rPr>
      </w:pPr>
    </w:p>
    <w:p w14:paraId="163072B9" w14:textId="77777777" w:rsidR="00B076A2" w:rsidRDefault="00B076A2" w:rsidP="00B076A2">
      <w:pPr>
        <w:pStyle w:val="Prrafodelista"/>
        <w:numPr>
          <w:ilvl w:val="0"/>
          <w:numId w:val="30"/>
        </w:numPr>
        <w:spacing w:after="0" w:line="240" w:lineRule="auto"/>
        <w:jc w:val="both"/>
        <w:rPr>
          <w:rFonts w:ascii="Arial" w:hAnsi="Arial" w:cs="Arial"/>
          <w:sz w:val="24"/>
        </w:rPr>
      </w:pPr>
      <w:r>
        <w:rPr>
          <w:rFonts w:ascii="Arial" w:hAnsi="Arial" w:cs="Arial"/>
          <w:sz w:val="24"/>
        </w:rPr>
        <w:t>Fenómenos Geológicos.</w:t>
      </w:r>
    </w:p>
    <w:p w14:paraId="5BADF387" w14:textId="77777777" w:rsidR="00B076A2" w:rsidRDefault="00B076A2" w:rsidP="00B076A2">
      <w:pPr>
        <w:pStyle w:val="Prrafodelista"/>
        <w:numPr>
          <w:ilvl w:val="0"/>
          <w:numId w:val="30"/>
        </w:numPr>
        <w:spacing w:after="0" w:line="240" w:lineRule="auto"/>
        <w:jc w:val="both"/>
        <w:rPr>
          <w:rFonts w:ascii="Arial" w:hAnsi="Arial" w:cs="Arial"/>
          <w:sz w:val="24"/>
        </w:rPr>
      </w:pPr>
      <w:r>
        <w:rPr>
          <w:rFonts w:ascii="Arial" w:hAnsi="Arial" w:cs="Arial"/>
          <w:sz w:val="24"/>
        </w:rPr>
        <w:t>Fenómenos Hidrometeorológicos.</w:t>
      </w:r>
    </w:p>
    <w:p w14:paraId="3B647775" w14:textId="77777777" w:rsidR="00B076A2" w:rsidRDefault="00B076A2" w:rsidP="00B076A2">
      <w:pPr>
        <w:pStyle w:val="Prrafodelista"/>
        <w:numPr>
          <w:ilvl w:val="0"/>
          <w:numId w:val="30"/>
        </w:numPr>
        <w:spacing w:after="0" w:line="240" w:lineRule="auto"/>
        <w:jc w:val="both"/>
        <w:rPr>
          <w:rFonts w:ascii="Arial" w:hAnsi="Arial" w:cs="Arial"/>
          <w:sz w:val="24"/>
        </w:rPr>
      </w:pPr>
      <w:r>
        <w:rPr>
          <w:rFonts w:ascii="Arial" w:hAnsi="Arial" w:cs="Arial"/>
          <w:sz w:val="24"/>
        </w:rPr>
        <w:t>Fenómenos Químicos-Tecnológicos.</w:t>
      </w:r>
    </w:p>
    <w:p w14:paraId="18478F2F" w14:textId="77777777" w:rsidR="00B076A2" w:rsidRDefault="00B076A2" w:rsidP="00B076A2">
      <w:pPr>
        <w:pStyle w:val="Prrafodelista"/>
        <w:numPr>
          <w:ilvl w:val="0"/>
          <w:numId w:val="30"/>
        </w:numPr>
        <w:spacing w:after="0" w:line="240" w:lineRule="auto"/>
        <w:jc w:val="both"/>
        <w:rPr>
          <w:rFonts w:ascii="Arial" w:hAnsi="Arial" w:cs="Arial"/>
          <w:sz w:val="24"/>
        </w:rPr>
      </w:pPr>
      <w:r>
        <w:rPr>
          <w:rFonts w:ascii="Arial" w:hAnsi="Arial" w:cs="Arial"/>
          <w:sz w:val="24"/>
        </w:rPr>
        <w:t>Fenómenos Socio-Organizativos.</w:t>
      </w:r>
    </w:p>
    <w:p w14:paraId="0C4CC316" w14:textId="77777777" w:rsidR="00B076A2" w:rsidRPr="0035614E" w:rsidRDefault="00B076A2" w:rsidP="00B076A2">
      <w:pPr>
        <w:spacing w:after="0" w:line="240" w:lineRule="auto"/>
        <w:jc w:val="both"/>
        <w:rPr>
          <w:rFonts w:ascii="Arial" w:hAnsi="Arial" w:cs="Arial"/>
          <w:sz w:val="24"/>
        </w:rPr>
      </w:pPr>
    </w:p>
    <w:p w14:paraId="77E4E1A1" w14:textId="77777777" w:rsidR="00B076A2" w:rsidRPr="001D4C96" w:rsidRDefault="00B076A2" w:rsidP="00B076A2">
      <w:pPr>
        <w:spacing w:after="0" w:line="240" w:lineRule="auto"/>
        <w:jc w:val="both"/>
        <w:rPr>
          <w:rFonts w:ascii="Arial" w:hAnsi="Arial" w:cs="Arial"/>
          <w:sz w:val="24"/>
        </w:rPr>
      </w:pPr>
      <w:r w:rsidRPr="001D4C96">
        <w:rPr>
          <w:rFonts w:ascii="Arial" w:hAnsi="Arial" w:cs="Arial"/>
          <w:sz w:val="24"/>
        </w:rPr>
        <w:t>Recientemente el paso del huracán Genevieve, dejó afectaciones leves en nuestro estado, sin embargo la tormenta tropical Hernán produjo fuertes inundaciones,  poblados incomunicados, derrumbes en carreteras, así como la caída de árboles y algunos postes de red de energía eléctrica, por Hernán fue emitida la Declaratoria de Emergencia por la presencia de lluvia severa los días 26 y 27 de agosto de 2020 e inundación pluvial e inundación fluvial los días 27 y 28 de agosto de 2020 para el municipio de Manzanillo, por la Coordinación Nacional de Protección Civil, a petición del Gobierno del Estado de Colima.</w:t>
      </w:r>
    </w:p>
    <w:p w14:paraId="22B0D800" w14:textId="77777777" w:rsidR="00B076A2" w:rsidRDefault="00B076A2" w:rsidP="00B076A2">
      <w:pPr>
        <w:spacing w:after="0" w:line="240" w:lineRule="auto"/>
        <w:jc w:val="both"/>
        <w:rPr>
          <w:rFonts w:ascii="Arial" w:hAnsi="Arial" w:cs="Arial"/>
          <w:sz w:val="24"/>
        </w:rPr>
      </w:pPr>
    </w:p>
    <w:p w14:paraId="755B2AE0" w14:textId="77777777" w:rsidR="00B076A2" w:rsidRPr="005A2644" w:rsidRDefault="00B076A2" w:rsidP="00B076A2">
      <w:pPr>
        <w:spacing w:after="0" w:line="240" w:lineRule="auto"/>
        <w:jc w:val="both"/>
        <w:rPr>
          <w:rFonts w:ascii="Arial" w:hAnsi="Arial" w:cs="Arial"/>
          <w:i/>
          <w:sz w:val="24"/>
        </w:rPr>
      </w:pPr>
      <w:r>
        <w:rPr>
          <w:rFonts w:ascii="Arial" w:hAnsi="Arial" w:cs="Arial"/>
          <w:sz w:val="24"/>
        </w:rPr>
        <w:t xml:space="preserve">En el mismo sentido, la Ley de Protección Civil del Estado de Colima precisa que: </w:t>
      </w:r>
      <w:r w:rsidRPr="005A2644">
        <w:rPr>
          <w:rFonts w:ascii="Arial" w:hAnsi="Arial" w:cs="Arial"/>
          <w:i/>
          <w:sz w:val="24"/>
        </w:rPr>
        <w:t>“La materia de protección civil es considerada dentro de nuestra Constitución como una competencia concurrente entre los distintos órdenes de gobierno: Federal, entidades federativas y municipios”.</w:t>
      </w:r>
    </w:p>
    <w:p w14:paraId="4588BA07" w14:textId="77777777" w:rsidR="00B076A2" w:rsidRDefault="00B076A2" w:rsidP="00B076A2">
      <w:pPr>
        <w:spacing w:after="0" w:line="240" w:lineRule="auto"/>
        <w:jc w:val="both"/>
        <w:rPr>
          <w:rFonts w:ascii="Arial" w:hAnsi="Arial" w:cs="Arial"/>
          <w:sz w:val="24"/>
        </w:rPr>
      </w:pPr>
    </w:p>
    <w:p w14:paraId="295572B0" w14:textId="77777777" w:rsidR="00B076A2" w:rsidRDefault="00B076A2" w:rsidP="00B076A2">
      <w:pPr>
        <w:spacing w:after="0" w:line="240" w:lineRule="auto"/>
        <w:jc w:val="both"/>
        <w:rPr>
          <w:rFonts w:ascii="Arial" w:hAnsi="Arial" w:cs="Arial"/>
          <w:sz w:val="24"/>
        </w:rPr>
      </w:pPr>
      <w:r w:rsidRPr="005A2644">
        <w:rPr>
          <w:rFonts w:ascii="Arial" w:hAnsi="Arial" w:cs="Arial"/>
          <w:sz w:val="24"/>
        </w:rPr>
        <w:t>Tal ordenamiento establece las bases y mecanismos de coordinación y colaboración</w:t>
      </w:r>
      <w:r>
        <w:rPr>
          <w:rFonts w:ascii="Arial" w:hAnsi="Arial" w:cs="Arial"/>
          <w:sz w:val="24"/>
        </w:rPr>
        <w:t xml:space="preserve"> </w:t>
      </w:r>
      <w:r w:rsidRPr="005A2644">
        <w:rPr>
          <w:rFonts w:ascii="Arial" w:hAnsi="Arial" w:cs="Arial"/>
          <w:sz w:val="24"/>
        </w:rPr>
        <w:t>de dichas instancias públicas para generar una gestión integral de riesgos</w:t>
      </w:r>
      <w:r>
        <w:rPr>
          <w:rFonts w:ascii="Arial" w:hAnsi="Arial" w:cs="Arial"/>
          <w:sz w:val="24"/>
        </w:rPr>
        <w:t xml:space="preserve"> </w:t>
      </w:r>
      <w:r w:rsidRPr="005A2644">
        <w:rPr>
          <w:rFonts w:ascii="Arial" w:hAnsi="Arial" w:cs="Arial"/>
          <w:sz w:val="24"/>
        </w:rPr>
        <w:t>sustentada en una cultura de prevención en este tema.</w:t>
      </w:r>
    </w:p>
    <w:p w14:paraId="4E1DA31A" w14:textId="77777777" w:rsidR="00B076A2" w:rsidRDefault="00B076A2" w:rsidP="00B076A2">
      <w:pPr>
        <w:spacing w:after="0" w:line="240" w:lineRule="auto"/>
        <w:jc w:val="both"/>
        <w:rPr>
          <w:rFonts w:ascii="Arial" w:hAnsi="Arial" w:cs="Arial"/>
          <w:sz w:val="24"/>
        </w:rPr>
      </w:pPr>
    </w:p>
    <w:p w14:paraId="6206FC21" w14:textId="77777777" w:rsidR="00B076A2" w:rsidRPr="0044682C" w:rsidRDefault="00B076A2" w:rsidP="00B076A2">
      <w:pPr>
        <w:spacing w:after="0" w:line="240" w:lineRule="auto"/>
        <w:jc w:val="both"/>
        <w:rPr>
          <w:rFonts w:ascii="Arial" w:hAnsi="Arial" w:cs="Arial"/>
          <w:i/>
          <w:sz w:val="24"/>
        </w:rPr>
      </w:pPr>
      <w:r>
        <w:rPr>
          <w:rFonts w:ascii="Arial" w:hAnsi="Arial" w:cs="Arial"/>
          <w:sz w:val="24"/>
        </w:rPr>
        <w:t>Aunado a lo anterior</w:t>
      </w:r>
      <w:r w:rsidRPr="005A2644">
        <w:rPr>
          <w:rFonts w:ascii="Arial" w:hAnsi="Arial" w:cs="Arial"/>
          <w:sz w:val="24"/>
        </w:rPr>
        <w:t>, la Ley de Disciplina Financiera de las Entidades Federativas y los</w:t>
      </w:r>
      <w:r>
        <w:rPr>
          <w:rFonts w:ascii="Arial" w:hAnsi="Arial" w:cs="Arial"/>
          <w:sz w:val="24"/>
        </w:rPr>
        <w:t xml:space="preserve"> </w:t>
      </w:r>
      <w:r w:rsidRPr="005A2644">
        <w:rPr>
          <w:rFonts w:ascii="Arial" w:hAnsi="Arial" w:cs="Arial"/>
          <w:sz w:val="24"/>
        </w:rPr>
        <w:t xml:space="preserve">Municipios establece en su Artículo 9 </w:t>
      </w:r>
      <w:r w:rsidRPr="0044682C">
        <w:rPr>
          <w:rFonts w:ascii="Arial" w:hAnsi="Arial" w:cs="Arial"/>
          <w:i/>
          <w:sz w:val="24"/>
        </w:rPr>
        <w:t>“El Presupuesto de Egresos de las Entidades Federativas deberá prever recursos para atender a la población afectada y los daños causados a la infraestructura pública estatal ocasionados por la ocurrencia de desastres naturales, así como para llevar a cabo acciones para prevenir y mitigar su impacto a las finanzas estatales. El monto de dichos recursos deberá estar determinado por cada Entidad Federativa, el cual como mínimo deberá corresponder al 10 por ciento de la aportación realizada por la Entidad Federativa para la reconstrucción de la infraestructura de la Entidad Federativa dañada que en promedio se registre durante los últimos 5 ejercicios, actualizados por el Índice Nacional de Precios al Consumidor, medido a través de las autorizaciones de recursos aprobadas por el Fondo de Desastres Naturales, y deberá ser aportado a un fideicomiso público que se constituya específicamente para dicho fin.</w:t>
      </w:r>
    </w:p>
    <w:p w14:paraId="4103561B" w14:textId="77777777" w:rsidR="00B076A2" w:rsidRDefault="00B076A2" w:rsidP="00B076A2">
      <w:pPr>
        <w:spacing w:after="0" w:line="240" w:lineRule="auto"/>
        <w:jc w:val="both"/>
        <w:rPr>
          <w:rFonts w:ascii="Arial" w:hAnsi="Arial" w:cs="Arial"/>
          <w:sz w:val="24"/>
        </w:rPr>
      </w:pPr>
    </w:p>
    <w:p w14:paraId="380B14AA" w14:textId="77777777" w:rsidR="00B076A2" w:rsidRPr="00CB33E8" w:rsidRDefault="00B076A2" w:rsidP="00B076A2">
      <w:pPr>
        <w:spacing w:after="0" w:line="240" w:lineRule="auto"/>
        <w:jc w:val="both"/>
        <w:rPr>
          <w:rFonts w:ascii="Arial" w:hAnsi="Arial" w:cs="Arial"/>
          <w:i/>
          <w:sz w:val="24"/>
        </w:rPr>
      </w:pPr>
      <w:r w:rsidRPr="00CB33E8">
        <w:rPr>
          <w:rFonts w:ascii="Arial" w:hAnsi="Arial" w:cs="Arial"/>
          <w:i/>
          <w:sz w:val="24"/>
        </w:rPr>
        <w:t>Los recursos aportados deberán ser destinados, en primer término, para financiar las obras y acciones de reconstrucción de la infraestructura estatal aprobadas en el marco de las reglas generales del Fondo de Desastres Naturales, como la contraparte de la Entidad Federativa a los programas de reconstrucción acordados con la Federación.</w:t>
      </w:r>
    </w:p>
    <w:p w14:paraId="1C2482D8" w14:textId="77777777" w:rsidR="00B076A2" w:rsidRPr="00CB33E8" w:rsidRDefault="00B076A2" w:rsidP="00B076A2">
      <w:pPr>
        <w:spacing w:after="0" w:line="240" w:lineRule="auto"/>
        <w:jc w:val="both"/>
        <w:rPr>
          <w:rFonts w:ascii="Arial" w:hAnsi="Arial" w:cs="Arial"/>
          <w:i/>
          <w:sz w:val="24"/>
        </w:rPr>
      </w:pPr>
    </w:p>
    <w:p w14:paraId="3FBC5E14" w14:textId="77777777" w:rsidR="00B076A2" w:rsidRPr="00CB33E8" w:rsidRDefault="00B076A2" w:rsidP="00B076A2">
      <w:pPr>
        <w:spacing w:after="0" w:line="240" w:lineRule="auto"/>
        <w:jc w:val="both"/>
        <w:rPr>
          <w:rFonts w:ascii="Arial" w:hAnsi="Arial" w:cs="Arial"/>
          <w:i/>
          <w:sz w:val="24"/>
        </w:rPr>
      </w:pPr>
      <w:r w:rsidRPr="00CB33E8">
        <w:rPr>
          <w:rFonts w:ascii="Arial" w:hAnsi="Arial" w:cs="Arial"/>
          <w:i/>
          <w:sz w:val="24"/>
        </w:rPr>
        <w:t>En caso de que el saldo de los recursos del fideicomiso a que se refiere el primer párrafo de este artículo, acumule un monto que sea superior al costo promedio de reconstrucción de la infraestructura estatal dañada de los últimos 5 años de la Entidad Federativa, medido a través de las autorizaciones de recursos aprobadas por el Fondo de Desastres Naturales, la Entidad Federativa podrá utilizar el remanente que le corresponda para acciones de prevención y mitigación, los cuales podrán ser aplicados para financiar la contraparte de la Entidad Federativa de los proyectos preventivos, conforme a lo establecido en las reglas de operación del Fondo para la Prevención de Desastres Naturales.”</w:t>
      </w:r>
    </w:p>
    <w:p w14:paraId="3871F54A" w14:textId="77777777" w:rsidR="00B076A2" w:rsidRPr="00736D51" w:rsidRDefault="00B076A2" w:rsidP="00B076A2">
      <w:pPr>
        <w:spacing w:after="0" w:line="240" w:lineRule="auto"/>
        <w:jc w:val="both"/>
        <w:rPr>
          <w:rFonts w:ascii="Arial" w:hAnsi="Arial" w:cs="Arial"/>
          <w:sz w:val="24"/>
        </w:rPr>
      </w:pPr>
    </w:p>
    <w:p w14:paraId="06DBF16D" w14:textId="77777777" w:rsidR="00B076A2" w:rsidRDefault="00B076A2" w:rsidP="00B076A2">
      <w:pPr>
        <w:spacing w:after="0" w:line="240" w:lineRule="auto"/>
        <w:jc w:val="both"/>
        <w:rPr>
          <w:rFonts w:ascii="Arial" w:hAnsi="Arial" w:cs="Arial"/>
          <w:sz w:val="24"/>
        </w:rPr>
      </w:pPr>
      <w:r w:rsidRPr="00736D51">
        <w:rPr>
          <w:rFonts w:ascii="Arial" w:hAnsi="Arial" w:cs="Arial"/>
          <w:sz w:val="24"/>
        </w:rPr>
        <w:t>A continuación, se presenta información que incluye los recursos que ha aportado</w:t>
      </w:r>
      <w:r>
        <w:rPr>
          <w:rFonts w:ascii="Arial" w:hAnsi="Arial" w:cs="Arial"/>
          <w:sz w:val="24"/>
        </w:rPr>
        <w:t xml:space="preserve"> </w:t>
      </w:r>
      <w:r w:rsidRPr="00736D51">
        <w:rPr>
          <w:rFonts w:ascii="Arial" w:hAnsi="Arial" w:cs="Arial"/>
          <w:sz w:val="24"/>
        </w:rPr>
        <w:t>la Federación y el estado para financiar obras y acciones de reconstrucción de la</w:t>
      </w:r>
      <w:r>
        <w:rPr>
          <w:rFonts w:ascii="Arial" w:hAnsi="Arial" w:cs="Arial"/>
          <w:sz w:val="24"/>
        </w:rPr>
        <w:t xml:space="preserve"> </w:t>
      </w:r>
      <w:r w:rsidRPr="00736D51">
        <w:rPr>
          <w:rFonts w:ascii="Arial" w:hAnsi="Arial" w:cs="Arial"/>
          <w:sz w:val="24"/>
        </w:rPr>
        <w:t>infraestructura estatal por desastres naturales en el marco del FONDEN.</w:t>
      </w:r>
    </w:p>
    <w:p w14:paraId="3EC99866" w14:textId="77777777" w:rsidR="00B076A2" w:rsidRDefault="00B076A2" w:rsidP="00B076A2">
      <w:pPr>
        <w:spacing w:after="0" w:line="240" w:lineRule="auto"/>
        <w:jc w:val="both"/>
        <w:rPr>
          <w:rFonts w:ascii="Arial" w:hAnsi="Arial" w:cs="Arial"/>
          <w:sz w:val="24"/>
        </w:rPr>
      </w:pPr>
    </w:p>
    <w:p w14:paraId="56E84490" w14:textId="77777777" w:rsidR="00B076A2" w:rsidRDefault="00B076A2" w:rsidP="00B076A2">
      <w:pPr>
        <w:spacing w:after="0" w:line="240" w:lineRule="auto"/>
        <w:jc w:val="both"/>
        <w:rPr>
          <w:rFonts w:ascii="Arial" w:hAnsi="Arial" w:cs="Arial"/>
          <w:sz w:val="24"/>
        </w:rPr>
      </w:pPr>
      <w:r>
        <w:rPr>
          <w:rFonts w:ascii="Arial" w:hAnsi="Arial" w:cs="Arial"/>
          <w:noProof/>
          <w:sz w:val="24"/>
        </w:rPr>
        <w:drawing>
          <wp:inline distT="0" distB="0" distL="0" distR="0" wp14:anchorId="3D078489" wp14:editId="647445DF">
            <wp:extent cx="5401310" cy="1390015"/>
            <wp:effectExtent l="0" t="0" r="889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01310" cy="1390015"/>
                    </a:xfrm>
                    <a:prstGeom prst="rect">
                      <a:avLst/>
                    </a:prstGeom>
                    <a:noFill/>
                  </pic:spPr>
                </pic:pic>
              </a:graphicData>
            </a:graphic>
          </wp:inline>
        </w:drawing>
      </w:r>
    </w:p>
    <w:p w14:paraId="279B3B67" w14:textId="77777777" w:rsidR="00B076A2" w:rsidRDefault="00B076A2" w:rsidP="00B076A2">
      <w:pPr>
        <w:spacing w:after="0" w:line="240" w:lineRule="auto"/>
        <w:jc w:val="both"/>
        <w:rPr>
          <w:rFonts w:ascii="Arial" w:hAnsi="Arial" w:cs="Arial"/>
          <w:i/>
          <w:sz w:val="24"/>
        </w:rPr>
      </w:pPr>
      <w:r w:rsidRPr="006C48F7">
        <w:rPr>
          <w:rFonts w:ascii="Arial" w:hAnsi="Arial" w:cs="Arial"/>
          <w:sz w:val="24"/>
        </w:rPr>
        <w:t>Derivado de lo anterio</w:t>
      </w:r>
      <w:r>
        <w:rPr>
          <w:rFonts w:ascii="Arial" w:hAnsi="Arial" w:cs="Arial"/>
          <w:sz w:val="24"/>
        </w:rPr>
        <w:t>r, para el ejercicio fiscal 2021</w:t>
      </w:r>
      <w:r w:rsidRPr="006C48F7">
        <w:rPr>
          <w:rFonts w:ascii="Arial" w:hAnsi="Arial" w:cs="Arial"/>
          <w:sz w:val="24"/>
        </w:rPr>
        <w:t xml:space="preserve">, se prevén en la partida 79101 Fondo de Desastres Naturales, </w:t>
      </w:r>
      <w:r>
        <w:rPr>
          <w:rFonts w:ascii="Arial" w:hAnsi="Arial" w:cs="Arial"/>
          <w:sz w:val="24"/>
        </w:rPr>
        <w:t>2,691,623.00 p</w:t>
      </w:r>
      <w:r w:rsidRPr="006C48F7">
        <w:rPr>
          <w:rFonts w:ascii="Arial" w:hAnsi="Arial" w:cs="Arial"/>
          <w:sz w:val="24"/>
        </w:rPr>
        <w:t>esos de aportación con el fin de atender a la población afectada y los daños causados a la infraestructura pública estatal ocasionados por la ocurrencia de desastres naturales.</w:t>
      </w:r>
    </w:p>
    <w:p w14:paraId="0942B843" w14:textId="77777777" w:rsidR="00B076A2" w:rsidRDefault="00B076A2" w:rsidP="00B076A2">
      <w:pPr>
        <w:spacing w:after="0" w:line="240" w:lineRule="auto"/>
        <w:jc w:val="both"/>
        <w:rPr>
          <w:rFonts w:ascii="Arial" w:hAnsi="Arial" w:cs="Arial"/>
          <w:sz w:val="24"/>
        </w:rPr>
      </w:pPr>
    </w:p>
    <w:p w14:paraId="5FA38DA6" w14:textId="77777777" w:rsidR="00B076A2" w:rsidRDefault="00B076A2" w:rsidP="00B076A2">
      <w:pPr>
        <w:spacing w:after="0" w:line="240" w:lineRule="auto"/>
        <w:jc w:val="both"/>
        <w:rPr>
          <w:rFonts w:ascii="Arial" w:hAnsi="Arial" w:cs="Arial"/>
          <w:sz w:val="24"/>
        </w:rPr>
      </w:pPr>
      <w:r>
        <w:rPr>
          <w:rFonts w:ascii="Arial" w:hAnsi="Arial" w:cs="Arial"/>
          <w:sz w:val="24"/>
        </w:rPr>
        <w:t>Asimismo, s</w:t>
      </w:r>
      <w:r w:rsidRPr="00DF5BD5">
        <w:rPr>
          <w:rFonts w:ascii="Arial" w:hAnsi="Arial" w:cs="Arial"/>
          <w:sz w:val="24"/>
        </w:rPr>
        <w:t>egún lo previsto en la Ley General de Protección Civil, es obligación del Estado en</w:t>
      </w:r>
      <w:r>
        <w:rPr>
          <w:rFonts w:ascii="Arial" w:hAnsi="Arial" w:cs="Arial"/>
          <w:sz w:val="24"/>
        </w:rPr>
        <w:t xml:space="preserve"> </w:t>
      </w:r>
      <w:r w:rsidRPr="00DF5BD5">
        <w:rPr>
          <w:rFonts w:ascii="Arial" w:hAnsi="Arial" w:cs="Arial"/>
          <w:sz w:val="24"/>
        </w:rPr>
        <w:t>sus tres órdenes de gobierno, reducir los riesgos sobre los agentes afectables y</w:t>
      </w:r>
      <w:r>
        <w:rPr>
          <w:rFonts w:ascii="Arial" w:hAnsi="Arial" w:cs="Arial"/>
          <w:sz w:val="24"/>
        </w:rPr>
        <w:t xml:space="preserve"> </w:t>
      </w:r>
      <w:r w:rsidRPr="00DF5BD5">
        <w:rPr>
          <w:rFonts w:ascii="Arial" w:hAnsi="Arial" w:cs="Arial"/>
          <w:sz w:val="24"/>
        </w:rPr>
        <w:t>llevar a cabo las acciones necesarias para la identificación y el reconocimiento de</w:t>
      </w:r>
      <w:r>
        <w:rPr>
          <w:rFonts w:ascii="Arial" w:hAnsi="Arial" w:cs="Arial"/>
          <w:sz w:val="24"/>
        </w:rPr>
        <w:t xml:space="preserve"> </w:t>
      </w:r>
      <w:r w:rsidRPr="00DF5BD5">
        <w:rPr>
          <w:rFonts w:ascii="Arial" w:hAnsi="Arial" w:cs="Arial"/>
          <w:sz w:val="24"/>
        </w:rPr>
        <w:t>la vulnerabilidad de las zonas bajo su jurisdicción.</w:t>
      </w:r>
    </w:p>
    <w:p w14:paraId="207DF2B2" w14:textId="77777777" w:rsidR="00B076A2" w:rsidRPr="00DF5BD5" w:rsidRDefault="00B076A2" w:rsidP="00B076A2">
      <w:pPr>
        <w:spacing w:after="0" w:line="240" w:lineRule="auto"/>
        <w:jc w:val="both"/>
        <w:rPr>
          <w:rFonts w:ascii="Arial" w:hAnsi="Arial" w:cs="Arial"/>
          <w:sz w:val="24"/>
        </w:rPr>
      </w:pPr>
    </w:p>
    <w:p w14:paraId="1AD464E4" w14:textId="77777777" w:rsidR="00B076A2" w:rsidRDefault="00B076A2" w:rsidP="00B076A2">
      <w:pPr>
        <w:spacing w:after="0" w:line="240" w:lineRule="auto"/>
        <w:jc w:val="both"/>
        <w:rPr>
          <w:rFonts w:ascii="Arial" w:hAnsi="Arial" w:cs="Arial"/>
          <w:sz w:val="24"/>
        </w:rPr>
      </w:pPr>
      <w:r>
        <w:rPr>
          <w:rFonts w:ascii="Arial" w:hAnsi="Arial" w:cs="Arial"/>
          <w:sz w:val="24"/>
        </w:rPr>
        <w:t>E</w:t>
      </w:r>
      <w:r w:rsidRPr="00DF5BD5">
        <w:rPr>
          <w:rFonts w:ascii="Arial" w:hAnsi="Arial" w:cs="Arial"/>
          <w:sz w:val="24"/>
        </w:rPr>
        <w:t>n términos de lo establecido en el artículo 18 de la precitada Ley, es</w:t>
      </w:r>
      <w:r>
        <w:rPr>
          <w:rFonts w:ascii="Arial" w:hAnsi="Arial" w:cs="Arial"/>
          <w:sz w:val="24"/>
        </w:rPr>
        <w:t xml:space="preserve"> </w:t>
      </w:r>
      <w:r w:rsidRPr="00DF5BD5">
        <w:rPr>
          <w:rFonts w:ascii="Arial" w:hAnsi="Arial" w:cs="Arial"/>
          <w:sz w:val="24"/>
        </w:rPr>
        <w:t>responsabilidad de los gobiernos de las entidades federativas, conforme a su</w:t>
      </w:r>
      <w:r>
        <w:rPr>
          <w:rFonts w:ascii="Arial" w:hAnsi="Arial" w:cs="Arial"/>
          <w:sz w:val="24"/>
        </w:rPr>
        <w:t xml:space="preserve"> </w:t>
      </w:r>
      <w:r w:rsidRPr="00DF5BD5">
        <w:rPr>
          <w:rFonts w:ascii="Arial" w:hAnsi="Arial" w:cs="Arial"/>
          <w:sz w:val="24"/>
        </w:rPr>
        <w:t>disponibilidad presupuestaria, la contratación de seguros y demás instrumentos de</w:t>
      </w:r>
      <w:r>
        <w:rPr>
          <w:rFonts w:ascii="Arial" w:hAnsi="Arial" w:cs="Arial"/>
          <w:sz w:val="24"/>
        </w:rPr>
        <w:t xml:space="preserve"> </w:t>
      </w:r>
      <w:r w:rsidRPr="00DF5BD5">
        <w:rPr>
          <w:rFonts w:ascii="Arial" w:hAnsi="Arial" w:cs="Arial"/>
          <w:sz w:val="24"/>
        </w:rPr>
        <w:t>administración y transferencia de riesgos para la cobertura de daños causados por</w:t>
      </w:r>
      <w:r>
        <w:rPr>
          <w:rFonts w:ascii="Arial" w:hAnsi="Arial" w:cs="Arial"/>
          <w:sz w:val="24"/>
        </w:rPr>
        <w:t xml:space="preserve"> </w:t>
      </w:r>
      <w:r w:rsidRPr="00DF5BD5">
        <w:rPr>
          <w:rFonts w:ascii="Arial" w:hAnsi="Arial" w:cs="Arial"/>
          <w:sz w:val="24"/>
        </w:rPr>
        <w:t>un desastre natural en los bienes e infraestructura de sus entidades federativas.</w:t>
      </w:r>
    </w:p>
    <w:p w14:paraId="612F4A94" w14:textId="77777777" w:rsidR="00B076A2" w:rsidRPr="00DF5BD5" w:rsidRDefault="00B076A2" w:rsidP="00B076A2">
      <w:pPr>
        <w:spacing w:after="0" w:line="240" w:lineRule="auto"/>
        <w:jc w:val="both"/>
        <w:rPr>
          <w:rFonts w:ascii="Arial" w:hAnsi="Arial" w:cs="Arial"/>
          <w:sz w:val="24"/>
        </w:rPr>
      </w:pPr>
    </w:p>
    <w:p w14:paraId="6E4D021B" w14:textId="77777777" w:rsidR="00B076A2" w:rsidRDefault="00B076A2" w:rsidP="00B076A2">
      <w:pPr>
        <w:spacing w:after="0" w:line="240" w:lineRule="auto"/>
        <w:jc w:val="both"/>
        <w:rPr>
          <w:rFonts w:ascii="Arial" w:hAnsi="Arial" w:cs="Arial"/>
          <w:sz w:val="24"/>
        </w:rPr>
      </w:pPr>
      <w:r w:rsidRPr="00F30312">
        <w:rPr>
          <w:rFonts w:ascii="Arial" w:hAnsi="Arial" w:cs="Arial"/>
          <w:sz w:val="24"/>
        </w:rPr>
        <w:t>Previendo lo anterior, para el ejercicio fiscal 20</w:t>
      </w:r>
      <w:r>
        <w:rPr>
          <w:rFonts w:ascii="Arial" w:hAnsi="Arial" w:cs="Arial"/>
          <w:sz w:val="24"/>
        </w:rPr>
        <w:t>21 se estimó una cantidad de 15</w:t>
      </w:r>
      <w:r w:rsidRPr="00F30312">
        <w:rPr>
          <w:rFonts w:ascii="Arial" w:hAnsi="Arial" w:cs="Arial"/>
          <w:sz w:val="24"/>
        </w:rPr>
        <w:t xml:space="preserve"> millones de pesos en la partida 34502 denominada Seguro de Gastos Catastróficos que representa el monto destinado para la contratación del seguro señalado en el párrafo anterior, para la atención a la infraestructura dañada en caso de desastres naturales.</w:t>
      </w:r>
    </w:p>
    <w:p w14:paraId="1B56A6B2" w14:textId="77777777" w:rsidR="00B076A2" w:rsidRDefault="00B076A2" w:rsidP="00B076A2">
      <w:pPr>
        <w:spacing w:after="0" w:line="240" w:lineRule="auto"/>
        <w:jc w:val="both"/>
        <w:rPr>
          <w:rFonts w:ascii="Arial" w:hAnsi="Arial" w:cs="Arial"/>
          <w:sz w:val="24"/>
        </w:rPr>
      </w:pPr>
    </w:p>
    <w:p w14:paraId="6645A8E5" w14:textId="77777777" w:rsidR="00B076A2" w:rsidRPr="000353FE" w:rsidRDefault="00B076A2" w:rsidP="00B076A2">
      <w:pPr>
        <w:spacing w:after="0"/>
        <w:rPr>
          <w:rFonts w:ascii="Arial" w:hAnsi="Arial" w:cs="Arial"/>
          <w:b/>
          <w:sz w:val="24"/>
        </w:rPr>
      </w:pPr>
      <w:r w:rsidRPr="000353FE">
        <w:rPr>
          <w:rFonts w:ascii="Arial" w:hAnsi="Arial" w:cs="Arial"/>
          <w:b/>
          <w:sz w:val="24"/>
        </w:rPr>
        <w:t>2.8 INCLUSIÓN DE UNA SECCIÓN ESPECÍFICA DE LAS EROGACIONES CORRESPONDIENTES AL GASTO EN SERVICIOS PERSONALES</w:t>
      </w:r>
    </w:p>
    <w:p w14:paraId="196D35CE" w14:textId="77777777" w:rsidR="00B076A2" w:rsidRDefault="00B076A2" w:rsidP="00B076A2">
      <w:pPr>
        <w:spacing w:after="0" w:line="240" w:lineRule="auto"/>
        <w:jc w:val="both"/>
        <w:rPr>
          <w:rFonts w:ascii="Arial" w:hAnsi="Arial" w:cs="Arial"/>
          <w:sz w:val="24"/>
        </w:rPr>
      </w:pPr>
    </w:p>
    <w:p w14:paraId="0DB5E6CC" w14:textId="77777777" w:rsidR="00B076A2" w:rsidRPr="000353FE" w:rsidRDefault="00B076A2" w:rsidP="00B076A2">
      <w:pPr>
        <w:spacing w:after="0" w:line="240" w:lineRule="auto"/>
        <w:jc w:val="both"/>
        <w:rPr>
          <w:rFonts w:ascii="Arial" w:hAnsi="Arial" w:cs="Arial"/>
          <w:sz w:val="24"/>
        </w:rPr>
      </w:pPr>
      <w:r w:rsidRPr="000353FE">
        <w:rPr>
          <w:rFonts w:ascii="Arial" w:hAnsi="Arial" w:cs="Arial"/>
          <w:sz w:val="24"/>
        </w:rPr>
        <w:t>Los servicios personales se refieren a las remuneraciones del personal operativo, administrativo de base y de confianza, del personal operativo de las fuerzas de seguridad, de mandos medios, directivos y funcionarios al serv</w:t>
      </w:r>
      <w:r>
        <w:rPr>
          <w:rFonts w:ascii="Arial" w:hAnsi="Arial" w:cs="Arial"/>
          <w:sz w:val="24"/>
        </w:rPr>
        <w:t xml:space="preserve">icio de los Poderes Estatales, </w:t>
      </w:r>
      <w:r w:rsidRPr="000353FE">
        <w:rPr>
          <w:rFonts w:ascii="Arial" w:hAnsi="Arial" w:cs="Arial"/>
          <w:sz w:val="24"/>
        </w:rPr>
        <w:t>Entes Autónomos y Descentralizados. Corresponden a los sueldos, salarios, dietas, honorarios asimilables al salario, prestaciones y gastos de seguridad social, obligaciones laborales y otras prestaciones derivadas de una relación laboral, de carácter permanente o temporal.</w:t>
      </w:r>
    </w:p>
    <w:p w14:paraId="1663D41D" w14:textId="77777777" w:rsidR="00B076A2" w:rsidRPr="000353FE" w:rsidRDefault="00B076A2" w:rsidP="00B076A2">
      <w:pPr>
        <w:spacing w:after="0" w:line="240" w:lineRule="auto"/>
        <w:jc w:val="both"/>
        <w:rPr>
          <w:rFonts w:ascii="Arial" w:hAnsi="Arial" w:cs="Arial"/>
          <w:sz w:val="24"/>
        </w:rPr>
      </w:pPr>
    </w:p>
    <w:p w14:paraId="0ECD1243" w14:textId="77777777" w:rsidR="00B076A2" w:rsidRPr="000353FE" w:rsidRDefault="00B076A2" w:rsidP="00B076A2">
      <w:pPr>
        <w:spacing w:after="0" w:line="240" w:lineRule="auto"/>
        <w:jc w:val="both"/>
        <w:rPr>
          <w:rFonts w:ascii="Arial" w:hAnsi="Arial" w:cs="Arial"/>
          <w:sz w:val="24"/>
        </w:rPr>
      </w:pPr>
      <w:r w:rsidRPr="000353FE">
        <w:rPr>
          <w:rFonts w:ascii="Arial" w:hAnsi="Arial" w:cs="Arial"/>
          <w:sz w:val="24"/>
        </w:rPr>
        <w:t>La importancia del gasto en servicios personales como agregado presupuestario, y desde el punto de vista de la clasificación económica, radica en la cobertura que llevan a cabo las diferentes dependencias gubernamentales de las percepciones para el personal, incluyendo la operación de programas prioritarios de los sectores de salud, educativo, de seguridad pública, entre otros. Es necesario puntualizar que los servicios personales son esenciales para alcanzar las metas del Plan Estatal de Desarrollo así como para el otorgamiento de servicios y atención a la ciudadanía.</w:t>
      </w:r>
    </w:p>
    <w:p w14:paraId="6C4250E1" w14:textId="77777777" w:rsidR="00B076A2" w:rsidRPr="000353FE" w:rsidRDefault="00B076A2" w:rsidP="00B076A2">
      <w:pPr>
        <w:spacing w:after="0" w:line="240" w:lineRule="auto"/>
        <w:jc w:val="both"/>
        <w:rPr>
          <w:rFonts w:ascii="Arial" w:hAnsi="Arial" w:cs="Arial"/>
          <w:sz w:val="24"/>
        </w:rPr>
      </w:pPr>
    </w:p>
    <w:p w14:paraId="4725BEF3" w14:textId="77777777" w:rsidR="00B076A2" w:rsidRDefault="00B076A2" w:rsidP="00B076A2">
      <w:pPr>
        <w:spacing w:after="0" w:line="240" w:lineRule="auto"/>
        <w:jc w:val="both"/>
        <w:rPr>
          <w:rFonts w:ascii="Arial" w:hAnsi="Arial" w:cs="Arial"/>
          <w:sz w:val="24"/>
        </w:rPr>
      </w:pPr>
      <w:r>
        <w:rPr>
          <w:rFonts w:ascii="Arial" w:hAnsi="Arial" w:cs="Arial"/>
          <w:sz w:val="24"/>
        </w:rPr>
        <w:t xml:space="preserve">En la presente iniciativa de decreto, se incluye una sección específica donde se muestran </w:t>
      </w:r>
      <w:r w:rsidRPr="000353FE">
        <w:rPr>
          <w:rFonts w:ascii="Arial" w:hAnsi="Arial" w:cs="Arial"/>
          <w:sz w:val="24"/>
        </w:rPr>
        <w:t>las remuneraciones de los servidores públicos, desglosando las percepciones ordinarias y extraordinarias, e incluyendo las erogaciones por concepto de obligaciones de carácter fiscal y de seguridad social inherentes a dichas remuneraciones, y las previsiones salariales y económicas para cubrir los incrementos salariales, la creación de plazas y otras medid</w:t>
      </w:r>
      <w:r>
        <w:rPr>
          <w:rFonts w:ascii="Arial" w:hAnsi="Arial" w:cs="Arial"/>
          <w:sz w:val="24"/>
        </w:rPr>
        <w:t>as económicas de índole laboral, así como distintos anexos que promueven y fortalecen la transparencia en el manejo del capítulo del gasto correspondiente a los servicios personales.</w:t>
      </w:r>
    </w:p>
    <w:p w14:paraId="0E1B49D2" w14:textId="77777777" w:rsidR="00B076A2" w:rsidRDefault="00B076A2" w:rsidP="00B076A2">
      <w:pPr>
        <w:spacing w:after="0" w:line="240" w:lineRule="auto"/>
        <w:jc w:val="both"/>
        <w:rPr>
          <w:rFonts w:ascii="Arial" w:hAnsi="Arial" w:cs="Arial"/>
          <w:sz w:val="24"/>
        </w:rPr>
      </w:pPr>
    </w:p>
    <w:p w14:paraId="47EBB316" w14:textId="77777777" w:rsidR="00B076A2" w:rsidRPr="00D310AF" w:rsidRDefault="00B076A2" w:rsidP="00B076A2">
      <w:pPr>
        <w:spacing w:after="0" w:line="240" w:lineRule="auto"/>
        <w:jc w:val="both"/>
        <w:rPr>
          <w:rFonts w:ascii="Arial" w:hAnsi="Arial" w:cs="Arial"/>
          <w:sz w:val="24"/>
        </w:rPr>
      </w:pPr>
      <w:r>
        <w:rPr>
          <w:rFonts w:ascii="Arial" w:hAnsi="Arial" w:cs="Arial"/>
          <w:sz w:val="24"/>
        </w:rPr>
        <w:t>Así mismo es pertinente recordar que para la proyección de los egresos en el capítulo Servicios Personales, se consideró un crecimiento real anual de 2.6 y 2.5 por ciento, tomando en consideración lo señalado en el artículo 10 de la Ley de Disciplina Financiera de las Entidades Federativas y los Municipios. De esta manera</w:t>
      </w:r>
      <w:r w:rsidRPr="00AA22C4">
        <w:rPr>
          <w:rFonts w:ascii="Arial" w:hAnsi="Arial" w:cs="Arial"/>
          <w:sz w:val="24"/>
        </w:rPr>
        <w:t>, en promedio</w:t>
      </w:r>
      <w:r w:rsidRPr="00D310AF">
        <w:rPr>
          <w:rFonts w:ascii="Arial" w:hAnsi="Arial" w:cs="Arial"/>
          <w:sz w:val="24"/>
        </w:rPr>
        <w:t>, en los siguientes cinco años, se espera un crecimiento nominal anual promedio del 5.5 por ciento para dicho capítulo de gasto.</w:t>
      </w:r>
    </w:p>
    <w:p w14:paraId="38423CDE" w14:textId="77777777" w:rsidR="00B076A2" w:rsidRPr="00D310AF" w:rsidRDefault="00B076A2" w:rsidP="00B076A2">
      <w:pPr>
        <w:spacing w:after="0" w:line="240" w:lineRule="auto"/>
        <w:jc w:val="both"/>
        <w:rPr>
          <w:rFonts w:ascii="Arial" w:hAnsi="Arial" w:cs="Arial"/>
          <w:sz w:val="24"/>
        </w:rPr>
      </w:pPr>
    </w:p>
    <w:p w14:paraId="6025DD60" w14:textId="77777777" w:rsidR="00B076A2" w:rsidRPr="00EF5483" w:rsidRDefault="00B076A2" w:rsidP="00B076A2">
      <w:pPr>
        <w:spacing w:after="0" w:line="240" w:lineRule="auto"/>
        <w:jc w:val="both"/>
        <w:rPr>
          <w:rFonts w:ascii="Arial" w:hAnsi="Arial" w:cs="Arial"/>
          <w:sz w:val="24"/>
        </w:rPr>
      </w:pPr>
      <w:r w:rsidRPr="00D310AF">
        <w:rPr>
          <w:rFonts w:ascii="Arial" w:hAnsi="Arial" w:cs="Arial"/>
          <w:sz w:val="24"/>
        </w:rPr>
        <w:t>Si se hace un ejercicio de comparación, los servicios personales, del Presupuesto Aprobado para el Ejercicio Fiscal 2020 al Presente Proyecto de Presupuesto, el gasto en este capítulo incrementa, según cifras nominales, en 6 por ciento, ello considerando una inflación estimada de tres por ciento según los Criterios Generales de Política Económica 2021 y un</w:t>
      </w:r>
      <w:r>
        <w:rPr>
          <w:rFonts w:ascii="Arial" w:hAnsi="Arial" w:cs="Arial"/>
          <w:sz w:val="24"/>
        </w:rPr>
        <w:t xml:space="preserve"> crecimiento real de tres por ciento, en línea con el multicitado artículo 10 de la Ley de Disciplina Financiera de las Entidades Federativas y los Municipios. </w:t>
      </w:r>
    </w:p>
    <w:p w14:paraId="27AA85B7" w14:textId="77777777" w:rsidR="00B076A2" w:rsidRDefault="00B076A2" w:rsidP="00B076A2">
      <w:pPr>
        <w:spacing w:after="0" w:line="240" w:lineRule="auto"/>
        <w:jc w:val="both"/>
        <w:rPr>
          <w:rFonts w:ascii="Arial" w:hAnsi="Arial" w:cs="Arial"/>
          <w:sz w:val="24"/>
        </w:rPr>
      </w:pPr>
    </w:p>
    <w:p w14:paraId="53D88F27" w14:textId="77777777" w:rsidR="00B076A2" w:rsidRPr="00DF5BD5" w:rsidRDefault="00B076A2" w:rsidP="00B076A2">
      <w:pPr>
        <w:spacing w:after="0" w:line="240" w:lineRule="auto"/>
        <w:jc w:val="both"/>
        <w:rPr>
          <w:rFonts w:ascii="Arial" w:hAnsi="Arial" w:cs="Arial"/>
          <w:b/>
          <w:sz w:val="24"/>
        </w:rPr>
      </w:pPr>
      <w:r w:rsidRPr="00DF5BD5">
        <w:rPr>
          <w:rFonts w:ascii="Arial" w:hAnsi="Arial" w:cs="Arial"/>
          <w:b/>
          <w:sz w:val="24"/>
        </w:rPr>
        <w:t>2.</w:t>
      </w:r>
      <w:r>
        <w:rPr>
          <w:rFonts w:ascii="Arial" w:hAnsi="Arial" w:cs="Arial"/>
          <w:b/>
          <w:sz w:val="24"/>
        </w:rPr>
        <w:t>9</w:t>
      </w:r>
      <w:r w:rsidRPr="00DF5BD5">
        <w:rPr>
          <w:rFonts w:ascii="Arial" w:hAnsi="Arial" w:cs="Arial"/>
          <w:b/>
          <w:sz w:val="24"/>
        </w:rPr>
        <w:t xml:space="preserve"> RECURSOS PARA CUBRIR LOS ADEUDOS DEL EJERCICIO FISCAL ANTERIOR (ADEFAS)</w:t>
      </w:r>
    </w:p>
    <w:p w14:paraId="35F8A48F" w14:textId="77777777" w:rsidR="00B076A2" w:rsidRDefault="00B076A2" w:rsidP="00B076A2">
      <w:pPr>
        <w:spacing w:after="0" w:line="240" w:lineRule="auto"/>
        <w:jc w:val="both"/>
        <w:rPr>
          <w:rFonts w:ascii="Arial" w:hAnsi="Arial" w:cs="Arial"/>
          <w:sz w:val="24"/>
        </w:rPr>
      </w:pPr>
    </w:p>
    <w:p w14:paraId="1ECDD02D" w14:textId="77777777" w:rsidR="00B076A2" w:rsidRDefault="00B076A2" w:rsidP="00B076A2">
      <w:pPr>
        <w:spacing w:after="0" w:line="240" w:lineRule="auto"/>
        <w:jc w:val="both"/>
        <w:rPr>
          <w:rFonts w:ascii="Arial" w:hAnsi="Arial" w:cs="Arial"/>
          <w:sz w:val="24"/>
        </w:rPr>
      </w:pPr>
      <w:r w:rsidRPr="00DF5BD5">
        <w:rPr>
          <w:rFonts w:ascii="Arial" w:hAnsi="Arial" w:cs="Arial"/>
          <w:sz w:val="24"/>
        </w:rPr>
        <w:t>Según lo previsto en el Clasificador por Objeto del Gasto, las ADEFAS se definen</w:t>
      </w:r>
      <w:r>
        <w:rPr>
          <w:rFonts w:ascii="Arial" w:hAnsi="Arial" w:cs="Arial"/>
          <w:sz w:val="24"/>
        </w:rPr>
        <w:t xml:space="preserve"> </w:t>
      </w:r>
      <w:r w:rsidRPr="00DF5BD5">
        <w:rPr>
          <w:rFonts w:ascii="Arial" w:hAnsi="Arial" w:cs="Arial"/>
          <w:sz w:val="24"/>
        </w:rPr>
        <w:t>como las asignaciones destinadas a cubrir las erogaciones devengadas y</w:t>
      </w:r>
      <w:r>
        <w:rPr>
          <w:rFonts w:ascii="Arial" w:hAnsi="Arial" w:cs="Arial"/>
          <w:sz w:val="24"/>
        </w:rPr>
        <w:t xml:space="preserve"> </w:t>
      </w:r>
      <w:r w:rsidRPr="00DF5BD5">
        <w:rPr>
          <w:rFonts w:ascii="Arial" w:hAnsi="Arial" w:cs="Arial"/>
          <w:sz w:val="24"/>
        </w:rPr>
        <w:t>pendientes de liquidar al cierre del ejercicio fiscal anterior, derivadas de la</w:t>
      </w:r>
      <w:r>
        <w:rPr>
          <w:rFonts w:ascii="Arial" w:hAnsi="Arial" w:cs="Arial"/>
          <w:sz w:val="24"/>
        </w:rPr>
        <w:t xml:space="preserve"> </w:t>
      </w:r>
      <w:r w:rsidRPr="00DF5BD5">
        <w:rPr>
          <w:rFonts w:ascii="Arial" w:hAnsi="Arial" w:cs="Arial"/>
          <w:sz w:val="24"/>
        </w:rPr>
        <w:t>contratación de bienes y servicios requeridos en el desempeño de las funciones de</w:t>
      </w:r>
      <w:r>
        <w:rPr>
          <w:rFonts w:ascii="Arial" w:hAnsi="Arial" w:cs="Arial"/>
          <w:sz w:val="24"/>
        </w:rPr>
        <w:t xml:space="preserve"> </w:t>
      </w:r>
      <w:r w:rsidRPr="00DF5BD5">
        <w:rPr>
          <w:rFonts w:ascii="Arial" w:hAnsi="Arial" w:cs="Arial"/>
          <w:sz w:val="24"/>
        </w:rPr>
        <w:t>los entes públicos, para las cuales existió asignación presupuestal con saldo</w:t>
      </w:r>
      <w:r>
        <w:rPr>
          <w:rFonts w:ascii="Arial" w:hAnsi="Arial" w:cs="Arial"/>
          <w:sz w:val="24"/>
        </w:rPr>
        <w:t xml:space="preserve"> </w:t>
      </w:r>
      <w:r w:rsidRPr="00DF5BD5">
        <w:rPr>
          <w:rFonts w:ascii="Arial" w:hAnsi="Arial" w:cs="Arial"/>
          <w:sz w:val="24"/>
        </w:rPr>
        <w:t>disponible al cierre del ejercicio fiscal en que se devengaron.</w:t>
      </w:r>
    </w:p>
    <w:p w14:paraId="58B81A19" w14:textId="77777777" w:rsidR="00B076A2" w:rsidRPr="00DF5BD5" w:rsidRDefault="00B076A2" w:rsidP="00B076A2">
      <w:pPr>
        <w:spacing w:after="0" w:line="240" w:lineRule="auto"/>
        <w:jc w:val="both"/>
        <w:rPr>
          <w:rFonts w:ascii="Arial" w:hAnsi="Arial" w:cs="Arial"/>
          <w:sz w:val="24"/>
        </w:rPr>
      </w:pPr>
    </w:p>
    <w:p w14:paraId="29CE236D" w14:textId="77777777" w:rsidR="00B076A2" w:rsidRPr="00DF5BD5" w:rsidRDefault="00B076A2" w:rsidP="00B076A2">
      <w:pPr>
        <w:spacing w:after="0" w:line="240" w:lineRule="auto"/>
        <w:jc w:val="both"/>
        <w:rPr>
          <w:rFonts w:ascii="Arial" w:hAnsi="Arial" w:cs="Arial"/>
          <w:i/>
          <w:sz w:val="24"/>
        </w:rPr>
      </w:pPr>
      <w:r w:rsidRPr="00DF5BD5">
        <w:rPr>
          <w:rFonts w:ascii="Arial" w:hAnsi="Arial" w:cs="Arial"/>
          <w:sz w:val="24"/>
        </w:rPr>
        <w:t>Para estimar los recursos de ADEFAS, se atendió lo previsto en el artículo 12 de la</w:t>
      </w:r>
      <w:r>
        <w:rPr>
          <w:rFonts w:ascii="Arial" w:hAnsi="Arial" w:cs="Arial"/>
          <w:sz w:val="24"/>
        </w:rPr>
        <w:t xml:space="preserve"> </w:t>
      </w:r>
      <w:r w:rsidRPr="00DF5BD5">
        <w:rPr>
          <w:rFonts w:ascii="Arial" w:hAnsi="Arial" w:cs="Arial"/>
          <w:sz w:val="24"/>
        </w:rPr>
        <w:t xml:space="preserve">Ley de Disciplina Financiera de las Entidades Federativas y los Municipios, que señala: </w:t>
      </w:r>
      <w:r w:rsidRPr="00DF5BD5">
        <w:rPr>
          <w:rFonts w:ascii="Arial" w:hAnsi="Arial" w:cs="Arial"/>
          <w:i/>
          <w:sz w:val="24"/>
        </w:rPr>
        <w:t>“Artículo 12 Los recursos para cubrir adeudos del ejercicio fiscal anterior, previstos en el proyecto de Presupuesto de Egresos, podrán ser hasta por el 2 por ciento de los Ingresos totales de la respectiva Entidad Federativa.”</w:t>
      </w:r>
    </w:p>
    <w:p w14:paraId="6431C71D" w14:textId="77777777" w:rsidR="00B076A2" w:rsidRDefault="00B076A2" w:rsidP="00B076A2">
      <w:pPr>
        <w:spacing w:after="0" w:line="240" w:lineRule="auto"/>
        <w:jc w:val="both"/>
        <w:rPr>
          <w:rFonts w:ascii="Arial" w:hAnsi="Arial" w:cs="Arial"/>
          <w:sz w:val="24"/>
        </w:rPr>
      </w:pPr>
    </w:p>
    <w:p w14:paraId="64B09E6A" w14:textId="77777777" w:rsidR="00B076A2" w:rsidRDefault="00B076A2" w:rsidP="00B076A2">
      <w:pPr>
        <w:spacing w:after="0" w:line="240" w:lineRule="auto"/>
        <w:jc w:val="both"/>
        <w:rPr>
          <w:rFonts w:ascii="Arial" w:hAnsi="Arial" w:cs="Arial"/>
          <w:sz w:val="24"/>
        </w:rPr>
      </w:pPr>
      <w:r w:rsidRPr="00C127F2">
        <w:rPr>
          <w:rFonts w:ascii="Arial" w:hAnsi="Arial" w:cs="Arial"/>
          <w:sz w:val="24"/>
        </w:rPr>
        <w:t>En esa tesitura, para 2021 el porcentaje de las ADEFAS presupuestadas representan el 0.10 por ciento de los ingresos totales, monto significativamente inferior al 2 por ciento máximo permitidos por la precitada Ley, como se muestra en el siguiente cuadro:</w:t>
      </w:r>
      <w:r w:rsidRPr="00945152">
        <w:rPr>
          <w:rFonts w:ascii="Arial" w:hAnsi="Arial" w:cs="Arial"/>
          <w:sz w:val="24"/>
        </w:rPr>
        <w:cr/>
      </w:r>
    </w:p>
    <w:p w14:paraId="66BA4483" w14:textId="77777777" w:rsidR="00B076A2" w:rsidRDefault="00B076A2" w:rsidP="00B076A2">
      <w:pPr>
        <w:spacing w:after="0" w:line="240" w:lineRule="auto"/>
        <w:jc w:val="both"/>
        <w:rPr>
          <w:rFonts w:ascii="Arial" w:hAnsi="Arial" w:cs="Arial"/>
          <w:sz w:val="24"/>
        </w:rPr>
      </w:pPr>
      <w:r w:rsidRPr="00CA659B">
        <w:rPr>
          <w:noProof/>
        </w:rPr>
        <w:drawing>
          <wp:inline distT="0" distB="0" distL="0" distR="0" wp14:anchorId="5BA96E80" wp14:editId="0E011353">
            <wp:extent cx="5400040" cy="3136991"/>
            <wp:effectExtent l="0" t="0" r="0" b="635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00040" cy="3136991"/>
                    </a:xfrm>
                    <a:prstGeom prst="rect">
                      <a:avLst/>
                    </a:prstGeom>
                    <a:noFill/>
                    <a:ln>
                      <a:noFill/>
                    </a:ln>
                  </pic:spPr>
                </pic:pic>
              </a:graphicData>
            </a:graphic>
          </wp:inline>
        </w:drawing>
      </w:r>
    </w:p>
    <w:p w14:paraId="12E34709" w14:textId="77777777" w:rsidR="00B076A2" w:rsidRDefault="00B076A2" w:rsidP="00B076A2">
      <w:pPr>
        <w:spacing w:after="0" w:line="240" w:lineRule="auto"/>
        <w:jc w:val="both"/>
        <w:rPr>
          <w:rFonts w:ascii="Arial" w:hAnsi="Arial" w:cs="Arial"/>
          <w:sz w:val="24"/>
        </w:rPr>
      </w:pPr>
    </w:p>
    <w:p w14:paraId="3428D7E5" w14:textId="77777777" w:rsidR="00B076A2" w:rsidRDefault="00B076A2" w:rsidP="00B076A2">
      <w:pPr>
        <w:spacing w:after="0" w:line="240" w:lineRule="auto"/>
        <w:jc w:val="both"/>
        <w:rPr>
          <w:rFonts w:ascii="Arial" w:hAnsi="Arial" w:cs="Arial"/>
          <w:sz w:val="24"/>
        </w:rPr>
      </w:pPr>
      <w:r>
        <w:rPr>
          <w:rFonts w:ascii="Arial" w:hAnsi="Arial" w:cs="Arial"/>
          <w:sz w:val="24"/>
        </w:rPr>
        <w:t>Por todo lo anteriormente expuesto y fundado, someto a la consideración de esta Honorable Asamblea, la siguiente Iniciativa con Proyecto de:</w:t>
      </w:r>
    </w:p>
    <w:p w14:paraId="24230EAB" w14:textId="77777777" w:rsidR="00466B28" w:rsidRDefault="00466B28" w:rsidP="000F15DD">
      <w:pPr>
        <w:spacing w:after="0" w:line="240" w:lineRule="auto"/>
        <w:jc w:val="both"/>
        <w:rPr>
          <w:rFonts w:ascii="Arial" w:hAnsi="Arial" w:cs="Arial"/>
          <w:sz w:val="24"/>
        </w:rPr>
      </w:pPr>
    </w:p>
    <w:sectPr w:rsidR="00466B28" w:rsidSect="002A1177">
      <w:headerReference w:type="default" r:id="rId30"/>
      <w:footerReference w:type="default" r:id="rId31"/>
      <w:pgSz w:w="11906" w:h="16838"/>
      <w:pgMar w:top="3260" w:right="1701" w:bottom="226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53E57E" w14:textId="77777777" w:rsidR="009C36D1" w:rsidRDefault="009C36D1" w:rsidP="00E752F0">
      <w:pPr>
        <w:spacing w:after="0" w:line="240" w:lineRule="auto"/>
      </w:pPr>
      <w:r>
        <w:separator/>
      </w:r>
    </w:p>
  </w:endnote>
  <w:endnote w:type="continuationSeparator" w:id="0">
    <w:p w14:paraId="6610A8C4" w14:textId="77777777" w:rsidR="009C36D1" w:rsidRDefault="009C36D1" w:rsidP="00E75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8155727"/>
      <w:docPartObj>
        <w:docPartGallery w:val="Page Numbers (Bottom of Page)"/>
        <w:docPartUnique/>
      </w:docPartObj>
    </w:sdtPr>
    <w:sdtEndPr/>
    <w:sdtContent>
      <w:p w14:paraId="2876010A" w14:textId="4028F959" w:rsidR="000D65E8" w:rsidRPr="0002721F" w:rsidRDefault="000D65E8" w:rsidP="00BA31D9">
        <w:pPr>
          <w:pStyle w:val="Piedepgina"/>
          <w:jc w:val="center"/>
          <w:rPr>
            <w:rFonts w:ascii="Arial" w:hAnsi="Arial" w:cs="Arial"/>
            <w:i/>
          </w:rPr>
        </w:pPr>
        <w:r w:rsidRPr="00451045">
          <w:rPr>
            <w:rFonts w:ascii="Arial" w:hAnsi="Arial" w:cs="Arial"/>
            <w:i/>
          </w:rPr>
          <w:t xml:space="preserve">“2020, </w:t>
        </w:r>
        <w:r w:rsidR="00451045" w:rsidRPr="00451045">
          <w:rPr>
            <w:rFonts w:ascii="Arial" w:hAnsi="Arial" w:cs="Arial"/>
            <w:i/>
          </w:rPr>
          <w:t>ochenta a</w:t>
        </w:r>
        <w:r w:rsidRPr="00451045">
          <w:rPr>
            <w:rFonts w:ascii="Arial" w:hAnsi="Arial" w:cs="Arial"/>
            <w:i/>
          </w:rPr>
          <w:t>niversario de la Universidad de Colima”</w:t>
        </w:r>
      </w:p>
      <w:p w14:paraId="5212B3D9" w14:textId="77777777" w:rsidR="000D65E8" w:rsidRDefault="000D65E8" w:rsidP="00BA31D9">
        <w:pPr>
          <w:pStyle w:val="Piedepgina"/>
          <w:jc w:val="center"/>
        </w:pPr>
        <w:r>
          <w:tab/>
        </w:r>
        <w:r>
          <w:tab/>
        </w:r>
        <w:r w:rsidRPr="006C6311">
          <w:rPr>
            <w:rFonts w:ascii="Arial" w:hAnsi="Arial" w:cs="Arial"/>
            <w:sz w:val="24"/>
          </w:rPr>
          <w:fldChar w:fldCharType="begin"/>
        </w:r>
        <w:r w:rsidRPr="006C6311">
          <w:rPr>
            <w:rFonts w:ascii="Arial" w:hAnsi="Arial" w:cs="Arial"/>
            <w:sz w:val="24"/>
          </w:rPr>
          <w:instrText>PAGE   \* MERGEFORMAT</w:instrText>
        </w:r>
        <w:r w:rsidRPr="006C6311">
          <w:rPr>
            <w:rFonts w:ascii="Arial" w:hAnsi="Arial" w:cs="Arial"/>
            <w:sz w:val="24"/>
          </w:rPr>
          <w:fldChar w:fldCharType="separate"/>
        </w:r>
        <w:r w:rsidR="00F7048F" w:rsidRPr="00F7048F">
          <w:rPr>
            <w:rFonts w:ascii="Arial" w:hAnsi="Arial" w:cs="Arial"/>
            <w:noProof/>
            <w:sz w:val="24"/>
            <w:lang w:val="es-ES"/>
          </w:rPr>
          <w:t>107</w:t>
        </w:r>
        <w:r w:rsidRPr="006C6311">
          <w:rPr>
            <w:rFonts w:ascii="Arial" w:hAnsi="Arial" w:cs="Arial"/>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40728" w14:textId="77777777" w:rsidR="009C36D1" w:rsidRDefault="009C36D1" w:rsidP="00E752F0">
      <w:pPr>
        <w:spacing w:after="0" w:line="240" w:lineRule="auto"/>
      </w:pPr>
      <w:r>
        <w:separator/>
      </w:r>
    </w:p>
  </w:footnote>
  <w:footnote w:type="continuationSeparator" w:id="0">
    <w:p w14:paraId="4A70030F" w14:textId="77777777" w:rsidR="009C36D1" w:rsidRDefault="009C36D1" w:rsidP="00E752F0">
      <w:pPr>
        <w:spacing w:after="0" w:line="240" w:lineRule="auto"/>
      </w:pPr>
      <w:r>
        <w:continuationSeparator/>
      </w:r>
    </w:p>
  </w:footnote>
  <w:footnote w:id="1">
    <w:p w14:paraId="17A4553D" w14:textId="2D56D858" w:rsidR="000D65E8" w:rsidRPr="00BA2E73" w:rsidRDefault="000D65E8">
      <w:pPr>
        <w:pStyle w:val="Textonotapie"/>
        <w:rPr>
          <w:rFonts w:ascii="Arial" w:hAnsi="Arial" w:cs="Arial"/>
        </w:rPr>
      </w:pPr>
      <w:r w:rsidRPr="00BA2E73">
        <w:rPr>
          <w:rStyle w:val="Refdenotaalpie"/>
          <w:rFonts w:ascii="Arial" w:hAnsi="Arial" w:cs="Arial"/>
          <w:sz w:val="18"/>
        </w:rPr>
        <w:footnoteRef/>
      </w:r>
      <w:r w:rsidRPr="00BA2E73">
        <w:rPr>
          <w:rFonts w:ascii="Arial" w:hAnsi="Arial" w:cs="Arial"/>
          <w:sz w:val="18"/>
        </w:rPr>
        <w:t xml:space="preserve"> Cifras Corrientes</w:t>
      </w:r>
    </w:p>
  </w:footnote>
  <w:footnote w:id="2">
    <w:p w14:paraId="6C4423D3" w14:textId="230281AC" w:rsidR="000D65E8" w:rsidRPr="00BA2E73" w:rsidRDefault="000D65E8">
      <w:pPr>
        <w:pStyle w:val="Textonotapie"/>
        <w:rPr>
          <w:rFonts w:ascii="Arial" w:hAnsi="Arial" w:cs="Arial"/>
        </w:rPr>
      </w:pPr>
      <w:r w:rsidRPr="00BA2E73">
        <w:rPr>
          <w:rStyle w:val="Refdenotaalpie"/>
          <w:rFonts w:ascii="Arial" w:hAnsi="Arial" w:cs="Arial"/>
          <w:sz w:val="18"/>
        </w:rPr>
        <w:footnoteRef/>
      </w:r>
      <w:r w:rsidRPr="00BA2E73">
        <w:rPr>
          <w:rFonts w:ascii="Arial" w:hAnsi="Arial" w:cs="Arial"/>
          <w:sz w:val="18"/>
        </w:rPr>
        <w:t xml:space="preserve"> Cifras Desestacionalizadas.</w:t>
      </w:r>
    </w:p>
  </w:footnote>
  <w:footnote w:id="3">
    <w:p w14:paraId="071FD484" w14:textId="60940CE4" w:rsidR="000D65E8" w:rsidRPr="00BA2E73" w:rsidRDefault="000D65E8">
      <w:pPr>
        <w:pStyle w:val="Textonotapie"/>
        <w:rPr>
          <w:rFonts w:ascii="Arial" w:hAnsi="Arial" w:cs="Arial"/>
        </w:rPr>
      </w:pPr>
      <w:r w:rsidRPr="00BA2E73">
        <w:rPr>
          <w:rStyle w:val="Refdenotaalpie"/>
          <w:rFonts w:ascii="Arial" w:hAnsi="Arial" w:cs="Arial"/>
          <w:sz w:val="18"/>
        </w:rPr>
        <w:footnoteRef/>
      </w:r>
      <w:r w:rsidRPr="00BA2E73">
        <w:rPr>
          <w:rFonts w:ascii="Arial" w:hAnsi="Arial" w:cs="Arial"/>
          <w:sz w:val="18"/>
        </w:rPr>
        <w:t xml:space="preserve"> Cifras constantes</w:t>
      </w:r>
    </w:p>
  </w:footnote>
  <w:footnote w:id="4">
    <w:p w14:paraId="5A4EFD11" w14:textId="77777777" w:rsidR="00B076A2" w:rsidRPr="00D02772" w:rsidRDefault="00B076A2" w:rsidP="00B076A2">
      <w:pPr>
        <w:pStyle w:val="Textonotapie"/>
        <w:rPr>
          <w:rFonts w:ascii="Arial" w:hAnsi="Arial" w:cs="Arial"/>
        </w:rPr>
      </w:pPr>
      <w:r>
        <w:rPr>
          <w:rStyle w:val="Refdenotaalpie"/>
        </w:rPr>
        <w:footnoteRef/>
      </w:r>
      <w:r>
        <w:t xml:space="preserve"> </w:t>
      </w:r>
      <w:r w:rsidRPr="00BB3463">
        <w:rPr>
          <w:rFonts w:ascii="Arial" w:hAnsi="Arial" w:cs="Arial"/>
          <w:sz w:val="18"/>
        </w:rPr>
        <w:t>Gestión para Resultados en el Desarrollo en Gobiernos Subnacionales, BID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4EF46" w14:textId="77777777" w:rsidR="000D65E8" w:rsidRDefault="000D65E8" w:rsidP="00D96528">
    <w:pPr>
      <w:pStyle w:val="Encabezado"/>
    </w:pPr>
    <w:r>
      <w:rPr>
        <w:noProof/>
      </w:rPr>
      <w:drawing>
        <wp:anchor distT="0" distB="0" distL="114300" distR="114300" simplePos="0" relativeHeight="251659264" behindDoc="0" locked="0" layoutInCell="1" allowOverlap="1" wp14:anchorId="2D655CDE" wp14:editId="24A88492">
          <wp:simplePos x="0" y="0"/>
          <wp:positionH relativeFrom="column">
            <wp:posOffset>-457200</wp:posOffset>
          </wp:positionH>
          <wp:positionV relativeFrom="paragraph">
            <wp:posOffset>-448310</wp:posOffset>
          </wp:positionV>
          <wp:extent cx="2076450" cy="2076450"/>
          <wp:effectExtent l="0" t="0" r="0" b="0"/>
          <wp:wrapNone/>
          <wp:docPr id="14" name="Imagen 14" descr="\\RECEPCION\Users\Public\Scan.jpg"/>
          <wp:cNvGraphicFramePr/>
          <a:graphic xmlns:a="http://schemas.openxmlformats.org/drawingml/2006/main">
            <a:graphicData uri="http://schemas.openxmlformats.org/drawingml/2006/picture">
              <pic:pic xmlns:pic="http://schemas.openxmlformats.org/drawingml/2006/picture">
                <pic:nvPicPr>
                  <pic:cNvPr id="2" name="Imagen 1" descr="\\RECEPCION\Users\Public\Scan.jpg"/>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2076450" cy="20764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249E"/>
    <w:multiLevelType w:val="multilevel"/>
    <w:tmpl w:val="6AAA7F12"/>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EE3D8B"/>
    <w:multiLevelType w:val="hybridMultilevel"/>
    <w:tmpl w:val="93D6F2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97133B"/>
    <w:multiLevelType w:val="hybridMultilevel"/>
    <w:tmpl w:val="C5D4FBCA"/>
    <w:lvl w:ilvl="0" w:tplc="725A55E0">
      <w:start w:val="1"/>
      <w:numFmt w:val="lowerRoman"/>
      <w:lvlText w:val="%1)"/>
      <w:lvlJc w:val="left"/>
      <w:pPr>
        <w:ind w:left="2235" w:hanging="720"/>
      </w:pPr>
      <w:rPr>
        <w:rFonts w:hint="default"/>
      </w:rPr>
    </w:lvl>
    <w:lvl w:ilvl="1" w:tplc="080A0019" w:tentative="1">
      <w:start w:val="1"/>
      <w:numFmt w:val="lowerLetter"/>
      <w:lvlText w:val="%2."/>
      <w:lvlJc w:val="left"/>
      <w:pPr>
        <w:ind w:left="2595" w:hanging="360"/>
      </w:pPr>
    </w:lvl>
    <w:lvl w:ilvl="2" w:tplc="080A001B" w:tentative="1">
      <w:start w:val="1"/>
      <w:numFmt w:val="lowerRoman"/>
      <w:lvlText w:val="%3."/>
      <w:lvlJc w:val="right"/>
      <w:pPr>
        <w:ind w:left="3315" w:hanging="180"/>
      </w:pPr>
    </w:lvl>
    <w:lvl w:ilvl="3" w:tplc="080A000F" w:tentative="1">
      <w:start w:val="1"/>
      <w:numFmt w:val="decimal"/>
      <w:lvlText w:val="%4."/>
      <w:lvlJc w:val="left"/>
      <w:pPr>
        <w:ind w:left="4035" w:hanging="360"/>
      </w:pPr>
    </w:lvl>
    <w:lvl w:ilvl="4" w:tplc="080A0019" w:tentative="1">
      <w:start w:val="1"/>
      <w:numFmt w:val="lowerLetter"/>
      <w:lvlText w:val="%5."/>
      <w:lvlJc w:val="left"/>
      <w:pPr>
        <w:ind w:left="4755" w:hanging="360"/>
      </w:pPr>
    </w:lvl>
    <w:lvl w:ilvl="5" w:tplc="080A001B" w:tentative="1">
      <w:start w:val="1"/>
      <w:numFmt w:val="lowerRoman"/>
      <w:lvlText w:val="%6."/>
      <w:lvlJc w:val="right"/>
      <w:pPr>
        <w:ind w:left="5475" w:hanging="180"/>
      </w:pPr>
    </w:lvl>
    <w:lvl w:ilvl="6" w:tplc="080A000F" w:tentative="1">
      <w:start w:val="1"/>
      <w:numFmt w:val="decimal"/>
      <w:lvlText w:val="%7."/>
      <w:lvlJc w:val="left"/>
      <w:pPr>
        <w:ind w:left="6195" w:hanging="360"/>
      </w:pPr>
    </w:lvl>
    <w:lvl w:ilvl="7" w:tplc="080A0019" w:tentative="1">
      <w:start w:val="1"/>
      <w:numFmt w:val="lowerLetter"/>
      <w:lvlText w:val="%8."/>
      <w:lvlJc w:val="left"/>
      <w:pPr>
        <w:ind w:left="6915" w:hanging="360"/>
      </w:pPr>
    </w:lvl>
    <w:lvl w:ilvl="8" w:tplc="080A001B" w:tentative="1">
      <w:start w:val="1"/>
      <w:numFmt w:val="lowerRoman"/>
      <w:lvlText w:val="%9."/>
      <w:lvlJc w:val="right"/>
      <w:pPr>
        <w:ind w:left="7635" w:hanging="180"/>
      </w:pPr>
    </w:lvl>
  </w:abstractNum>
  <w:abstractNum w:abstractNumId="3" w15:restartNumberingAfterBreak="0">
    <w:nsid w:val="08293516"/>
    <w:multiLevelType w:val="hybridMultilevel"/>
    <w:tmpl w:val="0D56DCB0"/>
    <w:lvl w:ilvl="0" w:tplc="56BCBC46">
      <w:start w:val="1"/>
      <w:numFmt w:val="decimal"/>
      <w:lvlText w:val="%1."/>
      <w:lvlJc w:val="left"/>
      <w:pPr>
        <w:ind w:left="1095" w:hanging="360"/>
      </w:pPr>
      <w:rPr>
        <w:rFonts w:hint="default"/>
      </w:rPr>
    </w:lvl>
    <w:lvl w:ilvl="1" w:tplc="080A0019" w:tentative="1">
      <w:start w:val="1"/>
      <w:numFmt w:val="lowerLetter"/>
      <w:lvlText w:val="%2."/>
      <w:lvlJc w:val="left"/>
      <w:pPr>
        <w:ind w:left="1815" w:hanging="360"/>
      </w:pPr>
    </w:lvl>
    <w:lvl w:ilvl="2" w:tplc="080A001B" w:tentative="1">
      <w:start w:val="1"/>
      <w:numFmt w:val="lowerRoman"/>
      <w:lvlText w:val="%3."/>
      <w:lvlJc w:val="right"/>
      <w:pPr>
        <w:ind w:left="2535" w:hanging="180"/>
      </w:pPr>
    </w:lvl>
    <w:lvl w:ilvl="3" w:tplc="080A000F" w:tentative="1">
      <w:start w:val="1"/>
      <w:numFmt w:val="decimal"/>
      <w:lvlText w:val="%4."/>
      <w:lvlJc w:val="left"/>
      <w:pPr>
        <w:ind w:left="3255" w:hanging="360"/>
      </w:pPr>
    </w:lvl>
    <w:lvl w:ilvl="4" w:tplc="080A0019" w:tentative="1">
      <w:start w:val="1"/>
      <w:numFmt w:val="lowerLetter"/>
      <w:lvlText w:val="%5."/>
      <w:lvlJc w:val="left"/>
      <w:pPr>
        <w:ind w:left="3975" w:hanging="360"/>
      </w:pPr>
    </w:lvl>
    <w:lvl w:ilvl="5" w:tplc="080A001B" w:tentative="1">
      <w:start w:val="1"/>
      <w:numFmt w:val="lowerRoman"/>
      <w:lvlText w:val="%6."/>
      <w:lvlJc w:val="right"/>
      <w:pPr>
        <w:ind w:left="4695" w:hanging="180"/>
      </w:pPr>
    </w:lvl>
    <w:lvl w:ilvl="6" w:tplc="080A000F" w:tentative="1">
      <w:start w:val="1"/>
      <w:numFmt w:val="decimal"/>
      <w:lvlText w:val="%7."/>
      <w:lvlJc w:val="left"/>
      <w:pPr>
        <w:ind w:left="5415" w:hanging="360"/>
      </w:pPr>
    </w:lvl>
    <w:lvl w:ilvl="7" w:tplc="080A0019" w:tentative="1">
      <w:start w:val="1"/>
      <w:numFmt w:val="lowerLetter"/>
      <w:lvlText w:val="%8."/>
      <w:lvlJc w:val="left"/>
      <w:pPr>
        <w:ind w:left="6135" w:hanging="360"/>
      </w:pPr>
    </w:lvl>
    <w:lvl w:ilvl="8" w:tplc="080A001B" w:tentative="1">
      <w:start w:val="1"/>
      <w:numFmt w:val="lowerRoman"/>
      <w:lvlText w:val="%9."/>
      <w:lvlJc w:val="right"/>
      <w:pPr>
        <w:ind w:left="6855" w:hanging="180"/>
      </w:pPr>
    </w:lvl>
  </w:abstractNum>
  <w:abstractNum w:abstractNumId="4" w15:restartNumberingAfterBreak="0">
    <w:nsid w:val="0FB70989"/>
    <w:multiLevelType w:val="hybridMultilevel"/>
    <w:tmpl w:val="62B2C5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8BB616A"/>
    <w:multiLevelType w:val="hybridMultilevel"/>
    <w:tmpl w:val="B42C74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9479AC"/>
    <w:multiLevelType w:val="hybridMultilevel"/>
    <w:tmpl w:val="0D56DCB0"/>
    <w:lvl w:ilvl="0" w:tplc="56BCBC46">
      <w:start w:val="1"/>
      <w:numFmt w:val="decimal"/>
      <w:lvlText w:val="%1."/>
      <w:lvlJc w:val="left"/>
      <w:pPr>
        <w:ind w:left="1095" w:hanging="360"/>
      </w:pPr>
      <w:rPr>
        <w:rFonts w:hint="default"/>
      </w:rPr>
    </w:lvl>
    <w:lvl w:ilvl="1" w:tplc="080A0019" w:tentative="1">
      <w:start w:val="1"/>
      <w:numFmt w:val="lowerLetter"/>
      <w:lvlText w:val="%2."/>
      <w:lvlJc w:val="left"/>
      <w:pPr>
        <w:ind w:left="1815" w:hanging="360"/>
      </w:pPr>
    </w:lvl>
    <w:lvl w:ilvl="2" w:tplc="080A001B" w:tentative="1">
      <w:start w:val="1"/>
      <w:numFmt w:val="lowerRoman"/>
      <w:lvlText w:val="%3."/>
      <w:lvlJc w:val="right"/>
      <w:pPr>
        <w:ind w:left="2535" w:hanging="180"/>
      </w:pPr>
    </w:lvl>
    <w:lvl w:ilvl="3" w:tplc="080A000F" w:tentative="1">
      <w:start w:val="1"/>
      <w:numFmt w:val="decimal"/>
      <w:lvlText w:val="%4."/>
      <w:lvlJc w:val="left"/>
      <w:pPr>
        <w:ind w:left="3255" w:hanging="360"/>
      </w:pPr>
    </w:lvl>
    <w:lvl w:ilvl="4" w:tplc="080A0019" w:tentative="1">
      <w:start w:val="1"/>
      <w:numFmt w:val="lowerLetter"/>
      <w:lvlText w:val="%5."/>
      <w:lvlJc w:val="left"/>
      <w:pPr>
        <w:ind w:left="3975" w:hanging="360"/>
      </w:pPr>
    </w:lvl>
    <w:lvl w:ilvl="5" w:tplc="080A001B" w:tentative="1">
      <w:start w:val="1"/>
      <w:numFmt w:val="lowerRoman"/>
      <w:lvlText w:val="%6."/>
      <w:lvlJc w:val="right"/>
      <w:pPr>
        <w:ind w:left="4695" w:hanging="180"/>
      </w:pPr>
    </w:lvl>
    <w:lvl w:ilvl="6" w:tplc="080A000F" w:tentative="1">
      <w:start w:val="1"/>
      <w:numFmt w:val="decimal"/>
      <w:lvlText w:val="%7."/>
      <w:lvlJc w:val="left"/>
      <w:pPr>
        <w:ind w:left="5415" w:hanging="360"/>
      </w:pPr>
    </w:lvl>
    <w:lvl w:ilvl="7" w:tplc="080A0019" w:tentative="1">
      <w:start w:val="1"/>
      <w:numFmt w:val="lowerLetter"/>
      <w:lvlText w:val="%8."/>
      <w:lvlJc w:val="left"/>
      <w:pPr>
        <w:ind w:left="6135" w:hanging="360"/>
      </w:pPr>
    </w:lvl>
    <w:lvl w:ilvl="8" w:tplc="080A001B" w:tentative="1">
      <w:start w:val="1"/>
      <w:numFmt w:val="lowerRoman"/>
      <w:lvlText w:val="%9."/>
      <w:lvlJc w:val="right"/>
      <w:pPr>
        <w:ind w:left="6855" w:hanging="180"/>
      </w:pPr>
    </w:lvl>
  </w:abstractNum>
  <w:abstractNum w:abstractNumId="7" w15:restartNumberingAfterBreak="0">
    <w:nsid w:val="1B3911F3"/>
    <w:multiLevelType w:val="hybridMultilevel"/>
    <w:tmpl w:val="D26E82A0"/>
    <w:lvl w:ilvl="0" w:tplc="4E2ECFC8">
      <w:start w:val="1"/>
      <w:numFmt w:val="upperLetter"/>
      <w:lvlText w:val="%1."/>
      <w:lvlJc w:val="left"/>
      <w:pPr>
        <w:ind w:left="1155" w:hanging="360"/>
      </w:pPr>
      <w:rPr>
        <w:rFonts w:hint="default"/>
      </w:rPr>
    </w:lvl>
    <w:lvl w:ilvl="1" w:tplc="080A0019" w:tentative="1">
      <w:start w:val="1"/>
      <w:numFmt w:val="lowerLetter"/>
      <w:lvlText w:val="%2."/>
      <w:lvlJc w:val="left"/>
      <w:pPr>
        <w:ind w:left="1875" w:hanging="360"/>
      </w:pPr>
    </w:lvl>
    <w:lvl w:ilvl="2" w:tplc="080A001B" w:tentative="1">
      <w:start w:val="1"/>
      <w:numFmt w:val="lowerRoman"/>
      <w:lvlText w:val="%3."/>
      <w:lvlJc w:val="right"/>
      <w:pPr>
        <w:ind w:left="2595" w:hanging="180"/>
      </w:pPr>
    </w:lvl>
    <w:lvl w:ilvl="3" w:tplc="080A000F" w:tentative="1">
      <w:start w:val="1"/>
      <w:numFmt w:val="decimal"/>
      <w:lvlText w:val="%4."/>
      <w:lvlJc w:val="left"/>
      <w:pPr>
        <w:ind w:left="3315" w:hanging="360"/>
      </w:pPr>
    </w:lvl>
    <w:lvl w:ilvl="4" w:tplc="080A0019" w:tentative="1">
      <w:start w:val="1"/>
      <w:numFmt w:val="lowerLetter"/>
      <w:lvlText w:val="%5."/>
      <w:lvlJc w:val="left"/>
      <w:pPr>
        <w:ind w:left="4035" w:hanging="360"/>
      </w:pPr>
    </w:lvl>
    <w:lvl w:ilvl="5" w:tplc="080A001B" w:tentative="1">
      <w:start w:val="1"/>
      <w:numFmt w:val="lowerRoman"/>
      <w:lvlText w:val="%6."/>
      <w:lvlJc w:val="right"/>
      <w:pPr>
        <w:ind w:left="4755" w:hanging="180"/>
      </w:pPr>
    </w:lvl>
    <w:lvl w:ilvl="6" w:tplc="080A000F" w:tentative="1">
      <w:start w:val="1"/>
      <w:numFmt w:val="decimal"/>
      <w:lvlText w:val="%7."/>
      <w:lvlJc w:val="left"/>
      <w:pPr>
        <w:ind w:left="5475" w:hanging="360"/>
      </w:pPr>
    </w:lvl>
    <w:lvl w:ilvl="7" w:tplc="080A0019" w:tentative="1">
      <w:start w:val="1"/>
      <w:numFmt w:val="lowerLetter"/>
      <w:lvlText w:val="%8."/>
      <w:lvlJc w:val="left"/>
      <w:pPr>
        <w:ind w:left="6195" w:hanging="360"/>
      </w:pPr>
    </w:lvl>
    <w:lvl w:ilvl="8" w:tplc="080A001B" w:tentative="1">
      <w:start w:val="1"/>
      <w:numFmt w:val="lowerRoman"/>
      <w:lvlText w:val="%9."/>
      <w:lvlJc w:val="right"/>
      <w:pPr>
        <w:ind w:left="6915" w:hanging="180"/>
      </w:pPr>
    </w:lvl>
  </w:abstractNum>
  <w:abstractNum w:abstractNumId="8" w15:restartNumberingAfterBreak="0">
    <w:nsid w:val="21D92BBD"/>
    <w:multiLevelType w:val="hybridMultilevel"/>
    <w:tmpl w:val="3CDE6B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2664B23"/>
    <w:multiLevelType w:val="hybridMultilevel"/>
    <w:tmpl w:val="87C869E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63036DF"/>
    <w:multiLevelType w:val="hybridMultilevel"/>
    <w:tmpl w:val="86FC06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7517A88"/>
    <w:multiLevelType w:val="hybridMultilevel"/>
    <w:tmpl w:val="10AAB4AA"/>
    <w:lvl w:ilvl="0" w:tplc="0C0A000F">
      <w:start w:val="1"/>
      <w:numFmt w:val="decimal"/>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12" w15:restartNumberingAfterBreak="0">
    <w:nsid w:val="296123D2"/>
    <w:multiLevelType w:val="hybridMultilevel"/>
    <w:tmpl w:val="B714FD5E"/>
    <w:lvl w:ilvl="0" w:tplc="ADF06EDA">
      <w:start w:val="1"/>
      <w:numFmt w:val="bullet"/>
      <w:lvlText w:val="•"/>
      <w:lvlJc w:val="left"/>
      <w:pPr>
        <w:tabs>
          <w:tab w:val="num" w:pos="720"/>
        </w:tabs>
        <w:ind w:left="720" w:hanging="360"/>
      </w:pPr>
      <w:rPr>
        <w:rFonts w:ascii="Times New Roman" w:hAnsi="Times New Roman" w:hint="default"/>
      </w:rPr>
    </w:lvl>
    <w:lvl w:ilvl="1" w:tplc="2A8EE778" w:tentative="1">
      <w:start w:val="1"/>
      <w:numFmt w:val="bullet"/>
      <w:lvlText w:val="•"/>
      <w:lvlJc w:val="left"/>
      <w:pPr>
        <w:tabs>
          <w:tab w:val="num" w:pos="1440"/>
        </w:tabs>
        <w:ind w:left="1440" w:hanging="360"/>
      </w:pPr>
      <w:rPr>
        <w:rFonts w:ascii="Times New Roman" w:hAnsi="Times New Roman" w:hint="default"/>
      </w:rPr>
    </w:lvl>
    <w:lvl w:ilvl="2" w:tplc="6292D93E" w:tentative="1">
      <w:start w:val="1"/>
      <w:numFmt w:val="bullet"/>
      <w:lvlText w:val="•"/>
      <w:lvlJc w:val="left"/>
      <w:pPr>
        <w:tabs>
          <w:tab w:val="num" w:pos="2160"/>
        </w:tabs>
        <w:ind w:left="2160" w:hanging="360"/>
      </w:pPr>
      <w:rPr>
        <w:rFonts w:ascii="Times New Roman" w:hAnsi="Times New Roman" w:hint="default"/>
      </w:rPr>
    </w:lvl>
    <w:lvl w:ilvl="3" w:tplc="B818E914" w:tentative="1">
      <w:start w:val="1"/>
      <w:numFmt w:val="bullet"/>
      <w:lvlText w:val="•"/>
      <w:lvlJc w:val="left"/>
      <w:pPr>
        <w:tabs>
          <w:tab w:val="num" w:pos="2880"/>
        </w:tabs>
        <w:ind w:left="2880" w:hanging="360"/>
      </w:pPr>
      <w:rPr>
        <w:rFonts w:ascii="Times New Roman" w:hAnsi="Times New Roman" w:hint="default"/>
      </w:rPr>
    </w:lvl>
    <w:lvl w:ilvl="4" w:tplc="3E523B70" w:tentative="1">
      <w:start w:val="1"/>
      <w:numFmt w:val="bullet"/>
      <w:lvlText w:val="•"/>
      <w:lvlJc w:val="left"/>
      <w:pPr>
        <w:tabs>
          <w:tab w:val="num" w:pos="3600"/>
        </w:tabs>
        <w:ind w:left="3600" w:hanging="360"/>
      </w:pPr>
      <w:rPr>
        <w:rFonts w:ascii="Times New Roman" w:hAnsi="Times New Roman" w:hint="default"/>
      </w:rPr>
    </w:lvl>
    <w:lvl w:ilvl="5" w:tplc="C5FC09C2" w:tentative="1">
      <w:start w:val="1"/>
      <w:numFmt w:val="bullet"/>
      <w:lvlText w:val="•"/>
      <w:lvlJc w:val="left"/>
      <w:pPr>
        <w:tabs>
          <w:tab w:val="num" w:pos="4320"/>
        </w:tabs>
        <w:ind w:left="4320" w:hanging="360"/>
      </w:pPr>
      <w:rPr>
        <w:rFonts w:ascii="Times New Roman" w:hAnsi="Times New Roman" w:hint="default"/>
      </w:rPr>
    </w:lvl>
    <w:lvl w:ilvl="6" w:tplc="BCEE946A" w:tentative="1">
      <w:start w:val="1"/>
      <w:numFmt w:val="bullet"/>
      <w:lvlText w:val="•"/>
      <w:lvlJc w:val="left"/>
      <w:pPr>
        <w:tabs>
          <w:tab w:val="num" w:pos="5040"/>
        </w:tabs>
        <w:ind w:left="5040" w:hanging="360"/>
      </w:pPr>
      <w:rPr>
        <w:rFonts w:ascii="Times New Roman" w:hAnsi="Times New Roman" w:hint="default"/>
      </w:rPr>
    </w:lvl>
    <w:lvl w:ilvl="7" w:tplc="478C4CA0" w:tentative="1">
      <w:start w:val="1"/>
      <w:numFmt w:val="bullet"/>
      <w:lvlText w:val="•"/>
      <w:lvlJc w:val="left"/>
      <w:pPr>
        <w:tabs>
          <w:tab w:val="num" w:pos="5760"/>
        </w:tabs>
        <w:ind w:left="5760" w:hanging="360"/>
      </w:pPr>
      <w:rPr>
        <w:rFonts w:ascii="Times New Roman" w:hAnsi="Times New Roman" w:hint="default"/>
      </w:rPr>
    </w:lvl>
    <w:lvl w:ilvl="8" w:tplc="F288D5D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DBF3474"/>
    <w:multiLevelType w:val="hybridMultilevel"/>
    <w:tmpl w:val="D25836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29300A3"/>
    <w:multiLevelType w:val="hybridMultilevel"/>
    <w:tmpl w:val="6A6AD37E"/>
    <w:lvl w:ilvl="0" w:tplc="D29AD5F4">
      <w:start w:val="1"/>
      <w:numFmt w:val="lowerRoman"/>
      <w:lvlText w:val="%1)"/>
      <w:lvlJc w:val="left"/>
      <w:pPr>
        <w:ind w:left="2250" w:hanging="720"/>
      </w:pPr>
      <w:rPr>
        <w:rFonts w:hint="default"/>
      </w:rPr>
    </w:lvl>
    <w:lvl w:ilvl="1" w:tplc="080A0019" w:tentative="1">
      <w:start w:val="1"/>
      <w:numFmt w:val="lowerLetter"/>
      <w:lvlText w:val="%2."/>
      <w:lvlJc w:val="left"/>
      <w:pPr>
        <w:ind w:left="2610" w:hanging="360"/>
      </w:pPr>
    </w:lvl>
    <w:lvl w:ilvl="2" w:tplc="080A001B" w:tentative="1">
      <w:start w:val="1"/>
      <w:numFmt w:val="lowerRoman"/>
      <w:lvlText w:val="%3."/>
      <w:lvlJc w:val="right"/>
      <w:pPr>
        <w:ind w:left="3330" w:hanging="180"/>
      </w:pPr>
    </w:lvl>
    <w:lvl w:ilvl="3" w:tplc="080A000F" w:tentative="1">
      <w:start w:val="1"/>
      <w:numFmt w:val="decimal"/>
      <w:lvlText w:val="%4."/>
      <w:lvlJc w:val="left"/>
      <w:pPr>
        <w:ind w:left="4050" w:hanging="360"/>
      </w:pPr>
    </w:lvl>
    <w:lvl w:ilvl="4" w:tplc="080A0019" w:tentative="1">
      <w:start w:val="1"/>
      <w:numFmt w:val="lowerLetter"/>
      <w:lvlText w:val="%5."/>
      <w:lvlJc w:val="left"/>
      <w:pPr>
        <w:ind w:left="4770" w:hanging="360"/>
      </w:pPr>
    </w:lvl>
    <w:lvl w:ilvl="5" w:tplc="080A001B" w:tentative="1">
      <w:start w:val="1"/>
      <w:numFmt w:val="lowerRoman"/>
      <w:lvlText w:val="%6."/>
      <w:lvlJc w:val="right"/>
      <w:pPr>
        <w:ind w:left="5490" w:hanging="180"/>
      </w:pPr>
    </w:lvl>
    <w:lvl w:ilvl="6" w:tplc="080A000F" w:tentative="1">
      <w:start w:val="1"/>
      <w:numFmt w:val="decimal"/>
      <w:lvlText w:val="%7."/>
      <w:lvlJc w:val="left"/>
      <w:pPr>
        <w:ind w:left="6210" w:hanging="360"/>
      </w:pPr>
    </w:lvl>
    <w:lvl w:ilvl="7" w:tplc="080A0019" w:tentative="1">
      <w:start w:val="1"/>
      <w:numFmt w:val="lowerLetter"/>
      <w:lvlText w:val="%8."/>
      <w:lvlJc w:val="left"/>
      <w:pPr>
        <w:ind w:left="6930" w:hanging="360"/>
      </w:pPr>
    </w:lvl>
    <w:lvl w:ilvl="8" w:tplc="080A001B" w:tentative="1">
      <w:start w:val="1"/>
      <w:numFmt w:val="lowerRoman"/>
      <w:lvlText w:val="%9."/>
      <w:lvlJc w:val="right"/>
      <w:pPr>
        <w:ind w:left="7650" w:hanging="180"/>
      </w:pPr>
    </w:lvl>
  </w:abstractNum>
  <w:abstractNum w:abstractNumId="15" w15:restartNumberingAfterBreak="0">
    <w:nsid w:val="33410DA6"/>
    <w:multiLevelType w:val="hybridMultilevel"/>
    <w:tmpl w:val="B04E20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56522DD"/>
    <w:multiLevelType w:val="hybridMultilevel"/>
    <w:tmpl w:val="77B83E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92C0707"/>
    <w:multiLevelType w:val="hybridMultilevel"/>
    <w:tmpl w:val="AAD41C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F39391A"/>
    <w:multiLevelType w:val="hybridMultilevel"/>
    <w:tmpl w:val="D85833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2AC0FFA"/>
    <w:multiLevelType w:val="hybridMultilevel"/>
    <w:tmpl w:val="DCE8450C"/>
    <w:lvl w:ilvl="0" w:tplc="E8E65C0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3207321"/>
    <w:multiLevelType w:val="hybridMultilevel"/>
    <w:tmpl w:val="281656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5562710"/>
    <w:multiLevelType w:val="hybridMultilevel"/>
    <w:tmpl w:val="38DE28B4"/>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2" w15:restartNumberingAfterBreak="0">
    <w:nsid w:val="47A01641"/>
    <w:multiLevelType w:val="hybridMultilevel"/>
    <w:tmpl w:val="0A8CE720"/>
    <w:lvl w:ilvl="0" w:tplc="867CC6E6">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86B753D"/>
    <w:multiLevelType w:val="hybridMultilevel"/>
    <w:tmpl w:val="FB4C28B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9D53AA1"/>
    <w:multiLevelType w:val="hybridMultilevel"/>
    <w:tmpl w:val="E93C31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D1B5394"/>
    <w:multiLevelType w:val="hybridMultilevel"/>
    <w:tmpl w:val="35BAA3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E5C537B"/>
    <w:multiLevelType w:val="hybridMultilevel"/>
    <w:tmpl w:val="CFEAC5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05923BE"/>
    <w:multiLevelType w:val="hybridMultilevel"/>
    <w:tmpl w:val="7D0A8CB0"/>
    <w:lvl w:ilvl="0" w:tplc="0C0A000F">
      <w:start w:val="1"/>
      <w:numFmt w:val="decimal"/>
      <w:lvlText w:val="%1."/>
      <w:lvlJc w:val="left"/>
      <w:pPr>
        <w:ind w:left="720" w:hanging="360"/>
      </w:pPr>
    </w:lvl>
    <w:lvl w:ilvl="1" w:tplc="A65ECC4E">
      <w:numFmt w:val="bullet"/>
      <w:lvlText w:val=""/>
      <w:lvlJc w:val="left"/>
      <w:pPr>
        <w:ind w:left="1440" w:hanging="360"/>
      </w:pPr>
      <w:rPr>
        <w:rFonts w:ascii="Arial" w:eastAsiaTheme="minorEastAsia"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20D79A7"/>
    <w:multiLevelType w:val="hybridMultilevel"/>
    <w:tmpl w:val="7A4658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30949D9"/>
    <w:multiLevelType w:val="hybridMultilevel"/>
    <w:tmpl w:val="C2548F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ED730E"/>
    <w:multiLevelType w:val="hybridMultilevel"/>
    <w:tmpl w:val="00F63BF2"/>
    <w:lvl w:ilvl="0" w:tplc="5008D904">
      <w:start w:val="1"/>
      <w:numFmt w:val="upperLetter"/>
      <w:lvlText w:val="%1."/>
      <w:lvlJc w:val="left"/>
      <w:pPr>
        <w:ind w:left="1155" w:hanging="360"/>
      </w:pPr>
      <w:rPr>
        <w:rFonts w:hint="default"/>
      </w:rPr>
    </w:lvl>
    <w:lvl w:ilvl="1" w:tplc="080A0019" w:tentative="1">
      <w:start w:val="1"/>
      <w:numFmt w:val="lowerLetter"/>
      <w:lvlText w:val="%2."/>
      <w:lvlJc w:val="left"/>
      <w:pPr>
        <w:ind w:left="1875" w:hanging="360"/>
      </w:pPr>
    </w:lvl>
    <w:lvl w:ilvl="2" w:tplc="080A001B" w:tentative="1">
      <w:start w:val="1"/>
      <w:numFmt w:val="lowerRoman"/>
      <w:lvlText w:val="%3."/>
      <w:lvlJc w:val="right"/>
      <w:pPr>
        <w:ind w:left="2595" w:hanging="180"/>
      </w:pPr>
    </w:lvl>
    <w:lvl w:ilvl="3" w:tplc="080A000F" w:tentative="1">
      <w:start w:val="1"/>
      <w:numFmt w:val="decimal"/>
      <w:lvlText w:val="%4."/>
      <w:lvlJc w:val="left"/>
      <w:pPr>
        <w:ind w:left="3315" w:hanging="360"/>
      </w:pPr>
    </w:lvl>
    <w:lvl w:ilvl="4" w:tplc="080A0019" w:tentative="1">
      <w:start w:val="1"/>
      <w:numFmt w:val="lowerLetter"/>
      <w:lvlText w:val="%5."/>
      <w:lvlJc w:val="left"/>
      <w:pPr>
        <w:ind w:left="4035" w:hanging="360"/>
      </w:pPr>
    </w:lvl>
    <w:lvl w:ilvl="5" w:tplc="080A001B" w:tentative="1">
      <w:start w:val="1"/>
      <w:numFmt w:val="lowerRoman"/>
      <w:lvlText w:val="%6."/>
      <w:lvlJc w:val="right"/>
      <w:pPr>
        <w:ind w:left="4755" w:hanging="180"/>
      </w:pPr>
    </w:lvl>
    <w:lvl w:ilvl="6" w:tplc="080A000F" w:tentative="1">
      <w:start w:val="1"/>
      <w:numFmt w:val="decimal"/>
      <w:lvlText w:val="%7."/>
      <w:lvlJc w:val="left"/>
      <w:pPr>
        <w:ind w:left="5475" w:hanging="360"/>
      </w:pPr>
    </w:lvl>
    <w:lvl w:ilvl="7" w:tplc="080A0019" w:tentative="1">
      <w:start w:val="1"/>
      <w:numFmt w:val="lowerLetter"/>
      <w:lvlText w:val="%8."/>
      <w:lvlJc w:val="left"/>
      <w:pPr>
        <w:ind w:left="6195" w:hanging="360"/>
      </w:pPr>
    </w:lvl>
    <w:lvl w:ilvl="8" w:tplc="080A001B" w:tentative="1">
      <w:start w:val="1"/>
      <w:numFmt w:val="lowerRoman"/>
      <w:lvlText w:val="%9."/>
      <w:lvlJc w:val="right"/>
      <w:pPr>
        <w:ind w:left="6915" w:hanging="180"/>
      </w:pPr>
    </w:lvl>
  </w:abstractNum>
  <w:abstractNum w:abstractNumId="31" w15:restartNumberingAfterBreak="0">
    <w:nsid w:val="5FB602AD"/>
    <w:multiLevelType w:val="hybridMultilevel"/>
    <w:tmpl w:val="A03803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1C75960"/>
    <w:multiLevelType w:val="hybridMultilevel"/>
    <w:tmpl w:val="FAF669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2D70B86"/>
    <w:multiLevelType w:val="hybridMultilevel"/>
    <w:tmpl w:val="903833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8426E42"/>
    <w:multiLevelType w:val="hybridMultilevel"/>
    <w:tmpl w:val="3EBE74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DDF5932"/>
    <w:multiLevelType w:val="hybridMultilevel"/>
    <w:tmpl w:val="1242F1E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F043099"/>
    <w:multiLevelType w:val="hybridMultilevel"/>
    <w:tmpl w:val="3C1C6AA4"/>
    <w:lvl w:ilvl="0" w:tplc="080A000F">
      <w:start w:val="1"/>
      <w:numFmt w:val="decimal"/>
      <w:lvlText w:val="%1."/>
      <w:lvlJc w:val="left"/>
      <w:pPr>
        <w:ind w:left="783" w:hanging="360"/>
      </w:pPr>
    </w:lvl>
    <w:lvl w:ilvl="1" w:tplc="080A0019" w:tentative="1">
      <w:start w:val="1"/>
      <w:numFmt w:val="lowerLetter"/>
      <w:lvlText w:val="%2."/>
      <w:lvlJc w:val="left"/>
      <w:pPr>
        <w:ind w:left="1503" w:hanging="360"/>
      </w:pPr>
    </w:lvl>
    <w:lvl w:ilvl="2" w:tplc="080A001B" w:tentative="1">
      <w:start w:val="1"/>
      <w:numFmt w:val="lowerRoman"/>
      <w:lvlText w:val="%3."/>
      <w:lvlJc w:val="right"/>
      <w:pPr>
        <w:ind w:left="2223" w:hanging="180"/>
      </w:pPr>
    </w:lvl>
    <w:lvl w:ilvl="3" w:tplc="080A000F" w:tentative="1">
      <w:start w:val="1"/>
      <w:numFmt w:val="decimal"/>
      <w:lvlText w:val="%4."/>
      <w:lvlJc w:val="left"/>
      <w:pPr>
        <w:ind w:left="2943" w:hanging="360"/>
      </w:pPr>
    </w:lvl>
    <w:lvl w:ilvl="4" w:tplc="080A0019" w:tentative="1">
      <w:start w:val="1"/>
      <w:numFmt w:val="lowerLetter"/>
      <w:lvlText w:val="%5."/>
      <w:lvlJc w:val="left"/>
      <w:pPr>
        <w:ind w:left="3663" w:hanging="360"/>
      </w:pPr>
    </w:lvl>
    <w:lvl w:ilvl="5" w:tplc="080A001B" w:tentative="1">
      <w:start w:val="1"/>
      <w:numFmt w:val="lowerRoman"/>
      <w:lvlText w:val="%6."/>
      <w:lvlJc w:val="right"/>
      <w:pPr>
        <w:ind w:left="4383" w:hanging="180"/>
      </w:pPr>
    </w:lvl>
    <w:lvl w:ilvl="6" w:tplc="080A000F" w:tentative="1">
      <w:start w:val="1"/>
      <w:numFmt w:val="decimal"/>
      <w:lvlText w:val="%7."/>
      <w:lvlJc w:val="left"/>
      <w:pPr>
        <w:ind w:left="5103" w:hanging="360"/>
      </w:pPr>
    </w:lvl>
    <w:lvl w:ilvl="7" w:tplc="080A0019" w:tentative="1">
      <w:start w:val="1"/>
      <w:numFmt w:val="lowerLetter"/>
      <w:lvlText w:val="%8."/>
      <w:lvlJc w:val="left"/>
      <w:pPr>
        <w:ind w:left="5823" w:hanging="360"/>
      </w:pPr>
    </w:lvl>
    <w:lvl w:ilvl="8" w:tplc="080A001B" w:tentative="1">
      <w:start w:val="1"/>
      <w:numFmt w:val="lowerRoman"/>
      <w:lvlText w:val="%9."/>
      <w:lvlJc w:val="right"/>
      <w:pPr>
        <w:ind w:left="6543" w:hanging="180"/>
      </w:pPr>
    </w:lvl>
  </w:abstractNum>
  <w:abstractNum w:abstractNumId="37" w15:restartNumberingAfterBreak="0">
    <w:nsid w:val="6F346723"/>
    <w:multiLevelType w:val="multilevel"/>
    <w:tmpl w:val="796EF670"/>
    <w:lvl w:ilvl="0">
      <w:start w:val="1"/>
      <w:numFmt w:val="decimal"/>
      <w:lvlText w:val="%1."/>
      <w:lvlJc w:val="left"/>
      <w:pPr>
        <w:ind w:left="360" w:hanging="360"/>
      </w:pPr>
      <w:rPr>
        <w:rFonts w:ascii="Arial" w:hAnsi="Arial" w:cs="Arial" w:hint="default"/>
        <w:b w:val="0"/>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6E62327"/>
    <w:multiLevelType w:val="hybridMultilevel"/>
    <w:tmpl w:val="80C0DA56"/>
    <w:lvl w:ilvl="0" w:tplc="7E4452B6">
      <w:start w:val="1"/>
      <w:numFmt w:val="lowerLetter"/>
      <w:lvlText w:val="%1."/>
      <w:lvlJc w:val="left"/>
      <w:pPr>
        <w:ind w:left="1455" w:hanging="360"/>
      </w:pPr>
      <w:rPr>
        <w:rFonts w:hint="default"/>
      </w:rPr>
    </w:lvl>
    <w:lvl w:ilvl="1" w:tplc="080A0019" w:tentative="1">
      <w:start w:val="1"/>
      <w:numFmt w:val="lowerLetter"/>
      <w:lvlText w:val="%2."/>
      <w:lvlJc w:val="left"/>
      <w:pPr>
        <w:ind w:left="2175" w:hanging="360"/>
      </w:pPr>
    </w:lvl>
    <w:lvl w:ilvl="2" w:tplc="080A001B" w:tentative="1">
      <w:start w:val="1"/>
      <w:numFmt w:val="lowerRoman"/>
      <w:lvlText w:val="%3."/>
      <w:lvlJc w:val="right"/>
      <w:pPr>
        <w:ind w:left="2895" w:hanging="180"/>
      </w:pPr>
    </w:lvl>
    <w:lvl w:ilvl="3" w:tplc="080A000F" w:tentative="1">
      <w:start w:val="1"/>
      <w:numFmt w:val="decimal"/>
      <w:lvlText w:val="%4."/>
      <w:lvlJc w:val="left"/>
      <w:pPr>
        <w:ind w:left="3615" w:hanging="360"/>
      </w:pPr>
    </w:lvl>
    <w:lvl w:ilvl="4" w:tplc="080A0019" w:tentative="1">
      <w:start w:val="1"/>
      <w:numFmt w:val="lowerLetter"/>
      <w:lvlText w:val="%5."/>
      <w:lvlJc w:val="left"/>
      <w:pPr>
        <w:ind w:left="4335" w:hanging="360"/>
      </w:pPr>
    </w:lvl>
    <w:lvl w:ilvl="5" w:tplc="080A001B" w:tentative="1">
      <w:start w:val="1"/>
      <w:numFmt w:val="lowerRoman"/>
      <w:lvlText w:val="%6."/>
      <w:lvlJc w:val="right"/>
      <w:pPr>
        <w:ind w:left="5055" w:hanging="180"/>
      </w:pPr>
    </w:lvl>
    <w:lvl w:ilvl="6" w:tplc="080A000F" w:tentative="1">
      <w:start w:val="1"/>
      <w:numFmt w:val="decimal"/>
      <w:lvlText w:val="%7."/>
      <w:lvlJc w:val="left"/>
      <w:pPr>
        <w:ind w:left="5775" w:hanging="360"/>
      </w:pPr>
    </w:lvl>
    <w:lvl w:ilvl="7" w:tplc="080A0019" w:tentative="1">
      <w:start w:val="1"/>
      <w:numFmt w:val="lowerLetter"/>
      <w:lvlText w:val="%8."/>
      <w:lvlJc w:val="left"/>
      <w:pPr>
        <w:ind w:left="6495" w:hanging="360"/>
      </w:pPr>
    </w:lvl>
    <w:lvl w:ilvl="8" w:tplc="080A001B" w:tentative="1">
      <w:start w:val="1"/>
      <w:numFmt w:val="lowerRoman"/>
      <w:lvlText w:val="%9."/>
      <w:lvlJc w:val="right"/>
      <w:pPr>
        <w:ind w:left="7215" w:hanging="180"/>
      </w:pPr>
    </w:lvl>
  </w:abstractNum>
  <w:abstractNum w:abstractNumId="39" w15:restartNumberingAfterBreak="0">
    <w:nsid w:val="7AE57701"/>
    <w:multiLevelType w:val="hybridMultilevel"/>
    <w:tmpl w:val="1FBE41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7B0B2E42"/>
    <w:multiLevelType w:val="hybridMultilevel"/>
    <w:tmpl w:val="B2FAA544"/>
    <w:lvl w:ilvl="0" w:tplc="0C0A000F">
      <w:start w:val="1"/>
      <w:numFmt w:val="decimal"/>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num w:numId="1">
    <w:abstractNumId w:val="0"/>
  </w:num>
  <w:num w:numId="2">
    <w:abstractNumId w:val="5"/>
  </w:num>
  <w:num w:numId="3">
    <w:abstractNumId w:val="31"/>
  </w:num>
  <w:num w:numId="4">
    <w:abstractNumId w:val="37"/>
  </w:num>
  <w:num w:numId="5">
    <w:abstractNumId w:val="6"/>
  </w:num>
  <w:num w:numId="6">
    <w:abstractNumId w:val="7"/>
  </w:num>
  <w:num w:numId="7">
    <w:abstractNumId w:val="30"/>
  </w:num>
  <w:num w:numId="8">
    <w:abstractNumId w:val="38"/>
  </w:num>
  <w:num w:numId="9">
    <w:abstractNumId w:val="14"/>
  </w:num>
  <w:num w:numId="10">
    <w:abstractNumId w:val="19"/>
  </w:num>
  <w:num w:numId="11">
    <w:abstractNumId w:val="2"/>
  </w:num>
  <w:num w:numId="12">
    <w:abstractNumId w:val="3"/>
  </w:num>
  <w:num w:numId="13">
    <w:abstractNumId w:val="28"/>
  </w:num>
  <w:num w:numId="14">
    <w:abstractNumId w:val="33"/>
  </w:num>
  <w:num w:numId="15">
    <w:abstractNumId w:val="40"/>
  </w:num>
  <w:num w:numId="16">
    <w:abstractNumId w:val="27"/>
  </w:num>
  <w:num w:numId="17">
    <w:abstractNumId w:val="18"/>
  </w:num>
  <w:num w:numId="18">
    <w:abstractNumId w:val="12"/>
  </w:num>
  <w:num w:numId="19">
    <w:abstractNumId w:val="11"/>
  </w:num>
  <w:num w:numId="20">
    <w:abstractNumId w:val="24"/>
  </w:num>
  <w:num w:numId="21">
    <w:abstractNumId w:val="13"/>
  </w:num>
  <w:num w:numId="22">
    <w:abstractNumId w:val="17"/>
  </w:num>
  <w:num w:numId="23">
    <w:abstractNumId w:val="20"/>
  </w:num>
  <w:num w:numId="24">
    <w:abstractNumId w:val="32"/>
  </w:num>
  <w:num w:numId="25">
    <w:abstractNumId w:val="16"/>
  </w:num>
  <w:num w:numId="26">
    <w:abstractNumId w:val="35"/>
  </w:num>
  <w:num w:numId="27">
    <w:abstractNumId w:val="4"/>
  </w:num>
  <w:num w:numId="28">
    <w:abstractNumId w:val="21"/>
  </w:num>
  <w:num w:numId="29">
    <w:abstractNumId w:val="39"/>
  </w:num>
  <w:num w:numId="30">
    <w:abstractNumId w:val="8"/>
  </w:num>
  <w:num w:numId="31">
    <w:abstractNumId w:val="10"/>
  </w:num>
  <w:num w:numId="32">
    <w:abstractNumId w:val="23"/>
  </w:num>
  <w:num w:numId="33">
    <w:abstractNumId w:val="26"/>
  </w:num>
  <w:num w:numId="34">
    <w:abstractNumId w:val="9"/>
  </w:num>
  <w:num w:numId="35">
    <w:abstractNumId w:val="1"/>
  </w:num>
  <w:num w:numId="36">
    <w:abstractNumId w:val="36"/>
  </w:num>
  <w:num w:numId="37">
    <w:abstractNumId w:val="34"/>
  </w:num>
  <w:num w:numId="38">
    <w:abstractNumId w:val="29"/>
  </w:num>
  <w:num w:numId="39">
    <w:abstractNumId w:val="15"/>
  </w:num>
  <w:num w:numId="40">
    <w:abstractNumId w:val="25"/>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s-MX" w:vendorID="64" w:dllVersion="6" w:nlCheck="1" w:checkStyle="0"/>
  <w:activeWritingStyle w:appName="MSWord" w:lang="es-ES" w:vendorID="64" w:dllVersion="6" w:nlCheck="1" w:checkStyle="0"/>
  <w:activeWritingStyle w:appName="MSWord" w:lang="en-US" w:vendorID="64" w:dllVersion="6" w:nlCheck="1" w:checkStyle="1"/>
  <w:activeWritingStyle w:appName="MSWord" w:lang="es-MX" w:vendorID="64" w:dllVersion="0" w:nlCheck="1" w:checkStyle="0"/>
  <w:activeWritingStyle w:appName="MSWord" w:lang="fr-FR" w:vendorID="64" w:dllVersion="0" w:nlCheck="1" w:checkStyle="0"/>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fr-FR"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2F0"/>
    <w:rsid w:val="0000049A"/>
    <w:rsid w:val="000005CE"/>
    <w:rsid w:val="00000CE1"/>
    <w:rsid w:val="00002C28"/>
    <w:rsid w:val="00005445"/>
    <w:rsid w:val="00005FBE"/>
    <w:rsid w:val="0000683D"/>
    <w:rsid w:val="0001143B"/>
    <w:rsid w:val="000216FB"/>
    <w:rsid w:val="00022C95"/>
    <w:rsid w:val="000253F1"/>
    <w:rsid w:val="0002721F"/>
    <w:rsid w:val="00030FA6"/>
    <w:rsid w:val="00031978"/>
    <w:rsid w:val="00034EE6"/>
    <w:rsid w:val="000353FE"/>
    <w:rsid w:val="0003541C"/>
    <w:rsid w:val="00036012"/>
    <w:rsid w:val="000404C5"/>
    <w:rsid w:val="00045F26"/>
    <w:rsid w:val="00054F84"/>
    <w:rsid w:val="000550AF"/>
    <w:rsid w:val="0005543F"/>
    <w:rsid w:val="00057B07"/>
    <w:rsid w:val="00057F3E"/>
    <w:rsid w:val="000600E0"/>
    <w:rsid w:val="00060232"/>
    <w:rsid w:val="0006048F"/>
    <w:rsid w:val="00062E8C"/>
    <w:rsid w:val="0006381C"/>
    <w:rsid w:val="0006444E"/>
    <w:rsid w:val="00064864"/>
    <w:rsid w:val="00064F50"/>
    <w:rsid w:val="00065BB5"/>
    <w:rsid w:val="00074BAA"/>
    <w:rsid w:val="00075369"/>
    <w:rsid w:val="000759FE"/>
    <w:rsid w:val="00080520"/>
    <w:rsid w:val="00080770"/>
    <w:rsid w:val="00091B63"/>
    <w:rsid w:val="0009299C"/>
    <w:rsid w:val="000A0C2E"/>
    <w:rsid w:val="000A1A7D"/>
    <w:rsid w:val="000A50E5"/>
    <w:rsid w:val="000A64D1"/>
    <w:rsid w:val="000A65EB"/>
    <w:rsid w:val="000A718C"/>
    <w:rsid w:val="000B0179"/>
    <w:rsid w:val="000B6FB3"/>
    <w:rsid w:val="000B7869"/>
    <w:rsid w:val="000C0B6C"/>
    <w:rsid w:val="000C11EA"/>
    <w:rsid w:val="000C195E"/>
    <w:rsid w:val="000C2247"/>
    <w:rsid w:val="000C2381"/>
    <w:rsid w:val="000C2418"/>
    <w:rsid w:val="000C2BE4"/>
    <w:rsid w:val="000C36CF"/>
    <w:rsid w:val="000D21AC"/>
    <w:rsid w:val="000D30A6"/>
    <w:rsid w:val="000D3688"/>
    <w:rsid w:val="000D65E8"/>
    <w:rsid w:val="000D681D"/>
    <w:rsid w:val="000E20E3"/>
    <w:rsid w:val="000E4F27"/>
    <w:rsid w:val="000E7A3B"/>
    <w:rsid w:val="000F15DD"/>
    <w:rsid w:val="000F2AD6"/>
    <w:rsid w:val="000F42FB"/>
    <w:rsid w:val="000F6587"/>
    <w:rsid w:val="000F679E"/>
    <w:rsid w:val="001009F5"/>
    <w:rsid w:val="00101AB3"/>
    <w:rsid w:val="00102371"/>
    <w:rsid w:val="00103EA4"/>
    <w:rsid w:val="0010565F"/>
    <w:rsid w:val="00110B91"/>
    <w:rsid w:val="001119F8"/>
    <w:rsid w:val="00112661"/>
    <w:rsid w:val="00112BEB"/>
    <w:rsid w:val="00113625"/>
    <w:rsid w:val="00113BD8"/>
    <w:rsid w:val="00117E53"/>
    <w:rsid w:val="00122C27"/>
    <w:rsid w:val="00122D12"/>
    <w:rsid w:val="00122FA2"/>
    <w:rsid w:val="00123557"/>
    <w:rsid w:val="00124D57"/>
    <w:rsid w:val="001279CF"/>
    <w:rsid w:val="001305C8"/>
    <w:rsid w:val="001326CC"/>
    <w:rsid w:val="00135212"/>
    <w:rsid w:val="00136232"/>
    <w:rsid w:val="0013665C"/>
    <w:rsid w:val="0013783E"/>
    <w:rsid w:val="0014157D"/>
    <w:rsid w:val="00160AEE"/>
    <w:rsid w:val="00163C6A"/>
    <w:rsid w:val="001644F8"/>
    <w:rsid w:val="00170890"/>
    <w:rsid w:val="00175090"/>
    <w:rsid w:val="001754A1"/>
    <w:rsid w:val="00175BCB"/>
    <w:rsid w:val="00182894"/>
    <w:rsid w:val="001835D0"/>
    <w:rsid w:val="00184810"/>
    <w:rsid w:val="00185A41"/>
    <w:rsid w:val="00186B0B"/>
    <w:rsid w:val="001879CC"/>
    <w:rsid w:val="001910C1"/>
    <w:rsid w:val="0019174A"/>
    <w:rsid w:val="00194241"/>
    <w:rsid w:val="0019513A"/>
    <w:rsid w:val="00195718"/>
    <w:rsid w:val="00197B38"/>
    <w:rsid w:val="001A1A00"/>
    <w:rsid w:val="001A1AE5"/>
    <w:rsid w:val="001A28F5"/>
    <w:rsid w:val="001A48E1"/>
    <w:rsid w:val="001A5598"/>
    <w:rsid w:val="001A5E14"/>
    <w:rsid w:val="001B1DDA"/>
    <w:rsid w:val="001B232A"/>
    <w:rsid w:val="001B2A08"/>
    <w:rsid w:val="001B7F77"/>
    <w:rsid w:val="001C1991"/>
    <w:rsid w:val="001C1DCB"/>
    <w:rsid w:val="001C2304"/>
    <w:rsid w:val="001C4156"/>
    <w:rsid w:val="001C65FC"/>
    <w:rsid w:val="001D065D"/>
    <w:rsid w:val="001D2112"/>
    <w:rsid w:val="001D415F"/>
    <w:rsid w:val="001D7AE2"/>
    <w:rsid w:val="001D7BA4"/>
    <w:rsid w:val="001E560C"/>
    <w:rsid w:val="001E5F5D"/>
    <w:rsid w:val="001E6716"/>
    <w:rsid w:val="001E7508"/>
    <w:rsid w:val="001F1499"/>
    <w:rsid w:val="001F1DFF"/>
    <w:rsid w:val="00205355"/>
    <w:rsid w:val="0021293F"/>
    <w:rsid w:val="00212AC9"/>
    <w:rsid w:val="0021318F"/>
    <w:rsid w:val="00215E0B"/>
    <w:rsid w:val="00217C33"/>
    <w:rsid w:val="00224E07"/>
    <w:rsid w:val="00225233"/>
    <w:rsid w:val="002278B1"/>
    <w:rsid w:val="00230B5B"/>
    <w:rsid w:val="0023321B"/>
    <w:rsid w:val="00235754"/>
    <w:rsid w:val="0023751B"/>
    <w:rsid w:val="00242597"/>
    <w:rsid w:val="00246720"/>
    <w:rsid w:val="0025072C"/>
    <w:rsid w:val="00252DB4"/>
    <w:rsid w:val="00257C8A"/>
    <w:rsid w:val="00261CE9"/>
    <w:rsid w:val="00262438"/>
    <w:rsid w:val="0026481B"/>
    <w:rsid w:val="00264DA5"/>
    <w:rsid w:val="00270DD2"/>
    <w:rsid w:val="00272080"/>
    <w:rsid w:val="00272E5E"/>
    <w:rsid w:val="0028007A"/>
    <w:rsid w:val="00282C23"/>
    <w:rsid w:val="00282F78"/>
    <w:rsid w:val="002850BA"/>
    <w:rsid w:val="00286214"/>
    <w:rsid w:val="002917D6"/>
    <w:rsid w:val="002936BB"/>
    <w:rsid w:val="002963FA"/>
    <w:rsid w:val="00297144"/>
    <w:rsid w:val="002A005A"/>
    <w:rsid w:val="002A1177"/>
    <w:rsid w:val="002A2208"/>
    <w:rsid w:val="002A4E36"/>
    <w:rsid w:val="002A505B"/>
    <w:rsid w:val="002A6FB7"/>
    <w:rsid w:val="002B0FB0"/>
    <w:rsid w:val="002B15B4"/>
    <w:rsid w:val="002B2A42"/>
    <w:rsid w:val="002B3DAE"/>
    <w:rsid w:val="002B526B"/>
    <w:rsid w:val="002B60E1"/>
    <w:rsid w:val="002B7131"/>
    <w:rsid w:val="002B78E7"/>
    <w:rsid w:val="002C31A7"/>
    <w:rsid w:val="002C48F4"/>
    <w:rsid w:val="002C497E"/>
    <w:rsid w:val="002C531E"/>
    <w:rsid w:val="002C5AFB"/>
    <w:rsid w:val="002C727D"/>
    <w:rsid w:val="002D0324"/>
    <w:rsid w:val="002D0399"/>
    <w:rsid w:val="002D17DD"/>
    <w:rsid w:val="002D1A04"/>
    <w:rsid w:val="002D1ABE"/>
    <w:rsid w:val="002D1D77"/>
    <w:rsid w:val="002D3DC4"/>
    <w:rsid w:val="002D47F1"/>
    <w:rsid w:val="002D4984"/>
    <w:rsid w:val="002D6088"/>
    <w:rsid w:val="002E0474"/>
    <w:rsid w:val="002E0DB6"/>
    <w:rsid w:val="002E184E"/>
    <w:rsid w:val="002E1F23"/>
    <w:rsid w:val="002E5441"/>
    <w:rsid w:val="002E6E23"/>
    <w:rsid w:val="002F1C58"/>
    <w:rsid w:val="002F2AA5"/>
    <w:rsid w:val="002F2F49"/>
    <w:rsid w:val="002F3432"/>
    <w:rsid w:val="002F3EF4"/>
    <w:rsid w:val="002F4E87"/>
    <w:rsid w:val="002F5808"/>
    <w:rsid w:val="002F6C91"/>
    <w:rsid w:val="003014A4"/>
    <w:rsid w:val="00303DFD"/>
    <w:rsid w:val="0030471B"/>
    <w:rsid w:val="00305D85"/>
    <w:rsid w:val="003124BF"/>
    <w:rsid w:val="00313E49"/>
    <w:rsid w:val="003153E1"/>
    <w:rsid w:val="00315F9F"/>
    <w:rsid w:val="003166BD"/>
    <w:rsid w:val="00316F0A"/>
    <w:rsid w:val="003179DB"/>
    <w:rsid w:val="0033287E"/>
    <w:rsid w:val="003337A7"/>
    <w:rsid w:val="00334587"/>
    <w:rsid w:val="00334F6E"/>
    <w:rsid w:val="00335902"/>
    <w:rsid w:val="00336262"/>
    <w:rsid w:val="003420DB"/>
    <w:rsid w:val="003474F7"/>
    <w:rsid w:val="00351217"/>
    <w:rsid w:val="00351363"/>
    <w:rsid w:val="00351BA5"/>
    <w:rsid w:val="0035614E"/>
    <w:rsid w:val="00356F0B"/>
    <w:rsid w:val="003604B2"/>
    <w:rsid w:val="00361D95"/>
    <w:rsid w:val="00362220"/>
    <w:rsid w:val="0036226E"/>
    <w:rsid w:val="0036398C"/>
    <w:rsid w:val="0036697D"/>
    <w:rsid w:val="003702C2"/>
    <w:rsid w:val="00370E53"/>
    <w:rsid w:val="003711A0"/>
    <w:rsid w:val="00371287"/>
    <w:rsid w:val="00373574"/>
    <w:rsid w:val="0037401D"/>
    <w:rsid w:val="003750A8"/>
    <w:rsid w:val="00377AF7"/>
    <w:rsid w:val="00380F1E"/>
    <w:rsid w:val="003821D5"/>
    <w:rsid w:val="003824CB"/>
    <w:rsid w:val="00387056"/>
    <w:rsid w:val="00387EE7"/>
    <w:rsid w:val="0039091A"/>
    <w:rsid w:val="00392543"/>
    <w:rsid w:val="00392D00"/>
    <w:rsid w:val="00395B2C"/>
    <w:rsid w:val="003A4545"/>
    <w:rsid w:val="003A7434"/>
    <w:rsid w:val="003B4927"/>
    <w:rsid w:val="003B571C"/>
    <w:rsid w:val="003B65BA"/>
    <w:rsid w:val="003C313F"/>
    <w:rsid w:val="003D0344"/>
    <w:rsid w:val="003D0604"/>
    <w:rsid w:val="003D2EC1"/>
    <w:rsid w:val="003D3A2C"/>
    <w:rsid w:val="003D5174"/>
    <w:rsid w:val="003D5932"/>
    <w:rsid w:val="003E1F1D"/>
    <w:rsid w:val="003E3B12"/>
    <w:rsid w:val="003E5E4B"/>
    <w:rsid w:val="003E7890"/>
    <w:rsid w:val="003F357E"/>
    <w:rsid w:val="003F4DFD"/>
    <w:rsid w:val="003F7337"/>
    <w:rsid w:val="004026D4"/>
    <w:rsid w:val="00402767"/>
    <w:rsid w:val="00402CA4"/>
    <w:rsid w:val="00402FB2"/>
    <w:rsid w:val="00406EAA"/>
    <w:rsid w:val="0041095A"/>
    <w:rsid w:val="00412EB7"/>
    <w:rsid w:val="00412ED7"/>
    <w:rsid w:val="004136AE"/>
    <w:rsid w:val="004148BC"/>
    <w:rsid w:val="004177D3"/>
    <w:rsid w:val="00417E2C"/>
    <w:rsid w:val="00420607"/>
    <w:rsid w:val="00420E6D"/>
    <w:rsid w:val="0042145D"/>
    <w:rsid w:val="00422C47"/>
    <w:rsid w:val="00425A44"/>
    <w:rsid w:val="00426F68"/>
    <w:rsid w:val="004312F0"/>
    <w:rsid w:val="00432894"/>
    <w:rsid w:val="004328A1"/>
    <w:rsid w:val="0043473E"/>
    <w:rsid w:val="00434C90"/>
    <w:rsid w:val="004362C5"/>
    <w:rsid w:val="00436426"/>
    <w:rsid w:val="0044682C"/>
    <w:rsid w:val="00447326"/>
    <w:rsid w:val="00451045"/>
    <w:rsid w:val="004534B5"/>
    <w:rsid w:val="0046111E"/>
    <w:rsid w:val="00463064"/>
    <w:rsid w:val="00466B28"/>
    <w:rsid w:val="00470311"/>
    <w:rsid w:val="00471E4B"/>
    <w:rsid w:val="004723D8"/>
    <w:rsid w:val="00477B7D"/>
    <w:rsid w:val="00481FC3"/>
    <w:rsid w:val="004854AE"/>
    <w:rsid w:val="00492827"/>
    <w:rsid w:val="004932DD"/>
    <w:rsid w:val="00493426"/>
    <w:rsid w:val="00495584"/>
    <w:rsid w:val="0049669E"/>
    <w:rsid w:val="004A1AC8"/>
    <w:rsid w:val="004A1C68"/>
    <w:rsid w:val="004A4422"/>
    <w:rsid w:val="004A5D08"/>
    <w:rsid w:val="004A728F"/>
    <w:rsid w:val="004A74A2"/>
    <w:rsid w:val="004B25E9"/>
    <w:rsid w:val="004B3348"/>
    <w:rsid w:val="004B3CF6"/>
    <w:rsid w:val="004B58F0"/>
    <w:rsid w:val="004B5F5B"/>
    <w:rsid w:val="004B6B5E"/>
    <w:rsid w:val="004C1DD7"/>
    <w:rsid w:val="004C557B"/>
    <w:rsid w:val="004C5606"/>
    <w:rsid w:val="004C7B24"/>
    <w:rsid w:val="004D16C1"/>
    <w:rsid w:val="004D2FD6"/>
    <w:rsid w:val="004D3210"/>
    <w:rsid w:val="004D6E9F"/>
    <w:rsid w:val="004E7462"/>
    <w:rsid w:val="004F25CD"/>
    <w:rsid w:val="004F35F3"/>
    <w:rsid w:val="004F4B4E"/>
    <w:rsid w:val="004F4F8E"/>
    <w:rsid w:val="00505BCB"/>
    <w:rsid w:val="005063D3"/>
    <w:rsid w:val="00507DF7"/>
    <w:rsid w:val="0051087F"/>
    <w:rsid w:val="0051565B"/>
    <w:rsid w:val="00516251"/>
    <w:rsid w:val="00517EDE"/>
    <w:rsid w:val="00520395"/>
    <w:rsid w:val="005245AB"/>
    <w:rsid w:val="00525BE3"/>
    <w:rsid w:val="00530322"/>
    <w:rsid w:val="00533CEF"/>
    <w:rsid w:val="005357FC"/>
    <w:rsid w:val="0054301D"/>
    <w:rsid w:val="00543328"/>
    <w:rsid w:val="00543408"/>
    <w:rsid w:val="00543ADF"/>
    <w:rsid w:val="00543C4F"/>
    <w:rsid w:val="00550D69"/>
    <w:rsid w:val="00555C3A"/>
    <w:rsid w:val="00557B6A"/>
    <w:rsid w:val="005604CF"/>
    <w:rsid w:val="005617B9"/>
    <w:rsid w:val="00561D52"/>
    <w:rsid w:val="00562139"/>
    <w:rsid w:val="005636FB"/>
    <w:rsid w:val="005646E0"/>
    <w:rsid w:val="00565A98"/>
    <w:rsid w:val="005665D1"/>
    <w:rsid w:val="00572957"/>
    <w:rsid w:val="00574ED0"/>
    <w:rsid w:val="0057586E"/>
    <w:rsid w:val="00580691"/>
    <w:rsid w:val="00583D4E"/>
    <w:rsid w:val="00584675"/>
    <w:rsid w:val="0058787C"/>
    <w:rsid w:val="00587ADE"/>
    <w:rsid w:val="00591939"/>
    <w:rsid w:val="00594957"/>
    <w:rsid w:val="0059517B"/>
    <w:rsid w:val="00595934"/>
    <w:rsid w:val="00595E78"/>
    <w:rsid w:val="00597834"/>
    <w:rsid w:val="005A05BF"/>
    <w:rsid w:val="005A07A9"/>
    <w:rsid w:val="005A2644"/>
    <w:rsid w:val="005A27F2"/>
    <w:rsid w:val="005A2B07"/>
    <w:rsid w:val="005A322D"/>
    <w:rsid w:val="005A457F"/>
    <w:rsid w:val="005A5F26"/>
    <w:rsid w:val="005A615A"/>
    <w:rsid w:val="005A690C"/>
    <w:rsid w:val="005B1293"/>
    <w:rsid w:val="005B12A2"/>
    <w:rsid w:val="005B557D"/>
    <w:rsid w:val="005C1FAD"/>
    <w:rsid w:val="005C37D2"/>
    <w:rsid w:val="005C3875"/>
    <w:rsid w:val="005C4E24"/>
    <w:rsid w:val="005C4F1D"/>
    <w:rsid w:val="005C64E7"/>
    <w:rsid w:val="005C7AA1"/>
    <w:rsid w:val="005D1FB5"/>
    <w:rsid w:val="005D5009"/>
    <w:rsid w:val="005D77E9"/>
    <w:rsid w:val="005E0732"/>
    <w:rsid w:val="005E0E02"/>
    <w:rsid w:val="005E19D2"/>
    <w:rsid w:val="005E3CF8"/>
    <w:rsid w:val="005E6EA4"/>
    <w:rsid w:val="005F1A33"/>
    <w:rsid w:val="005F257C"/>
    <w:rsid w:val="005F30D3"/>
    <w:rsid w:val="005F7F13"/>
    <w:rsid w:val="00600053"/>
    <w:rsid w:val="00600C6A"/>
    <w:rsid w:val="00601E35"/>
    <w:rsid w:val="0060265F"/>
    <w:rsid w:val="0060300A"/>
    <w:rsid w:val="0061211D"/>
    <w:rsid w:val="006122BD"/>
    <w:rsid w:val="0061379B"/>
    <w:rsid w:val="00615B5D"/>
    <w:rsid w:val="00617C00"/>
    <w:rsid w:val="0062129D"/>
    <w:rsid w:val="006235DB"/>
    <w:rsid w:val="00625E22"/>
    <w:rsid w:val="00626B9C"/>
    <w:rsid w:val="00627116"/>
    <w:rsid w:val="006273D2"/>
    <w:rsid w:val="006274E3"/>
    <w:rsid w:val="00632DDB"/>
    <w:rsid w:val="00633ACC"/>
    <w:rsid w:val="006354BF"/>
    <w:rsid w:val="00643680"/>
    <w:rsid w:val="00645E6B"/>
    <w:rsid w:val="00646A47"/>
    <w:rsid w:val="00646E38"/>
    <w:rsid w:val="0064706B"/>
    <w:rsid w:val="006471B6"/>
    <w:rsid w:val="00651948"/>
    <w:rsid w:val="00651CB4"/>
    <w:rsid w:val="00651FC9"/>
    <w:rsid w:val="00663455"/>
    <w:rsid w:val="006638C3"/>
    <w:rsid w:val="00667C88"/>
    <w:rsid w:val="006702CA"/>
    <w:rsid w:val="00670779"/>
    <w:rsid w:val="006741A4"/>
    <w:rsid w:val="00675E09"/>
    <w:rsid w:val="006839F3"/>
    <w:rsid w:val="00684DC9"/>
    <w:rsid w:val="006862A3"/>
    <w:rsid w:val="00690C36"/>
    <w:rsid w:val="00691493"/>
    <w:rsid w:val="006916F1"/>
    <w:rsid w:val="006920EB"/>
    <w:rsid w:val="00693374"/>
    <w:rsid w:val="00695540"/>
    <w:rsid w:val="006962D7"/>
    <w:rsid w:val="006A27C7"/>
    <w:rsid w:val="006A40D4"/>
    <w:rsid w:val="006A5F6B"/>
    <w:rsid w:val="006B2490"/>
    <w:rsid w:val="006B274B"/>
    <w:rsid w:val="006B4254"/>
    <w:rsid w:val="006B5A54"/>
    <w:rsid w:val="006C27B7"/>
    <w:rsid w:val="006C3958"/>
    <w:rsid w:val="006C48F7"/>
    <w:rsid w:val="006C6311"/>
    <w:rsid w:val="006C6951"/>
    <w:rsid w:val="006D0CFE"/>
    <w:rsid w:val="006D18B7"/>
    <w:rsid w:val="006D2848"/>
    <w:rsid w:val="006E20ED"/>
    <w:rsid w:val="006E5443"/>
    <w:rsid w:val="006E61BD"/>
    <w:rsid w:val="006F141D"/>
    <w:rsid w:val="006F270B"/>
    <w:rsid w:val="006F46E8"/>
    <w:rsid w:val="006F5950"/>
    <w:rsid w:val="006F5AF1"/>
    <w:rsid w:val="006F7767"/>
    <w:rsid w:val="00702C7E"/>
    <w:rsid w:val="00706242"/>
    <w:rsid w:val="00710609"/>
    <w:rsid w:val="00713A0B"/>
    <w:rsid w:val="00713E29"/>
    <w:rsid w:val="007173F9"/>
    <w:rsid w:val="00717D59"/>
    <w:rsid w:val="00720EA8"/>
    <w:rsid w:val="00723EB1"/>
    <w:rsid w:val="00724E3A"/>
    <w:rsid w:val="00726495"/>
    <w:rsid w:val="007340A4"/>
    <w:rsid w:val="00734B2C"/>
    <w:rsid w:val="0073550C"/>
    <w:rsid w:val="007367F4"/>
    <w:rsid w:val="00736D51"/>
    <w:rsid w:val="00737257"/>
    <w:rsid w:val="00740B93"/>
    <w:rsid w:val="00743841"/>
    <w:rsid w:val="007439B2"/>
    <w:rsid w:val="00746392"/>
    <w:rsid w:val="00750A45"/>
    <w:rsid w:val="00752B35"/>
    <w:rsid w:val="00753E09"/>
    <w:rsid w:val="00755408"/>
    <w:rsid w:val="00761647"/>
    <w:rsid w:val="00765B68"/>
    <w:rsid w:val="00772936"/>
    <w:rsid w:val="00772BBC"/>
    <w:rsid w:val="0077487F"/>
    <w:rsid w:val="00775C18"/>
    <w:rsid w:val="0077716D"/>
    <w:rsid w:val="00777622"/>
    <w:rsid w:val="00777B76"/>
    <w:rsid w:val="00780B23"/>
    <w:rsid w:val="0078314F"/>
    <w:rsid w:val="00787859"/>
    <w:rsid w:val="00787D88"/>
    <w:rsid w:val="007904CA"/>
    <w:rsid w:val="007912E5"/>
    <w:rsid w:val="00795DDC"/>
    <w:rsid w:val="00796E22"/>
    <w:rsid w:val="00797807"/>
    <w:rsid w:val="007A1A92"/>
    <w:rsid w:val="007A6F93"/>
    <w:rsid w:val="007B203A"/>
    <w:rsid w:val="007B2C90"/>
    <w:rsid w:val="007B3BF4"/>
    <w:rsid w:val="007B5092"/>
    <w:rsid w:val="007B539B"/>
    <w:rsid w:val="007B66A3"/>
    <w:rsid w:val="007C0BC3"/>
    <w:rsid w:val="007C2FA0"/>
    <w:rsid w:val="007C331B"/>
    <w:rsid w:val="007C51D9"/>
    <w:rsid w:val="007C6D87"/>
    <w:rsid w:val="007D1FCD"/>
    <w:rsid w:val="007D221F"/>
    <w:rsid w:val="007D2E94"/>
    <w:rsid w:val="007D3229"/>
    <w:rsid w:val="007D35DE"/>
    <w:rsid w:val="007D5522"/>
    <w:rsid w:val="007D5B9A"/>
    <w:rsid w:val="007D75F1"/>
    <w:rsid w:val="007E4035"/>
    <w:rsid w:val="007F1457"/>
    <w:rsid w:val="007F1EFB"/>
    <w:rsid w:val="007F2113"/>
    <w:rsid w:val="007F2FC2"/>
    <w:rsid w:val="007F3A22"/>
    <w:rsid w:val="007F7AE9"/>
    <w:rsid w:val="008026BC"/>
    <w:rsid w:val="00805858"/>
    <w:rsid w:val="00811869"/>
    <w:rsid w:val="008119C2"/>
    <w:rsid w:val="00814557"/>
    <w:rsid w:val="0081483E"/>
    <w:rsid w:val="00814D7E"/>
    <w:rsid w:val="00816A39"/>
    <w:rsid w:val="008209FF"/>
    <w:rsid w:val="00821301"/>
    <w:rsid w:val="00825200"/>
    <w:rsid w:val="00825703"/>
    <w:rsid w:val="008266C6"/>
    <w:rsid w:val="0082773A"/>
    <w:rsid w:val="008316E8"/>
    <w:rsid w:val="008320A8"/>
    <w:rsid w:val="00834239"/>
    <w:rsid w:val="00837AC8"/>
    <w:rsid w:val="0084141B"/>
    <w:rsid w:val="00850E98"/>
    <w:rsid w:val="00854489"/>
    <w:rsid w:val="00854F64"/>
    <w:rsid w:val="00856CB2"/>
    <w:rsid w:val="00857F9D"/>
    <w:rsid w:val="00866C75"/>
    <w:rsid w:val="008704D0"/>
    <w:rsid w:val="00870C81"/>
    <w:rsid w:val="008717F2"/>
    <w:rsid w:val="00873F5A"/>
    <w:rsid w:val="00874D5E"/>
    <w:rsid w:val="008805A9"/>
    <w:rsid w:val="00880F01"/>
    <w:rsid w:val="008820D2"/>
    <w:rsid w:val="0088393F"/>
    <w:rsid w:val="00886171"/>
    <w:rsid w:val="008905B5"/>
    <w:rsid w:val="0089377E"/>
    <w:rsid w:val="008954E1"/>
    <w:rsid w:val="0089588D"/>
    <w:rsid w:val="008972CF"/>
    <w:rsid w:val="008A0330"/>
    <w:rsid w:val="008A0AF3"/>
    <w:rsid w:val="008A0DF1"/>
    <w:rsid w:val="008A1B1B"/>
    <w:rsid w:val="008A3103"/>
    <w:rsid w:val="008A6595"/>
    <w:rsid w:val="008B0744"/>
    <w:rsid w:val="008B0EB5"/>
    <w:rsid w:val="008B3C77"/>
    <w:rsid w:val="008B4545"/>
    <w:rsid w:val="008B5084"/>
    <w:rsid w:val="008B5375"/>
    <w:rsid w:val="008B5AFB"/>
    <w:rsid w:val="008B7A90"/>
    <w:rsid w:val="008C23A0"/>
    <w:rsid w:val="008C39F3"/>
    <w:rsid w:val="008C7BB4"/>
    <w:rsid w:val="008D0AD6"/>
    <w:rsid w:val="008D41BD"/>
    <w:rsid w:val="008D4563"/>
    <w:rsid w:val="008D46AF"/>
    <w:rsid w:val="008E3660"/>
    <w:rsid w:val="008E5425"/>
    <w:rsid w:val="008F47C3"/>
    <w:rsid w:val="008F49AB"/>
    <w:rsid w:val="0090179A"/>
    <w:rsid w:val="00903D51"/>
    <w:rsid w:val="00904C22"/>
    <w:rsid w:val="00904ECB"/>
    <w:rsid w:val="00905341"/>
    <w:rsid w:val="00907D9E"/>
    <w:rsid w:val="00911253"/>
    <w:rsid w:val="00911786"/>
    <w:rsid w:val="009118F6"/>
    <w:rsid w:val="00915A23"/>
    <w:rsid w:val="00915F12"/>
    <w:rsid w:val="009166A0"/>
    <w:rsid w:val="009200D1"/>
    <w:rsid w:val="0092406D"/>
    <w:rsid w:val="00924D0B"/>
    <w:rsid w:val="00924F90"/>
    <w:rsid w:val="0093065B"/>
    <w:rsid w:val="0093091A"/>
    <w:rsid w:val="00932E5F"/>
    <w:rsid w:val="00934214"/>
    <w:rsid w:val="00934771"/>
    <w:rsid w:val="00934FB9"/>
    <w:rsid w:val="00936DAE"/>
    <w:rsid w:val="00937686"/>
    <w:rsid w:val="00940262"/>
    <w:rsid w:val="00940947"/>
    <w:rsid w:val="00942371"/>
    <w:rsid w:val="00943A44"/>
    <w:rsid w:val="0094500D"/>
    <w:rsid w:val="00945152"/>
    <w:rsid w:val="00946670"/>
    <w:rsid w:val="00950FDC"/>
    <w:rsid w:val="00951EC0"/>
    <w:rsid w:val="009537A6"/>
    <w:rsid w:val="00955B03"/>
    <w:rsid w:val="00957F58"/>
    <w:rsid w:val="009615B1"/>
    <w:rsid w:val="009679CA"/>
    <w:rsid w:val="00970774"/>
    <w:rsid w:val="00971BCE"/>
    <w:rsid w:val="00972C2B"/>
    <w:rsid w:val="00977324"/>
    <w:rsid w:val="00980966"/>
    <w:rsid w:val="009815D7"/>
    <w:rsid w:val="0098261C"/>
    <w:rsid w:val="00983FEF"/>
    <w:rsid w:val="00985640"/>
    <w:rsid w:val="00986FF4"/>
    <w:rsid w:val="0099042B"/>
    <w:rsid w:val="00990F26"/>
    <w:rsid w:val="009938EC"/>
    <w:rsid w:val="009945BF"/>
    <w:rsid w:val="009947A1"/>
    <w:rsid w:val="009A1CFE"/>
    <w:rsid w:val="009A323D"/>
    <w:rsid w:val="009A59F2"/>
    <w:rsid w:val="009A6E9E"/>
    <w:rsid w:val="009A7899"/>
    <w:rsid w:val="009B4974"/>
    <w:rsid w:val="009B53EA"/>
    <w:rsid w:val="009B55C5"/>
    <w:rsid w:val="009B6944"/>
    <w:rsid w:val="009B7A2D"/>
    <w:rsid w:val="009C0C76"/>
    <w:rsid w:val="009C0C95"/>
    <w:rsid w:val="009C36D1"/>
    <w:rsid w:val="009D2A9B"/>
    <w:rsid w:val="009E2C88"/>
    <w:rsid w:val="009E33D2"/>
    <w:rsid w:val="009E4385"/>
    <w:rsid w:val="009F0199"/>
    <w:rsid w:val="009F27DD"/>
    <w:rsid w:val="009F3A78"/>
    <w:rsid w:val="009F605C"/>
    <w:rsid w:val="00A058AD"/>
    <w:rsid w:val="00A103B6"/>
    <w:rsid w:val="00A1084B"/>
    <w:rsid w:val="00A12A78"/>
    <w:rsid w:val="00A16DAC"/>
    <w:rsid w:val="00A17183"/>
    <w:rsid w:val="00A179C2"/>
    <w:rsid w:val="00A179CF"/>
    <w:rsid w:val="00A203E7"/>
    <w:rsid w:val="00A210AA"/>
    <w:rsid w:val="00A21D0F"/>
    <w:rsid w:val="00A22D5A"/>
    <w:rsid w:val="00A24AAE"/>
    <w:rsid w:val="00A256C0"/>
    <w:rsid w:val="00A258DA"/>
    <w:rsid w:val="00A26EB7"/>
    <w:rsid w:val="00A2753D"/>
    <w:rsid w:val="00A31510"/>
    <w:rsid w:val="00A33074"/>
    <w:rsid w:val="00A33666"/>
    <w:rsid w:val="00A337B2"/>
    <w:rsid w:val="00A35507"/>
    <w:rsid w:val="00A35839"/>
    <w:rsid w:val="00A45A0D"/>
    <w:rsid w:val="00A478BB"/>
    <w:rsid w:val="00A5111D"/>
    <w:rsid w:val="00A525A6"/>
    <w:rsid w:val="00A52A13"/>
    <w:rsid w:val="00A53CB1"/>
    <w:rsid w:val="00A5610E"/>
    <w:rsid w:val="00A5744D"/>
    <w:rsid w:val="00A5766B"/>
    <w:rsid w:val="00A6075C"/>
    <w:rsid w:val="00A63713"/>
    <w:rsid w:val="00A63720"/>
    <w:rsid w:val="00A63B55"/>
    <w:rsid w:val="00A642E2"/>
    <w:rsid w:val="00A6638E"/>
    <w:rsid w:val="00A67EAE"/>
    <w:rsid w:val="00A732A5"/>
    <w:rsid w:val="00A749D7"/>
    <w:rsid w:val="00A83F8A"/>
    <w:rsid w:val="00A84B11"/>
    <w:rsid w:val="00A900ED"/>
    <w:rsid w:val="00A922ED"/>
    <w:rsid w:val="00A92523"/>
    <w:rsid w:val="00A93FA9"/>
    <w:rsid w:val="00A94320"/>
    <w:rsid w:val="00A94FDC"/>
    <w:rsid w:val="00AA0C63"/>
    <w:rsid w:val="00AA22C4"/>
    <w:rsid w:val="00AA2C2F"/>
    <w:rsid w:val="00AA3FA2"/>
    <w:rsid w:val="00AA711B"/>
    <w:rsid w:val="00AB0646"/>
    <w:rsid w:val="00AB1400"/>
    <w:rsid w:val="00AB7AB6"/>
    <w:rsid w:val="00AC28FE"/>
    <w:rsid w:val="00AC3029"/>
    <w:rsid w:val="00AC530A"/>
    <w:rsid w:val="00AC7C32"/>
    <w:rsid w:val="00AD079B"/>
    <w:rsid w:val="00AD2828"/>
    <w:rsid w:val="00AD32A1"/>
    <w:rsid w:val="00AD78E2"/>
    <w:rsid w:val="00AD7C21"/>
    <w:rsid w:val="00AE04B5"/>
    <w:rsid w:val="00AE164A"/>
    <w:rsid w:val="00AE53C8"/>
    <w:rsid w:val="00AE55FD"/>
    <w:rsid w:val="00AE679E"/>
    <w:rsid w:val="00AF50DC"/>
    <w:rsid w:val="00B01491"/>
    <w:rsid w:val="00B01593"/>
    <w:rsid w:val="00B01A6C"/>
    <w:rsid w:val="00B01CFD"/>
    <w:rsid w:val="00B02C1D"/>
    <w:rsid w:val="00B070DB"/>
    <w:rsid w:val="00B076A2"/>
    <w:rsid w:val="00B12E62"/>
    <w:rsid w:val="00B136CE"/>
    <w:rsid w:val="00B150A2"/>
    <w:rsid w:val="00B1555D"/>
    <w:rsid w:val="00B1630F"/>
    <w:rsid w:val="00B20640"/>
    <w:rsid w:val="00B21454"/>
    <w:rsid w:val="00B22D58"/>
    <w:rsid w:val="00B23124"/>
    <w:rsid w:val="00B2427D"/>
    <w:rsid w:val="00B24A18"/>
    <w:rsid w:val="00B2574D"/>
    <w:rsid w:val="00B26885"/>
    <w:rsid w:val="00B27194"/>
    <w:rsid w:val="00B35725"/>
    <w:rsid w:val="00B366CB"/>
    <w:rsid w:val="00B401D0"/>
    <w:rsid w:val="00B41641"/>
    <w:rsid w:val="00B53EE8"/>
    <w:rsid w:val="00B5730A"/>
    <w:rsid w:val="00B63303"/>
    <w:rsid w:val="00B63453"/>
    <w:rsid w:val="00B63CD0"/>
    <w:rsid w:val="00B6576B"/>
    <w:rsid w:val="00B666B9"/>
    <w:rsid w:val="00B668FA"/>
    <w:rsid w:val="00B70249"/>
    <w:rsid w:val="00B70861"/>
    <w:rsid w:val="00B717CD"/>
    <w:rsid w:val="00B73999"/>
    <w:rsid w:val="00B74A03"/>
    <w:rsid w:val="00B75527"/>
    <w:rsid w:val="00B7590E"/>
    <w:rsid w:val="00B75D3B"/>
    <w:rsid w:val="00B76579"/>
    <w:rsid w:val="00B76E94"/>
    <w:rsid w:val="00B7781F"/>
    <w:rsid w:val="00B80242"/>
    <w:rsid w:val="00B84522"/>
    <w:rsid w:val="00B86636"/>
    <w:rsid w:val="00B90F16"/>
    <w:rsid w:val="00B93717"/>
    <w:rsid w:val="00B9412E"/>
    <w:rsid w:val="00B94FD3"/>
    <w:rsid w:val="00B96C90"/>
    <w:rsid w:val="00BA05CD"/>
    <w:rsid w:val="00BA12CE"/>
    <w:rsid w:val="00BA2E73"/>
    <w:rsid w:val="00BA31D9"/>
    <w:rsid w:val="00BA3CCE"/>
    <w:rsid w:val="00BA4188"/>
    <w:rsid w:val="00BA4C24"/>
    <w:rsid w:val="00BA61D9"/>
    <w:rsid w:val="00BA6A87"/>
    <w:rsid w:val="00BB0A2C"/>
    <w:rsid w:val="00BB27AF"/>
    <w:rsid w:val="00BB557A"/>
    <w:rsid w:val="00BB7AEA"/>
    <w:rsid w:val="00BB7F7B"/>
    <w:rsid w:val="00BC0DC1"/>
    <w:rsid w:val="00BC11CA"/>
    <w:rsid w:val="00BC2EB2"/>
    <w:rsid w:val="00BC36DF"/>
    <w:rsid w:val="00BC6F49"/>
    <w:rsid w:val="00BD46B7"/>
    <w:rsid w:val="00BD47C2"/>
    <w:rsid w:val="00BD5894"/>
    <w:rsid w:val="00BD5C35"/>
    <w:rsid w:val="00BD742F"/>
    <w:rsid w:val="00BD7F54"/>
    <w:rsid w:val="00BE4A67"/>
    <w:rsid w:val="00BE571D"/>
    <w:rsid w:val="00BE5941"/>
    <w:rsid w:val="00BF05A9"/>
    <w:rsid w:val="00BF5C65"/>
    <w:rsid w:val="00BF68FD"/>
    <w:rsid w:val="00C01BAB"/>
    <w:rsid w:val="00C02009"/>
    <w:rsid w:val="00C041EB"/>
    <w:rsid w:val="00C04317"/>
    <w:rsid w:val="00C0465B"/>
    <w:rsid w:val="00C04D9B"/>
    <w:rsid w:val="00C0592C"/>
    <w:rsid w:val="00C070CE"/>
    <w:rsid w:val="00C07C06"/>
    <w:rsid w:val="00C10B6E"/>
    <w:rsid w:val="00C15D84"/>
    <w:rsid w:val="00C20C52"/>
    <w:rsid w:val="00C22652"/>
    <w:rsid w:val="00C24EE9"/>
    <w:rsid w:val="00C27229"/>
    <w:rsid w:val="00C31176"/>
    <w:rsid w:val="00C31DB0"/>
    <w:rsid w:val="00C37002"/>
    <w:rsid w:val="00C527F1"/>
    <w:rsid w:val="00C52883"/>
    <w:rsid w:val="00C53E4F"/>
    <w:rsid w:val="00C54A27"/>
    <w:rsid w:val="00C557AF"/>
    <w:rsid w:val="00C70C49"/>
    <w:rsid w:val="00C72A52"/>
    <w:rsid w:val="00C737BF"/>
    <w:rsid w:val="00C75019"/>
    <w:rsid w:val="00C80A01"/>
    <w:rsid w:val="00C80B36"/>
    <w:rsid w:val="00C82076"/>
    <w:rsid w:val="00C8514D"/>
    <w:rsid w:val="00C873FA"/>
    <w:rsid w:val="00C91977"/>
    <w:rsid w:val="00C9243E"/>
    <w:rsid w:val="00C92936"/>
    <w:rsid w:val="00C93C5E"/>
    <w:rsid w:val="00C95756"/>
    <w:rsid w:val="00C96BDA"/>
    <w:rsid w:val="00C972DC"/>
    <w:rsid w:val="00CA2387"/>
    <w:rsid w:val="00CB0B34"/>
    <w:rsid w:val="00CB330C"/>
    <w:rsid w:val="00CB33E8"/>
    <w:rsid w:val="00CB382C"/>
    <w:rsid w:val="00CB4FDC"/>
    <w:rsid w:val="00CB5DFA"/>
    <w:rsid w:val="00CB67CE"/>
    <w:rsid w:val="00CB773F"/>
    <w:rsid w:val="00CC65D6"/>
    <w:rsid w:val="00CC7711"/>
    <w:rsid w:val="00CD236B"/>
    <w:rsid w:val="00CD5119"/>
    <w:rsid w:val="00CE01F9"/>
    <w:rsid w:val="00CE058E"/>
    <w:rsid w:val="00CE15A6"/>
    <w:rsid w:val="00CE1636"/>
    <w:rsid w:val="00CE2E8A"/>
    <w:rsid w:val="00CE4CCC"/>
    <w:rsid w:val="00CE5AB6"/>
    <w:rsid w:val="00CF1DD1"/>
    <w:rsid w:val="00CF4ACC"/>
    <w:rsid w:val="00CF6D98"/>
    <w:rsid w:val="00D00BC9"/>
    <w:rsid w:val="00D02772"/>
    <w:rsid w:val="00D03D1A"/>
    <w:rsid w:val="00D041D4"/>
    <w:rsid w:val="00D12743"/>
    <w:rsid w:val="00D1443D"/>
    <w:rsid w:val="00D24640"/>
    <w:rsid w:val="00D30721"/>
    <w:rsid w:val="00D30867"/>
    <w:rsid w:val="00D3303A"/>
    <w:rsid w:val="00D33062"/>
    <w:rsid w:val="00D34A96"/>
    <w:rsid w:val="00D36B2C"/>
    <w:rsid w:val="00D408DD"/>
    <w:rsid w:val="00D41769"/>
    <w:rsid w:val="00D4197D"/>
    <w:rsid w:val="00D43B31"/>
    <w:rsid w:val="00D44688"/>
    <w:rsid w:val="00D451FA"/>
    <w:rsid w:val="00D471BB"/>
    <w:rsid w:val="00D47615"/>
    <w:rsid w:val="00D47F6F"/>
    <w:rsid w:val="00D504A6"/>
    <w:rsid w:val="00D52863"/>
    <w:rsid w:val="00D53148"/>
    <w:rsid w:val="00D563D7"/>
    <w:rsid w:val="00D60EC8"/>
    <w:rsid w:val="00D61B84"/>
    <w:rsid w:val="00D63F5F"/>
    <w:rsid w:val="00D66000"/>
    <w:rsid w:val="00D67F19"/>
    <w:rsid w:val="00D706E6"/>
    <w:rsid w:val="00D71A20"/>
    <w:rsid w:val="00D730D5"/>
    <w:rsid w:val="00D74FDB"/>
    <w:rsid w:val="00D75144"/>
    <w:rsid w:val="00D75E74"/>
    <w:rsid w:val="00D77157"/>
    <w:rsid w:val="00D817FC"/>
    <w:rsid w:val="00D82BBA"/>
    <w:rsid w:val="00D85C3E"/>
    <w:rsid w:val="00D8677E"/>
    <w:rsid w:val="00D87F65"/>
    <w:rsid w:val="00D91E39"/>
    <w:rsid w:val="00D96528"/>
    <w:rsid w:val="00D96C36"/>
    <w:rsid w:val="00DA0F85"/>
    <w:rsid w:val="00DA200C"/>
    <w:rsid w:val="00DB1DF5"/>
    <w:rsid w:val="00DB3DBA"/>
    <w:rsid w:val="00DB4EC5"/>
    <w:rsid w:val="00DB4F60"/>
    <w:rsid w:val="00DB5788"/>
    <w:rsid w:val="00DB69CD"/>
    <w:rsid w:val="00DB6FBE"/>
    <w:rsid w:val="00DB789B"/>
    <w:rsid w:val="00DB7C8A"/>
    <w:rsid w:val="00DC0544"/>
    <w:rsid w:val="00DC0E24"/>
    <w:rsid w:val="00DC17B7"/>
    <w:rsid w:val="00DC1F9D"/>
    <w:rsid w:val="00DC64A1"/>
    <w:rsid w:val="00DC6C2B"/>
    <w:rsid w:val="00DC7336"/>
    <w:rsid w:val="00DD034B"/>
    <w:rsid w:val="00DD1344"/>
    <w:rsid w:val="00DD3020"/>
    <w:rsid w:val="00DD51E9"/>
    <w:rsid w:val="00DE083C"/>
    <w:rsid w:val="00DE1A0C"/>
    <w:rsid w:val="00DE1C77"/>
    <w:rsid w:val="00DE5435"/>
    <w:rsid w:val="00DE5800"/>
    <w:rsid w:val="00DE7308"/>
    <w:rsid w:val="00DF1077"/>
    <w:rsid w:val="00DF1079"/>
    <w:rsid w:val="00DF1918"/>
    <w:rsid w:val="00DF4BF0"/>
    <w:rsid w:val="00DF5AFC"/>
    <w:rsid w:val="00DF5BD5"/>
    <w:rsid w:val="00DF6239"/>
    <w:rsid w:val="00E079D4"/>
    <w:rsid w:val="00E10E95"/>
    <w:rsid w:val="00E11814"/>
    <w:rsid w:val="00E11E19"/>
    <w:rsid w:val="00E1636C"/>
    <w:rsid w:val="00E16C26"/>
    <w:rsid w:val="00E17FD1"/>
    <w:rsid w:val="00E2018A"/>
    <w:rsid w:val="00E209E7"/>
    <w:rsid w:val="00E2351C"/>
    <w:rsid w:val="00E23ABE"/>
    <w:rsid w:val="00E26599"/>
    <w:rsid w:val="00E27853"/>
    <w:rsid w:val="00E27A36"/>
    <w:rsid w:val="00E32515"/>
    <w:rsid w:val="00E35D53"/>
    <w:rsid w:val="00E40025"/>
    <w:rsid w:val="00E426F4"/>
    <w:rsid w:val="00E43D1F"/>
    <w:rsid w:val="00E47972"/>
    <w:rsid w:val="00E52DE8"/>
    <w:rsid w:val="00E53E0B"/>
    <w:rsid w:val="00E545BE"/>
    <w:rsid w:val="00E5601D"/>
    <w:rsid w:val="00E56F97"/>
    <w:rsid w:val="00E57FA3"/>
    <w:rsid w:val="00E6218E"/>
    <w:rsid w:val="00E62759"/>
    <w:rsid w:val="00E62F16"/>
    <w:rsid w:val="00E63580"/>
    <w:rsid w:val="00E63796"/>
    <w:rsid w:val="00E658BE"/>
    <w:rsid w:val="00E71B27"/>
    <w:rsid w:val="00E73C94"/>
    <w:rsid w:val="00E752F0"/>
    <w:rsid w:val="00E76A6E"/>
    <w:rsid w:val="00E81180"/>
    <w:rsid w:val="00E8267D"/>
    <w:rsid w:val="00E82E31"/>
    <w:rsid w:val="00E91575"/>
    <w:rsid w:val="00E961B3"/>
    <w:rsid w:val="00E96E7B"/>
    <w:rsid w:val="00E973B8"/>
    <w:rsid w:val="00E9770D"/>
    <w:rsid w:val="00E977F8"/>
    <w:rsid w:val="00EA3B2A"/>
    <w:rsid w:val="00EA5F96"/>
    <w:rsid w:val="00EA7B86"/>
    <w:rsid w:val="00EA7EC8"/>
    <w:rsid w:val="00EB16C1"/>
    <w:rsid w:val="00EB1C69"/>
    <w:rsid w:val="00EB1E44"/>
    <w:rsid w:val="00EB2C51"/>
    <w:rsid w:val="00EB607D"/>
    <w:rsid w:val="00EC05DC"/>
    <w:rsid w:val="00EC1C96"/>
    <w:rsid w:val="00EC3DCF"/>
    <w:rsid w:val="00EC49AE"/>
    <w:rsid w:val="00EC64D2"/>
    <w:rsid w:val="00EC75AE"/>
    <w:rsid w:val="00ED099B"/>
    <w:rsid w:val="00ED1EE6"/>
    <w:rsid w:val="00ED2A21"/>
    <w:rsid w:val="00ED43DF"/>
    <w:rsid w:val="00ED677B"/>
    <w:rsid w:val="00EE2B9B"/>
    <w:rsid w:val="00EE4C42"/>
    <w:rsid w:val="00EF0F37"/>
    <w:rsid w:val="00EF1B5F"/>
    <w:rsid w:val="00EF1C4E"/>
    <w:rsid w:val="00EF4FF0"/>
    <w:rsid w:val="00EF606F"/>
    <w:rsid w:val="00EF673D"/>
    <w:rsid w:val="00F032DA"/>
    <w:rsid w:val="00F0709A"/>
    <w:rsid w:val="00F121E4"/>
    <w:rsid w:val="00F12DAD"/>
    <w:rsid w:val="00F15002"/>
    <w:rsid w:val="00F22040"/>
    <w:rsid w:val="00F2216F"/>
    <w:rsid w:val="00F2685B"/>
    <w:rsid w:val="00F30312"/>
    <w:rsid w:val="00F355FC"/>
    <w:rsid w:val="00F373DE"/>
    <w:rsid w:val="00F404FD"/>
    <w:rsid w:val="00F406FA"/>
    <w:rsid w:val="00F40FB3"/>
    <w:rsid w:val="00F42581"/>
    <w:rsid w:val="00F45381"/>
    <w:rsid w:val="00F455DD"/>
    <w:rsid w:val="00F4744A"/>
    <w:rsid w:val="00F51C51"/>
    <w:rsid w:val="00F54118"/>
    <w:rsid w:val="00F5570B"/>
    <w:rsid w:val="00F57016"/>
    <w:rsid w:val="00F61ABA"/>
    <w:rsid w:val="00F63D6E"/>
    <w:rsid w:val="00F64CB2"/>
    <w:rsid w:val="00F67467"/>
    <w:rsid w:val="00F70057"/>
    <w:rsid w:val="00F70342"/>
    <w:rsid w:val="00F70440"/>
    <w:rsid w:val="00F7048F"/>
    <w:rsid w:val="00F724C6"/>
    <w:rsid w:val="00F72923"/>
    <w:rsid w:val="00F741B3"/>
    <w:rsid w:val="00F747DB"/>
    <w:rsid w:val="00F776C7"/>
    <w:rsid w:val="00F83367"/>
    <w:rsid w:val="00F84CEB"/>
    <w:rsid w:val="00F86AD1"/>
    <w:rsid w:val="00F96D98"/>
    <w:rsid w:val="00FA0429"/>
    <w:rsid w:val="00FA0826"/>
    <w:rsid w:val="00FA0BE5"/>
    <w:rsid w:val="00FA204E"/>
    <w:rsid w:val="00FA3BF2"/>
    <w:rsid w:val="00FA700D"/>
    <w:rsid w:val="00FA7986"/>
    <w:rsid w:val="00FB5B3A"/>
    <w:rsid w:val="00FC019B"/>
    <w:rsid w:val="00FC162B"/>
    <w:rsid w:val="00FC1820"/>
    <w:rsid w:val="00FC28ED"/>
    <w:rsid w:val="00FC436E"/>
    <w:rsid w:val="00FC65AF"/>
    <w:rsid w:val="00FC7C64"/>
    <w:rsid w:val="00FC7D16"/>
    <w:rsid w:val="00FD00BE"/>
    <w:rsid w:val="00FD2FA3"/>
    <w:rsid w:val="00FD6C8F"/>
    <w:rsid w:val="00FE0501"/>
    <w:rsid w:val="00FE2494"/>
    <w:rsid w:val="00FE5459"/>
    <w:rsid w:val="00FF2228"/>
    <w:rsid w:val="00FF368C"/>
    <w:rsid w:val="00FF38C7"/>
    <w:rsid w:val="00FF3AF0"/>
    <w:rsid w:val="00FF51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B6E7A"/>
  <w15:chartTrackingRefBased/>
  <w15:docId w15:val="{7C1F32EA-D33D-40B6-96CF-44B037D9A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2F0"/>
    <w:pPr>
      <w:spacing w:after="200" w:line="276" w:lineRule="auto"/>
    </w:pPr>
    <w:rPr>
      <w:rFonts w:eastAsiaTheme="minorEastAsia"/>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52F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752F0"/>
  </w:style>
  <w:style w:type="paragraph" w:styleId="Piedepgina">
    <w:name w:val="footer"/>
    <w:basedOn w:val="Normal"/>
    <w:link w:val="PiedepginaCar"/>
    <w:uiPriority w:val="99"/>
    <w:unhideWhenUsed/>
    <w:rsid w:val="00E752F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752F0"/>
  </w:style>
  <w:style w:type="paragraph" w:styleId="Prrafodelista">
    <w:name w:val="List Paragraph"/>
    <w:basedOn w:val="Normal"/>
    <w:uiPriority w:val="34"/>
    <w:qFormat/>
    <w:rsid w:val="001C2304"/>
    <w:pPr>
      <w:ind w:left="720"/>
      <w:contextualSpacing/>
    </w:pPr>
  </w:style>
  <w:style w:type="paragraph" w:styleId="Textodeglobo">
    <w:name w:val="Balloon Text"/>
    <w:basedOn w:val="Normal"/>
    <w:link w:val="TextodegloboCar"/>
    <w:uiPriority w:val="99"/>
    <w:semiHidden/>
    <w:unhideWhenUsed/>
    <w:rsid w:val="009118F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118F6"/>
    <w:rPr>
      <w:rFonts w:ascii="Segoe UI" w:eastAsiaTheme="minorEastAsia" w:hAnsi="Segoe UI" w:cs="Segoe UI"/>
      <w:sz w:val="18"/>
      <w:szCs w:val="18"/>
      <w:lang w:val="es-MX" w:eastAsia="es-MX"/>
    </w:rPr>
  </w:style>
  <w:style w:type="table" w:styleId="Tablaconcuadrcula">
    <w:name w:val="Table Grid"/>
    <w:basedOn w:val="Tablanormal"/>
    <w:uiPriority w:val="39"/>
    <w:rsid w:val="00AA7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3F733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F7337"/>
    <w:rPr>
      <w:rFonts w:eastAsiaTheme="minorEastAsia"/>
      <w:sz w:val="20"/>
      <w:szCs w:val="20"/>
      <w:lang w:val="es-MX" w:eastAsia="es-MX"/>
    </w:rPr>
  </w:style>
  <w:style w:type="character" w:styleId="Refdenotaalpie">
    <w:name w:val="footnote reference"/>
    <w:basedOn w:val="Fuentedeprrafopredeter"/>
    <w:uiPriority w:val="99"/>
    <w:semiHidden/>
    <w:unhideWhenUsed/>
    <w:rsid w:val="003F7337"/>
    <w:rPr>
      <w:vertAlign w:val="superscript"/>
    </w:rPr>
  </w:style>
  <w:style w:type="character" w:styleId="Hipervnculo">
    <w:name w:val="Hyperlink"/>
    <w:basedOn w:val="Fuentedeprrafopredeter"/>
    <w:uiPriority w:val="99"/>
    <w:semiHidden/>
    <w:unhideWhenUsed/>
    <w:rsid w:val="006839F3"/>
    <w:rPr>
      <w:color w:val="0000FF"/>
      <w:u w:val="single"/>
    </w:rPr>
  </w:style>
  <w:style w:type="character" w:styleId="Refdecomentario">
    <w:name w:val="annotation reference"/>
    <w:basedOn w:val="Fuentedeprrafopredeter"/>
    <w:uiPriority w:val="99"/>
    <w:semiHidden/>
    <w:unhideWhenUsed/>
    <w:rsid w:val="0073550C"/>
    <w:rPr>
      <w:sz w:val="16"/>
      <w:szCs w:val="16"/>
    </w:rPr>
  </w:style>
  <w:style w:type="paragraph" w:styleId="Textocomentario">
    <w:name w:val="annotation text"/>
    <w:basedOn w:val="Normal"/>
    <w:link w:val="TextocomentarioCar"/>
    <w:uiPriority w:val="99"/>
    <w:semiHidden/>
    <w:unhideWhenUsed/>
    <w:rsid w:val="0073550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3550C"/>
    <w:rPr>
      <w:rFonts w:eastAsiaTheme="minorEastAsia"/>
      <w:sz w:val="20"/>
      <w:szCs w:val="20"/>
      <w:lang w:val="es-MX" w:eastAsia="es-MX"/>
    </w:rPr>
  </w:style>
  <w:style w:type="paragraph" w:styleId="Asuntodelcomentario">
    <w:name w:val="annotation subject"/>
    <w:basedOn w:val="Textocomentario"/>
    <w:next w:val="Textocomentario"/>
    <w:link w:val="AsuntodelcomentarioCar"/>
    <w:uiPriority w:val="99"/>
    <w:semiHidden/>
    <w:unhideWhenUsed/>
    <w:rsid w:val="0073550C"/>
    <w:rPr>
      <w:b/>
      <w:bCs/>
    </w:rPr>
  </w:style>
  <w:style w:type="character" w:customStyle="1" w:styleId="AsuntodelcomentarioCar">
    <w:name w:val="Asunto del comentario Car"/>
    <w:basedOn w:val="TextocomentarioCar"/>
    <w:link w:val="Asuntodelcomentario"/>
    <w:uiPriority w:val="99"/>
    <w:semiHidden/>
    <w:rsid w:val="0073550C"/>
    <w:rPr>
      <w:rFonts w:eastAsiaTheme="minorEastAsia"/>
      <w:b/>
      <w:bCs/>
      <w:sz w:val="20"/>
      <w:szCs w:val="2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4423">
      <w:bodyDiv w:val="1"/>
      <w:marLeft w:val="0"/>
      <w:marRight w:val="0"/>
      <w:marTop w:val="0"/>
      <w:marBottom w:val="0"/>
      <w:divBdr>
        <w:top w:val="none" w:sz="0" w:space="0" w:color="auto"/>
        <w:left w:val="none" w:sz="0" w:space="0" w:color="auto"/>
        <w:bottom w:val="none" w:sz="0" w:space="0" w:color="auto"/>
        <w:right w:val="none" w:sz="0" w:space="0" w:color="auto"/>
      </w:divBdr>
    </w:div>
    <w:div w:id="108932517">
      <w:bodyDiv w:val="1"/>
      <w:marLeft w:val="0"/>
      <w:marRight w:val="0"/>
      <w:marTop w:val="0"/>
      <w:marBottom w:val="0"/>
      <w:divBdr>
        <w:top w:val="none" w:sz="0" w:space="0" w:color="auto"/>
        <w:left w:val="none" w:sz="0" w:space="0" w:color="auto"/>
        <w:bottom w:val="none" w:sz="0" w:space="0" w:color="auto"/>
        <w:right w:val="none" w:sz="0" w:space="0" w:color="auto"/>
      </w:divBdr>
    </w:div>
    <w:div w:id="139737909">
      <w:bodyDiv w:val="1"/>
      <w:marLeft w:val="0"/>
      <w:marRight w:val="0"/>
      <w:marTop w:val="0"/>
      <w:marBottom w:val="0"/>
      <w:divBdr>
        <w:top w:val="none" w:sz="0" w:space="0" w:color="auto"/>
        <w:left w:val="none" w:sz="0" w:space="0" w:color="auto"/>
        <w:bottom w:val="none" w:sz="0" w:space="0" w:color="auto"/>
        <w:right w:val="none" w:sz="0" w:space="0" w:color="auto"/>
      </w:divBdr>
    </w:div>
    <w:div w:id="232929901">
      <w:bodyDiv w:val="1"/>
      <w:marLeft w:val="0"/>
      <w:marRight w:val="0"/>
      <w:marTop w:val="0"/>
      <w:marBottom w:val="0"/>
      <w:divBdr>
        <w:top w:val="none" w:sz="0" w:space="0" w:color="auto"/>
        <w:left w:val="none" w:sz="0" w:space="0" w:color="auto"/>
        <w:bottom w:val="none" w:sz="0" w:space="0" w:color="auto"/>
        <w:right w:val="none" w:sz="0" w:space="0" w:color="auto"/>
      </w:divBdr>
    </w:div>
    <w:div w:id="260259305">
      <w:bodyDiv w:val="1"/>
      <w:marLeft w:val="0"/>
      <w:marRight w:val="0"/>
      <w:marTop w:val="0"/>
      <w:marBottom w:val="0"/>
      <w:divBdr>
        <w:top w:val="none" w:sz="0" w:space="0" w:color="auto"/>
        <w:left w:val="none" w:sz="0" w:space="0" w:color="auto"/>
        <w:bottom w:val="none" w:sz="0" w:space="0" w:color="auto"/>
        <w:right w:val="none" w:sz="0" w:space="0" w:color="auto"/>
      </w:divBdr>
    </w:div>
    <w:div w:id="377627565">
      <w:bodyDiv w:val="1"/>
      <w:marLeft w:val="0"/>
      <w:marRight w:val="0"/>
      <w:marTop w:val="0"/>
      <w:marBottom w:val="0"/>
      <w:divBdr>
        <w:top w:val="none" w:sz="0" w:space="0" w:color="auto"/>
        <w:left w:val="none" w:sz="0" w:space="0" w:color="auto"/>
        <w:bottom w:val="none" w:sz="0" w:space="0" w:color="auto"/>
        <w:right w:val="none" w:sz="0" w:space="0" w:color="auto"/>
      </w:divBdr>
      <w:divsChild>
        <w:div w:id="180629378">
          <w:marLeft w:val="547"/>
          <w:marRight w:val="0"/>
          <w:marTop w:val="0"/>
          <w:marBottom w:val="0"/>
          <w:divBdr>
            <w:top w:val="none" w:sz="0" w:space="0" w:color="auto"/>
            <w:left w:val="none" w:sz="0" w:space="0" w:color="auto"/>
            <w:bottom w:val="none" w:sz="0" w:space="0" w:color="auto"/>
            <w:right w:val="none" w:sz="0" w:space="0" w:color="auto"/>
          </w:divBdr>
        </w:div>
      </w:divsChild>
    </w:div>
    <w:div w:id="440227514">
      <w:bodyDiv w:val="1"/>
      <w:marLeft w:val="0"/>
      <w:marRight w:val="0"/>
      <w:marTop w:val="0"/>
      <w:marBottom w:val="0"/>
      <w:divBdr>
        <w:top w:val="none" w:sz="0" w:space="0" w:color="auto"/>
        <w:left w:val="none" w:sz="0" w:space="0" w:color="auto"/>
        <w:bottom w:val="none" w:sz="0" w:space="0" w:color="auto"/>
        <w:right w:val="none" w:sz="0" w:space="0" w:color="auto"/>
      </w:divBdr>
    </w:div>
    <w:div w:id="620527044">
      <w:bodyDiv w:val="1"/>
      <w:marLeft w:val="0"/>
      <w:marRight w:val="0"/>
      <w:marTop w:val="0"/>
      <w:marBottom w:val="0"/>
      <w:divBdr>
        <w:top w:val="none" w:sz="0" w:space="0" w:color="auto"/>
        <w:left w:val="none" w:sz="0" w:space="0" w:color="auto"/>
        <w:bottom w:val="none" w:sz="0" w:space="0" w:color="auto"/>
        <w:right w:val="none" w:sz="0" w:space="0" w:color="auto"/>
      </w:divBdr>
    </w:div>
    <w:div w:id="640307042">
      <w:bodyDiv w:val="1"/>
      <w:marLeft w:val="0"/>
      <w:marRight w:val="0"/>
      <w:marTop w:val="0"/>
      <w:marBottom w:val="0"/>
      <w:divBdr>
        <w:top w:val="none" w:sz="0" w:space="0" w:color="auto"/>
        <w:left w:val="none" w:sz="0" w:space="0" w:color="auto"/>
        <w:bottom w:val="none" w:sz="0" w:space="0" w:color="auto"/>
        <w:right w:val="none" w:sz="0" w:space="0" w:color="auto"/>
      </w:divBdr>
    </w:div>
    <w:div w:id="801582632">
      <w:bodyDiv w:val="1"/>
      <w:marLeft w:val="0"/>
      <w:marRight w:val="0"/>
      <w:marTop w:val="0"/>
      <w:marBottom w:val="0"/>
      <w:divBdr>
        <w:top w:val="none" w:sz="0" w:space="0" w:color="auto"/>
        <w:left w:val="none" w:sz="0" w:space="0" w:color="auto"/>
        <w:bottom w:val="none" w:sz="0" w:space="0" w:color="auto"/>
        <w:right w:val="none" w:sz="0" w:space="0" w:color="auto"/>
      </w:divBdr>
    </w:div>
    <w:div w:id="962419475">
      <w:bodyDiv w:val="1"/>
      <w:marLeft w:val="0"/>
      <w:marRight w:val="0"/>
      <w:marTop w:val="0"/>
      <w:marBottom w:val="0"/>
      <w:divBdr>
        <w:top w:val="none" w:sz="0" w:space="0" w:color="auto"/>
        <w:left w:val="none" w:sz="0" w:space="0" w:color="auto"/>
        <w:bottom w:val="none" w:sz="0" w:space="0" w:color="auto"/>
        <w:right w:val="none" w:sz="0" w:space="0" w:color="auto"/>
      </w:divBdr>
    </w:div>
    <w:div w:id="1104301918">
      <w:bodyDiv w:val="1"/>
      <w:marLeft w:val="0"/>
      <w:marRight w:val="0"/>
      <w:marTop w:val="0"/>
      <w:marBottom w:val="0"/>
      <w:divBdr>
        <w:top w:val="none" w:sz="0" w:space="0" w:color="auto"/>
        <w:left w:val="none" w:sz="0" w:space="0" w:color="auto"/>
        <w:bottom w:val="none" w:sz="0" w:space="0" w:color="auto"/>
        <w:right w:val="none" w:sz="0" w:space="0" w:color="auto"/>
      </w:divBdr>
    </w:div>
    <w:div w:id="1128276547">
      <w:bodyDiv w:val="1"/>
      <w:marLeft w:val="0"/>
      <w:marRight w:val="0"/>
      <w:marTop w:val="0"/>
      <w:marBottom w:val="0"/>
      <w:divBdr>
        <w:top w:val="none" w:sz="0" w:space="0" w:color="auto"/>
        <w:left w:val="none" w:sz="0" w:space="0" w:color="auto"/>
        <w:bottom w:val="none" w:sz="0" w:space="0" w:color="auto"/>
        <w:right w:val="none" w:sz="0" w:space="0" w:color="auto"/>
      </w:divBdr>
    </w:div>
    <w:div w:id="1282147318">
      <w:bodyDiv w:val="1"/>
      <w:marLeft w:val="0"/>
      <w:marRight w:val="0"/>
      <w:marTop w:val="0"/>
      <w:marBottom w:val="0"/>
      <w:divBdr>
        <w:top w:val="none" w:sz="0" w:space="0" w:color="auto"/>
        <w:left w:val="none" w:sz="0" w:space="0" w:color="auto"/>
        <w:bottom w:val="none" w:sz="0" w:space="0" w:color="auto"/>
        <w:right w:val="none" w:sz="0" w:space="0" w:color="auto"/>
      </w:divBdr>
    </w:div>
    <w:div w:id="1342126922">
      <w:bodyDiv w:val="1"/>
      <w:marLeft w:val="0"/>
      <w:marRight w:val="0"/>
      <w:marTop w:val="0"/>
      <w:marBottom w:val="0"/>
      <w:divBdr>
        <w:top w:val="none" w:sz="0" w:space="0" w:color="auto"/>
        <w:left w:val="none" w:sz="0" w:space="0" w:color="auto"/>
        <w:bottom w:val="none" w:sz="0" w:space="0" w:color="auto"/>
        <w:right w:val="none" w:sz="0" w:space="0" w:color="auto"/>
      </w:divBdr>
    </w:div>
    <w:div w:id="1373069426">
      <w:bodyDiv w:val="1"/>
      <w:marLeft w:val="0"/>
      <w:marRight w:val="0"/>
      <w:marTop w:val="0"/>
      <w:marBottom w:val="0"/>
      <w:divBdr>
        <w:top w:val="none" w:sz="0" w:space="0" w:color="auto"/>
        <w:left w:val="none" w:sz="0" w:space="0" w:color="auto"/>
        <w:bottom w:val="none" w:sz="0" w:space="0" w:color="auto"/>
        <w:right w:val="none" w:sz="0" w:space="0" w:color="auto"/>
      </w:divBdr>
    </w:div>
    <w:div w:id="1921862741">
      <w:bodyDiv w:val="1"/>
      <w:marLeft w:val="0"/>
      <w:marRight w:val="0"/>
      <w:marTop w:val="0"/>
      <w:marBottom w:val="0"/>
      <w:divBdr>
        <w:top w:val="none" w:sz="0" w:space="0" w:color="auto"/>
        <w:left w:val="none" w:sz="0" w:space="0" w:color="auto"/>
        <w:bottom w:val="none" w:sz="0" w:space="0" w:color="auto"/>
        <w:right w:val="none" w:sz="0" w:space="0" w:color="auto"/>
      </w:divBdr>
    </w:div>
    <w:div w:id="2030330401">
      <w:bodyDiv w:val="1"/>
      <w:marLeft w:val="0"/>
      <w:marRight w:val="0"/>
      <w:marTop w:val="0"/>
      <w:marBottom w:val="0"/>
      <w:divBdr>
        <w:top w:val="none" w:sz="0" w:space="0" w:color="auto"/>
        <w:left w:val="none" w:sz="0" w:space="0" w:color="auto"/>
        <w:bottom w:val="none" w:sz="0" w:space="0" w:color="auto"/>
        <w:right w:val="none" w:sz="0" w:space="0" w:color="auto"/>
      </w:divBdr>
    </w:div>
    <w:div w:id="2083479788">
      <w:bodyDiv w:val="1"/>
      <w:marLeft w:val="0"/>
      <w:marRight w:val="0"/>
      <w:marTop w:val="0"/>
      <w:marBottom w:val="0"/>
      <w:divBdr>
        <w:top w:val="none" w:sz="0" w:space="0" w:color="auto"/>
        <w:left w:val="none" w:sz="0" w:space="0" w:color="auto"/>
        <w:bottom w:val="none" w:sz="0" w:space="0" w:color="auto"/>
        <w:right w:val="none" w:sz="0" w:space="0" w:color="auto"/>
      </w:divBdr>
    </w:div>
    <w:div w:id="209927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0.emf"/><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yperlink" Target="http://plancolima.col.gob.mx/pbrsed/" TargetMode="External"/><Relationship Id="rId25" Type="http://schemas.openxmlformats.org/officeDocument/2006/relationships/image" Target="media/image17.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2.emf"/><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6.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5.emf"/><Relationship Id="rId28" Type="http://schemas.openxmlformats.org/officeDocument/2006/relationships/image" Target="media/image20.png"/><Relationship Id="rId10" Type="http://schemas.openxmlformats.org/officeDocument/2006/relationships/image" Target="media/image3.emf"/><Relationship Id="rId19" Type="http://schemas.openxmlformats.org/officeDocument/2006/relationships/image" Target="media/image11.emf"/><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header" Target="header1.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72EB9-EF30-444A-B0F9-DCE9E098C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108</Pages>
  <Words>34802</Words>
  <Characters>191411</Characters>
  <Application>Microsoft Office Word</Application>
  <DocSecurity>0</DocSecurity>
  <Lines>1595</Lines>
  <Paragraphs>451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Antonio Munguia Rangel</dc:creator>
  <cp:keywords/>
  <dc:description/>
  <cp:lastModifiedBy>PCGerzahin</cp:lastModifiedBy>
  <cp:revision>3</cp:revision>
  <cp:lastPrinted>2020-10-30T12:37:00Z</cp:lastPrinted>
  <dcterms:created xsi:type="dcterms:W3CDTF">2020-11-09T21:49:00Z</dcterms:created>
  <dcterms:modified xsi:type="dcterms:W3CDTF">2020-11-09T21:53:00Z</dcterms:modified>
</cp:coreProperties>
</file>