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41" w:rsidRDefault="00D12F41">
      <w:bookmarkStart w:id="0" w:name="_GoBack"/>
      <w:bookmarkEnd w:id="0"/>
    </w:p>
    <w:p w:rsidR="00D12F41" w:rsidRDefault="00D12F41"/>
    <w:p w:rsidR="00D12F41" w:rsidRDefault="00D12F41"/>
    <w:p w:rsidR="00D12F41" w:rsidRDefault="00D12F41"/>
    <w:p w:rsidR="001A14C5" w:rsidRDefault="001A14C5"/>
    <w:p w:rsidR="001A14C5" w:rsidRDefault="001A14C5"/>
    <w:p w:rsidR="003901F2" w:rsidRDefault="003901F2"/>
    <w:p w:rsidR="003901F2" w:rsidRDefault="003901F2"/>
    <w:p w:rsidR="003901F2" w:rsidRDefault="003901F2"/>
    <w:p w:rsidR="003901F2" w:rsidRDefault="003901F2"/>
    <w:p w:rsidR="003901F2" w:rsidRDefault="003901F2"/>
    <w:p w:rsidR="003901F2" w:rsidRDefault="003901F2"/>
    <w:p w:rsidR="003901F2" w:rsidRDefault="003901F2"/>
    <w:p w:rsidR="003901F2" w:rsidRDefault="003901F2"/>
    <w:p w:rsidR="003901F2" w:rsidRDefault="003901F2"/>
    <w:p w:rsidR="003901F2" w:rsidRPr="003B7F27" w:rsidRDefault="003901F2" w:rsidP="003901F2">
      <w:pPr>
        <w:pStyle w:val="Ttulo1"/>
        <w:spacing w:before="218" w:line="278" w:lineRule="auto"/>
        <w:ind w:right="1269"/>
        <w:rPr>
          <w:rFonts w:ascii="Arial" w:hAnsi="Arial" w:cs="Arial"/>
          <w:b w:val="0"/>
          <w:sz w:val="40"/>
          <w:szCs w:val="40"/>
        </w:rPr>
      </w:pPr>
      <w:r w:rsidRPr="003B7F27">
        <w:rPr>
          <w:rFonts w:ascii="Arial" w:hAnsi="Arial" w:cs="Arial"/>
          <w:b w:val="0"/>
          <w:sz w:val="40"/>
          <w:szCs w:val="40"/>
        </w:rPr>
        <w:t>Norma para armonizar la presentación de la información adicional a la iniciativa de la Ley de Ingresos.</w:t>
      </w:r>
    </w:p>
    <w:p w:rsidR="003901F2" w:rsidRPr="003B7F27" w:rsidRDefault="003901F2" w:rsidP="003901F2">
      <w:pPr>
        <w:pStyle w:val="Textoindependiente"/>
        <w:rPr>
          <w:rFonts w:ascii="Arial" w:hAnsi="Arial" w:cs="Arial"/>
          <w:sz w:val="40"/>
          <w:szCs w:val="40"/>
        </w:rPr>
      </w:pPr>
    </w:p>
    <w:p w:rsidR="003901F2" w:rsidRPr="003B7F27" w:rsidRDefault="003901F2" w:rsidP="003901F2">
      <w:pPr>
        <w:pStyle w:val="Textoindependiente"/>
        <w:rPr>
          <w:sz w:val="40"/>
          <w:szCs w:val="40"/>
        </w:rPr>
      </w:pPr>
    </w:p>
    <w:p w:rsidR="003901F2" w:rsidRPr="003B7F27" w:rsidRDefault="003901F2" w:rsidP="003901F2">
      <w:pPr>
        <w:pStyle w:val="Textoindependiente"/>
        <w:rPr>
          <w:sz w:val="40"/>
          <w:szCs w:val="40"/>
        </w:rPr>
      </w:pPr>
    </w:p>
    <w:p w:rsidR="003901F2" w:rsidRPr="003B7F27" w:rsidRDefault="003901F2" w:rsidP="003901F2">
      <w:pPr>
        <w:pStyle w:val="Textoindependiente"/>
        <w:spacing w:before="5"/>
        <w:rPr>
          <w:sz w:val="40"/>
          <w:szCs w:val="40"/>
        </w:rPr>
      </w:pPr>
    </w:p>
    <w:p w:rsidR="003901F2" w:rsidRPr="003B7F27" w:rsidRDefault="000A2298" w:rsidP="003901F2">
      <w:pPr>
        <w:spacing w:before="1"/>
        <w:ind w:left="482" w:right="1259"/>
        <w:jc w:val="center"/>
        <w:rPr>
          <w:sz w:val="40"/>
          <w:szCs w:val="40"/>
        </w:rPr>
      </w:pPr>
      <w:r w:rsidRPr="003B7F27">
        <w:rPr>
          <w:sz w:val="40"/>
          <w:szCs w:val="40"/>
        </w:rPr>
        <w:t>2021</w:t>
      </w:r>
    </w:p>
    <w:p w:rsidR="001A14C5" w:rsidRPr="003B7F27" w:rsidRDefault="001A14C5">
      <w:pPr>
        <w:rPr>
          <w:sz w:val="40"/>
          <w:szCs w:val="40"/>
        </w:rPr>
      </w:pPr>
    </w:p>
    <w:p w:rsidR="001A14C5" w:rsidRDefault="001A14C5"/>
    <w:p w:rsidR="001A14C5" w:rsidRDefault="001A14C5"/>
    <w:p w:rsidR="001A14C5" w:rsidRDefault="001A14C5"/>
    <w:p w:rsidR="001A14C5" w:rsidRDefault="001A14C5"/>
    <w:p w:rsidR="001A14C5" w:rsidRDefault="001A14C5"/>
    <w:p w:rsidR="001A14C5" w:rsidRDefault="001A14C5"/>
    <w:p w:rsidR="001A14C5" w:rsidRDefault="001A14C5"/>
    <w:p w:rsidR="001A14C5" w:rsidRDefault="001A14C5"/>
    <w:p w:rsidR="001A14C5" w:rsidRDefault="001A14C5"/>
    <w:p w:rsidR="001A14C5" w:rsidRDefault="001A14C5"/>
    <w:p w:rsidR="001A14C5" w:rsidRDefault="001A14C5"/>
    <w:p w:rsidR="001A14C5" w:rsidRDefault="001A14C5"/>
    <w:p w:rsidR="001A14C5" w:rsidRDefault="001A14C5"/>
    <w:p w:rsidR="003901F2" w:rsidRDefault="003901F2"/>
    <w:p w:rsidR="003901F2" w:rsidRDefault="003901F2"/>
    <w:p w:rsidR="003901F2" w:rsidRDefault="003901F2"/>
    <w:p w:rsidR="003901F2" w:rsidRDefault="003901F2"/>
    <w:p w:rsidR="003901F2" w:rsidRDefault="003901F2"/>
    <w:p w:rsidR="003901F2" w:rsidRDefault="003901F2"/>
    <w:p w:rsidR="003901F2" w:rsidRPr="003B7F27" w:rsidRDefault="003901F2" w:rsidP="003901F2">
      <w:pPr>
        <w:pStyle w:val="Textoindependiente"/>
        <w:spacing w:before="148" w:line="276" w:lineRule="auto"/>
        <w:ind w:left="322" w:right="1103" w:firstLine="288"/>
        <w:jc w:val="both"/>
        <w:rPr>
          <w:rFonts w:ascii="Arial" w:hAnsi="Arial" w:cs="Arial"/>
        </w:rPr>
      </w:pPr>
      <w:r w:rsidRPr="003B7F27">
        <w:rPr>
          <w:rFonts w:ascii="Arial" w:hAnsi="Arial" w:cs="Arial"/>
        </w:rPr>
        <w:t>Con fundamento en los artículos 9, fracciones I y IX, 14 y 61, fracción I, último párrafo de la Ley General de Contabilidad Gubernamental y Cuarto Transitorio del Decreto por el que se reforma y adiciona la Ley General de Contabilidad Gubernamental, para transparentar y armonizar la información financiera relativa a la aplicación de recursos públicos en los distintos órdenes de gobierno, publicado en el Diario Oficial de la Federación el 12 de noviembre de 2012 se emite la:</w:t>
      </w:r>
    </w:p>
    <w:p w:rsidR="003901F2" w:rsidRPr="003B7F27" w:rsidRDefault="003901F2" w:rsidP="003901F2">
      <w:pPr>
        <w:pStyle w:val="Ttulo2"/>
        <w:spacing w:before="221" w:line="276" w:lineRule="auto"/>
        <w:ind w:left="322" w:right="1110" w:firstLine="288"/>
        <w:rPr>
          <w:rFonts w:ascii="Arial" w:eastAsia="Times New Roman" w:hAnsi="Arial" w:cs="Arial"/>
          <w:bCs w:val="0"/>
          <w:color w:val="auto"/>
          <w:sz w:val="24"/>
          <w:szCs w:val="24"/>
        </w:rPr>
      </w:pPr>
      <w:r w:rsidRPr="003B7F27">
        <w:rPr>
          <w:rFonts w:ascii="Arial" w:eastAsia="Times New Roman" w:hAnsi="Arial" w:cs="Arial"/>
          <w:bCs w:val="0"/>
          <w:color w:val="auto"/>
          <w:sz w:val="24"/>
          <w:szCs w:val="24"/>
        </w:rPr>
        <w:t>Norma para armonizar la presentación de la información adicional a la iniciativa de la Ley de Ingresos.</w:t>
      </w:r>
    </w:p>
    <w:p w:rsidR="003901F2" w:rsidRPr="003B7F27" w:rsidRDefault="003901F2" w:rsidP="003901F2">
      <w:pPr>
        <w:spacing w:before="100"/>
        <w:ind w:left="610"/>
        <w:rPr>
          <w:b/>
          <w:sz w:val="24"/>
        </w:rPr>
      </w:pPr>
      <w:r w:rsidRPr="003B7F27">
        <w:rPr>
          <w:b/>
          <w:sz w:val="24"/>
        </w:rPr>
        <w:t>Objeto</w:t>
      </w:r>
    </w:p>
    <w:p w:rsidR="003901F2" w:rsidRPr="003B7F27" w:rsidRDefault="003901F2" w:rsidP="003901F2">
      <w:pPr>
        <w:pStyle w:val="Prrafodelista"/>
        <w:numPr>
          <w:ilvl w:val="0"/>
          <w:numId w:val="1"/>
        </w:numPr>
        <w:tabs>
          <w:tab w:val="left" w:pos="1138"/>
        </w:tabs>
        <w:spacing w:before="144" w:line="276" w:lineRule="auto"/>
        <w:ind w:right="1101" w:firstLine="288"/>
        <w:rPr>
          <w:rFonts w:ascii="Arial" w:hAnsi="Arial" w:cs="Arial"/>
          <w:sz w:val="24"/>
        </w:rPr>
      </w:pPr>
      <w:r w:rsidRPr="003B7F27">
        <w:rPr>
          <w:rFonts w:ascii="Arial" w:hAnsi="Arial" w:cs="Arial"/>
          <w:sz w:val="24"/>
        </w:rPr>
        <w:t>Establecer la estructura y contenido de la información adicional que se incluirá en las Leyes de Ingresos para que la información financiera que generen y publiquen los entes obligados sea con base en estructuras y formatos</w:t>
      </w:r>
      <w:r w:rsidRPr="003B7F27">
        <w:rPr>
          <w:rFonts w:ascii="Arial" w:hAnsi="Arial" w:cs="Arial"/>
          <w:spacing w:val="-1"/>
          <w:sz w:val="24"/>
        </w:rPr>
        <w:t xml:space="preserve"> </w:t>
      </w:r>
      <w:r w:rsidRPr="003B7F27">
        <w:rPr>
          <w:rFonts w:ascii="Arial" w:hAnsi="Arial" w:cs="Arial"/>
          <w:sz w:val="24"/>
        </w:rPr>
        <w:t>armonizados.</w:t>
      </w:r>
    </w:p>
    <w:p w:rsidR="003901F2" w:rsidRPr="003B7F27" w:rsidRDefault="003901F2" w:rsidP="003901F2">
      <w:pPr>
        <w:spacing w:before="100"/>
        <w:ind w:left="610"/>
        <w:rPr>
          <w:b/>
          <w:sz w:val="24"/>
        </w:rPr>
      </w:pPr>
      <w:r w:rsidRPr="003B7F27">
        <w:rPr>
          <w:b/>
          <w:sz w:val="24"/>
        </w:rPr>
        <w:t>Ámbito de aplicación</w:t>
      </w:r>
    </w:p>
    <w:p w:rsidR="003901F2" w:rsidRPr="003B7F27" w:rsidRDefault="003901F2" w:rsidP="003901F2">
      <w:pPr>
        <w:pStyle w:val="Prrafodelista"/>
        <w:numPr>
          <w:ilvl w:val="0"/>
          <w:numId w:val="1"/>
        </w:numPr>
        <w:tabs>
          <w:tab w:val="left" w:pos="1138"/>
        </w:tabs>
        <w:spacing w:line="276" w:lineRule="auto"/>
        <w:ind w:right="1103" w:firstLine="288"/>
        <w:rPr>
          <w:rFonts w:ascii="Arial" w:hAnsi="Arial" w:cs="Arial"/>
          <w:sz w:val="24"/>
        </w:rPr>
      </w:pPr>
      <w:r w:rsidRPr="003B7F27">
        <w:rPr>
          <w:rFonts w:ascii="Arial" w:hAnsi="Arial" w:cs="Arial"/>
          <w:sz w:val="24"/>
        </w:rPr>
        <w:t>Las presentes disposiciones serán de observancia obligatoria para la Federación, entidades federativas y los municipios y en su caso, las demarcaciones territoriales del Distrito</w:t>
      </w:r>
      <w:r w:rsidRPr="003B7F27">
        <w:rPr>
          <w:rFonts w:ascii="Arial" w:hAnsi="Arial" w:cs="Arial"/>
          <w:spacing w:val="-1"/>
          <w:sz w:val="24"/>
        </w:rPr>
        <w:t xml:space="preserve"> </w:t>
      </w:r>
      <w:r w:rsidRPr="003B7F27">
        <w:rPr>
          <w:rFonts w:ascii="Arial" w:hAnsi="Arial" w:cs="Arial"/>
          <w:sz w:val="24"/>
        </w:rPr>
        <w:t>Federal.</w:t>
      </w:r>
    </w:p>
    <w:p w:rsidR="003901F2" w:rsidRPr="003B7F27" w:rsidRDefault="003901F2" w:rsidP="003901F2">
      <w:pPr>
        <w:spacing w:before="100"/>
        <w:ind w:left="610"/>
        <w:rPr>
          <w:b/>
          <w:sz w:val="24"/>
        </w:rPr>
      </w:pPr>
      <w:r w:rsidRPr="003B7F27">
        <w:rPr>
          <w:b/>
          <w:sz w:val="24"/>
        </w:rPr>
        <w:t>Normas</w:t>
      </w:r>
    </w:p>
    <w:p w:rsidR="003901F2" w:rsidRPr="003B7F27" w:rsidRDefault="003901F2" w:rsidP="003901F2">
      <w:pPr>
        <w:pStyle w:val="Prrafodelista"/>
        <w:numPr>
          <w:ilvl w:val="0"/>
          <w:numId w:val="1"/>
        </w:numPr>
        <w:tabs>
          <w:tab w:val="left" w:pos="1138"/>
        </w:tabs>
        <w:spacing w:line="276" w:lineRule="auto"/>
        <w:ind w:right="1096" w:firstLine="288"/>
        <w:rPr>
          <w:rFonts w:ascii="Arial" w:hAnsi="Arial" w:cs="Arial"/>
          <w:sz w:val="24"/>
        </w:rPr>
      </w:pPr>
      <w:r w:rsidRPr="003B7F27">
        <w:rPr>
          <w:rFonts w:ascii="Arial" w:hAnsi="Arial" w:cs="Arial"/>
          <w:sz w:val="24"/>
        </w:rPr>
        <w:t>La iniciativa de la Ley de Ingresos se presentará atendiendo a lo dispuesto por el artículo 61 de la Ley General de Contabilidad Gubernamental, y el Clasificador por Rubros de Ingresos, publicado en el Diario Oficial de la Federación el 9 de diciembre de</w:t>
      </w:r>
      <w:r w:rsidRPr="003B7F27">
        <w:rPr>
          <w:rFonts w:ascii="Arial" w:hAnsi="Arial" w:cs="Arial"/>
          <w:spacing w:val="-7"/>
          <w:sz w:val="24"/>
        </w:rPr>
        <w:t xml:space="preserve"> </w:t>
      </w:r>
      <w:r w:rsidRPr="003B7F27">
        <w:rPr>
          <w:rFonts w:ascii="Arial" w:hAnsi="Arial" w:cs="Arial"/>
          <w:sz w:val="24"/>
        </w:rPr>
        <w:t>2009.</w:t>
      </w:r>
    </w:p>
    <w:p w:rsidR="003901F2" w:rsidRPr="003B7F27" w:rsidRDefault="003901F2" w:rsidP="003901F2">
      <w:pPr>
        <w:pStyle w:val="Prrafodelista"/>
        <w:numPr>
          <w:ilvl w:val="0"/>
          <w:numId w:val="1"/>
        </w:numPr>
        <w:tabs>
          <w:tab w:val="left" w:pos="1138"/>
        </w:tabs>
        <w:spacing w:before="101" w:line="276" w:lineRule="auto"/>
        <w:ind w:right="1097" w:firstLine="288"/>
        <w:rPr>
          <w:rFonts w:ascii="Arial" w:hAnsi="Arial" w:cs="Arial"/>
          <w:sz w:val="24"/>
        </w:rPr>
      </w:pPr>
      <w:r w:rsidRPr="003B7F27">
        <w:rPr>
          <w:rFonts w:ascii="Arial" w:hAnsi="Arial" w:cs="Arial"/>
          <w:sz w:val="24"/>
        </w:rPr>
        <w:t>Para el caso de la Federación la información a que se refiere esta norma se realizará de conformidad con lo establecido en la Ley Federal de Presupuesto y Responsabilidad</w:t>
      </w:r>
      <w:r w:rsidRPr="003B7F27">
        <w:rPr>
          <w:rFonts w:ascii="Arial" w:hAnsi="Arial" w:cs="Arial"/>
          <w:spacing w:val="-1"/>
          <w:sz w:val="24"/>
        </w:rPr>
        <w:t xml:space="preserve"> </w:t>
      </w:r>
      <w:r w:rsidRPr="003B7F27">
        <w:rPr>
          <w:rFonts w:ascii="Arial" w:hAnsi="Arial" w:cs="Arial"/>
          <w:sz w:val="24"/>
        </w:rPr>
        <w:t>Hacendaria.</w:t>
      </w:r>
    </w:p>
    <w:p w:rsidR="003901F2" w:rsidRPr="003B7F27" w:rsidRDefault="003901F2" w:rsidP="003901F2">
      <w:pPr>
        <w:spacing w:before="100"/>
        <w:ind w:left="610"/>
        <w:rPr>
          <w:b/>
          <w:sz w:val="24"/>
        </w:rPr>
      </w:pPr>
      <w:r w:rsidRPr="003B7F27">
        <w:rPr>
          <w:b/>
          <w:sz w:val="24"/>
        </w:rPr>
        <w:t>Precisiones al Formato</w:t>
      </w:r>
    </w:p>
    <w:p w:rsidR="003901F2" w:rsidRPr="003B7F27" w:rsidRDefault="003901F2" w:rsidP="003901F2">
      <w:pPr>
        <w:pStyle w:val="Prrafodelista"/>
        <w:numPr>
          <w:ilvl w:val="0"/>
          <w:numId w:val="1"/>
        </w:numPr>
        <w:tabs>
          <w:tab w:val="left" w:pos="1137"/>
          <w:tab w:val="left" w:pos="1138"/>
        </w:tabs>
        <w:ind w:left="1138"/>
        <w:jc w:val="left"/>
        <w:rPr>
          <w:rFonts w:ascii="Arial" w:hAnsi="Arial" w:cs="Arial"/>
          <w:sz w:val="24"/>
        </w:rPr>
      </w:pPr>
      <w:r w:rsidRPr="003B7F27">
        <w:rPr>
          <w:rFonts w:ascii="Arial" w:hAnsi="Arial" w:cs="Arial"/>
          <w:sz w:val="24"/>
        </w:rPr>
        <w:t>Se deberá de considerar lo</w:t>
      </w:r>
      <w:r w:rsidRPr="003B7F27">
        <w:rPr>
          <w:rFonts w:ascii="Arial" w:hAnsi="Arial" w:cs="Arial"/>
          <w:spacing w:val="-5"/>
          <w:sz w:val="24"/>
        </w:rPr>
        <w:t xml:space="preserve"> </w:t>
      </w:r>
      <w:r w:rsidRPr="003B7F27">
        <w:rPr>
          <w:rFonts w:ascii="Arial" w:hAnsi="Arial" w:cs="Arial"/>
          <w:sz w:val="24"/>
        </w:rPr>
        <w:t>siguiente:</w:t>
      </w:r>
    </w:p>
    <w:p w:rsidR="003901F2" w:rsidRDefault="003901F2" w:rsidP="003901F2">
      <w:pPr>
        <w:pStyle w:val="Textoindependiente"/>
        <w:spacing w:before="148" w:line="276" w:lineRule="auto"/>
        <w:ind w:left="322" w:right="1103" w:firstLine="288"/>
        <w:jc w:val="both"/>
        <w:rPr>
          <w:rFonts w:ascii="Arial" w:hAnsi="Arial" w:cs="Arial"/>
        </w:rPr>
      </w:pPr>
      <w:r w:rsidRPr="003B7F27">
        <w:rPr>
          <w:rFonts w:ascii="Arial" w:hAnsi="Arial" w:cs="Arial"/>
        </w:rPr>
        <w:t>Presentar con la apertura del Clasificador por Rubros de Ingresos, como     mínimo al segundo nivel (tipo), incluyendo sus importes.</w:t>
      </w:r>
    </w:p>
    <w:p w:rsidR="003B7F27" w:rsidRPr="003B7F27" w:rsidRDefault="003B7F27" w:rsidP="003901F2">
      <w:pPr>
        <w:pStyle w:val="Textoindependiente"/>
        <w:spacing w:before="148" w:line="276" w:lineRule="auto"/>
        <w:ind w:left="322" w:right="1103" w:firstLine="288"/>
        <w:jc w:val="both"/>
        <w:rPr>
          <w:rFonts w:ascii="Arial" w:hAnsi="Arial" w:cs="Arial"/>
        </w:rPr>
      </w:pPr>
    </w:p>
    <w:p w:rsidR="003B7F27" w:rsidRDefault="0096558B" w:rsidP="003901F2">
      <w:pPr>
        <w:pStyle w:val="Textoindependiente"/>
        <w:spacing w:before="148" w:line="276" w:lineRule="auto"/>
        <w:ind w:left="322" w:right="1103" w:firstLine="288"/>
        <w:jc w:val="both"/>
        <w:rPr>
          <w:rFonts w:ascii="Arial" w:hAnsi="Arial" w:cs="Arial"/>
        </w:rPr>
      </w:pPr>
      <w:r w:rsidRPr="0096558B">
        <w:drawing>
          <wp:inline distT="0" distB="0" distL="0" distR="0">
            <wp:extent cx="5438775" cy="6885305"/>
            <wp:effectExtent l="19050" t="0" r="9525" b="0"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88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F27" w:rsidRDefault="003B7F27" w:rsidP="003901F2">
      <w:pPr>
        <w:pStyle w:val="Textoindependiente"/>
        <w:spacing w:before="148" w:line="276" w:lineRule="auto"/>
        <w:ind w:left="322" w:right="1103" w:firstLine="288"/>
        <w:jc w:val="both"/>
        <w:rPr>
          <w:rFonts w:ascii="Arial" w:hAnsi="Arial" w:cs="Arial"/>
        </w:rPr>
      </w:pPr>
    </w:p>
    <w:p w:rsidR="009A40FB" w:rsidRDefault="009A40FB" w:rsidP="003901F2">
      <w:pPr>
        <w:pStyle w:val="Textoindependiente"/>
        <w:spacing w:before="148" w:line="276" w:lineRule="auto"/>
        <w:ind w:left="322" w:right="1103" w:firstLine="288"/>
        <w:jc w:val="both"/>
        <w:rPr>
          <w:rFonts w:ascii="Arial" w:hAnsi="Arial" w:cs="Arial"/>
        </w:rPr>
      </w:pPr>
    </w:p>
    <w:p w:rsidR="009A40FB" w:rsidRDefault="009A40FB" w:rsidP="003901F2">
      <w:pPr>
        <w:pStyle w:val="Textoindependiente"/>
        <w:spacing w:before="148" w:line="276" w:lineRule="auto"/>
        <w:ind w:left="322" w:right="1103" w:firstLine="288"/>
        <w:jc w:val="both"/>
        <w:rPr>
          <w:rFonts w:ascii="Arial" w:hAnsi="Arial" w:cs="Arial"/>
        </w:rPr>
      </w:pPr>
    </w:p>
    <w:p w:rsidR="009A40FB" w:rsidRDefault="0096558B" w:rsidP="003901F2">
      <w:pPr>
        <w:pStyle w:val="Textoindependiente"/>
        <w:spacing w:before="148" w:line="276" w:lineRule="auto"/>
        <w:ind w:left="322" w:right="1103" w:firstLine="288"/>
        <w:jc w:val="both"/>
        <w:rPr>
          <w:rFonts w:ascii="Arial" w:hAnsi="Arial" w:cs="Arial"/>
        </w:rPr>
      </w:pPr>
      <w:r w:rsidRPr="0096558B">
        <w:drawing>
          <wp:inline distT="0" distB="0" distL="0" distR="0">
            <wp:extent cx="5438775" cy="6298565"/>
            <wp:effectExtent l="19050" t="0" r="9525" b="0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29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0FB" w:rsidSect="00812566">
      <w:footerReference w:type="default" r:id="rId9"/>
      <w:pgSz w:w="12240" w:h="15840"/>
      <w:pgMar w:top="181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E3" w:rsidRDefault="00264EE3" w:rsidP="005B137C">
      <w:r>
        <w:separator/>
      </w:r>
    </w:p>
  </w:endnote>
  <w:endnote w:type="continuationSeparator" w:id="0">
    <w:p w:rsidR="00264EE3" w:rsidRDefault="00264EE3" w:rsidP="005B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-Medium">
    <w:altName w:val="Bodoni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F5" w:rsidRDefault="002205F5">
    <w:pPr>
      <w:pStyle w:val="Piedepgina"/>
      <w:rPr>
        <w:noProof/>
        <w:lang w:eastAsia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-485775</wp:posOffset>
          </wp:positionV>
          <wp:extent cx="7727985" cy="124777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8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3CCA" w:rsidRPr="00143CCA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58.95pt;margin-top:-2.25pt;width:328.5pt;height:57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" filled="f" stroked="f">
          <v:textbox>
            <w:txbxContent>
              <w:p w:rsidR="002205F5" w:rsidRPr="002D0652" w:rsidRDefault="002205F5" w:rsidP="00E832D1">
                <w:pPr>
                  <w:jc w:val="center"/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</w:pPr>
                <w:r w:rsidRPr="002D0652"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 xml:space="preserve">Complejo Administrativo de Gobierno del Estado, Edificio C, primer piso, 3er Anillo Periférico, Esq. Ejército Mexicano S/N Colonia El Diezmo C.P. 28010 Colima, Colima, México. Tel. +52 (312) 31 62000 EXT. </w:t>
                </w:r>
                <w:r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>21301</w:t>
                </w:r>
                <w:r w:rsidRPr="002D0652"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 xml:space="preserve"> y </w:t>
                </w:r>
                <w:r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>21302</w:t>
                </w:r>
                <w:r w:rsidRPr="002D0652"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>.</w:t>
                </w:r>
                <w:r>
                  <w:rPr>
                    <w:rFonts w:ascii="Colaborate-Medium" w:hAnsi="Colaborate-Medium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r w:rsidRPr="007204AD">
                  <w:rPr>
                    <w:rFonts w:ascii="Colaborate-Medium" w:hAnsi="Colaborate-Medium"/>
                    <w:b/>
                    <w:color w:val="7F7F7F" w:themeColor="text1" w:themeTint="80"/>
                    <w:sz w:val="18"/>
                    <w:szCs w:val="18"/>
                  </w:rPr>
                  <w:t>www.colima-estado.gob.mx</w:t>
                </w:r>
              </w:p>
            </w:txbxContent>
          </v:textbox>
        </v:shape>
      </w:pict>
    </w:r>
    <w:r w:rsidRPr="002178FE">
      <w:rPr>
        <w:noProof/>
        <w:lang w:val="es-MX" w:eastAsia="es-MX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-1082350</wp:posOffset>
          </wp:positionH>
          <wp:positionV relativeFrom="paragraph">
            <wp:posOffset>-9427313</wp:posOffset>
          </wp:positionV>
          <wp:extent cx="7774615" cy="1499190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4615" cy="1499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05F5" w:rsidRDefault="002205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E3" w:rsidRDefault="00264EE3" w:rsidP="005B137C">
      <w:r>
        <w:separator/>
      </w:r>
    </w:p>
  </w:footnote>
  <w:footnote w:type="continuationSeparator" w:id="0">
    <w:p w:rsidR="00264EE3" w:rsidRDefault="00264EE3" w:rsidP="005B1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55A"/>
    <w:multiLevelType w:val="hybridMultilevel"/>
    <w:tmpl w:val="664036C2"/>
    <w:lvl w:ilvl="0" w:tplc="11483762">
      <w:start w:val="1"/>
      <w:numFmt w:val="decimal"/>
      <w:lvlText w:val="%1."/>
      <w:lvlJc w:val="left"/>
      <w:pPr>
        <w:ind w:left="322" w:hanging="5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s-ES" w:eastAsia="es-ES" w:bidi="es-ES"/>
      </w:rPr>
    </w:lvl>
    <w:lvl w:ilvl="1" w:tplc="218092B8">
      <w:numFmt w:val="bullet"/>
      <w:lvlText w:val="•"/>
      <w:lvlJc w:val="left"/>
      <w:pPr>
        <w:ind w:left="1314" w:hanging="528"/>
      </w:pPr>
      <w:rPr>
        <w:rFonts w:hint="default"/>
        <w:lang w:val="es-ES" w:eastAsia="es-ES" w:bidi="es-ES"/>
      </w:rPr>
    </w:lvl>
    <w:lvl w:ilvl="2" w:tplc="0130E08A">
      <w:numFmt w:val="bullet"/>
      <w:lvlText w:val="•"/>
      <w:lvlJc w:val="left"/>
      <w:pPr>
        <w:ind w:left="2308" w:hanging="528"/>
      </w:pPr>
      <w:rPr>
        <w:rFonts w:hint="default"/>
        <w:lang w:val="es-ES" w:eastAsia="es-ES" w:bidi="es-ES"/>
      </w:rPr>
    </w:lvl>
    <w:lvl w:ilvl="3" w:tplc="96104E12">
      <w:numFmt w:val="bullet"/>
      <w:lvlText w:val="•"/>
      <w:lvlJc w:val="left"/>
      <w:pPr>
        <w:ind w:left="3302" w:hanging="528"/>
      </w:pPr>
      <w:rPr>
        <w:rFonts w:hint="default"/>
        <w:lang w:val="es-ES" w:eastAsia="es-ES" w:bidi="es-ES"/>
      </w:rPr>
    </w:lvl>
    <w:lvl w:ilvl="4" w:tplc="5E181450">
      <w:numFmt w:val="bullet"/>
      <w:lvlText w:val="•"/>
      <w:lvlJc w:val="left"/>
      <w:pPr>
        <w:ind w:left="4296" w:hanging="528"/>
      </w:pPr>
      <w:rPr>
        <w:rFonts w:hint="default"/>
        <w:lang w:val="es-ES" w:eastAsia="es-ES" w:bidi="es-ES"/>
      </w:rPr>
    </w:lvl>
    <w:lvl w:ilvl="5" w:tplc="BDE81916">
      <w:numFmt w:val="bullet"/>
      <w:lvlText w:val="•"/>
      <w:lvlJc w:val="left"/>
      <w:pPr>
        <w:ind w:left="5290" w:hanging="528"/>
      </w:pPr>
      <w:rPr>
        <w:rFonts w:hint="default"/>
        <w:lang w:val="es-ES" w:eastAsia="es-ES" w:bidi="es-ES"/>
      </w:rPr>
    </w:lvl>
    <w:lvl w:ilvl="6" w:tplc="CCFA2D0E">
      <w:numFmt w:val="bullet"/>
      <w:lvlText w:val="•"/>
      <w:lvlJc w:val="left"/>
      <w:pPr>
        <w:ind w:left="6284" w:hanging="528"/>
      </w:pPr>
      <w:rPr>
        <w:rFonts w:hint="default"/>
        <w:lang w:val="es-ES" w:eastAsia="es-ES" w:bidi="es-ES"/>
      </w:rPr>
    </w:lvl>
    <w:lvl w:ilvl="7" w:tplc="D20A534E">
      <w:numFmt w:val="bullet"/>
      <w:lvlText w:val="•"/>
      <w:lvlJc w:val="left"/>
      <w:pPr>
        <w:ind w:left="7278" w:hanging="528"/>
      </w:pPr>
      <w:rPr>
        <w:rFonts w:hint="default"/>
        <w:lang w:val="es-ES" w:eastAsia="es-ES" w:bidi="es-ES"/>
      </w:rPr>
    </w:lvl>
    <w:lvl w:ilvl="8" w:tplc="4336D8FA">
      <w:numFmt w:val="bullet"/>
      <w:lvlText w:val="•"/>
      <w:lvlJc w:val="left"/>
      <w:pPr>
        <w:ind w:left="8272" w:hanging="52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137C"/>
    <w:rsid w:val="0002103A"/>
    <w:rsid w:val="000A2298"/>
    <w:rsid w:val="000F6392"/>
    <w:rsid w:val="00121016"/>
    <w:rsid w:val="0013364F"/>
    <w:rsid w:val="00143CCA"/>
    <w:rsid w:val="00155EDF"/>
    <w:rsid w:val="0018568B"/>
    <w:rsid w:val="00191425"/>
    <w:rsid w:val="001A14C5"/>
    <w:rsid w:val="001B5910"/>
    <w:rsid w:val="001D5BF0"/>
    <w:rsid w:val="002178FE"/>
    <w:rsid w:val="002205F5"/>
    <w:rsid w:val="002328F0"/>
    <w:rsid w:val="0026346B"/>
    <w:rsid w:val="00264EE3"/>
    <w:rsid w:val="002D0652"/>
    <w:rsid w:val="002F1B34"/>
    <w:rsid w:val="00327353"/>
    <w:rsid w:val="003866C7"/>
    <w:rsid w:val="003901F2"/>
    <w:rsid w:val="00393881"/>
    <w:rsid w:val="003B7F27"/>
    <w:rsid w:val="003C1772"/>
    <w:rsid w:val="003F30A0"/>
    <w:rsid w:val="0046663D"/>
    <w:rsid w:val="00473B88"/>
    <w:rsid w:val="004D18E9"/>
    <w:rsid w:val="004D2F38"/>
    <w:rsid w:val="004E7A18"/>
    <w:rsid w:val="00514904"/>
    <w:rsid w:val="005502EB"/>
    <w:rsid w:val="00570092"/>
    <w:rsid w:val="00581805"/>
    <w:rsid w:val="00582C4D"/>
    <w:rsid w:val="00585E3D"/>
    <w:rsid w:val="005938BF"/>
    <w:rsid w:val="005B08F2"/>
    <w:rsid w:val="005B137C"/>
    <w:rsid w:val="00637190"/>
    <w:rsid w:val="0064623A"/>
    <w:rsid w:val="0066607B"/>
    <w:rsid w:val="0067286C"/>
    <w:rsid w:val="00673928"/>
    <w:rsid w:val="0068323E"/>
    <w:rsid w:val="00684BE0"/>
    <w:rsid w:val="006A4F1D"/>
    <w:rsid w:val="006A67AC"/>
    <w:rsid w:val="006D1377"/>
    <w:rsid w:val="006D137B"/>
    <w:rsid w:val="006F336B"/>
    <w:rsid w:val="00702FD3"/>
    <w:rsid w:val="007A020D"/>
    <w:rsid w:val="007B64C1"/>
    <w:rsid w:val="007D09E3"/>
    <w:rsid w:val="007E121C"/>
    <w:rsid w:val="007F1AC8"/>
    <w:rsid w:val="007F7B40"/>
    <w:rsid w:val="00812566"/>
    <w:rsid w:val="00816E91"/>
    <w:rsid w:val="00852328"/>
    <w:rsid w:val="00882F7F"/>
    <w:rsid w:val="008E5F1F"/>
    <w:rsid w:val="00942CCB"/>
    <w:rsid w:val="0096558B"/>
    <w:rsid w:val="00987ACA"/>
    <w:rsid w:val="00987B73"/>
    <w:rsid w:val="00991AE3"/>
    <w:rsid w:val="009A40FB"/>
    <w:rsid w:val="009D1EEF"/>
    <w:rsid w:val="009D452D"/>
    <w:rsid w:val="009F06DA"/>
    <w:rsid w:val="00A71A37"/>
    <w:rsid w:val="00A77228"/>
    <w:rsid w:val="00A926A5"/>
    <w:rsid w:val="00AB62B5"/>
    <w:rsid w:val="00AC4ED4"/>
    <w:rsid w:val="00AF1040"/>
    <w:rsid w:val="00B96C6B"/>
    <w:rsid w:val="00BC6113"/>
    <w:rsid w:val="00BC6362"/>
    <w:rsid w:val="00BD7799"/>
    <w:rsid w:val="00C12D04"/>
    <w:rsid w:val="00C23061"/>
    <w:rsid w:val="00C93CF7"/>
    <w:rsid w:val="00CF719C"/>
    <w:rsid w:val="00D12F41"/>
    <w:rsid w:val="00D13ADE"/>
    <w:rsid w:val="00D47959"/>
    <w:rsid w:val="00DE5D2D"/>
    <w:rsid w:val="00E832D1"/>
    <w:rsid w:val="00ED32B3"/>
    <w:rsid w:val="00FA49F8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3901F2"/>
    <w:pPr>
      <w:spacing w:before="149"/>
      <w:ind w:left="482" w:right="97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01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3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37C"/>
  </w:style>
  <w:style w:type="paragraph" w:styleId="Piedepgina">
    <w:name w:val="footer"/>
    <w:basedOn w:val="Normal"/>
    <w:link w:val="PiedepginaCar"/>
    <w:uiPriority w:val="99"/>
    <w:unhideWhenUsed/>
    <w:rsid w:val="005B13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37C"/>
  </w:style>
  <w:style w:type="paragraph" w:styleId="Textodeglobo">
    <w:name w:val="Balloon Text"/>
    <w:basedOn w:val="Normal"/>
    <w:link w:val="TextodegloboCar"/>
    <w:uiPriority w:val="99"/>
    <w:semiHidden/>
    <w:unhideWhenUsed/>
    <w:rsid w:val="005B1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37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901F2"/>
    <w:rPr>
      <w:rFonts w:ascii="Times New Roman" w:eastAsia="Times New Roman" w:hAnsi="Times New Roman" w:cs="Times New Roman"/>
      <w:b/>
      <w:bCs/>
      <w:sz w:val="28"/>
      <w:szCs w:val="28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901F2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01F2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0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3901F2"/>
    <w:pPr>
      <w:spacing w:before="142"/>
      <w:ind w:left="322" w:firstLine="28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125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cbueno</cp:lastModifiedBy>
  <cp:revision>5</cp:revision>
  <cp:lastPrinted>2021-01-29T21:36:00Z</cp:lastPrinted>
  <dcterms:created xsi:type="dcterms:W3CDTF">2021-01-29T18:47:00Z</dcterms:created>
  <dcterms:modified xsi:type="dcterms:W3CDTF">2021-01-29T21:40:00Z</dcterms:modified>
</cp:coreProperties>
</file>