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92FB50" w14:textId="77777777" w:rsidR="00E97953" w:rsidRPr="00A55906" w:rsidRDefault="00E97953" w:rsidP="00A3747F">
      <w:pPr>
        <w:rPr>
          <w:rFonts w:cs="Arial"/>
        </w:rPr>
      </w:pPr>
    </w:p>
    <w:p w14:paraId="1BBC3B40" w14:textId="77777777" w:rsidR="00F27A0D" w:rsidRPr="00A55906" w:rsidRDefault="00F27A0D" w:rsidP="00A3747F">
      <w:pPr>
        <w:rPr>
          <w:rFonts w:cs="Arial"/>
        </w:rPr>
      </w:pPr>
    </w:p>
    <w:p w14:paraId="1F39CBA3" w14:textId="77777777" w:rsidR="00F27A0D" w:rsidRPr="00A55906" w:rsidRDefault="00F27A0D" w:rsidP="00A3747F">
      <w:pPr>
        <w:rPr>
          <w:rFonts w:cs="Arial"/>
        </w:rPr>
      </w:pPr>
    </w:p>
    <w:p w14:paraId="0745E756" w14:textId="5F0E164A" w:rsidR="00F27A0D" w:rsidRDefault="00F27A0D" w:rsidP="00A3747F">
      <w:pPr>
        <w:rPr>
          <w:rFonts w:cs="Arial"/>
        </w:rPr>
      </w:pPr>
    </w:p>
    <w:p w14:paraId="3A7A05BA" w14:textId="22FB432A" w:rsidR="000D399D" w:rsidRDefault="000D399D" w:rsidP="00A3747F">
      <w:pPr>
        <w:rPr>
          <w:rFonts w:cs="Arial"/>
        </w:rPr>
      </w:pPr>
    </w:p>
    <w:p w14:paraId="1C4C63F9" w14:textId="4E226B2B" w:rsidR="000D399D" w:rsidRDefault="000D399D" w:rsidP="00A3747F">
      <w:pPr>
        <w:rPr>
          <w:rFonts w:cs="Arial"/>
        </w:rPr>
      </w:pPr>
    </w:p>
    <w:p w14:paraId="19763B06" w14:textId="2C58BC5D" w:rsidR="000D399D" w:rsidRDefault="000D399D" w:rsidP="00A3747F">
      <w:pPr>
        <w:rPr>
          <w:rFonts w:cs="Arial"/>
        </w:rPr>
      </w:pPr>
    </w:p>
    <w:p w14:paraId="633F05E3" w14:textId="760CF42D" w:rsidR="000D399D" w:rsidRDefault="000D399D" w:rsidP="00A3747F">
      <w:pPr>
        <w:rPr>
          <w:rFonts w:cs="Arial"/>
        </w:rPr>
      </w:pPr>
    </w:p>
    <w:p w14:paraId="6A004F84" w14:textId="39E93091" w:rsidR="000D399D" w:rsidRDefault="000D399D" w:rsidP="00A3747F">
      <w:pPr>
        <w:rPr>
          <w:rFonts w:cs="Arial"/>
        </w:rPr>
      </w:pPr>
    </w:p>
    <w:p w14:paraId="1FDC45A1" w14:textId="10E6E32F" w:rsidR="000D399D" w:rsidRDefault="000D399D" w:rsidP="00A3747F">
      <w:pPr>
        <w:rPr>
          <w:rFonts w:cs="Arial"/>
        </w:rPr>
      </w:pPr>
    </w:p>
    <w:p w14:paraId="04A631F5" w14:textId="40BF9BDC" w:rsidR="000D399D" w:rsidRDefault="000D399D" w:rsidP="00A3747F">
      <w:pPr>
        <w:rPr>
          <w:rFonts w:cs="Arial"/>
        </w:rPr>
      </w:pPr>
    </w:p>
    <w:p w14:paraId="11CB1560" w14:textId="14E0B3A2" w:rsidR="000D399D" w:rsidRDefault="000D399D" w:rsidP="00A3747F">
      <w:pPr>
        <w:rPr>
          <w:rFonts w:cs="Arial"/>
        </w:rPr>
      </w:pPr>
    </w:p>
    <w:p w14:paraId="0B57FAE3" w14:textId="77777777" w:rsidR="000D399D" w:rsidRPr="00A55906" w:rsidRDefault="000D399D" w:rsidP="00A3747F">
      <w:pPr>
        <w:rPr>
          <w:rFonts w:cs="Arial"/>
        </w:rPr>
      </w:pPr>
    </w:p>
    <w:p w14:paraId="1FC88DC9" w14:textId="77777777" w:rsidR="00F27A0D" w:rsidRPr="00A55906" w:rsidRDefault="00F27A0D" w:rsidP="00A3747F">
      <w:pPr>
        <w:rPr>
          <w:rFonts w:cs="Arial"/>
        </w:rPr>
      </w:pPr>
    </w:p>
    <w:p w14:paraId="6BF40CB1" w14:textId="77777777" w:rsidR="00F27A0D" w:rsidRPr="00A55906" w:rsidRDefault="00F27A0D" w:rsidP="00A3747F">
      <w:pPr>
        <w:rPr>
          <w:rFonts w:cs="Arial"/>
        </w:rPr>
      </w:pPr>
    </w:p>
    <w:p w14:paraId="0C97D6BE" w14:textId="77777777" w:rsidR="00F27A0D" w:rsidRPr="00A55906" w:rsidRDefault="00F27A0D" w:rsidP="00A3747F">
      <w:pPr>
        <w:rPr>
          <w:rFonts w:cs="Arial"/>
        </w:rPr>
      </w:pPr>
    </w:p>
    <w:p w14:paraId="3815F4FD" w14:textId="77777777" w:rsidR="00F27A0D" w:rsidRPr="00A55906" w:rsidRDefault="00F27A0D" w:rsidP="00A3747F">
      <w:pPr>
        <w:rPr>
          <w:rFonts w:cs="Arial"/>
        </w:rPr>
      </w:pPr>
    </w:p>
    <w:p w14:paraId="3D647011" w14:textId="2DF0A13B" w:rsidR="00F27A0D" w:rsidRPr="00D203EF" w:rsidRDefault="00F27A0D" w:rsidP="00A3747F">
      <w:pPr>
        <w:ind w:left="1418" w:right="849"/>
        <w:jc w:val="center"/>
        <w:rPr>
          <w:rFonts w:cs="Arial"/>
          <w:b/>
          <w:sz w:val="40"/>
        </w:rPr>
      </w:pPr>
      <w:r w:rsidRPr="00D203EF">
        <w:rPr>
          <w:rFonts w:cs="Arial"/>
          <w:b/>
          <w:sz w:val="40"/>
        </w:rPr>
        <w:t>PRESUPUESTO DE EGRESOS DEL ESTADO DE COLI</w:t>
      </w:r>
      <w:r w:rsidR="00FD44CB" w:rsidRPr="00D203EF">
        <w:rPr>
          <w:rFonts w:cs="Arial"/>
          <w:b/>
          <w:sz w:val="40"/>
        </w:rPr>
        <w:t>MA PARA EL EJERCICIO FISCAL 202</w:t>
      </w:r>
      <w:r w:rsidR="00D5361C" w:rsidRPr="00D203EF">
        <w:rPr>
          <w:rFonts w:cs="Arial"/>
          <w:b/>
          <w:sz w:val="40"/>
        </w:rPr>
        <w:t>3</w:t>
      </w:r>
    </w:p>
    <w:p w14:paraId="512C1411" w14:textId="77777777" w:rsidR="004114BA" w:rsidRPr="00A55906" w:rsidRDefault="004114BA" w:rsidP="00A3747F">
      <w:pPr>
        <w:rPr>
          <w:rFonts w:cs="Arial"/>
        </w:rPr>
      </w:pPr>
    </w:p>
    <w:p w14:paraId="230AAC7D" w14:textId="77777777" w:rsidR="00F27A0D" w:rsidRPr="00A55906" w:rsidRDefault="00F27A0D" w:rsidP="00A3747F">
      <w:pPr>
        <w:rPr>
          <w:rFonts w:cs="Arial"/>
        </w:rPr>
      </w:pPr>
    </w:p>
    <w:p w14:paraId="6B8808DB" w14:textId="77777777" w:rsidR="00F27A0D" w:rsidRPr="00A55906" w:rsidRDefault="00F27A0D" w:rsidP="00A3747F">
      <w:pPr>
        <w:rPr>
          <w:rFonts w:cs="Arial"/>
        </w:rPr>
      </w:pPr>
    </w:p>
    <w:p w14:paraId="5CC8A468" w14:textId="77777777" w:rsidR="00F27A0D" w:rsidRPr="00A55906" w:rsidRDefault="00F27A0D" w:rsidP="00A3747F">
      <w:pPr>
        <w:rPr>
          <w:rFonts w:cs="Arial"/>
        </w:rPr>
      </w:pPr>
    </w:p>
    <w:p w14:paraId="18580486" w14:textId="77777777" w:rsidR="00F27A0D" w:rsidRPr="00A55906" w:rsidRDefault="00F27A0D" w:rsidP="00A3747F">
      <w:pPr>
        <w:rPr>
          <w:rFonts w:cs="Arial"/>
        </w:rPr>
      </w:pPr>
    </w:p>
    <w:p w14:paraId="03B23AE3" w14:textId="77777777" w:rsidR="00F27A0D" w:rsidRPr="00A55906" w:rsidRDefault="00F27A0D" w:rsidP="00A3747F">
      <w:pPr>
        <w:rPr>
          <w:rFonts w:cs="Arial"/>
        </w:rPr>
      </w:pPr>
    </w:p>
    <w:p w14:paraId="6789BE66" w14:textId="77777777" w:rsidR="00F27A0D" w:rsidRPr="00A55906" w:rsidRDefault="00F27A0D" w:rsidP="00A3747F">
      <w:pPr>
        <w:rPr>
          <w:rFonts w:cs="Arial"/>
        </w:rPr>
      </w:pPr>
    </w:p>
    <w:p w14:paraId="2A5A4824" w14:textId="77777777" w:rsidR="00F27A0D" w:rsidRPr="00A55906" w:rsidRDefault="00F27A0D" w:rsidP="00A3747F">
      <w:pPr>
        <w:rPr>
          <w:rFonts w:cs="Arial"/>
        </w:rPr>
      </w:pPr>
    </w:p>
    <w:p w14:paraId="648E54EF" w14:textId="77777777" w:rsidR="00F27A0D" w:rsidRPr="00A55906" w:rsidRDefault="00F27A0D" w:rsidP="00A3747F">
      <w:pPr>
        <w:rPr>
          <w:rFonts w:cs="Arial"/>
        </w:rPr>
      </w:pPr>
    </w:p>
    <w:p w14:paraId="435D3615" w14:textId="77777777" w:rsidR="00F27A0D" w:rsidRPr="00A55906" w:rsidRDefault="00F27A0D" w:rsidP="00A3747F">
      <w:pPr>
        <w:rPr>
          <w:rFonts w:cs="Arial"/>
        </w:rPr>
      </w:pPr>
    </w:p>
    <w:p w14:paraId="69F094A0" w14:textId="77777777" w:rsidR="00F27A0D" w:rsidRPr="00A55906" w:rsidRDefault="00F27A0D" w:rsidP="00A3747F">
      <w:pPr>
        <w:rPr>
          <w:rFonts w:cs="Arial"/>
        </w:rPr>
      </w:pPr>
    </w:p>
    <w:p w14:paraId="4D82A587" w14:textId="77777777" w:rsidR="00F27A0D" w:rsidRPr="00A55906" w:rsidRDefault="00F27A0D" w:rsidP="00A3747F">
      <w:pPr>
        <w:rPr>
          <w:rFonts w:cs="Arial"/>
        </w:rPr>
      </w:pPr>
    </w:p>
    <w:p w14:paraId="2814F8FF" w14:textId="77777777" w:rsidR="00F27A0D" w:rsidRPr="00A55906" w:rsidRDefault="00F27A0D" w:rsidP="00A3747F">
      <w:pPr>
        <w:rPr>
          <w:rFonts w:cs="Arial"/>
        </w:rPr>
      </w:pPr>
    </w:p>
    <w:p w14:paraId="47A11704" w14:textId="77777777" w:rsidR="00F27A0D" w:rsidRPr="00A55906" w:rsidRDefault="00F27A0D" w:rsidP="00A3747F">
      <w:pPr>
        <w:rPr>
          <w:rFonts w:cs="Arial"/>
        </w:rPr>
      </w:pPr>
    </w:p>
    <w:p w14:paraId="09FCE021" w14:textId="77777777" w:rsidR="00F27A0D" w:rsidRPr="00A55906" w:rsidRDefault="00F27A0D" w:rsidP="00A3747F">
      <w:pPr>
        <w:rPr>
          <w:rFonts w:cs="Arial"/>
        </w:rPr>
      </w:pPr>
    </w:p>
    <w:p w14:paraId="1F2120C0" w14:textId="6F642E43" w:rsidR="00E42E69" w:rsidRDefault="00E42E69" w:rsidP="00A3747F">
      <w:pPr>
        <w:rPr>
          <w:rFonts w:cs="Arial"/>
        </w:rPr>
      </w:pPr>
      <w:r>
        <w:rPr>
          <w:rFonts w:cs="Arial"/>
        </w:rPr>
        <w:br w:type="page"/>
      </w:r>
    </w:p>
    <w:p w14:paraId="66EFFD5C" w14:textId="4194979D" w:rsidR="00F27A0D" w:rsidRPr="00A55906" w:rsidRDefault="00F27A0D" w:rsidP="00A3747F">
      <w:pPr>
        <w:autoSpaceDE w:val="0"/>
        <w:autoSpaceDN w:val="0"/>
        <w:adjustRightInd w:val="0"/>
        <w:rPr>
          <w:rFonts w:eastAsia="Times New Roman" w:cs="Arial"/>
          <w:b/>
        </w:rPr>
      </w:pPr>
      <w:r w:rsidRPr="00A55906">
        <w:rPr>
          <w:rFonts w:eastAsia="Times New Roman" w:cs="Arial"/>
          <w:b/>
        </w:rPr>
        <w:lastRenderedPageBreak/>
        <w:t>CC. DIPUTADA PRESIDENT</w:t>
      </w:r>
      <w:r w:rsidR="00735CFB">
        <w:rPr>
          <w:rFonts w:eastAsia="Times New Roman" w:cs="Arial"/>
          <w:b/>
        </w:rPr>
        <w:t>A</w:t>
      </w:r>
      <w:r w:rsidR="00D203EF">
        <w:rPr>
          <w:rFonts w:eastAsia="Times New Roman" w:cs="Arial"/>
          <w:b/>
        </w:rPr>
        <w:t>, DIPUTADO</w:t>
      </w:r>
      <w:r w:rsidRPr="00A55906">
        <w:rPr>
          <w:rFonts w:eastAsia="Times New Roman" w:cs="Arial"/>
          <w:b/>
        </w:rPr>
        <w:t xml:space="preserve">S </w:t>
      </w:r>
      <w:r w:rsidR="00D203EF">
        <w:rPr>
          <w:rFonts w:eastAsia="Times New Roman" w:cs="Arial"/>
          <w:b/>
        </w:rPr>
        <w:t>SECRETARIO</w:t>
      </w:r>
      <w:r w:rsidRPr="00A55906">
        <w:rPr>
          <w:rFonts w:eastAsia="Times New Roman" w:cs="Arial"/>
          <w:b/>
        </w:rPr>
        <w:t>S DE LA MESA DIRECTIVA DEL H. CONGRESO DEL ESTADO DE COLIMA.</w:t>
      </w:r>
    </w:p>
    <w:p w14:paraId="1FD792B5" w14:textId="078BAC35" w:rsidR="00F27A0D" w:rsidRPr="00A55906" w:rsidRDefault="00D203EF" w:rsidP="00A3747F">
      <w:pPr>
        <w:autoSpaceDE w:val="0"/>
        <w:autoSpaceDN w:val="0"/>
        <w:adjustRightInd w:val="0"/>
        <w:rPr>
          <w:rFonts w:eastAsia="Times New Roman" w:cs="Arial"/>
          <w:b/>
        </w:rPr>
      </w:pPr>
      <w:r w:rsidRPr="00A55906">
        <w:rPr>
          <w:rFonts w:eastAsia="Times New Roman" w:cs="Arial"/>
          <w:b/>
        </w:rPr>
        <w:t>PRESENTES. -</w:t>
      </w:r>
    </w:p>
    <w:p w14:paraId="2C23ECE4" w14:textId="77777777" w:rsidR="00F27A0D" w:rsidRPr="00A55906" w:rsidRDefault="00F27A0D" w:rsidP="00A3747F">
      <w:pPr>
        <w:autoSpaceDE w:val="0"/>
        <w:autoSpaceDN w:val="0"/>
        <w:adjustRightInd w:val="0"/>
        <w:rPr>
          <w:rFonts w:eastAsia="Times New Roman" w:cs="Arial"/>
          <w:b/>
        </w:rPr>
      </w:pPr>
    </w:p>
    <w:p w14:paraId="7943B713" w14:textId="3108FDBB" w:rsidR="00F27A0D" w:rsidRPr="00A55906" w:rsidRDefault="00F27A0D" w:rsidP="00725BFB">
      <w:pPr>
        <w:autoSpaceDE w:val="0"/>
        <w:autoSpaceDN w:val="0"/>
        <w:adjustRightInd w:val="0"/>
        <w:rPr>
          <w:rFonts w:eastAsia="Times New Roman" w:cs="Arial"/>
        </w:rPr>
      </w:pPr>
      <w:r w:rsidRPr="00A55906">
        <w:rPr>
          <w:rFonts w:eastAsia="Times New Roman" w:cs="Arial"/>
          <w:b/>
        </w:rPr>
        <w:t>INDIRA VIZCAINO SILVA, Gobernadora Constitucional del Estado Libre y Soberano de Colima</w:t>
      </w:r>
      <w:r w:rsidRPr="00A55906">
        <w:rPr>
          <w:rFonts w:eastAsia="Times New Roman" w:cs="Arial"/>
        </w:rPr>
        <w:t xml:space="preserve">, en ejercicio de la facultad que me confiere el artículo 58, fracción XIX, en relación a lo estipulado en el artículo 35, fracción II de la Constitución Política del Estado Libre y Soberano de Colima, y en cumplimiento del artículo 16 de la Ley de Presupuesto y Responsabilidad Hacendaria del Estado de Colima, tengo a bien presentar y poner a consideración de esta Sexagésima Legislatura, la presente </w:t>
      </w:r>
      <w:r w:rsidRPr="00A55906">
        <w:rPr>
          <w:rFonts w:eastAsia="Times New Roman" w:cs="Arial"/>
          <w:b/>
        </w:rPr>
        <w:t>Iniciativa con Proyecto de Decreto por la que se expide el PRESUPUESTO DE EGRESOS DEL ESTADO DE COLIMA PARA EL EJERCICIO FISCAL 202</w:t>
      </w:r>
      <w:r w:rsidR="00D5361C" w:rsidRPr="00A55906">
        <w:rPr>
          <w:rFonts w:eastAsia="Times New Roman" w:cs="Arial"/>
          <w:b/>
        </w:rPr>
        <w:t>3</w:t>
      </w:r>
      <w:r w:rsidRPr="00A55906">
        <w:rPr>
          <w:rFonts w:eastAsia="Times New Roman" w:cs="Arial"/>
        </w:rPr>
        <w:t>, de conformidad con lo siguiente:</w:t>
      </w:r>
    </w:p>
    <w:p w14:paraId="35D34259" w14:textId="77777777" w:rsidR="008A38A2" w:rsidRPr="00A55906" w:rsidRDefault="008A38A2" w:rsidP="00725BFB">
      <w:pPr>
        <w:rPr>
          <w:rFonts w:cs="Arial"/>
        </w:rPr>
      </w:pPr>
    </w:p>
    <w:p w14:paraId="04A52049" w14:textId="06ED73EF" w:rsidR="008A38A2" w:rsidRPr="0045406C" w:rsidRDefault="00D203EF" w:rsidP="0045406C">
      <w:pPr>
        <w:pStyle w:val="Ttulo1"/>
        <w:spacing w:before="0"/>
        <w:jc w:val="center"/>
        <w:rPr>
          <w:rFonts w:cs="Arial"/>
          <w:b w:val="0"/>
          <w:sz w:val="24"/>
          <w:szCs w:val="22"/>
        </w:rPr>
      </w:pPr>
      <w:r>
        <w:rPr>
          <w:rFonts w:cs="Arial"/>
          <w:sz w:val="24"/>
          <w:szCs w:val="22"/>
        </w:rPr>
        <w:t xml:space="preserve">1. </w:t>
      </w:r>
      <w:r w:rsidR="0045406C" w:rsidRPr="0045406C">
        <w:rPr>
          <w:rFonts w:cs="Arial"/>
          <w:sz w:val="24"/>
          <w:szCs w:val="22"/>
        </w:rPr>
        <w:t>EXPOSICIÓN DE MOTIVOS</w:t>
      </w:r>
    </w:p>
    <w:p w14:paraId="4DD43CBA" w14:textId="10AB1F99" w:rsidR="00030765" w:rsidRPr="00600223" w:rsidRDefault="0045406C" w:rsidP="0045406C">
      <w:pPr>
        <w:pStyle w:val="Ttulo1"/>
      </w:pPr>
      <w:r>
        <w:t>1</w:t>
      </w:r>
      <w:r w:rsidR="00297266" w:rsidRPr="00600223">
        <w:t>.</w:t>
      </w:r>
      <w:r w:rsidR="00834FB2" w:rsidRPr="00600223">
        <w:t xml:space="preserve"> </w:t>
      </w:r>
      <w:r w:rsidR="003D3E34" w:rsidRPr="00600223">
        <w:t>Panorama Económico</w:t>
      </w:r>
    </w:p>
    <w:p w14:paraId="0A641603" w14:textId="77777777" w:rsidR="003D3E34" w:rsidRPr="00A55906" w:rsidRDefault="003D3E34" w:rsidP="00725BFB">
      <w:pPr>
        <w:rPr>
          <w:rFonts w:cs="Arial"/>
        </w:rPr>
      </w:pPr>
    </w:p>
    <w:p w14:paraId="13C84C72" w14:textId="4F0DF5FF" w:rsidR="00600223" w:rsidRDefault="00E45ECD" w:rsidP="00600223">
      <w:pPr>
        <w:pStyle w:val="Ttulo2"/>
      </w:pPr>
      <w:r>
        <w:t>1.I</w:t>
      </w:r>
      <w:r w:rsidR="003D3E34" w:rsidRPr="00A55906">
        <w:t xml:space="preserve"> Economía Global</w:t>
      </w:r>
      <w:r w:rsidR="00600223">
        <w:t xml:space="preserve">. </w:t>
      </w:r>
    </w:p>
    <w:p w14:paraId="5ACFE5FC" w14:textId="77777777" w:rsidR="00600223" w:rsidRDefault="00600223" w:rsidP="00725BFB">
      <w:pPr>
        <w:rPr>
          <w:rFonts w:cs="Arial"/>
          <w:b/>
          <w:bCs/>
        </w:rPr>
      </w:pPr>
    </w:p>
    <w:p w14:paraId="4B09A233" w14:textId="581666C4" w:rsidR="00602646" w:rsidRDefault="00602646" w:rsidP="00600223">
      <w:pPr>
        <w:rPr>
          <w:bCs/>
        </w:rPr>
      </w:pPr>
      <w:r>
        <w:rPr>
          <w:bCs/>
        </w:rPr>
        <w:t>El Proyecto de Presupuesto de Egresos qu</w:t>
      </w:r>
      <w:r w:rsidR="00394027">
        <w:rPr>
          <w:bCs/>
        </w:rPr>
        <w:t>e se remite para su análisis, discusión y en su caso aprobación a esa Honorable Soberanía, se encuentra enfocado en la generación de valor público, procurando el bienestar de todos los colimenses, señalando como ejes rectores de este documento los principios de austeridad</w:t>
      </w:r>
      <w:r w:rsidR="00A853EF">
        <w:rPr>
          <w:bCs/>
        </w:rPr>
        <w:t xml:space="preserve">, eficiencia, eficacia, economía, transparencia en el uso y destino de los recursos públicos, de la misma forma es congruente con las estimaciones contenidas en la iniciativa de Ley de Ingresos del Estado de Colima para el Ejercicio Fiscal 2023.  </w:t>
      </w:r>
    </w:p>
    <w:p w14:paraId="509F12C2" w14:textId="77777777" w:rsidR="00602646" w:rsidRDefault="00602646" w:rsidP="00600223">
      <w:pPr>
        <w:rPr>
          <w:bCs/>
        </w:rPr>
      </w:pPr>
    </w:p>
    <w:p w14:paraId="3C46B1F3" w14:textId="0252BD33" w:rsidR="00A853EF" w:rsidRDefault="00EB1C1B" w:rsidP="00600223">
      <w:pPr>
        <w:rPr>
          <w:bCs/>
        </w:rPr>
      </w:pPr>
      <w:r>
        <w:rPr>
          <w:bCs/>
        </w:rPr>
        <w:t xml:space="preserve">El Presupuesto de Egresos del Estado de Colima es el documento de política económica más importante, pues en </w:t>
      </w:r>
      <w:r w:rsidR="005C39C6">
        <w:rPr>
          <w:bCs/>
        </w:rPr>
        <w:t>él</w:t>
      </w:r>
      <w:r>
        <w:rPr>
          <w:bCs/>
        </w:rPr>
        <w:t xml:space="preserve"> se ven reflejadas las priorid</w:t>
      </w:r>
      <w:r w:rsidR="00113122">
        <w:rPr>
          <w:bCs/>
        </w:rPr>
        <w:t>ades de gasto que el Ejecutivo E</w:t>
      </w:r>
      <w:r>
        <w:rPr>
          <w:bCs/>
        </w:rPr>
        <w:t>statal pone a consideración de las y los diputados locales, su ejecución tiene impacto en todos los sectores de la economía y demuestra la política de gasto que se deberá seguir durante el año 2023.</w:t>
      </w:r>
    </w:p>
    <w:p w14:paraId="5E593127" w14:textId="0746BD3A" w:rsidR="00EB1C1B" w:rsidRDefault="00EB1C1B" w:rsidP="00600223">
      <w:pPr>
        <w:rPr>
          <w:bCs/>
        </w:rPr>
      </w:pPr>
    </w:p>
    <w:p w14:paraId="3FD5FCB0" w14:textId="4A3D09F3" w:rsidR="00EB1C1B" w:rsidRDefault="00EB1C1B" w:rsidP="00600223">
      <w:pPr>
        <w:rPr>
          <w:bCs/>
        </w:rPr>
      </w:pPr>
      <w:r>
        <w:rPr>
          <w:bCs/>
        </w:rPr>
        <w:t>La aprobación del documento bajo análisis permitirá continuar con la transformación</w:t>
      </w:r>
      <w:r w:rsidR="005C39C6">
        <w:rPr>
          <w:bCs/>
        </w:rPr>
        <w:t xml:space="preserve"> de nuestra Colima, construyendo las bases para recuperar el Colima que merecemos y que nos fue arrebatado por años de </w:t>
      </w:r>
      <w:r w:rsidR="006F769A">
        <w:rPr>
          <w:bCs/>
        </w:rPr>
        <w:t>malos e insensibles Gobiernos, que lo único que lograron fue comprometer las finanzas públicas incluso las de los gobiernos futuros y un gran adeudo social sobre todo con la población más vulnerable de nuestro estado.</w:t>
      </w:r>
    </w:p>
    <w:p w14:paraId="22B38E97" w14:textId="31E8AC3E" w:rsidR="006F769A" w:rsidRDefault="006F769A" w:rsidP="00600223">
      <w:pPr>
        <w:rPr>
          <w:bCs/>
        </w:rPr>
      </w:pPr>
    </w:p>
    <w:p w14:paraId="46248AA2" w14:textId="634E2DA0" w:rsidR="006F769A" w:rsidRDefault="0010070E" w:rsidP="00600223">
      <w:pPr>
        <w:rPr>
          <w:bCs/>
        </w:rPr>
      </w:pPr>
      <w:r>
        <w:rPr>
          <w:bCs/>
        </w:rPr>
        <w:lastRenderedPageBreak/>
        <w:t xml:space="preserve">El manejo honesto y eficiente </w:t>
      </w:r>
      <w:r w:rsidR="006F769A">
        <w:rPr>
          <w:bCs/>
        </w:rPr>
        <w:t xml:space="preserve">de los recursos de los que dispone el Estado ha permitido, durante este ejercicio fiscal que entra ya en </w:t>
      </w:r>
      <w:r w:rsidR="000F732F">
        <w:rPr>
          <w:bCs/>
        </w:rPr>
        <w:t>su ú</w:t>
      </w:r>
      <w:r w:rsidR="006F769A">
        <w:rPr>
          <w:bCs/>
        </w:rPr>
        <w:t>ltimo trimestre, generar programas so</w:t>
      </w:r>
      <w:r w:rsidR="00BB03E0">
        <w:rPr>
          <w:bCs/>
        </w:rPr>
        <w:t>ciales como el denominado “Colibecas” que busca contribuir a que ningún estudiante se quede atrás y pue</w:t>
      </w:r>
      <w:r w:rsidR="006B3EBB">
        <w:rPr>
          <w:bCs/>
        </w:rPr>
        <w:t xml:space="preserve">dan continuar con sus estudios, sin descuidar los compromisos institucionales que fueron heredados y que han representado una carga financiera importante como lo es el pago de créditos fiscales que </w:t>
      </w:r>
      <w:r w:rsidR="00C0763C">
        <w:rPr>
          <w:bCs/>
        </w:rPr>
        <w:t>habían</w:t>
      </w:r>
      <w:r w:rsidR="006B3EBB">
        <w:rPr>
          <w:bCs/>
        </w:rPr>
        <w:t xml:space="preserve"> sido impuestos</w:t>
      </w:r>
      <w:r w:rsidR="00C0763C" w:rsidRPr="00C0763C">
        <w:rPr>
          <w:bCs/>
        </w:rPr>
        <w:t xml:space="preserve"> </w:t>
      </w:r>
      <w:r w:rsidR="00C0763C">
        <w:rPr>
          <w:bCs/>
        </w:rPr>
        <w:t>por parte del S</w:t>
      </w:r>
      <w:r w:rsidR="00113122">
        <w:rPr>
          <w:bCs/>
        </w:rPr>
        <w:t>istema de Administración Tributaria (S</w:t>
      </w:r>
      <w:r w:rsidR="00C0763C">
        <w:rPr>
          <w:bCs/>
        </w:rPr>
        <w:t>AT</w:t>
      </w:r>
      <w:r w:rsidR="00113122">
        <w:rPr>
          <w:bCs/>
        </w:rPr>
        <w:t>)</w:t>
      </w:r>
      <w:r w:rsidR="006B3EBB">
        <w:rPr>
          <w:bCs/>
        </w:rPr>
        <w:t xml:space="preserve"> a diversos organismos descentralizados del Gobierno del E</w:t>
      </w:r>
      <w:r w:rsidR="00C0763C">
        <w:rPr>
          <w:bCs/>
        </w:rPr>
        <w:t xml:space="preserve">stado. </w:t>
      </w:r>
    </w:p>
    <w:p w14:paraId="530E90F8" w14:textId="01D57188" w:rsidR="00EB1C1B" w:rsidRDefault="00EB1C1B" w:rsidP="00600223">
      <w:pPr>
        <w:rPr>
          <w:bCs/>
        </w:rPr>
      </w:pPr>
    </w:p>
    <w:p w14:paraId="6A827471" w14:textId="77777777" w:rsidR="00C0763C" w:rsidRDefault="00C0763C" w:rsidP="00600223">
      <w:pPr>
        <w:rPr>
          <w:bCs/>
        </w:rPr>
      </w:pPr>
      <w:r>
        <w:rPr>
          <w:bCs/>
        </w:rPr>
        <w:t>De esta forma el Proyecto de Presupuesto de Egresos del Estado de Colima para el ejercicio fiscal 2023 recoge las necesidades más sentidas de los ciudadanos, mismas que se consagran en el Plan Estatal de Desarrollo 2021-2027, y toma como base en sus cálculos la información y estimaciones contenidas en los Pre-Criterios 2023 y los Criterios Generales de Política Económica para la iniciativa de Ley de Ingresos y el Proyecto de Presupuesto de Egresos de la Federación Correspondientes al Ejercicio Fiscal 2023.</w:t>
      </w:r>
    </w:p>
    <w:p w14:paraId="186D226B" w14:textId="77777777" w:rsidR="00C0763C" w:rsidRDefault="00C0763C" w:rsidP="00600223">
      <w:pPr>
        <w:rPr>
          <w:bCs/>
        </w:rPr>
      </w:pPr>
    </w:p>
    <w:p w14:paraId="5BAF7C98" w14:textId="69B2F740" w:rsidR="00B30082" w:rsidRDefault="00344F2C" w:rsidP="00600223">
      <w:pPr>
        <w:rPr>
          <w:bCs/>
        </w:rPr>
      </w:pPr>
      <w:r>
        <w:rPr>
          <w:bCs/>
        </w:rPr>
        <w:t>Los retos que enfrenta nuestro estado en materia financiera, seguridad pública, económica y social son grandes, es por ello que la planeación integral sirve para la instrumentación de políticas públicas a corto, mediano y largo plazo, mism</w:t>
      </w:r>
      <w:r w:rsidR="006A4C30">
        <w:rPr>
          <w:bCs/>
        </w:rPr>
        <w:t xml:space="preserve">as que se ven plasmadas en los Programas Sectoriales, Especiales, Regionales e Institucionales, </w:t>
      </w:r>
      <w:r w:rsidR="000F732F">
        <w:rPr>
          <w:bCs/>
        </w:rPr>
        <w:t xml:space="preserve">los cuales </w:t>
      </w:r>
      <w:r w:rsidR="006A4C30">
        <w:rPr>
          <w:bCs/>
        </w:rPr>
        <w:t>fueron creados a partir de lo establecido en el Plan Estatal de Desarrollo 2021-2027</w:t>
      </w:r>
      <w:r w:rsidR="00B30082">
        <w:rPr>
          <w:bCs/>
        </w:rPr>
        <w:t>, y que gradualmente permitirán ir recuperando el rumbo de nuestra Colima.</w:t>
      </w:r>
    </w:p>
    <w:p w14:paraId="4E7383B8" w14:textId="5F79EA16" w:rsidR="00B30082" w:rsidRDefault="00B30082" w:rsidP="00600223">
      <w:pPr>
        <w:rPr>
          <w:bCs/>
        </w:rPr>
      </w:pPr>
    </w:p>
    <w:p w14:paraId="030E940E" w14:textId="1028517D" w:rsidR="0016184F" w:rsidRDefault="0016184F" w:rsidP="00600223">
      <w:pPr>
        <w:rPr>
          <w:bCs/>
        </w:rPr>
      </w:pPr>
      <w:r>
        <w:rPr>
          <w:bCs/>
        </w:rPr>
        <w:t>El fortalecimiento a la Seguridad Pública, en el presente Proyecto de Presupuesto, representa una prioridad, para</w:t>
      </w:r>
      <w:r w:rsidR="000F732F">
        <w:rPr>
          <w:bCs/>
        </w:rPr>
        <w:t xml:space="preserve"> el siguiente ejercicio fiscal </w:t>
      </w:r>
      <w:r>
        <w:rPr>
          <w:bCs/>
        </w:rPr>
        <w:t xml:space="preserve">se propone que nuestras instituciones destinadas a salvaguardar la integridad de todos y todas reciban cerca de un 16 por ciento de recursos adicionales, lo que les permitirá mejorar su desempeño y entrega de resultados para la ciudadanía. </w:t>
      </w:r>
    </w:p>
    <w:p w14:paraId="070A78D5" w14:textId="77777777" w:rsidR="0016184F" w:rsidRDefault="0016184F" w:rsidP="00600223">
      <w:pPr>
        <w:rPr>
          <w:bCs/>
        </w:rPr>
      </w:pPr>
    </w:p>
    <w:p w14:paraId="63164A12" w14:textId="3B53BD35" w:rsidR="00B30082" w:rsidRDefault="000F732F" w:rsidP="00600223">
      <w:pPr>
        <w:rPr>
          <w:bCs/>
        </w:rPr>
      </w:pPr>
      <w:r>
        <w:rPr>
          <w:bCs/>
        </w:rPr>
        <w:t>De igual forma</w:t>
      </w:r>
      <w:r w:rsidR="0016184F">
        <w:rPr>
          <w:bCs/>
        </w:rPr>
        <w:t xml:space="preserve">, el sector educativo recibirá cerca de 600 millones de pesos adicionales para el Ejercicio Fiscal 2023, </w:t>
      </w:r>
      <w:r w:rsidR="006B6679">
        <w:rPr>
          <w:bCs/>
        </w:rPr>
        <w:t xml:space="preserve">con el firme compromiso de fortalecer los servicios educativos en nuestra entidad, considerado como uno de los pilares fundamentales para el desarrollo económico. Dentro de este rubro, la máxima casa de estudios, la Universidad de Colima recibirá cerca de 2,300 millones de pesos, al día de hoy se han pagado los compromisos estatales con dicho ente, refrendando el fuerte compromiso de la actual administración para con todas y todos los estudiantes. </w:t>
      </w:r>
    </w:p>
    <w:p w14:paraId="1BB9A064" w14:textId="33AAAFF0" w:rsidR="006B6679" w:rsidRDefault="006B6679" w:rsidP="00600223">
      <w:pPr>
        <w:rPr>
          <w:bCs/>
        </w:rPr>
      </w:pPr>
    </w:p>
    <w:p w14:paraId="362C6095" w14:textId="374DF7F4" w:rsidR="006B6679" w:rsidRDefault="006B6679" w:rsidP="00600223">
      <w:pPr>
        <w:rPr>
          <w:bCs/>
        </w:rPr>
      </w:pPr>
      <w:r>
        <w:rPr>
          <w:bCs/>
        </w:rPr>
        <w:t xml:space="preserve">En materia de salud, sector que en la anterior administración aun en la </w:t>
      </w:r>
      <w:r w:rsidR="00A97528">
        <w:rPr>
          <w:bCs/>
        </w:rPr>
        <w:t>p</w:t>
      </w:r>
      <w:r>
        <w:rPr>
          <w:bCs/>
        </w:rPr>
        <w:t>andemia</w:t>
      </w:r>
      <w:r w:rsidR="000F732F">
        <w:rPr>
          <w:bCs/>
        </w:rPr>
        <w:t xml:space="preserve"> derivada del virus SARS-CoV-2 </w:t>
      </w:r>
      <w:r>
        <w:rPr>
          <w:bCs/>
        </w:rPr>
        <w:t>fue descuidado, se redoblan esfuerzos para poder seguir cumpliendo con el abastecimiento de medicamentos, pagar puntualmente los compromiso</w:t>
      </w:r>
      <w:r w:rsidR="00A97528">
        <w:rPr>
          <w:bCs/>
        </w:rPr>
        <w:t xml:space="preserve">s con el </w:t>
      </w:r>
      <w:r w:rsidR="00A97528">
        <w:rPr>
          <w:bCs/>
        </w:rPr>
        <w:lastRenderedPageBreak/>
        <w:t>Centro E</w:t>
      </w:r>
      <w:r>
        <w:rPr>
          <w:bCs/>
        </w:rPr>
        <w:t xml:space="preserve">statal de </w:t>
      </w:r>
      <w:r w:rsidR="00A97528">
        <w:rPr>
          <w:bCs/>
        </w:rPr>
        <w:t>H</w:t>
      </w:r>
      <w:r>
        <w:rPr>
          <w:bCs/>
        </w:rPr>
        <w:t>emodiálisis</w:t>
      </w:r>
      <w:r w:rsidR="00A97528">
        <w:rPr>
          <w:bCs/>
        </w:rPr>
        <w:t xml:space="preserve"> y </w:t>
      </w:r>
      <w:r w:rsidR="000F732F">
        <w:rPr>
          <w:bCs/>
        </w:rPr>
        <w:t xml:space="preserve">en </w:t>
      </w:r>
      <w:r w:rsidR="00A97528">
        <w:rPr>
          <w:bCs/>
        </w:rPr>
        <w:t>general con todas las unidades médicas</w:t>
      </w:r>
      <w:r>
        <w:rPr>
          <w:bCs/>
        </w:rPr>
        <w:t xml:space="preserve"> </w:t>
      </w:r>
      <w:r w:rsidR="00A97528">
        <w:rPr>
          <w:bCs/>
        </w:rPr>
        <w:t>así como considerar la aportación estatal total al Instit</w:t>
      </w:r>
      <w:r w:rsidR="00A755A7">
        <w:rPr>
          <w:bCs/>
        </w:rPr>
        <w:t xml:space="preserve">uto de Salud para el Bienestar y </w:t>
      </w:r>
      <w:r w:rsidR="00A97528">
        <w:rPr>
          <w:bCs/>
        </w:rPr>
        <w:t xml:space="preserve">con ello se garantiza una mejora gradual en los servicios que actualmente se prestan en beneficio de todas y todos los colimenses. </w:t>
      </w:r>
    </w:p>
    <w:p w14:paraId="0956BCCA" w14:textId="7396DEA7" w:rsidR="00A97528" w:rsidRDefault="00A97528" w:rsidP="00600223">
      <w:pPr>
        <w:rPr>
          <w:bCs/>
        </w:rPr>
      </w:pPr>
    </w:p>
    <w:p w14:paraId="7DE8A333" w14:textId="7FCDB009" w:rsidR="00A97528" w:rsidRDefault="00A97528" w:rsidP="00600223">
      <w:pPr>
        <w:rPr>
          <w:bCs/>
        </w:rPr>
      </w:pPr>
      <w:r>
        <w:rPr>
          <w:bCs/>
        </w:rPr>
        <w:t xml:space="preserve">En lo </w:t>
      </w:r>
      <w:r w:rsidR="00FA0308">
        <w:rPr>
          <w:bCs/>
        </w:rPr>
        <w:t xml:space="preserve">que respecta a bienestar social, se robustece dicho sector, al mantener e incrementar programas sociales como la entrega de laptops a estudiantes de </w:t>
      </w:r>
      <w:r w:rsidR="00E55658">
        <w:rPr>
          <w:bCs/>
        </w:rPr>
        <w:t xml:space="preserve">secundaria y </w:t>
      </w:r>
      <w:r w:rsidR="00FA0308">
        <w:rPr>
          <w:bCs/>
        </w:rPr>
        <w:t>licenciatura, la dotación de mochilas, útiles escolares</w:t>
      </w:r>
      <w:r w:rsidR="00817086">
        <w:rPr>
          <w:bCs/>
        </w:rPr>
        <w:t>, uniformes escolares a preescolar, primaria y secundaria</w:t>
      </w:r>
      <w:r w:rsidR="00FA0308">
        <w:rPr>
          <w:bCs/>
        </w:rPr>
        <w:t xml:space="preserve"> y se amplía</w:t>
      </w:r>
      <w:r w:rsidR="00817086">
        <w:rPr>
          <w:bCs/>
        </w:rPr>
        <w:t>,</w:t>
      </w:r>
      <w:r w:rsidR="00FA0308">
        <w:rPr>
          <w:bCs/>
        </w:rPr>
        <w:t xml:space="preserve"> en coinversión con el Gobierno Federal</w:t>
      </w:r>
      <w:r w:rsidR="00817086">
        <w:rPr>
          <w:bCs/>
        </w:rPr>
        <w:t>,</w:t>
      </w:r>
      <w:r w:rsidR="00FA0308">
        <w:rPr>
          <w:bCs/>
        </w:rPr>
        <w:t xml:space="preserve"> la Universalidad de la Pensión para el Bienestar de las Personas con Discapacidad en el Estado, con el que se brindará una pensión a todas las personas en esta situación de vulnerabilidad desde los 30 hasta los 64 años</w:t>
      </w:r>
      <w:r w:rsidR="00A755A7">
        <w:rPr>
          <w:bCs/>
        </w:rPr>
        <w:t>,</w:t>
      </w:r>
      <w:r w:rsidR="00FA0308">
        <w:rPr>
          <w:bCs/>
        </w:rPr>
        <w:t xml:space="preserve"> cuando podrán acceder a la Pensión Universal para Personas Adultas Mayores que tiene a bien otorgar el Gobierno Federal. </w:t>
      </w:r>
    </w:p>
    <w:p w14:paraId="0EBB3ABC" w14:textId="75F55BB1" w:rsidR="00B30082" w:rsidRDefault="00B30082" w:rsidP="00600223">
      <w:pPr>
        <w:rPr>
          <w:bCs/>
        </w:rPr>
      </w:pPr>
    </w:p>
    <w:p w14:paraId="60CB94AD" w14:textId="5C2806CA" w:rsidR="00C244E3" w:rsidRDefault="007A4194" w:rsidP="00600223">
      <w:pPr>
        <w:rPr>
          <w:bCs/>
        </w:rPr>
      </w:pPr>
      <w:r>
        <w:rPr>
          <w:bCs/>
        </w:rPr>
        <w:t>Aunado a lo anterior, en el Proyecto de Presupuesto de Egresos de la Federación se prevén mayores recursos económicos para los 10 municipios de nuestra entidad, quienes en su conjunto recibirán cerca de 600 millones de pesos adicionales a los estimados para el ejercicio fiscal 2022, en términos porcentuales representa un 22 por ciento adicional principalmente en rec</w:t>
      </w:r>
      <w:r w:rsidR="00DD4675">
        <w:rPr>
          <w:bCs/>
        </w:rPr>
        <w:t xml:space="preserve">ursos del Ramo 33 y 28 que podrían, en uso de su autonomía constitucional, </w:t>
      </w:r>
      <w:r>
        <w:rPr>
          <w:bCs/>
        </w:rPr>
        <w:t xml:space="preserve">destinar a la mejora de los servicios públicos y a su propio saneamiento financiero. </w:t>
      </w:r>
    </w:p>
    <w:p w14:paraId="66789181" w14:textId="77777777" w:rsidR="007A4194" w:rsidRDefault="007A4194" w:rsidP="00600223">
      <w:pPr>
        <w:rPr>
          <w:bCs/>
        </w:rPr>
      </w:pPr>
    </w:p>
    <w:p w14:paraId="27BFC108" w14:textId="1F9BB06E" w:rsidR="002221E0" w:rsidRDefault="00421E87" w:rsidP="00600223">
      <w:pPr>
        <w:rPr>
          <w:bCs/>
        </w:rPr>
      </w:pPr>
      <w:r>
        <w:rPr>
          <w:bCs/>
        </w:rPr>
        <w:t>El Proyecto que se somete a la considerac</w:t>
      </w:r>
      <w:r w:rsidR="00113122">
        <w:rPr>
          <w:bCs/>
        </w:rPr>
        <w:t xml:space="preserve">ión de esa Honorables Soberanía, además toma en cuenta y es congruente con el Plan Nacional de Desarrollo 2018-2024, así también </w:t>
      </w:r>
      <w:r w:rsidR="00E06F59">
        <w:rPr>
          <w:bCs/>
        </w:rPr>
        <w:t xml:space="preserve">en consideración en el siguiente panorama económico. </w:t>
      </w:r>
      <w:r>
        <w:rPr>
          <w:bCs/>
        </w:rPr>
        <w:t xml:space="preserve"> </w:t>
      </w:r>
    </w:p>
    <w:p w14:paraId="499DE8BB" w14:textId="77777777" w:rsidR="00227910" w:rsidRDefault="00227910" w:rsidP="00600223">
      <w:pPr>
        <w:rPr>
          <w:bCs/>
        </w:rPr>
      </w:pPr>
    </w:p>
    <w:p w14:paraId="56B88B72" w14:textId="6D03DBBB" w:rsidR="00C11980" w:rsidRPr="00A55906" w:rsidRDefault="00600223" w:rsidP="00725BFB">
      <w:pPr>
        <w:rPr>
          <w:rFonts w:cs="Arial"/>
        </w:rPr>
      </w:pPr>
      <w:r w:rsidRPr="00600223">
        <w:rPr>
          <w:bCs/>
        </w:rPr>
        <w:t>Con información de</w:t>
      </w:r>
      <w:r w:rsidRPr="00227910">
        <w:rPr>
          <w:bCs/>
        </w:rPr>
        <w:t xml:space="preserve"> </w:t>
      </w:r>
      <w:r w:rsidR="00AF06E8" w:rsidRPr="00227910">
        <w:rPr>
          <w:bCs/>
        </w:rPr>
        <w:t>“</w:t>
      </w:r>
      <w:r w:rsidR="00C11980" w:rsidRPr="00227910">
        <w:rPr>
          <w:bCs/>
        </w:rPr>
        <w:t>Global Economic Prospects</w:t>
      </w:r>
      <w:r w:rsidR="00AF06E8" w:rsidRPr="00227910">
        <w:rPr>
          <w:bCs/>
        </w:rPr>
        <w:t>”</w:t>
      </w:r>
      <w:r w:rsidR="00C11980" w:rsidRPr="00227910">
        <w:rPr>
          <w:bCs/>
        </w:rPr>
        <w:t xml:space="preserve"> del Banco Mundial, </w:t>
      </w:r>
      <w:r w:rsidR="00A755A7">
        <w:rPr>
          <w:bCs/>
        </w:rPr>
        <w:t xml:space="preserve">respecto a </w:t>
      </w:r>
      <w:r w:rsidR="00C11980" w:rsidRPr="00227910">
        <w:rPr>
          <w:bCs/>
        </w:rPr>
        <w:t>las perspectivas mundiales</w:t>
      </w:r>
      <w:r w:rsidR="00C11980" w:rsidRPr="00A55906">
        <w:t xml:space="preserve"> para el año 2023, </w:t>
      </w:r>
      <w:r w:rsidR="00E06F59">
        <w:t xml:space="preserve">la </w:t>
      </w:r>
      <w:r w:rsidR="00A755A7">
        <w:rPr>
          <w:rFonts w:cs="Arial"/>
          <w:bCs/>
        </w:rPr>
        <w:t>a</w:t>
      </w:r>
      <w:r w:rsidR="00E06F59">
        <w:rPr>
          <w:rFonts w:cs="Arial"/>
          <w:bCs/>
        </w:rPr>
        <w:t xml:space="preserve">ctividad mundial se ha calificado por los economistas como una </w:t>
      </w:r>
      <w:r w:rsidR="00C11980" w:rsidRPr="00E06F59">
        <w:rPr>
          <w:rFonts w:cs="Arial"/>
          <w:bCs/>
        </w:rPr>
        <w:t>recuperación vacilante</w:t>
      </w:r>
      <w:r w:rsidR="00E06F59">
        <w:rPr>
          <w:rFonts w:cs="Arial"/>
        </w:rPr>
        <w:t>; l</w:t>
      </w:r>
      <w:r w:rsidR="00C11980" w:rsidRPr="00A55906">
        <w:rPr>
          <w:rFonts w:cs="Arial"/>
        </w:rPr>
        <w:t xml:space="preserve">a invasión de Rusia a Ucrania no solo </w:t>
      </w:r>
      <w:r w:rsidR="00E06F59">
        <w:rPr>
          <w:rFonts w:cs="Arial"/>
        </w:rPr>
        <w:t xml:space="preserve">ha provocado </w:t>
      </w:r>
      <w:r w:rsidR="00C11980" w:rsidRPr="00A55906">
        <w:rPr>
          <w:rFonts w:cs="Arial"/>
        </w:rPr>
        <w:t>una catástrofe humanitaria, sino también una profunda desaceleración de la actividad económica regional y considerables efectos secundarios negativos a nivel mundial. En consecuencia, se prevé que la economía mundial experimente su desaceleración más brusca tras una recuperación inicial de una recesión global en más de 80 años. Se pronostica que el crec</w:t>
      </w:r>
      <w:r w:rsidR="00E06F59">
        <w:rPr>
          <w:rFonts w:cs="Arial"/>
        </w:rPr>
        <w:t xml:space="preserve">imiento mundial disminuya del 5.7 por ciento </w:t>
      </w:r>
      <w:r w:rsidR="00C11980" w:rsidRPr="00A55906">
        <w:rPr>
          <w:rFonts w:cs="Arial"/>
        </w:rPr>
        <w:t>en 2021 al 2</w:t>
      </w:r>
      <w:r w:rsidR="00E06F59">
        <w:rPr>
          <w:rFonts w:cs="Arial"/>
        </w:rPr>
        <w:t>.9 por ciento</w:t>
      </w:r>
      <w:r w:rsidR="00C11980" w:rsidRPr="00A55906">
        <w:rPr>
          <w:rFonts w:cs="Arial"/>
        </w:rPr>
        <w:t xml:space="preserve"> en 2022, ya que la guerra en Ucrania perjudica la actividad y el comercio en el corto plazo y se retira el apoyo de políticas en medio de una alta inflación. </w:t>
      </w:r>
    </w:p>
    <w:p w14:paraId="32104AE8" w14:textId="77777777" w:rsidR="00A55906" w:rsidRDefault="00A55906" w:rsidP="00725BFB">
      <w:pPr>
        <w:rPr>
          <w:rFonts w:cs="Arial"/>
        </w:rPr>
      </w:pPr>
    </w:p>
    <w:p w14:paraId="0BA333CC" w14:textId="6D03B8A7" w:rsidR="00F34ACE" w:rsidRPr="00A55906" w:rsidRDefault="00C11980" w:rsidP="00725BFB">
      <w:pPr>
        <w:rPr>
          <w:rFonts w:cs="Arial"/>
        </w:rPr>
      </w:pPr>
      <w:r w:rsidRPr="00A55906">
        <w:rPr>
          <w:rFonts w:cs="Arial"/>
        </w:rPr>
        <w:t>Se bajó la calificación de las proyecciones de crecimiento para 2022 de la mayoría de las economías. A pesar de la crisis de la actividad mundial en 2022, no se prevé un repunte el próximo año. Se proyecta que el crecimiento mundial solo aumentará ligeramente al 3</w:t>
      </w:r>
      <w:r w:rsidR="00E06F59">
        <w:rPr>
          <w:rFonts w:cs="Arial"/>
        </w:rPr>
        <w:t xml:space="preserve">.0 por </w:t>
      </w:r>
      <w:r w:rsidR="00E06F59">
        <w:rPr>
          <w:rFonts w:cs="Arial"/>
        </w:rPr>
        <w:lastRenderedPageBreak/>
        <w:t>ciento</w:t>
      </w:r>
      <w:r w:rsidRPr="00A55906">
        <w:rPr>
          <w:rFonts w:cs="Arial"/>
        </w:rPr>
        <w:t xml:space="preserve"> en 2023, ya que se prevé que persistan muchos factores adversos, particularmente, los elevados precios de los productos básicos y una continua restricción monetaria. </w:t>
      </w:r>
    </w:p>
    <w:p w14:paraId="2404F3C1" w14:textId="77777777" w:rsidR="00A55906" w:rsidRDefault="00A55906" w:rsidP="00725BFB">
      <w:pPr>
        <w:rPr>
          <w:rFonts w:cs="Arial"/>
        </w:rPr>
      </w:pPr>
    </w:p>
    <w:p w14:paraId="5A663494" w14:textId="251A1D0D" w:rsidR="003D3E34" w:rsidRDefault="00C11980" w:rsidP="00725BFB">
      <w:pPr>
        <w:rPr>
          <w:rFonts w:cs="Arial"/>
        </w:rPr>
      </w:pPr>
      <w:r w:rsidRPr="00A55906">
        <w:rPr>
          <w:rFonts w:cs="Arial"/>
        </w:rPr>
        <w:t xml:space="preserve">Se prevé que las pérdidas acumuladas para la actividad mundial en relación con su tendencia previa a la pandemia continúen aumentando en el período de previsión, especialmente entre los </w:t>
      </w:r>
      <w:r w:rsidR="00F34ACE" w:rsidRPr="00A55906">
        <w:rPr>
          <w:rFonts w:cs="Arial"/>
        </w:rPr>
        <w:t>Mercados Emergentes y Economías en Desarrollo</w:t>
      </w:r>
      <w:r w:rsidRPr="00A55906">
        <w:rPr>
          <w:rFonts w:cs="Arial"/>
        </w:rPr>
        <w:t xml:space="preserve"> importadores de productos básicos.</w:t>
      </w:r>
    </w:p>
    <w:p w14:paraId="75D94E97" w14:textId="77777777" w:rsidR="00E42E69" w:rsidRPr="00A55906" w:rsidRDefault="00E42E69" w:rsidP="00725BFB">
      <w:pPr>
        <w:rPr>
          <w:rFonts w:cs="Arial"/>
        </w:rPr>
      </w:pPr>
    </w:p>
    <w:p w14:paraId="031AF86E" w14:textId="4BCFCC63" w:rsidR="00F34ACE" w:rsidRPr="00A55906" w:rsidRDefault="00C11980" w:rsidP="00725BFB">
      <w:pPr>
        <w:rPr>
          <w:rFonts w:cs="Arial"/>
        </w:rPr>
      </w:pPr>
      <w:r w:rsidRPr="00E06F59">
        <w:rPr>
          <w:rFonts w:cs="Arial"/>
          <w:bCs/>
        </w:rPr>
        <w:t xml:space="preserve">Perspectiva de los </w:t>
      </w:r>
      <w:r w:rsidR="00F34ACE" w:rsidRPr="00E06F59">
        <w:rPr>
          <w:rFonts w:cs="Arial"/>
          <w:bCs/>
        </w:rPr>
        <w:t>Mercados Emergentes y Economías en Desarrollo (MEED)</w:t>
      </w:r>
      <w:r w:rsidRPr="00E06F59">
        <w:rPr>
          <w:rFonts w:cs="Arial"/>
          <w:bCs/>
        </w:rPr>
        <w:t xml:space="preserve">: desaceleración considerable. </w:t>
      </w:r>
      <w:r w:rsidR="00A755A7">
        <w:rPr>
          <w:rFonts w:cs="Arial"/>
        </w:rPr>
        <w:t>Se estima</w:t>
      </w:r>
      <w:r w:rsidRPr="00E06F59">
        <w:rPr>
          <w:rFonts w:cs="Arial"/>
        </w:rPr>
        <w:t xml:space="preserve"> que el crecimiento de los MEED se reduzca a la mitad aproximadamente</w:t>
      </w:r>
      <w:r w:rsidRPr="00A55906">
        <w:rPr>
          <w:rFonts w:cs="Arial"/>
        </w:rPr>
        <w:t xml:space="preserve"> en 2022 y disminuya del 6</w:t>
      </w:r>
      <w:r w:rsidR="00E06F59">
        <w:rPr>
          <w:rFonts w:cs="Arial"/>
        </w:rPr>
        <w:t>.6 por ciento</w:t>
      </w:r>
      <w:r w:rsidRPr="00A55906">
        <w:rPr>
          <w:rFonts w:cs="Arial"/>
        </w:rPr>
        <w:t xml:space="preserve"> en </w:t>
      </w:r>
      <w:r w:rsidRPr="00AF06E8">
        <w:rPr>
          <w:rFonts w:cs="Arial"/>
        </w:rPr>
        <w:t>2021</w:t>
      </w:r>
      <w:r w:rsidR="00E06F59">
        <w:rPr>
          <w:rFonts w:cs="Arial"/>
        </w:rPr>
        <w:t xml:space="preserve"> al 3.4 por ciento</w:t>
      </w:r>
      <w:r w:rsidRPr="00A55906">
        <w:rPr>
          <w:rFonts w:cs="Arial"/>
        </w:rPr>
        <w:t xml:space="preserve"> (muy por debajo de su promedio de 4,8 </w:t>
      </w:r>
      <w:r w:rsidR="001E7D80">
        <w:rPr>
          <w:rFonts w:cs="Arial"/>
        </w:rPr>
        <w:t>por ciento</w:t>
      </w:r>
      <w:r w:rsidRPr="00A55906">
        <w:rPr>
          <w:rFonts w:cs="Arial"/>
        </w:rPr>
        <w:t xml:space="preserve"> entre 2011 y 2019). La desaceleración refleja, en parte, los efectos secundarios de la invasión de Rusia a Ucrania, que provocarán una marcada fase descendente en la región de Europa y Asia central, perturbaciones en el comercio, volatilidad de los precios de los productos básicos, mayores costos de los insumos y menor confianza. </w:t>
      </w:r>
    </w:p>
    <w:p w14:paraId="4AF95796" w14:textId="77777777" w:rsidR="00A55906" w:rsidRDefault="00A55906" w:rsidP="00725BFB">
      <w:pPr>
        <w:rPr>
          <w:rFonts w:cs="Arial"/>
        </w:rPr>
      </w:pPr>
    </w:p>
    <w:p w14:paraId="63AD14C6" w14:textId="00BBBFB0" w:rsidR="00A55906" w:rsidRDefault="00C11980" w:rsidP="00725BFB">
      <w:pPr>
        <w:rPr>
          <w:rFonts w:cs="Arial"/>
        </w:rPr>
      </w:pPr>
      <w:r w:rsidRPr="00A55906">
        <w:rPr>
          <w:rFonts w:cs="Arial"/>
        </w:rPr>
        <w:t>Estos efectos secundarios intensifican los factores adversos para el crecimiento, como las crecientes presiones inflacionarias, el endurecimiento de la situación financiera, el retiro continuo del apoyo normativo y una reducción de la demanda externa. La desaceleración del crecimiento en los MEED también se aplica al crecimiento del ingreso per cápita, el cu</w:t>
      </w:r>
      <w:r w:rsidR="00C244E3">
        <w:rPr>
          <w:rFonts w:cs="Arial"/>
        </w:rPr>
        <w:t>al se prevé que disminuya del 5.4 por ciento en 2021 al 2.3 por ciento</w:t>
      </w:r>
      <w:r w:rsidRPr="00A55906">
        <w:rPr>
          <w:rFonts w:cs="Arial"/>
        </w:rPr>
        <w:t xml:space="preserve"> en 2022. </w:t>
      </w:r>
    </w:p>
    <w:p w14:paraId="319EAD13" w14:textId="77777777" w:rsidR="00A55906" w:rsidRDefault="00A55906" w:rsidP="00725BFB">
      <w:pPr>
        <w:rPr>
          <w:rFonts w:cs="Arial"/>
        </w:rPr>
      </w:pPr>
    </w:p>
    <w:p w14:paraId="130E9330" w14:textId="397DC55E" w:rsidR="00C11980" w:rsidRPr="00A55906" w:rsidRDefault="00C11980" w:rsidP="00725BFB">
      <w:pPr>
        <w:rPr>
          <w:rFonts w:cs="Arial"/>
        </w:rPr>
      </w:pPr>
      <w:r w:rsidRPr="00A55906">
        <w:rPr>
          <w:rFonts w:cs="Arial"/>
        </w:rPr>
        <w:t>En 2022, los ingresos per cápita de los MEED se ubicarán cerca del 5</w:t>
      </w:r>
      <w:r w:rsidR="00C244E3">
        <w:rPr>
          <w:rFonts w:cs="Arial"/>
        </w:rPr>
        <w:t>.0 por ciento</w:t>
      </w:r>
      <w:r w:rsidRPr="00A55906">
        <w:rPr>
          <w:rFonts w:cs="Arial"/>
        </w:rPr>
        <w:t xml:space="preserve"> por debajo de su tendencia previa a la pandemia, y muchos países experimentarán un retroceso en el progreso hacia niveles de economías avanzadas.</w:t>
      </w:r>
    </w:p>
    <w:p w14:paraId="663FA516" w14:textId="77777777" w:rsidR="00A55906" w:rsidRDefault="00A55906" w:rsidP="00725BFB">
      <w:pPr>
        <w:rPr>
          <w:rFonts w:cs="Arial"/>
          <w:b/>
          <w:bCs/>
        </w:rPr>
      </w:pPr>
    </w:p>
    <w:p w14:paraId="18F65C3E" w14:textId="469EE0EE" w:rsidR="00F34ACE" w:rsidRPr="00A55906" w:rsidRDefault="00C11980" w:rsidP="00725BFB">
      <w:pPr>
        <w:rPr>
          <w:rFonts w:cs="Arial"/>
        </w:rPr>
      </w:pPr>
      <w:r w:rsidRPr="00A55906">
        <w:rPr>
          <w:rFonts w:cs="Arial"/>
        </w:rPr>
        <w:t xml:space="preserve">La guerra en Ucrania aumentó la probabilidad de riesgos negativos extremos, muchos de los cuales están interconectados. La creciente conmoción geopolítica podría desestabilizar aún más la actividad económica mundial y, en el largo plazo, provocar la fragmentación del comercio global, la inversión y las redes financieras. El aumento de los precios de la energía durante los últimos dos años (el más importante desde la crisis del petróleo de 1973) plantea inquietudes de que la economía mundial esté ingresando en un período de estanflación que evoca el de la década de 1970. </w:t>
      </w:r>
    </w:p>
    <w:p w14:paraId="698F7773" w14:textId="77777777" w:rsidR="00A55906" w:rsidRDefault="00A55906" w:rsidP="00725BFB">
      <w:pPr>
        <w:rPr>
          <w:rFonts w:cs="Arial"/>
        </w:rPr>
      </w:pPr>
    </w:p>
    <w:p w14:paraId="76EA7328" w14:textId="3069C056" w:rsidR="00C11980" w:rsidRPr="00A55906" w:rsidRDefault="00C11980" w:rsidP="00725BFB">
      <w:pPr>
        <w:rPr>
          <w:rFonts w:cs="Arial"/>
        </w:rPr>
      </w:pPr>
      <w:r w:rsidRPr="00A55906">
        <w:rPr>
          <w:rFonts w:cs="Arial"/>
        </w:rPr>
        <w:t xml:space="preserve">El aumento de las presiones de los precios podría requerir una restricción monetaria considerablemente mayor que la que se prevé en la actualidad, lo que provocaría una tensión financiera generalizada. La escasez de alimentos podría empeorar y provocar descontento social, mientras que podrían surgir nuevas variantes de COVID-19 más contagiosas e interrumpir la actividad. La materialización simultánea de varios de estos </w:t>
      </w:r>
      <w:r w:rsidRPr="00A55906">
        <w:rPr>
          <w:rFonts w:cs="Arial"/>
        </w:rPr>
        <w:lastRenderedPageBreak/>
        <w:t xml:space="preserve">riesgos de deterioro de la situación podría provocar que la actividad </w:t>
      </w:r>
      <w:r w:rsidR="007A4194">
        <w:rPr>
          <w:rFonts w:cs="Arial"/>
        </w:rPr>
        <w:t>mundial caiga más bruscamente al cierre de</w:t>
      </w:r>
      <w:r w:rsidRPr="00A55906">
        <w:rPr>
          <w:rFonts w:cs="Arial"/>
        </w:rPr>
        <w:t xml:space="preserve"> 2022 y se reduzca a la mitad en 2023.</w:t>
      </w:r>
    </w:p>
    <w:p w14:paraId="66CA2385" w14:textId="77777777" w:rsidR="00A55906" w:rsidRDefault="00A55906" w:rsidP="00725BFB">
      <w:pPr>
        <w:rPr>
          <w:rFonts w:cs="Arial"/>
          <w:b/>
          <w:bCs/>
        </w:rPr>
      </w:pPr>
    </w:p>
    <w:p w14:paraId="396F8981" w14:textId="2C460E4C" w:rsidR="00F34ACE" w:rsidRPr="00A55906" w:rsidRDefault="00C11980" w:rsidP="00725BFB">
      <w:pPr>
        <w:rPr>
          <w:rFonts w:cs="Arial"/>
        </w:rPr>
      </w:pPr>
      <w:r w:rsidRPr="00A55906">
        <w:rPr>
          <w:rFonts w:cs="Arial"/>
        </w:rPr>
        <w:t xml:space="preserve">La invasión de Rusia a Ucrania y el consiguiente aumento de las presiones inflacionarias causan una aceleración del ritmo de la restricción monetaria en muchas economías avanzadas y </w:t>
      </w:r>
      <w:r w:rsidR="003E3CBC">
        <w:rPr>
          <w:rFonts w:cs="Arial"/>
        </w:rPr>
        <w:t xml:space="preserve">en los </w:t>
      </w:r>
      <w:r w:rsidRPr="00A55906">
        <w:rPr>
          <w:rFonts w:cs="Arial"/>
        </w:rPr>
        <w:t>MEED. Muchos bancos centrales de los MEED</w:t>
      </w:r>
      <w:r w:rsidR="003E3CBC">
        <w:rPr>
          <w:rFonts w:cs="Arial"/>
        </w:rPr>
        <w:t>, como el Banco de México,</w:t>
      </w:r>
      <w:r w:rsidRPr="00A55906">
        <w:rPr>
          <w:rFonts w:cs="Arial"/>
        </w:rPr>
        <w:t xml:space="preserve"> encaran el desafío de hacer frente a la alta inflación en un momento en el que la recuperación cíclica de la pandemia es frágil e incompleta. La situación se torna más desalentadora en los países en los que las expectativas inflacionarias tienen menos anclaje y la credibilidad de la política monetaria está menos consolidada. Dado que los bancos centrales de las economías avanzadas reducen las políticas monetarias acomodaticias, la volatilidad de los flujos de capital y la depreciación cambiaria pueden plantear desafíos adicionales a los encargados de la formulación de políticas de los MEED. </w:t>
      </w:r>
    </w:p>
    <w:p w14:paraId="23069450" w14:textId="77777777" w:rsidR="00A55906" w:rsidRDefault="00A55906" w:rsidP="00725BFB">
      <w:pPr>
        <w:rPr>
          <w:rFonts w:cs="Arial"/>
        </w:rPr>
      </w:pPr>
    </w:p>
    <w:p w14:paraId="54BEC654" w14:textId="073BFA86" w:rsidR="00C11980" w:rsidRPr="00A55906" w:rsidRDefault="00C11980" w:rsidP="00725BFB">
      <w:pPr>
        <w:rPr>
          <w:rFonts w:cs="Arial"/>
        </w:rPr>
      </w:pPr>
      <w:r w:rsidRPr="00A55906">
        <w:rPr>
          <w:rFonts w:cs="Arial"/>
        </w:rPr>
        <w:t>La capacidad de las autoridades fiscales de los MEED de proporcionar apoyo se verá gravemente limitada por el endurecimiento de la situación financiera y los mayores costos del endeudamiento en medio de elevadas cargas de la deuda y un reducido espacio para las políticas. La deuda ya se encontraba en una senda no sostenible para muchos MEED antes de la guerra en Ucrania, y es probable que la sostenibilidad fiscal se erosione aún más a causa de las perspectivas de crecimiento más débiles y los costos más elevados de los empréstitos.</w:t>
      </w:r>
    </w:p>
    <w:p w14:paraId="6F075880" w14:textId="77777777" w:rsidR="00A55906" w:rsidRDefault="00A55906" w:rsidP="00725BFB">
      <w:pPr>
        <w:rPr>
          <w:rFonts w:cs="Arial"/>
          <w:b/>
          <w:bCs/>
        </w:rPr>
      </w:pPr>
    </w:p>
    <w:p w14:paraId="7D3BEB8E" w14:textId="37240A3E" w:rsidR="00F34ACE" w:rsidRPr="00A55906" w:rsidRDefault="00C11980" w:rsidP="00725BFB">
      <w:pPr>
        <w:rPr>
          <w:rFonts w:cs="Arial"/>
        </w:rPr>
      </w:pPr>
      <w:r w:rsidRPr="00A55906">
        <w:rPr>
          <w:rFonts w:cs="Arial"/>
        </w:rPr>
        <w:t xml:space="preserve">Muchos de los desafíos a largo plazo de los MEED se vieron agravados por la pandemia y la guerra en Ucrania. Generar resiliencia a la volatilidad de los precios de los alimentos resulta fundamental, ya que la guerra en Ucrania ha agravado la inseguridad alimentaria en muchos MEED. En la medida de lo posible, los encargados de la formulación de políticas de los MEED deberían abstenerse de responder al alza de los precios de los productos básicos aumentando el ya elevado número de controles de precios y, en cambio, ampliar las redes de protección social, diversificar las fuentes de alimentos y agilizar la transición hacia fuentes de energía con bajas emisiones de carbono. </w:t>
      </w:r>
    </w:p>
    <w:p w14:paraId="04BAEE0B" w14:textId="77777777" w:rsidR="00A55906" w:rsidRDefault="00A55906" w:rsidP="00725BFB">
      <w:pPr>
        <w:rPr>
          <w:rFonts w:cs="Arial"/>
        </w:rPr>
      </w:pPr>
    </w:p>
    <w:p w14:paraId="2E0E55BD" w14:textId="61E0B635" w:rsidR="00C11980" w:rsidRPr="00A55906" w:rsidRDefault="00C11980" w:rsidP="00725BFB">
      <w:pPr>
        <w:rPr>
          <w:rFonts w:cs="Arial"/>
        </w:rPr>
      </w:pPr>
      <w:r w:rsidRPr="00A55906">
        <w:rPr>
          <w:rFonts w:cs="Arial"/>
        </w:rPr>
        <w:t>Los encargados de la formulación de políticas de los MEED también deben contrarrestar el riesgo de que la fragmentación financiera y del mercado eleve los costos comerciales y, por ejemplo, implementar medidas para aumentar la resiliencia del mercado y promover la diversificación. Por último, los encargados de formular políticas deben agilizar el ritmo de la vacunación y revertir las secuelas que causó la pandemia en las perspectivas de crecimiento, incluso, mediante la promoción de inversiones en educación y el aumento de la participación en la fuerza laboral, a través de políticas activas del mercado laboral, especialmente para las mujeres.</w:t>
      </w:r>
    </w:p>
    <w:p w14:paraId="5250B9EA" w14:textId="794B4FA7" w:rsidR="003D3E34" w:rsidRPr="00A55906" w:rsidRDefault="0045406C" w:rsidP="0045406C">
      <w:pPr>
        <w:pStyle w:val="Ttulo2"/>
      </w:pPr>
      <w:r>
        <w:lastRenderedPageBreak/>
        <w:t>1.II</w:t>
      </w:r>
      <w:r w:rsidR="003D3E34" w:rsidRPr="00A55906">
        <w:t xml:space="preserve"> Economía Regional </w:t>
      </w:r>
    </w:p>
    <w:p w14:paraId="15768AB4" w14:textId="77777777" w:rsidR="00A55906" w:rsidRDefault="00A55906" w:rsidP="00725BFB">
      <w:pPr>
        <w:rPr>
          <w:rFonts w:cs="Arial"/>
          <w:b/>
          <w:bCs/>
        </w:rPr>
      </w:pPr>
    </w:p>
    <w:p w14:paraId="3BF87750" w14:textId="78C00EB2" w:rsidR="007A604A" w:rsidRPr="00A55906" w:rsidRDefault="00B4338B" w:rsidP="00725BFB">
      <w:pPr>
        <w:rPr>
          <w:rFonts w:cs="Arial"/>
        </w:rPr>
      </w:pPr>
      <w:r w:rsidRPr="00A55906">
        <w:rPr>
          <w:rFonts w:cs="Arial"/>
        </w:rPr>
        <w:t>L</w:t>
      </w:r>
      <w:r w:rsidR="007A604A" w:rsidRPr="00A55906">
        <w:rPr>
          <w:rFonts w:cs="Arial"/>
        </w:rPr>
        <w:t>as complejas condiciones mundiales están afectando el crecimiento en América Latina y el Caribe. La guerra en Ucrania está teniendo efectos considerables en la región a través del alza de precios de los productos básicos y el debilitamiento del crecimiento mundial. Los ingresos de exportación y la situación fiscal de algunos países exportadores de productos básicos regionales se están beneficiando, pero los efectos económicos positivos se ven contrarrestados por el aumento de los precios al consumidor, una confianza más débil y el aumento de las tasas de interés nacionales y mundiales.</w:t>
      </w:r>
    </w:p>
    <w:p w14:paraId="44EBCD66" w14:textId="77777777" w:rsidR="00A55906" w:rsidRDefault="00A55906" w:rsidP="00725BFB">
      <w:pPr>
        <w:rPr>
          <w:rFonts w:cs="Arial"/>
        </w:rPr>
      </w:pPr>
    </w:p>
    <w:p w14:paraId="6E1DACC9" w14:textId="780A79B3" w:rsidR="00B4338B" w:rsidRPr="00A55906" w:rsidRDefault="007A604A" w:rsidP="00725BFB">
      <w:pPr>
        <w:rPr>
          <w:rFonts w:cs="Arial"/>
        </w:rPr>
      </w:pPr>
      <w:r w:rsidRPr="00A55906">
        <w:rPr>
          <w:rFonts w:cs="Arial"/>
        </w:rPr>
        <w:t xml:space="preserve">La inflación ha aumentado muy por encima de las metas de los bancos centrales en muchos países de América Latina y el Caribe y ha ejercido presión financiera sobre los hogares. Las medidas generales para enfrentar la inflación, así como los precios de los alimentos y los combustibles, se han acelerado rápidamente. En respuesta, las autoridades monetarias han subido significativamente las tasas de interés oficiales y han indicado que se producirán nuevos aumentos. Los mercados financieros de América Latina y el Caribe mostraron resiliencia a principios de año, pero la situación financiera se endureció notablemente en abril. </w:t>
      </w:r>
    </w:p>
    <w:p w14:paraId="3599CF42" w14:textId="77777777" w:rsidR="00A55906" w:rsidRDefault="00A55906" w:rsidP="00725BFB">
      <w:pPr>
        <w:rPr>
          <w:rFonts w:cs="Arial"/>
        </w:rPr>
      </w:pPr>
    </w:p>
    <w:p w14:paraId="65C3BCE2" w14:textId="10555B3C" w:rsidR="003D3E34" w:rsidRPr="00A55906" w:rsidRDefault="007A604A" w:rsidP="00725BFB">
      <w:pPr>
        <w:rPr>
          <w:rFonts w:cs="Arial"/>
        </w:rPr>
      </w:pPr>
      <w:r w:rsidRPr="00A55906">
        <w:rPr>
          <w:rFonts w:cs="Arial"/>
        </w:rPr>
        <w:t>La COVID-19 se ha mantenido bajo control en la región desde que finalizó la ola de la variante ómicron, pero los cuellos de botella en el suministro global relacionados con la pandemia continúan provocando perturbaciones en la manufactura regional.</w:t>
      </w:r>
    </w:p>
    <w:p w14:paraId="78C09FC0" w14:textId="77777777" w:rsidR="00A55906" w:rsidRDefault="00A55906" w:rsidP="00725BFB">
      <w:pPr>
        <w:rPr>
          <w:rFonts w:cs="Arial"/>
          <w:b/>
          <w:bCs/>
        </w:rPr>
      </w:pPr>
    </w:p>
    <w:p w14:paraId="32961996" w14:textId="4B22A638" w:rsidR="007A604A" w:rsidRPr="00A55906" w:rsidRDefault="00720D05" w:rsidP="00725BFB">
      <w:pPr>
        <w:rPr>
          <w:rFonts w:cs="Arial"/>
        </w:rPr>
      </w:pPr>
      <w:r>
        <w:rPr>
          <w:rFonts w:cs="Arial"/>
          <w:bCs/>
        </w:rPr>
        <w:t>De acuerdo al panorama internacional, s</w:t>
      </w:r>
      <w:r w:rsidR="007A604A" w:rsidRPr="00A55906">
        <w:rPr>
          <w:rFonts w:cs="Arial"/>
        </w:rPr>
        <w:t>e prevé que el crecimiento regional se desacelerará</w:t>
      </w:r>
      <w:r>
        <w:rPr>
          <w:rFonts w:cs="Arial"/>
        </w:rPr>
        <w:t xml:space="preserve"> marcadamente hasta llegar al 2.5 por ciento</w:t>
      </w:r>
      <w:r w:rsidR="007A604A" w:rsidRPr="00A55906">
        <w:rPr>
          <w:rFonts w:cs="Arial"/>
        </w:rPr>
        <w:t xml:space="preserve"> en 2022, luego de un repunt</w:t>
      </w:r>
      <w:r>
        <w:rPr>
          <w:rFonts w:cs="Arial"/>
        </w:rPr>
        <w:t>e posterior a la pandemia del 6.7 por ciento</w:t>
      </w:r>
      <w:r w:rsidR="007A604A" w:rsidRPr="00A55906">
        <w:rPr>
          <w:rFonts w:cs="Arial"/>
        </w:rPr>
        <w:t xml:space="preserve"> en 2021. El crecimiento se desacelerará aún más en 20</w:t>
      </w:r>
      <w:r>
        <w:rPr>
          <w:rFonts w:cs="Arial"/>
        </w:rPr>
        <w:t>23, a solo un 1.9 por ciento</w:t>
      </w:r>
      <w:r w:rsidR="007A604A" w:rsidRPr="00A55906">
        <w:rPr>
          <w:rFonts w:cs="Arial"/>
        </w:rPr>
        <w:t>, antes</w:t>
      </w:r>
      <w:r>
        <w:rPr>
          <w:rFonts w:cs="Arial"/>
        </w:rPr>
        <w:t xml:space="preserve"> de repuntar ligeramente a un 2.4 por ciento</w:t>
      </w:r>
      <w:r w:rsidR="007A604A" w:rsidRPr="00A55906">
        <w:rPr>
          <w:rFonts w:cs="Arial"/>
        </w:rPr>
        <w:t xml:space="preserve"> en 2024. La desaceleración regional refleja el endurecimiento de la situación financiera, el debilitamiento del crecimiento de la demanda externa, la rápida inflación y la gran incertidumbre en materia de políticas en algunos países. Se espera que el PIB per cápita de t</w:t>
      </w:r>
      <w:r>
        <w:rPr>
          <w:rFonts w:cs="Arial"/>
        </w:rPr>
        <w:t>oda la región aumente solo un 0.6 por ciento</w:t>
      </w:r>
      <w:r w:rsidR="007A604A" w:rsidRPr="00A55906">
        <w:rPr>
          <w:rFonts w:cs="Arial"/>
        </w:rPr>
        <w:t xml:space="preserve"> entre 2019 y 2023.</w:t>
      </w:r>
    </w:p>
    <w:p w14:paraId="44E5816B" w14:textId="77777777" w:rsidR="00A55906" w:rsidRDefault="00A55906" w:rsidP="00725BFB">
      <w:pPr>
        <w:rPr>
          <w:rFonts w:cs="Arial"/>
        </w:rPr>
      </w:pPr>
    </w:p>
    <w:p w14:paraId="43606E80" w14:textId="151E4263" w:rsidR="007A604A" w:rsidRPr="00A55906" w:rsidRDefault="007A604A" w:rsidP="00725BFB">
      <w:pPr>
        <w:rPr>
          <w:rFonts w:cs="Arial"/>
        </w:rPr>
      </w:pPr>
      <w:r w:rsidRPr="00A55906">
        <w:rPr>
          <w:rFonts w:cs="Arial"/>
        </w:rPr>
        <w:t>Los precios de las principales exportaciones de América Latina y el Caribe serán sustancialmente más altos en 2022, pero los beneficios para el crecimiento se verán limitados por una respuesta lenta de la producción de algunos productos básicos y por el aumento de los costos de los insumos, incluidos la energía y los fertilizantes. Las políticas fiscales y monetarias se basarán ampliamente en el crecimiento a corto plazo, a medida que las autoridades monetarias restringen las políticas para combatir la inflación y continúa la retirada del apoyo fiscal relacionado con la pandemia.</w:t>
      </w:r>
    </w:p>
    <w:p w14:paraId="73603E8F" w14:textId="547A6C0B" w:rsidR="00B4338B" w:rsidRPr="00A55906" w:rsidRDefault="007A604A" w:rsidP="00725BFB">
      <w:pPr>
        <w:rPr>
          <w:rFonts w:cs="Arial"/>
        </w:rPr>
      </w:pPr>
      <w:r w:rsidRPr="00A55906">
        <w:rPr>
          <w:rFonts w:cs="Arial"/>
        </w:rPr>
        <w:lastRenderedPageBreak/>
        <w:t xml:space="preserve">La economía de México, por su parte, se </w:t>
      </w:r>
      <w:r w:rsidR="00720D05">
        <w:rPr>
          <w:rFonts w:cs="Arial"/>
        </w:rPr>
        <w:t>estima se expanda en un 1.7 por ciento en 2022 y un 1.9 por ciento</w:t>
      </w:r>
      <w:r w:rsidRPr="00A55906">
        <w:rPr>
          <w:rFonts w:cs="Arial"/>
        </w:rPr>
        <w:t xml:space="preserve"> en 2023</w:t>
      </w:r>
      <w:r w:rsidR="00720D05">
        <w:rPr>
          <w:rFonts w:cs="Arial"/>
        </w:rPr>
        <w:t xml:space="preserve"> según cifras del Banco Mundial</w:t>
      </w:r>
      <w:r w:rsidRPr="00A55906">
        <w:rPr>
          <w:rFonts w:cs="Arial"/>
        </w:rPr>
        <w:t>, a medida que las políticas monetarias más restrictivas, la alta inflación, la incertidumbre política y la desaceleración del crecimiento de EE. UU. tienen repercusiones en la economía m</w:t>
      </w:r>
      <w:r w:rsidR="00720D05">
        <w:rPr>
          <w:rFonts w:cs="Arial"/>
        </w:rPr>
        <w:t>exicana. Argentina crecerá un 4.5 por ciento</w:t>
      </w:r>
      <w:r w:rsidRPr="00A55906">
        <w:rPr>
          <w:rFonts w:cs="Arial"/>
        </w:rPr>
        <w:t xml:space="preserve"> en 2022, pero con la aceleración de la inflación, la estabilidad macroeconómica sigue siendo difícil de alcanzar. </w:t>
      </w:r>
    </w:p>
    <w:p w14:paraId="2774F6D0" w14:textId="77777777" w:rsidR="00A55906" w:rsidRDefault="00A55906" w:rsidP="00725BFB">
      <w:pPr>
        <w:rPr>
          <w:rFonts w:cs="Arial"/>
          <w:b/>
          <w:bCs/>
        </w:rPr>
      </w:pPr>
    </w:p>
    <w:p w14:paraId="29FA5041" w14:textId="0AE0EE72" w:rsidR="007A604A" w:rsidRPr="00A55906" w:rsidRDefault="00B4338B" w:rsidP="00725BFB">
      <w:pPr>
        <w:rPr>
          <w:rFonts w:cs="Arial"/>
        </w:rPr>
      </w:pPr>
      <w:r w:rsidRPr="00A55906">
        <w:rPr>
          <w:rFonts w:cs="Arial"/>
        </w:rPr>
        <w:t>E</w:t>
      </w:r>
      <w:r w:rsidR="007A604A" w:rsidRPr="00A55906">
        <w:rPr>
          <w:rFonts w:cs="Arial"/>
        </w:rPr>
        <w:t>l pan</w:t>
      </w:r>
      <w:r w:rsidR="00720D05">
        <w:rPr>
          <w:rFonts w:cs="Arial"/>
        </w:rPr>
        <w:t>orama presenta riesgos adversos, e</w:t>
      </w:r>
      <w:r w:rsidR="007A604A" w:rsidRPr="00A55906">
        <w:rPr>
          <w:rFonts w:cs="Arial"/>
        </w:rPr>
        <w:t>ntre ellos se incluyen los efectos indirectos en la región debido a la atenuación del crecimiento mundial, una mayor inseguridad alimentaria y malestar social, una inflación superior a la prevista y tensiones financieras constantes.</w:t>
      </w:r>
    </w:p>
    <w:p w14:paraId="7264D3A6" w14:textId="77777777" w:rsidR="00A55906" w:rsidRDefault="00A55906" w:rsidP="00725BFB">
      <w:pPr>
        <w:rPr>
          <w:rFonts w:cs="Arial"/>
        </w:rPr>
      </w:pPr>
    </w:p>
    <w:p w14:paraId="5B18065F" w14:textId="74C9879F" w:rsidR="00B4338B" w:rsidRPr="00A55906" w:rsidRDefault="007A604A" w:rsidP="00725BFB">
      <w:pPr>
        <w:rPr>
          <w:rFonts w:cs="Arial"/>
        </w:rPr>
      </w:pPr>
      <w:r w:rsidRPr="00A55906">
        <w:rPr>
          <w:rFonts w:cs="Arial"/>
        </w:rPr>
        <w:t xml:space="preserve">Un crecimiento más lento de lo esperado en los principales socios comerciales de América Latina y el Caribe debilitaría aún más las perspectivas regionales. La escasez global de fertilizantes vinculada a la guerra de Ucrania podría exacerbar el aumento de los precios de los alimentos, lo que provocaría malestar social. La inflación podría permanecer muy por encima de las metas de los bancos centrales, por lo que sería necesario un endurecimiento de las políticas monetarias más rápido, lo que podría precipitar una desaceleración regional aún más pronunciada. </w:t>
      </w:r>
    </w:p>
    <w:p w14:paraId="4701A798" w14:textId="77777777" w:rsidR="00A55906" w:rsidRDefault="00A55906" w:rsidP="00725BFB">
      <w:pPr>
        <w:rPr>
          <w:rFonts w:cs="Arial"/>
        </w:rPr>
      </w:pPr>
    </w:p>
    <w:p w14:paraId="74786F55" w14:textId="6C48CC01" w:rsidR="007A604A" w:rsidRDefault="007A604A" w:rsidP="00725BFB">
      <w:pPr>
        <w:rPr>
          <w:rFonts w:cs="Arial"/>
        </w:rPr>
      </w:pPr>
      <w:r w:rsidRPr="00A55906">
        <w:rPr>
          <w:rFonts w:cs="Arial"/>
        </w:rPr>
        <w:t>Además, en un contexto de crecimiento lento y aumento de las tasas de interés en EE. UU., la tensión financiera podría afianzarse en algunas economías de la región, especialmente si los encargados de formular políticas no pueden comprometerse de manera creíble con las reformas para impulsar el crecimiento de manera sostenible.</w:t>
      </w:r>
    </w:p>
    <w:p w14:paraId="3FC74005" w14:textId="77777777" w:rsidR="00A55906" w:rsidRPr="00D62897" w:rsidRDefault="00A55906" w:rsidP="00725BFB">
      <w:pPr>
        <w:rPr>
          <w:rFonts w:cs="Arial"/>
          <w:sz w:val="20"/>
          <w:szCs w:val="20"/>
        </w:rPr>
      </w:pPr>
    </w:p>
    <w:tbl>
      <w:tblPr>
        <w:tblW w:w="71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96"/>
        <w:gridCol w:w="496"/>
        <w:gridCol w:w="643"/>
        <w:gridCol w:w="585"/>
        <w:gridCol w:w="620"/>
        <w:gridCol w:w="541"/>
        <w:gridCol w:w="541"/>
      </w:tblGrid>
      <w:tr w:rsidR="008B1058" w:rsidRPr="008B1058" w14:paraId="45BEE483" w14:textId="77777777" w:rsidTr="008B1058">
        <w:trPr>
          <w:trHeight w:val="342"/>
          <w:tblHeader/>
          <w:jc w:val="center"/>
        </w:trPr>
        <w:tc>
          <w:tcPr>
            <w:tcW w:w="7122" w:type="dxa"/>
            <w:gridSpan w:val="7"/>
            <w:tcBorders>
              <w:top w:val="nil"/>
              <w:left w:val="nil"/>
              <w:bottom w:val="single" w:sz="4" w:space="0" w:color="auto"/>
              <w:right w:val="nil"/>
            </w:tcBorders>
            <w:shd w:val="clear" w:color="000000" w:fill="FFFFFF"/>
            <w:noWrap/>
            <w:vAlign w:val="center"/>
            <w:hideMark/>
          </w:tcPr>
          <w:p w14:paraId="443D1E76" w14:textId="7F59523F" w:rsidR="00D62897" w:rsidRPr="008B1058" w:rsidRDefault="008B1058" w:rsidP="008B1058">
            <w:pPr>
              <w:jc w:val="center"/>
              <w:rPr>
                <w:rFonts w:eastAsia="Times New Roman" w:cs="Arial"/>
                <w:sz w:val="20"/>
                <w:szCs w:val="16"/>
              </w:rPr>
            </w:pPr>
            <w:r w:rsidRPr="008B1058">
              <w:rPr>
                <w:rFonts w:eastAsia="Times New Roman" w:cs="Arial"/>
                <w:b/>
                <w:bCs/>
                <w:sz w:val="20"/>
                <w:szCs w:val="16"/>
              </w:rPr>
              <w:t>Banco Mundial: Previsiones de Crecimiento</w:t>
            </w:r>
          </w:p>
        </w:tc>
      </w:tr>
      <w:tr w:rsidR="00D62897" w:rsidRPr="00D62897" w14:paraId="6DC85F52" w14:textId="77777777" w:rsidTr="008B1058">
        <w:trPr>
          <w:trHeight w:val="300"/>
          <w:tblHeader/>
          <w:jc w:val="center"/>
        </w:trPr>
        <w:tc>
          <w:tcPr>
            <w:tcW w:w="3696" w:type="dxa"/>
            <w:tcBorders>
              <w:top w:val="single" w:sz="4" w:space="0" w:color="auto"/>
            </w:tcBorders>
            <w:shd w:val="clear" w:color="auto" w:fill="auto"/>
            <w:noWrap/>
            <w:vAlign w:val="center"/>
            <w:hideMark/>
          </w:tcPr>
          <w:p w14:paraId="4751435E" w14:textId="77777777" w:rsidR="00D62897" w:rsidRPr="00D62897" w:rsidRDefault="00D62897" w:rsidP="00A3747F">
            <w:pPr>
              <w:jc w:val="right"/>
              <w:rPr>
                <w:rFonts w:eastAsia="Times New Roman" w:cs="Arial"/>
                <w:color w:val="244062"/>
                <w:sz w:val="16"/>
                <w:szCs w:val="16"/>
              </w:rPr>
            </w:pPr>
            <w:r w:rsidRPr="00D62897">
              <w:rPr>
                <w:rFonts w:eastAsia="Times New Roman" w:cs="Arial"/>
                <w:color w:val="244062"/>
                <w:sz w:val="16"/>
                <w:szCs w:val="16"/>
              </w:rPr>
              <w:t> </w:t>
            </w:r>
          </w:p>
        </w:tc>
        <w:tc>
          <w:tcPr>
            <w:tcW w:w="496" w:type="dxa"/>
            <w:tcBorders>
              <w:top w:val="single" w:sz="4" w:space="0" w:color="auto"/>
            </w:tcBorders>
            <w:shd w:val="clear" w:color="000000" w:fill="FFFFFF"/>
            <w:noWrap/>
            <w:vAlign w:val="center"/>
            <w:hideMark/>
          </w:tcPr>
          <w:p w14:paraId="13923575" w14:textId="77777777" w:rsidR="00D62897" w:rsidRPr="00D62897" w:rsidRDefault="00D62897" w:rsidP="00A3747F">
            <w:pPr>
              <w:jc w:val="center"/>
              <w:rPr>
                <w:rFonts w:eastAsia="Times New Roman" w:cs="Arial"/>
                <w:color w:val="244062"/>
                <w:sz w:val="16"/>
                <w:szCs w:val="16"/>
              </w:rPr>
            </w:pPr>
            <w:r w:rsidRPr="00D62897">
              <w:rPr>
                <w:rFonts w:eastAsia="Times New Roman" w:cs="Arial"/>
                <w:color w:val="244062"/>
                <w:sz w:val="16"/>
                <w:szCs w:val="16"/>
              </w:rPr>
              <w:t>2019</w:t>
            </w:r>
          </w:p>
        </w:tc>
        <w:tc>
          <w:tcPr>
            <w:tcW w:w="643" w:type="dxa"/>
            <w:tcBorders>
              <w:top w:val="single" w:sz="4" w:space="0" w:color="auto"/>
            </w:tcBorders>
            <w:shd w:val="clear" w:color="000000" w:fill="FFFFFF"/>
            <w:noWrap/>
            <w:vAlign w:val="center"/>
            <w:hideMark/>
          </w:tcPr>
          <w:p w14:paraId="6B1987D8" w14:textId="77777777" w:rsidR="00D62897" w:rsidRPr="00D62897" w:rsidRDefault="00D62897" w:rsidP="00A3747F">
            <w:pPr>
              <w:jc w:val="center"/>
              <w:rPr>
                <w:rFonts w:eastAsia="Times New Roman" w:cs="Arial"/>
                <w:color w:val="244062"/>
                <w:sz w:val="16"/>
                <w:szCs w:val="16"/>
              </w:rPr>
            </w:pPr>
            <w:r w:rsidRPr="00D62897">
              <w:rPr>
                <w:rFonts w:eastAsia="Times New Roman" w:cs="Arial"/>
                <w:color w:val="244062"/>
                <w:sz w:val="16"/>
                <w:szCs w:val="16"/>
              </w:rPr>
              <w:t>2020</w:t>
            </w:r>
          </w:p>
        </w:tc>
        <w:tc>
          <w:tcPr>
            <w:tcW w:w="585" w:type="dxa"/>
            <w:tcBorders>
              <w:top w:val="single" w:sz="4" w:space="0" w:color="auto"/>
            </w:tcBorders>
            <w:shd w:val="clear" w:color="000000" w:fill="FDE9D9"/>
            <w:noWrap/>
            <w:vAlign w:val="center"/>
            <w:hideMark/>
          </w:tcPr>
          <w:p w14:paraId="4D7D481A" w14:textId="77777777" w:rsidR="00D62897" w:rsidRPr="00D62897" w:rsidRDefault="00D62897" w:rsidP="00A3747F">
            <w:pPr>
              <w:jc w:val="center"/>
              <w:rPr>
                <w:rFonts w:eastAsia="Times New Roman" w:cs="Arial"/>
                <w:color w:val="244062"/>
                <w:sz w:val="16"/>
                <w:szCs w:val="16"/>
              </w:rPr>
            </w:pPr>
            <w:r w:rsidRPr="00D62897">
              <w:rPr>
                <w:rFonts w:eastAsia="Times New Roman" w:cs="Arial"/>
                <w:color w:val="244062"/>
                <w:sz w:val="16"/>
                <w:szCs w:val="16"/>
              </w:rPr>
              <w:t>2021e</w:t>
            </w:r>
          </w:p>
        </w:tc>
        <w:tc>
          <w:tcPr>
            <w:tcW w:w="620" w:type="dxa"/>
            <w:tcBorders>
              <w:top w:val="single" w:sz="4" w:space="0" w:color="auto"/>
            </w:tcBorders>
            <w:shd w:val="clear" w:color="000000" w:fill="FCD5B4"/>
            <w:noWrap/>
            <w:vAlign w:val="center"/>
            <w:hideMark/>
          </w:tcPr>
          <w:p w14:paraId="5A43F72B" w14:textId="77777777" w:rsidR="00D62897" w:rsidRPr="00D62897" w:rsidRDefault="00D62897" w:rsidP="00A3747F">
            <w:pPr>
              <w:jc w:val="center"/>
              <w:rPr>
                <w:rFonts w:eastAsia="Times New Roman" w:cs="Arial"/>
                <w:color w:val="244062"/>
                <w:sz w:val="16"/>
                <w:szCs w:val="16"/>
              </w:rPr>
            </w:pPr>
            <w:r w:rsidRPr="00D62897">
              <w:rPr>
                <w:rFonts w:eastAsia="Times New Roman" w:cs="Arial"/>
                <w:color w:val="244062"/>
                <w:sz w:val="16"/>
                <w:szCs w:val="16"/>
              </w:rPr>
              <w:t>2022f</w:t>
            </w:r>
          </w:p>
        </w:tc>
        <w:tc>
          <w:tcPr>
            <w:tcW w:w="541" w:type="dxa"/>
            <w:tcBorders>
              <w:top w:val="single" w:sz="4" w:space="0" w:color="auto"/>
            </w:tcBorders>
            <w:shd w:val="clear" w:color="000000" w:fill="FCD5B4"/>
            <w:noWrap/>
            <w:vAlign w:val="center"/>
            <w:hideMark/>
          </w:tcPr>
          <w:p w14:paraId="7C6E11C5" w14:textId="77777777" w:rsidR="00D62897" w:rsidRPr="00D62897" w:rsidRDefault="00D62897" w:rsidP="00A3747F">
            <w:pPr>
              <w:jc w:val="center"/>
              <w:rPr>
                <w:rFonts w:eastAsia="Times New Roman" w:cs="Arial"/>
                <w:color w:val="244062"/>
                <w:sz w:val="16"/>
                <w:szCs w:val="16"/>
              </w:rPr>
            </w:pPr>
            <w:r w:rsidRPr="00D62897">
              <w:rPr>
                <w:rFonts w:eastAsia="Times New Roman" w:cs="Arial"/>
                <w:color w:val="244062"/>
                <w:sz w:val="16"/>
                <w:szCs w:val="16"/>
              </w:rPr>
              <w:t>2023f</w:t>
            </w:r>
          </w:p>
        </w:tc>
        <w:tc>
          <w:tcPr>
            <w:tcW w:w="541" w:type="dxa"/>
            <w:tcBorders>
              <w:top w:val="single" w:sz="4" w:space="0" w:color="auto"/>
            </w:tcBorders>
            <w:shd w:val="clear" w:color="000000" w:fill="FCD5B4"/>
            <w:noWrap/>
            <w:vAlign w:val="center"/>
            <w:hideMark/>
          </w:tcPr>
          <w:p w14:paraId="25ACBB03" w14:textId="77777777" w:rsidR="00D62897" w:rsidRPr="00D62897" w:rsidRDefault="00D62897" w:rsidP="00A3747F">
            <w:pPr>
              <w:jc w:val="center"/>
              <w:rPr>
                <w:rFonts w:eastAsia="Times New Roman" w:cs="Arial"/>
                <w:color w:val="244062"/>
                <w:sz w:val="16"/>
                <w:szCs w:val="16"/>
              </w:rPr>
            </w:pPr>
            <w:r w:rsidRPr="00D62897">
              <w:rPr>
                <w:rFonts w:eastAsia="Times New Roman" w:cs="Arial"/>
                <w:color w:val="244062"/>
                <w:sz w:val="16"/>
                <w:szCs w:val="16"/>
              </w:rPr>
              <w:t>2024f</w:t>
            </w:r>
          </w:p>
        </w:tc>
      </w:tr>
      <w:tr w:rsidR="00D62897" w:rsidRPr="00D62897" w14:paraId="3E6EB3D2" w14:textId="77777777" w:rsidTr="00D62897">
        <w:trPr>
          <w:trHeight w:val="227"/>
          <w:jc w:val="center"/>
        </w:trPr>
        <w:tc>
          <w:tcPr>
            <w:tcW w:w="3696" w:type="dxa"/>
            <w:shd w:val="clear" w:color="auto" w:fill="auto"/>
            <w:noWrap/>
            <w:vAlign w:val="center"/>
            <w:hideMark/>
          </w:tcPr>
          <w:p w14:paraId="3AFDB89D" w14:textId="77777777" w:rsidR="00D62897" w:rsidRPr="00D62897" w:rsidRDefault="00D62897" w:rsidP="00A3747F">
            <w:pPr>
              <w:rPr>
                <w:rFonts w:eastAsia="Times New Roman" w:cs="Arial"/>
                <w:b/>
                <w:bCs/>
                <w:color w:val="262626"/>
                <w:sz w:val="16"/>
                <w:szCs w:val="16"/>
              </w:rPr>
            </w:pPr>
            <w:r w:rsidRPr="00D62897">
              <w:rPr>
                <w:rFonts w:eastAsia="Times New Roman" w:cs="Arial"/>
                <w:b/>
                <w:bCs/>
                <w:color w:val="262626"/>
                <w:sz w:val="16"/>
                <w:szCs w:val="16"/>
              </w:rPr>
              <w:t>Mundo</w:t>
            </w:r>
          </w:p>
        </w:tc>
        <w:tc>
          <w:tcPr>
            <w:tcW w:w="496" w:type="dxa"/>
            <w:shd w:val="clear" w:color="000000" w:fill="FFFFFF"/>
            <w:noWrap/>
            <w:vAlign w:val="center"/>
            <w:hideMark/>
          </w:tcPr>
          <w:p w14:paraId="32A02133"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2.6</w:t>
            </w:r>
          </w:p>
        </w:tc>
        <w:tc>
          <w:tcPr>
            <w:tcW w:w="643" w:type="dxa"/>
            <w:shd w:val="clear" w:color="auto" w:fill="auto"/>
            <w:noWrap/>
            <w:vAlign w:val="center"/>
            <w:hideMark/>
          </w:tcPr>
          <w:p w14:paraId="442663EA"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-3.3</w:t>
            </w:r>
          </w:p>
        </w:tc>
        <w:tc>
          <w:tcPr>
            <w:tcW w:w="585" w:type="dxa"/>
            <w:shd w:val="clear" w:color="000000" w:fill="FDE9D9"/>
            <w:noWrap/>
            <w:vAlign w:val="center"/>
            <w:hideMark/>
          </w:tcPr>
          <w:p w14:paraId="0FD3DF4D"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5.7</w:t>
            </w:r>
          </w:p>
        </w:tc>
        <w:tc>
          <w:tcPr>
            <w:tcW w:w="620" w:type="dxa"/>
            <w:shd w:val="clear" w:color="000000" w:fill="FCD5B4"/>
            <w:noWrap/>
            <w:vAlign w:val="center"/>
            <w:hideMark/>
          </w:tcPr>
          <w:p w14:paraId="4E2A57E7"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2.9</w:t>
            </w:r>
          </w:p>
        </w:tc>
        <w:tc>
          <w:tcPr>
            <w:tcW w:w="541" w:type="dxa"/>
            <w:shd w:val="clear" w:color="000000" w:fill="FCD5B4"/>
            <w:noWrap/>
            <w:vAlign w:val="center"/>
            <w:hideMark/>
          </w:tcPr>
          <w:p w14:paraId="497B04F8"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3.0</w:t>
            </w:r>
          </w:p>
        </w:tc>
        <w:tc>
          <w:tcPr>
            <w:tcW w:w="541" w:type="dxa"/>
            <w:shd w:val="clear" w:color="000000" w:fill="FCD5B4"/>
            <w:noWrap/>
            <w:vAlign w:val="center"/>
            <w:hideMark/>
          </w:tcPr>
          <w:p w14:paraId="0F7A85F3"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3.0</w:t>
            </w:r>
          </w:p>
        </w:tc>
      </w:tr>
      <w:tr w:rsidR="00D62897" w:rsidRPr="00D62897" w14:paraId="76AA115C" w14:textId="77777777" w:rsidTr="00D62897">
        <w:trPr>
          <w:trHeight w:val="227"/>
          <w:jc w:val="center"/>
        </w:trPr>
        <w:tc>
          <w:tcPr>
            <w:tcW w:w="3696" w:type="dxa"/>
            <w:shd w:val="clear" w:color="auto" w:fill="auto"/>
            <w:noWrap/>
            <w:vAlign w:val="center"/>
            <w:hideMark/>
          </w:tcPr>
          <w:p w14:paraId="37F560C6" w14:textId="77777777" w:rsidR="00D62897" w:rsidRPr="00D62897" w:rsidRDefault="00D62897" w:rsidP="00A3747F">
            <w:pPr>
              <w:rPr>
                <w:rFonts w:eastAsia="Times New Roman" w:cs="Arial"/>
                <w:b/>
                <w:bCs/>
                <w:color w:val="262626"/>
                <w:sz w:val="16"/>
                <w:szCs w:val="16"/>
              </w:rPr>
            </w:pPr>
            <w:r w:rsidRPr="00D62897">
              <w:rPr>
                <w:rFonts w:eastAsia="Times New Roman" w:cs="Arial"/>
                <w:b/>
                <w:bCs/>
                <w:color w:val="262626"/>
                <w:sz w:val="16"/>
                <w:szCs w:val="16"/>
              </w:rPr>
              <w:t>Economías avanzadas</w:t>
            </w:r>
          </w:p>
        </w:tc>
        <w:tc>
          <w:tcPr>
            <w:tcW w:w="496" w:type="dxa"/>
            <w:shd w:val="clear" w:color="000000" w:fill="FFFFFF"/>
            <w:noWrap/>
            <w:vAlign w:val="center"/>
            <w:hideMark/>
          </w:tcPr>
          <w:p w14:paraId="5B8E4B78"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1.7</w:t>
            </w:r>
          </w:p>
        </w:tc>
        <w:tc>
          <w:tcPr>
            <w:tcW w:w="643" w:type="dxa"/>
            <w:shd w:val="clear" w:color="auto" w:fill="auto"/>
            <w:noWrap/>
            <w:vAlign w:val="center"/>
            <w:hideMark/>
          </w:tcPr>
          <w:p w14:paraId="7CF215A1"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-4.6</w:t>
            </w:r>
          </w:p>
        </w:tc>
        <w:tc>
          <w:tcPr>
            <w:tcW w:w="585" w:type="dxa"/>
            <w:shd w:val="clear" w:color="000000" w:fill="FDE9D9"/>
            <w:noWrap/>
            <w:vAlign w:val="center"/>
            <w:hideMark/>
          </w:tcPr>
          <w:p w14:paraId="6E34B5ED"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5.1</w:t>
            </w:r>
          </w:p>
        </w:tc>
        <w:tc>
          <w:tcPr>
            <w:tcW w:w="620" w:type="dxa"/>
            <w:shd w:val="clear" w:color="000000" w:fill="FCD5B4"/>
            <w:noWrap/>
            <w:vAlign w:val="center"/>
            <w:hideMark/>
          </w:tcPr>
          <w:p w14:paraId="7734296C"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2.6</w:t>
            </w:r>
          </w:p>
        </w:tc>
        <w:tc>
          <w:tcPr>
            <w:tcW w:w="541" w:type="dxa"/>
            <w:shd w:val="clear" w:color="000000" w:fill="FCD5B4"/>
            <w:noWrap/>
            <w:vAlign w:val="center"/>
            <w:hideMark/>
          </w:tcPr>
          <w:p w14:paraId="27261CD5"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2.2</w:t>
            </w:r>
          </w:p>
        </w:tc>
        <w:tc>
          <w:tcPr>
            <w:tcW w:w="541" w:type="dxa"/>
            <w:shd w:val="clear" w:color="000000" w:fill="FCD5B4"/>
            <w:noWrap/>
            <w:vAlign w:val="center"/>
            <w:hideMark/>
          </w:tcPr>
          <w:p w14:paraId="7C2CCFF2"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1.9</w:t>
            </w:r>
          </w:p>
        </w:tc>
      </w:tr>
      <w:tr w:rsidR="00D62897" w:rsidRPr="00D62897" w14:paraId="224A85F7" w14:textId="77777777" w:rsidTr="00D62897">
        <w:trPr>
          <w:trHeight w:val="227"/>
          <w:jc w:val="center"/>
        </w:trPr>
        <w:tc>
          <w:tcPr>
            <w:tcW w:w="3696" w:type="dxa"/>
            <w:shd w:val="clear" w:color="auto" w:fill="auto"/>
            <w:noWrap/>
            <w:vAlign w:val="center"/>
            <w:hideMark/>
          </w:tcPr>
          <w:p w14:paraId="7568FBCB"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Estados Unidos</w:t>
            </w:r>
          </w:p>
        </w:tc>
        <w:tc>
          <w:tcPr>
            <w:tcW w:w="496" w:type="dxa"/>
            <w:shd w:val="clear" w:color="000000" w:fill="FFFFFF"/>
            <w:noWrap/>
            <w:vAlign w:val="center"/>
            <w:hideMark/>
          </w:tcPr>
          <w:p w14:paraId="579080DF"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2.3</w:t>
            </w:r>
          </w:p>
        </w:tc>
        <w:tc>
          <w:tcPr>
            <w:tcW w:w="643" w:type="dxa"/>
            <w:shd w:val="clear" w:color="auto" w:fill="auto"/>
            <w:noWrap/>
            <w:vAlign w:val="center"/>
            <w:hideMark/>
          </w:tcPr>
          <w:p w14:paraId="5DACDB07"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-3.4</w:t>
            </w:r>
          </w:p>
        </w:tc>
        <w:tc>
          <w:tcPr>
            <w:tcW w:w="585" w:type="dxa"/>
            <w:shd w:val="clear" w:color="000000" w:fill="FDE9D9"/>
            <w:noWrap/>
            <w:vAlign w:val="center"/>
            <w:hideMark/>
          </w:tcPr>
          <w:p w14:paraId="4B5B8A96"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5.7</w:t>
            </w:r>
          </w:p>
        </w:tc>
        <w:tc>
          <w:tcPr>
            <w:tcW w:w="620" w:type="dxa"/>
            <w:shd w:val="clear" w:color="000000" w:fill="FCD5B4"/>
            <w:noWrap/>
            <w:vAlign w:val="center"/>
            <w:hideMark/>
          </w:tcPr>
          <w:p w14:paraId="11E07DAD"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2.5</w:t>
            </w:r>
          </w:p>
        </w:tc>
        <w:tc>
          <w:tcPr>
            <w:tcW w:w="541" w:type="dxa"/>
            <w:shd w:val="clear" w:color="000000" w:fill="FCD5B4"/>
            <w:noWrap/>
            <w:vAlign w:val="center"/>
            <w:hideMark/>
          </w:tcPr>
          <w:p w14:paraId="6C421FE0"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2.4</w:t>
            </w:r>
          </w:p>
        </w:tc>
        <w:tc>
          <w:tcPr>
            <w:tcW w:w="541" w:type="dxa"/>
            <w:shd w:val="clear" w:color="000000" w:fill="FCD5B4"/>
            <w:noWrap/>
            <w:vAlign w:val="center"/>
            <w:hideMark/>
          </w:tcPr>
          <w:p w14:paraId="3FCDBFE6"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2.0</w:t>
            </w:r>
          </w:p>
        </w:tc>
      </w:tr>
      <w:tr w:rsidR="00D62897" w:rsidRPr="00D62897" w14:paraId="61B8C07B" w14:textId="77777777" w:rsidTr="00D62897">
        <w:trPr>
          <w:trHeight w:val="227"/>
          <w:jc w:val="center"/>
        </w:trPr>
        <w:tc>
          <w:tcPr>
            <w:tcW w:w="3696" w:type="dxa"/>
            <w:shd w:val="clear" w:color="auto" w:fill="auto"/>
            <w:noWrap/>
            <w:vAlign w:val="center"/>
            <w:hideMark/>
          </w:tcPr>
          <w:p w14:paraId="20020716"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Zona Euro</w:t>
            </w:r>
          </w:p>
        </w:tc>
        <w:tc>
          <w:tcPr>
            <w:tcW w:w="496" w:type="dxa"/>
            <w:shd w:val="clear" w:color="000000" w:fill="FFFFFF"/>
            <w:noWrap/>
            <w:vAlign w:val="center"/>
            <w:hideMark/>
          </w:tcPr>
          <w:p w14:paraId="08D68CDF"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1.6</w:t>
            </w:r>
          </w:p>
        </w:tc>
        <w:tc>
          <w:tcPr>
            <w:tcW w:w="643" w:type="dxa"/>
            <w:shd w:val="clear" w:color="auto" w:fill="auto"/>
            <w:noWrap/>
            <w:vAlign w:val="center"/>
            <w:hideMark/>
          </w:tcPr>
          <w:p w14:paraId="29E6EB21"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-6.4</w:t>
            </w:r>
          </w:p>
        </w:tc>
        <w:tc>
          <w:tcPr>
            <w:tcW w:w="585" w:type="dxa"/>
            <w:shd w:val="clear" w:color="000000" w:fill="FDE9D9"/>
            <w:noWrap/>
            <w:vAlign w:val="center"/>
            <w:hideMark/>
          </w:tcPr>
          <w:p w14:paraId="1AD7199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5.4</w:t>
            </w:r>
          </w:p>
        </w:tc>
        <w:tc>
          <w:tcPr>
            <w:tcW w:w="620" w:type="dxa"/>
            <w:shd w:val="clear" w:color="000000" w:fill="FCD5B4"/>
            <w:noWrap/>
            <w:vAlign w:val="center"/>
            <w:hideMark/>
          </w:tcPr>
          <w:p w14:paraId="48FDB66F"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2.5</w:t>
            </w:r>
          </w:p>
        </w:tc>
        <w:tc>
          <w:tcPr>
            <w:tcW w:w="541" w:type="dxa"/>
            <w:shd w:val="clear" w:color="000000" w:fill="FCD5B4"/>
            <w:noWrap/>
            <w:vAlign w:val="center"/>
            <w:hideMark/>
          </w:tcPr>
          <w:p w14:paraId="484C8E7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1.9</w:t>
            </w:r>
          </w:p>
        </w:tc>
        <w:tc>
          <w:tcPr>
            <w:tcW w:w="541" w:type="dxa"/>
            <w:shd w:val="clear" w:color="000000" w:fill="FCD5B4"/>
            <w:noWrap/>
            <w:vAlign w:val="center"/>
            <w:hideMark/>
          </w:tcPr>
          <w:p w14:paraId="3C02A31B"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1.9</w:t>
            </w:r>
          </w:p>
        </w:tc>
      </w:tr>
      <w:tr w:rsidR="00D62897" w:rsidRPr="00D62897" w14:paraId="050D7C81" w14:textId="77777777" w:rsidTr="00D62897">
        <w:trPr>
          <w:trHeight w:val="227"/>
          <w:jc w:val="center"/>
        </w:trPr>
        <w:tc>
          <w:tcPr>
            <w:tcW w:w="3696" w:type="dxa"/>
            <w:shd w:val="clear" w:color="auto" w:fill="auto"/>
            <w:noWrap/>
            <w:vAlign w:val="center"/>
            <w:hideMark/>
          </w:tcPr>
          <w:p w14:paraId="07BD1E41"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Japón</w:t>
            </w:r>
          </w:p>
        </w:tc>
        <w:tc>
          <w:tcPr>
            <w:tcW w:w="496" w:type="dxa"/>
            <w:shd w:val="clear" w:color="000000" w:fill="FFFFFF"/>
            <w:noWrap/>
            <w:vAlign w:val="center"/>
            <w:hideMark/>
          </w:tcPr>
          <w:p w14:paraId="7D3E68D8"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-0.2</w:t>
            </w:r>
          </w:p>
        </w:tc>
        <w:tc>
          <w:tcPr>
            <w:tcW w:w="643" w:type="dxa"/>
            <w:shd w:val="clear" w:color="auto" w:fill="auto"/>
            <w:noWrap/>
            <w:vAlign w:val="center"/>
            <w:hideMark/>
          </w:tcPr>
          <w:p w14:paraId="5E492060"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-4.6</w:t>
            </w:r>
          </w:p>
        </w:tc>
        <w:tc>
          <w:tcPr>
            <w:tcW w:w="585" w:type="dxa"/>
            <w:shd w:val="clear" w:color="000000" w:fill="FDE9D9"/>
            <w:noWrap/>
            <w:vAlign w:val="center"/>
            <w:hideMark/>
          </w:tcPr>
          <w:p w14:paraId="366BF118"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1.7</w:t>
            </w:r>
          </w:p>
        </w:tc>
        <w:tc>
          <w:tcPr>
            <w:tcW w:w="620" w:type="dxa"/>
            <w:shd w:val="clear" w:color="000000" w:fill="FCD5B4"/>
            <w:noWrap/>
            <w:vAlign w:val="center"/>
            <w:hideMark/>
          </w:tcPr>
          <w:p w14:paraId="660D06F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1.7</w:t>
            </w:r>
          </w:p>
        </w:tc>
        <w:tc>
          <w:tcPr>
            <w:tcW w:w="541" w:type="dxa"/>
            <w:shd w:val="clear" w:color="000000" w:fill="FCD5B4"/>
            <w:noWrap/>
            <w:vAlign w:val="center"/>
            <w:hideMark/>
          </w:tcPr>
          <w:p w14:paraId="1CD175D2"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1.3</w:t>
            </w:r>
          </w:p>
        </w:tc>
        <w:tc>
          <w:tcPr>
            <w:tcW w:w="541" w:type="dxa"/>
            <w:shd w:val="clear" w:color="000000" w:fill="FCD5B4"/>
            <w:noWrap/>
            <w:vAlign w:val="center"/>
            <w:hideMark/>
          </w:tcPr>
          <w:p w14:paraId="2AA1BA54"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0.6</w:t>
            </w:r>
          </w:p>
        </w:tc>
      </w:tr>
      <w:tr w:rsidR="00D62897" w:rsidRPr="00D62897" w14:paraId="4559F039" w14:textId="77777777" w:rsidTr="00D62897">
        <w:trPr>
          <w:trHeight w:val="300"/>
          <w:jc w:val="center"/>
        </w:trPr>
        <w:tc>
          <w:tcPr>
            <w:tcW w:w="3696" w:type="dxa"/>
            <w:shd w:val="clear" w:color="auto" w:fill="auto"/>
            <w:noWrap/>
            <w:vAlign w:val="center"/>
            <w:hideMark/>
          </w:tcPr>
          <w:p w14:paraId="716E2485" w14:textId="77777777" w:rsidR="00D62897" w:rsidRPr="00D62897" w:rsidRDefault="00D62897" w:rsidP="00A3747F">
            <w:pPr>
              <w:rPr>
                <w:rFonts w:eastAsia="Times New Roman" w:cs="Arial"/>
                <w:b/>
                <w:bCs/>
                <w:color w:val="262626"/>
                <w:sz w:val="16"/>
                <w:szCs w:val="16"/>
              </w:rPr>
            </w:pPr>
            <w:r w:rsidRPr="00D62897">
              <w:rPr>
                <w:rFonts w:eastAsia="Times New Roman" w:cs="Arial"/>
                <w:b/>
                <w:bCs/>
                <w:color w:val="262626"/>
                <w:sz w:val="16"/>
                <w:szCs w:val="16"/>
              </w:rPr>
              <w:t>Economías emergentes y en desarrollo</w:t>
            </w:r>
          </w:p>
        </w:tc>
        <w:tc>
          <w:tcPr>
            <w:tcW w:w="496" w:type="dxa"/>
            <w:shd w:val="clear" w:color="000000" w:fill="FFFFFF"/>
            <w:noWrap/>
            <w:vAlign w:val="center"/>
            <w:hideMark/>
          </w:tcPr>
          <w:p w14:paraId="297C0358"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3.8</w:t>
            </w:r>
          </w:p>
        </w:tc>
        <w:tc>
          <w:tcPr>
            <w:tcW w:w="643" w:type="dxa"/>
            <w:shd w:val="clear" w:color="auto" w:fill="auto"/>
            <w:noWrap/>
            <w:vAlign w:val="center"/>
            <w:hideMark/>
          </w:tcPr>
          <w:p w14:paraId="159918B8"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-1.6</w:t>
            </w:r>
          </w:p>
        </w:tc>
        <w:tc>
          <w:tcPr>
            <w:tcW w:w="585" w:type="dxa"/>
            <w:shd w:val="clear" w:color="000000" w:fill="FDE9D9"/>
            <w:noWrap/>
            <w:vAlign w:val="center"/>
            <w:hideMark/>
          </w:tcPr>
          <w:p w14:paraId="2D5604D7"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6.6</w:t>
            </w:r>
          </w:p>
        </w:tc>
        <w:tc>
          <w:tcPr>
            <w:tcW w:w="620" w:type="dxa"/>
            <w:shd w:val="clear" w:color="000000" w:fill="FCD5B4"/>
            <w:noWrap/>
            <w:vAlign w:val="center"/>
            <w:hideMark/>
          </w:tcPr>
          <w:p w14:paraId="58047635"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3.4</w:t>
            </w:r>
          </w:p>
        </w:tc>
        <w:tc>
          <w:tcPr>
            <w:tcW w:w="541" w:type="dxa"/>
            <w:shd w:val="clear" w:color="000000" w:fill="FCD5B4"/>
            <w:noWrap/>
            <w:vAlign w:val="center"/>
            <w:hideMark/>
          </w:tcPr>
          <w:p w14:paraId="3E37C1BF"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4.2</w:t>
            </w:r>
          </w:p>
        </w:tc>
        <w:tc>
          <w:tcPr>
            <w:tcW w:w="541" w:type="dxa"/>
            <w:shd w:val="clear" w:color="000000" w:fill="FCD5B4"/>
            <w:noWrap/>
            <w:vAlign w:val="center"/>
            <w:hideMark/>
          </w:tcPr>
          <w:p w14:paraId="7C1084D7" w14:textId="77777777" w:rsidR="00D62897" w:rsidRPr="00D62897" w:rsidRDefault="00D62897" w:rsidP="00A3747F">
            <w:pPr>
              <w:jc w:val="center"/>
              <w:rPr>
                <w:rFonts w:eastAsia="Times New Roman" w:cs="Arial"/>
                <w:b/>
                <w:bCs/>
                <w:sz w:val="16"/>
                <w:szCs w:val="16"/>
              </w:rPr>
            </w:pPr>
            <w:r w:rsidRPr="00D62897">
              <w:rPr>
                <w:rFonts w:eastAsia="Times New Roman" w:cs="Arial"/>
                <w:b/>
                <w:bCs/>
                <w:sz w:val="16"/>
                <w:szCs w:val="16"/>
              </w:rPr>
              <w:t>4.4</w:t>
            </w:r>
          </w:p>
        </w:tc>
      </w:tr>
      <w:tr w:rsidR="00D62897" w:rsidRPr="00D62897" w14:paraId="7C44BE19" w14:textId="77777777" w:rsidTr="00D62897">
        <w:trPr>
          <w:trHeight w:val="227"/>
          <w:jc w:val="center"/>
        </w:trPr>
        <w:tc>
          <w:tcPr>
            <w:tcW w:w="3696" w:type="dxa"/>
            <w:shd w:val="clear" w:color="auto" w:fill="auto"/>
            <w:noWrap/>
            <w:vAlign w:val="center"/>
            <w:hideMark/>
          </w:tcPr>
          <w:p w14:paraId="26619ED0" w14:textId="77777777" w:rsidR="00D62897" w:rsidRPr="00D62897" w:rsidRDefault="00D62897" w:rsidP="00A3747F">
            <w:pPr>
              <w:rPr>
                <w:rFonts w:eastAsia="Times New Roman" w:cs="Arial"/>
                <w:color w:val="262626"/>
                <w:sz w:val="16"/>
                <w:szCs w:val="16"/>
              </w:rPr>
            </w:pPr>
            <w:r w:rsidRPr="00D62897">
              <w:rPr>
                <w:rFonts w:eastAsia="Times New Roman" w:cs="Arial"/>
                <w:color w:val="262626"/>
                <w:sz w:val="16"/>
                <w:szCs w:val="16"/>
              </w:rPr>
              <w:t xml:space="preserve">   Asia oriental y el Pacífico</w:t>
            </w:r>
          </w:p>
        </w:tc>
        <w:tc>
          <w:tcPr>
            <w:tcW w:w="496" w:type="dxa"/>
            <w:shd w:val="clear" w:color="000000" w:fill="FFFFFF"/>
            <w:noWrap/>
            <w:vAlign w:val="center"/>
            <w:hideMark/>
          </w:tcPr>
          <w:p w14:paraId="0A165ED1"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5.8</w:t>
            </w:r>
          </w:p>
        </w:tc>
        <w:tc>
          <w:tcPr>
            <w:tcW w:w="643" w:type="dxa"/>
            <w:shd w:val="clear" w:color="auto" w:fill="auto"/>
            <w:noWrap/>
            <w:vAlign w:val="center"/>
            <w:hideMark/>
          </w:tcPr>
          <w:p w14:paraId="174035D2"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1.2</w:t>
            </w:r>
          </w:p>
        </w:tc>
        <w:tc>
          <w:tcPr>
            <w:tcW w:w="585" w:type="dxa"/>
            <w:shd w:val="clear" w:color="000000" w:fill="FDE9D9"/>
            <w:noWrap/>
            <w:vAlign w:val="center"/>
            <w:hideMark/>
          </w:tcPr>
          <w:p w14:paraId="155D6E1E"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7.2</w:t>
            </w:r>
          </w:p>
        </w:tc>
        <w:tc>
          <w:tcPr>
            <w:tcW w:w="620" w:type="dxa"/>
            <w:shd w:val="clear" w:color="000000" w:fill="FCD5B4"/>
            <w:noWrap/>
            <w:vAlign w:val="center"/>
            <w:hideMark/>
          </w:tcPr>
          <w:p w14:paraId="3C562A8C"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4.4</w:t>
            </w:r>
          </w:p>
        </w:tc>
        <w:tc>
          <w:tcPr>
            <w:tcW w:w="541" w:type="dxa"/>
            <w:shd w:val="clear" w:color="000000" w:fill="FCD5B4"/>
            <w:noWrap/>
            <w:vAlign w:val="center"/>
            <w:hideMark/>
          </w:tcPr>
          <w:p w14:paraId="50AB18CC"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5.2</w:t>
            </w:r>
          </w:p>
        </w:tc>
        <w:tc>
          <w:tcPr>
            <w:tcW w:w="541" w:type="dxa"/>
            <w:shd w:val="clear" w:color="000000" w:fill="FCD5B4"/>
            <w:noWrap/>
            <w:vAlign w:val="center"/>
            <w:hideMark/>
          </w:tcPr>
          <w:p w14:paraId="4EE31F14"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5.1</w:t>
            </w:r>
          </w:p>
        </w:tc>
      </w:tr>
      <w:tr w:rsidR="00D62897" w:rsidRPr="00D62897" w14:paraId="4DBBE890" w14:textId="77777777" w:rsidTr="00D62897">
        <w:trPr>
          <w:trHeight w:val="227"/>
          <w:jc w:val="center"/>
        </w:trPr>
        <w:tc>
          <w:tcPr>
            <w:tcW w:w="3696" w:type="dxa"/>
            <w:shd w:val="clear" w:color="auto" w:fill="auto"/>
            <w:noWrap/>
            <w:vAlign w:val="center"/>
            <w:hideMark/>
          </w:tcPr>
          <w:p w14:paraId="743DB40C"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China</w:t>
            </w:r>
          </w:p>
        </w:tc>
        <w:tc>
          <w:tcPr>
            <w:tcW w:w="496" w:type="dxa"/>
            <w:shd w:val="clear" w:color="000000" w:fill="FFFFFF"/>
            <w:noWrap/>
            <w:vAlign w:val="center"/>
            <w:hideMark/>
          </w:tcPr>
          <w:p w14:paraId="7E313102"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6.0</w:t>
            </w:r>
          </w:p>
        </w:tc>
        <w:tc>
          <w:tcPr>
            <w:tcW w:w="643" w:type="dxa"/>
            <w:shd w:val="clear" w:color="auto" w:fill="auto"/>
            <w:noWrap/>
            <w:vAlign w:val="center"/>
            <w:hideMark/>
          </w:tcPr>
          <w:p w14:paraId="4032154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2.2</w:t>
            </w:r>
          </w:p>
        </w:tc>
        <w:tc>
          <w:tcPr>
            <w:tcW w:w="585" w:type="dxa"/>
            <w:shd w:val="clear" w:color="000000" w:fill="FDE9D9"/>
            <w:noWrap/>
            <w:vAlign w:val="center"/>
            <w:hideMark/>
          </w:tcPr>
          <w:p w14:paraId="5C67593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8.1</w:t>
            </w:r>
          </w:p>
        </w:tc>
        <w:tc>
          <w:tcPr>
            <w:tcW w:w="620" w:type="dxa"/>
            <w:shd w:val="clear" w:color="000000" w:fill="FCD5B4"/>
            <w:noWrap/>
            <w:vAlign w:val="center"/>
            <w:hideMark/>
          </w:tcPr>
          <w:p w14:paraId="03D6D965"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4.3</w:t>
            </w:r>
          </w:p>
        </w:tc>
        <w:tc>
          <w:tcPr>
            <w:tcW w:w="541" w:type="dxa"/>
            <w:shd w:val="clear" w:color="000000" w:fill="FCD5B4"/>
            <w:noWrap/>
            <w:vAlign w:val="center"/>
            <w:hideMark/>
          </w:tcPr>
          <w:p w14:paraId="645EAA91"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5.2</w:t>
            </w:r>
          </w:p>
        </w:tc>
        <w:tc>
          <w:tcPr>
            <w:tcW w:w="541" w:type="dxa"/>
            <w:shd w:val="clear" w:color="000000" w:fill="FCD5B4"/>
            <w:noWrap/>
            <w:vAlign w:val="center"/>
            <w:hideMark/>
          </w:tcPr>
          <w:p w14:paraId="1EC26354"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5.1</w:t>
            </w:r>
          </w:p>
        </w:tc>
      </w:tr>
      <w:tr w:rsidR="00D62897" w:rsidRPr="00D62897" w14:paraId="00D3F403" w14:textId="77777777" w:rsidTr="00D62897">
        <w:trPr>
          <w:trHeight w:val="227"/>
          <w:jc w:val="center"/>
        </w:trPr>
        <w:tc>
          <w:tcPr>
            <w:tcW w:w="3696" w:type="dxa"/>
            <w:shd w:val="clear" w:color="auto" w:fill="auto"/>
            <w:noWrap/>
            <w:vAlign w:val="center"/>
            <w:hideMark/>
          </w:tcPr>
          <w:p w14:paraId="3CD5AE5C"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Indonesia</w:t>
            </w:r>
          </w:p>
        </w:tc>
        <w:tc>
          <w:tcPr>
            <w:tcW w:w="496" w:type="dxa"/>
            <w:shd w:val="clear" w:color="000000" w:fill="FFFFFF"/>
            <w:noWrap/>
            <w:vAlign w:val="center"/>
            <w:hideMark/>
          </w:tcPr>
          <w:p w14:paraId="6C8ED54A"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5.0</w:t>
            </w:r>
          </w:p>
        </w:tc>
        <w:tc>
          <w:tcPr>
            <w:tcW w:w="643" w:type="dxa"/>
            <w:shd w:val="clear" w:color="auto" w:fill="auto"/>
            <w:noWrap/>
            <w:vAlign w:val="center"/>
            <w:hideMark/>
          </w:tcPr>
          <w:p w14:paraId="3E9957DE"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-2.1</w:t>
            </w:r>
          </w:p>
        </w:tc>
        <w:tc>
          <w:tcPr>
            <w:tcW w:w="585" w:type="dxa"/>
            <w:shd w:val="clear" w:color="000000" w:fill="FDE9D9"/>
            <w:noWrap/>
            <w:vAlign w:val="center"/>
            <w:hideMark/>
          </w:tcPr>
          <w:p w14:paraId="1BCCAD5A"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3.7</w:t>
            </w:r>
          </w:p>
        </w:tc>
        <w:tc>
          <w:tcPr>
            <w:tcW w:w="620" w:type="dxa"/>
            <w:shd w:val="clear" w:color="000000" w:fill="FCD5B4"/>
            <w:noWrap/>
            <w:vAlign w:val="center"/>
            <w:hideMark/>
          </w:tcPr>
          <w:p w14:paraId="1623170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5.1</w:t>
            </w:r>
          </w:p>
        </w:tc>
        <w:tc>
          <w:tcPr>
            <w:tcW w:w="541" w:type="dxa"/>
            <w:shd w:val="clear" w:color="000000" w:fill="FCD5B4"/>
            <w:noWrap/>
            <w:vAlign w:val="center"/>
            <w:hideMark/>
          </w:tcPr>
          <w:p w14:paraId="5B3776BB"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5.3</w:t>
            </w:r>
          </w:p>
        </w:tc>
        <w:tc>
          <w:tcPr>
            <w:tcW w:w="541" w:type="dxa"/>
            <w:shd w:val="clear" w:color="000000" w:fill="FCD5B4"/>
            <w:noWrap/>
            <w:vAlign w:val="center"/>
            <w:hideMark/>
          </w:tcPr>
          <w:p w14:paraId="79D2C231"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5.3</w:t>
            </w:r>
          </w:p>
        </w:tc>
      </w:tr>
      <w:tr w:rsidR="00D62897" w:rsidRPr="00D62897" w14:paraId="188BED1F" w14:textId="77777777" w:rsidTr="00D62897">
        <w:trPr>
          <w:trHeight w:val="227"/>
          <w:jc w:val="center"/>
        </w:trPr>
        <w:tc>
          <w:tcPr>
            <w:tcW w:w="3696" w:type="dxa"/>
            <w:shd w:val="clear" w:color="auto" w:fill="auto"/>
            <w:noWrap/>
            <w:vAlign w:val="center"/>
            <w:hideMark/>
          </w:tcPr>
          <w:p w14:paraId="5E44C8FE"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Tailandia</w:t>
            </w:r>
          </w:p>
        </w:tc>
        <w:tc>
          <w:tcPr>
            <w:tcW w:w="496" w:type="dxa"/>
            <w:shd w:val="clear" w:color="000000" w:fill="FFFFFF"/>
            <w:noWrap/>
            <w:vAlign w:val="center"/>
            <w:hideMark/>
          </w:tcPr>
          <w:p w14:paraId="0FDF9111"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2.2</w:t>
            </w:r>
          </w:p>
        </w:tc>
        <w:tc>
          <w:tcPr>
            <w:tcW w:w="643" w:type="dxa"/>
            <w:shd w:val="clear" w:color="auto" w:fill="auto"/>
            <w:noWrap/>
            <w:vAlign w:val="center"/>
            <w:hideMark/>
          </w:tcPr>
          <w:p w14:paraId="0ECD017C"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-6.2</w:t>
            </w:r>
          </w:p>
        </w:tc>
        <w:tc>
          <w:tcPr>
            <w:tcW w:w="585" w:type="dxa"/>
            <w:shd w:val="clear" w:color="000000" w:fill="FDE9D9"/>
            <w:noWrap/>
            <w:vAlign w:val="center"/>
            <w:hideMark/>
          </w:tcPr>
          <w:p w14:paraId="69BEB063"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1.6</w:t>
            </w:r>
          </w:p>
        </w:tc>
        <w:tc>
          <w:tcPr>
            <w:tcW w:w="620" w:type="dxa"/>
            <w:shd w:val="clear" w:color="000000" w:fill="FCD5B4"/>
            <w:noWrap/>
            <w:vAlign w:val="center"/>
            <w:hideMark/>
          </w:tcPr>
          <w:p w14:paraId="5381A49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2.9</w:t>
            </w:r>
          </w:p>
        </w:tc>
        <w:tc>
          <w:tcPr>
            <w:tcW w:w="541" w:type="dxa"/>
            <w:shd w:val="clear" w:color="000000" w:fill="FCD5B4"/>
            <w:noWrap/>
            <w:vAlign w:val="center"/>
            <w:hideMark/>
          </w:tcPr>
          <w:p w14:paraId="2F946B3B"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4.3</w:t>
            </w:r>
          </w:p>
        </w:tc>
        <w:tc>
          <w:tcPr>
            <w:tcW w:w="541" w:type="dxa"/>
            <w:shd w:val="clear" w:color="000000" w:fill="FCD5B4"/>
            <w:noWrap/>
            <w:vAlign w:val="center"/>
            <w:hideMark/>
          </w:tcPr>
          <w:p w14:paraId="6BE2949E"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3.9</w:t>
            </w:r>
          </w:p>
        </w:tc>
      </w:tr>
      <w:tr w:rsidR="00D62897" w:rsidRPr="00D62897" w14:paraId="3ED037A4" w14:textId="77777777" w:rsidTr="00D62897">
        <w:trPr>
          <w:trHeight w:val="227"/>
          <w:jc w:val="center"/>
        </w:trPr>
        <w:tc>
          <w:tcPr>
            <w:tcW w:w="3696" w:type="dxa"/>
            <w:shd w:val="clear" w:color="auto" w:fill="auto"/>
            <w:noWrap/>
            <w:vAlign w:val="center"/>
            <w:hideMark/>
          </w:tcPr>
          <w:p w14:paraId="4B148046" w14:textId="77777777" w:rsidR="00D62897" w:rsidRPr="00D62897" w:rsidRDefault="00D62897" w:rsidP="00A3747F">
            <w:pPr>
              <w:rPr>
                <w:rFonts w:eastAsia="Times New Roman" w:cs="Arial"/>
                <w:color w:val="262626"/>
                <w:sz w:val="16"/>
                <w:szCs w:val="16"/>
              </w:rPr>
            </w:pPr>
            <w:r w:rsidRPr="00D62897">
              <w:rPr>
                <w:rFonts w:eastAsia="Times New Roman" w:cs="Arial"/>
                <w:color w:val="262626"/>
                <w:sz w:val="16"/>
                <w:szCs w:val="16"/>
              </w:rPr>
              <w:t xml:space="preserve">   Europa y Asia central</w:t>
            </w:r>
          </w:p>
        </w:tc>
        <w:tc>
          <w:tcPr>
            <w:tcW w:w="496" w:type="dxa"/>
            <w:shd w:val="clear" w:color="000000" w:fill="FFFFFF"/>
            <w:noWrap/>
            <w:vAlign w:val="center"/>
            <w:hideMark/>
          </w:tcPr>
          <w:p w14:paraId="6C89D83E"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2.7</w:t>
            </w:r>
          </w:p>
        </w:tc>
        <w:tc>
          <w:tcPr>
            <w:tcW w:w="643" w:type="dxa"/>
            <w:shd w:val="clear" w:color="auto" w:fill="auto"/>
            <w:noWrap/>
            <w:vAlign w:val="center"/>
            <w:hideMark/>
          </w:tcPr>
          <w:p w14:paraId="7F39A20E"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-1.9</w:t>
            </w:r>
          </w:p>
        </w:tc>
        <w:tc>
          <w:tcPr>
            <w:tcW w:w="585" w:type="dxa"/>
            <w:shd w:val="clear" w:color="000000" w:fill="FDE9D9"/>
            <w:noWrap/>
            <w:vAlign w:val="center"/>
            <w:hideMark/>
          </w:tcPr>
          <w:p w14:paraId="610AE3B4"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6.5</w:t>
            </w:r>
          </w:p>
        </w:tc>
        <w:tc>
          <w:tcPr>
            <w:tcW w:w="620" w:type="dxa"/>
            <w:shd w:val="clear" w:color="000000" w:fill="FCD5B4"/>
            <w:noWrap/>
            <w:vAlign w:val="center"/>
            <w:hideMark/>
          </w:tcPr>
          <w:p w14:paraId="79CE4A87"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-2.9</w:t>
            </w:r>
          </w:p>
        </w:tc>
        <w:tc>
          <w:tcPr>
            <w:tcW w:w="541" w:type="dxa"/>
            <w:shd w:val="clear" w:color="000000" w:fill="FCD5B4"/>
            <w:noWrap/>
            <w:vAlign w:val="center"/>
            <w:hideMark/>
          </w:tcPr>
          <w:p w14:paraId="7A0E0A96"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1.5</w:t>
            </w:r>
          </w:p>
        </w:tc>
        <w:tc>
          <w:tcPr>
            <w:tcW w:w="541" w:type="dxa"/>
            <w:shd w:val="clear" w:color="000000" w:fill="FCD5B4"/>
            <w:noWrap/>
            <w:vAlign w:val="center"/>
            <w:hideMark/>
          </w:tcPr>
          <w:p w14:paraId="07B90BEA"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3.3</w:t>
            </w:r>
          </w:p>
        </w:tc>
      </w:tr>
      <w:tr w:rsidR="00D62897" w:rsidRPr="00D62897" w14:paraId="673A2301" w14:textId="77777777" w:rsidTr="00D62897">
        <w:trPr>
          <w:trHeight w:val="227"/>
          <w:jc w:val="center"/>
        </w:trPr>
        <w:tc>
          <w:tcPr>
            <w:tcW w:w="3696" w:type="dxa"/>
            <w:shd w:val="clear" w:color="auto" w:fill="auto"/>
            <w:noWrap/>
            <w:vAlign w:val="center"/>
            <w:hideMark/>
          </w:tcPr>
          <w:p w14:paraId="54F369FD"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Rusia, Federación de</w:t>
            </w:r>
          </w:p>
        </w:tc>
        <w:tc>
          <w:tcPr>
            <w:tcW w:w="496" w:type="dxa"/>
            <w:shd w:val="clear" w:color="000000" w:fill="FFFFFF"/>
            <w:noWrap/>
            <w:vAlign w:val="center"/>
            <w:hideMark/>
          </w:tcPr>
          <w:p w14:paraId="1935FFD4"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2.2</w:t>
            </w:r>
          </w:p>
        </w:tc>
        <w:tc>
          <w:tcPr>
            <w:tcW w:w="643" w:type="dxa"/>
            <w:shd w:val="clear" w:color="auto" w:fill="auto"/>
            <w:noWrap/>
            <w:vAlign w:val="center"/>
            <w:hideMark/>
          </w:tcPr>
          <w:p w14:paraId="47A43797"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-2.7</w:t>
            </w:r>
          </w:p>
        </w:tc>
        <w:tc>
          <w:tcPr>
            <w:tcW w:w="585" w:type="dxa"/>
            <w:shd w:val="clear" w:color="000000" w:fill="FDE9D9"/>
            <w:noWrap/>
            <w:vAlign w:val="center"/>
            <w:hideMark/>
          </w:tcPr>
          <w:p w14:paraId="01F571F4"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4.7</w:t>
            </w:r>
          </w:p>
        </w:tc>
        <w:tc>
          <w:tcPr>
            <w:tcW w:w="620" w:type="dxa"/>
            <w:shd w:val="clear" w:color="000000" w:fill="FCD5B4"/>
            <w:noWrap/>
            <w:vAlign w:val="center"/>
            <w:hideMark/>
          </w:tcPr>
          <w:p w14:paraId="402145CD"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-8.9</w:t>
            </w:r>
          </w:p>
        </w:tc>
        <w:tc>
          <w:tcPr>
            <w:tcW w:w="541" w:type="dxa"/>
            <w:shd w:val="clear" w:color="000000" w:fill="FCD5B4"/>
            <w:noWrap/>
            <w:vAlign w:val="center"/>
            <w:hideMark/>
          </w:tcPr>
          <w:p w14:paraId="577FB11A"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-2.0</w:t>
            </w:r>
          </w:p>
        </w:tc>
        <w:tc>
          <w:tcPr>
            <w:tcW w:w="541" w:type="dxa"/>
            <w:shd w:val="clear" w:color="000000" w:fill="FCD5B4"/>
            <w:noWrap/>
            <w:vAlign w:val="center"/>
            <w:hideMark/>
          </w:tcPr>
          <w:p w14:paraId="58BA04F1"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2.2</w:t>
            </w:r>
          </w:p>
        </w:tc>
      </w:tr>
      <w:tr w:rsidR="00D62897" w:rsidRPr="00D62897" w14:paraId="7D295EB0" w14:textId="77777777" w:rsidTr="00D62897">
        <w:trPr>
          <w:trHeight w:val="227"/>
          <w:jc w:val="center"/>
        </w:trPr>
        <w:tc>
          <w:tcPr>
            <w:tcW w:w="3696" w:type="dxa"/>
            <w:shd w:val="clear" w:color="auto" w:fill="auto"/>
            <w:noWrap/>
            <w:vAlign w:val="center"/>
            <w:hideMark/>
          </w:tcPr>
          <w:p w14:paraId="3C5DBDA6"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Turquía</w:t>
            </w:r>
          </w:p>
        </w:tc>
        <w:tc>
          <w:tcPr>
            <w:tcW w:w="496" w:type="dxa"/>
            <w:shd w:val="clear" w:color="000000" w:fill="FFFFFF"/>
            <w:noWrap/>
            <w:vAlign w:val="center"/>
            <w:hideMark/>
          </w:tcPr>
          <w:p w14:paraId="73414C70"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0.9</w:t>
            </w:r>
          </w:p>
        </w:tc>
        <w:tc>
          <w:tcPr>
            <w:tcW w:w="643" w:type="dxa"/>
            <w:shd w:val="clear" w:color="auto" w:fill="auto"/>
            <w:noWrap/>
            <w:vAlign w:val="center"/>
            <w:hideMark/>
          </w:tcPr>
          <w:p w14:paraId="2B1E5B4D"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1.8</w:t>
            </w:r>
          </w:p>
        </w:tc>
        <w:tc>
          <w:tcPr>
            <w:tcW w:w="585" w:type="dxa"/>
            <w:shd w:val="clear" w:color="000000" w:fill="FDE9D9"/>
            <w:noWrap/>
            <w:vAlign w:val="center"/>
            <w:hideMark/>
          </w:tcPr>
          <w:p w14:paraId="46A16121"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11.0</w:t>
            </w:r>
          </w:p>
        </w:tc>
        <w:tc>
          <w:tcPr>
            <w:tcW w:w="620" w:type="dxa"/>
            <w:shd w:val="clear" w:color="000000" w:fill="FCD5B4"/>
            <w:noWrap/>
            <w:vAlign w:val="center"/>
            <w:hideMark/>
          </w:tcPr>
          <w:p w14:paraId="381805C2"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2.3</w:t>
            </w:r>
          </w:p>
        </w:tc>
        <w:tc>
          <w:tcPr>
            <w:tcW w:w="541" w:type="dxa"/>
            <w:shd w:val="clear" w:color="000000" w:fill="FCD5B4"/>
            <w:noWrap/>
            <w:vAlign w:val="center"/>
            <w:hideMark/>
          </w:tcPr>
          <w:p w14:paraId="0CA1A3FE"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3.2</w:t>
            </w:r>
          </w:p>
        </w:tc>
        <w:tc>
          <w:tcPr>
            <w:tcW w:w="541" w:type="dxa"/>
            <w:shd w:val="clear" w:color="000000" w:fill="FCD5B4"/>
            <w:noWrap/>
            <w:vAlign w:val="center"/>
            <w:hideMark/>
          </w:tcPr>
          <w:p w14:paraId="301D09D0"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4.0</w:t>
            </w:r>
          </w:p>
        </w:tc>
      </w:tr>
      <w:tr w:rsidR="00D62897" w:rsidRPr="00D62897" w14:paraId="47DB6CA5" w14:textId="77777777" w:rsidTr="00D62897">
        <w:trPr>
          <w:trHeight w:val="227"/>
          <w:jc w:val="center"/>
        </w:trPr>
        <w:tc>
          <w:tcPr>
            <w:tcW w:w="3696" w:type="dxa"/>
            <w:shd w:val="clear" w:color="auto" w:fill="auto"/>
            <w:noWrap/>
            <w:vAlign w:val="center"/>
            <w:hideMark/>
          </w:tcPr>
          <w:p w14:paraId="372280D2"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Polonia</w:t>
            </w:r>
          </w:p>
        </w:tc>
        <w:tc>
          <w:tcPr>
            <w:tcW w:w="496" w:type="dxa"/>
            <w:shd w:val="clear" w:color="000000" w:fill="FFFFFF"/>
            <w:noWrap/>
            <w:vAlign w:val="center"/>
            <w:hideMark/>
          </w:tcPr>
          <w:p w14:paraId="41B4CDEF"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4.7</w:t>
            </w:r>
          </w:p>
        </w:tc>
        <w:tc>
          <w:tcPr>
            <w:tcW w:w="643" w:type="dxa"/>
            <w:shd w:val="clear" w:color="auto" w:fill="auto"/>
            <w:noWrap/>
            <w:vAlign w:val="center"/>
            <w:hideMark/>
          </w:tcPr>
          <w:p w14:paraId="504D14E7"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-2.2</w:t>
            </w:r>
          </w:p>
        </w:tc>
        <w:tc>
          <w:tcPr>
            <w:tcW w:w="585" w:type="dxa"/>
            <w:shd w:val="clear" w:color="000000" w:fill="FDE9D9"/>
            <w:noWrap/>
            <w:vAlign w:val="center"/>
            <w:hideMark/>
          </w:tcPr>
          <w:p w14:paraId="3827BBE8"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5.9</w:t>
            </w:r>
          </w:p>
        </w:tc>
        <w:tc>
          <w:tcPr>
            <w:tcW w:w="620" w:type="dxa"/>
            <w:shd w:val="clear" w:color="000000" w:fill="FCD5B4"/>
            <w:noWrap/>
            <w:vAlign w:val="center"/>
            <w:hideMark/>
          </w:tcPr>
          <w:p w14:paraId="676092E3"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3.9</w:t>
            </w:r>
          </w:p>
        </w:tc>
        <w:tc>
          <w:tcPr>
            <w:tcW w:w="541" w:type="dxa"/>
            <w:shd w:val="clear" w:color="000000" w:fill="FCD5B4"/>
            <w:noWrap/>
            <w:vAlign w:val="center"/>
            <w:hideMark/>
          </w:tcPr>
          <w:p w14:paraId="7EF005F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3.6</w:t>
            </w:r>
          </w:p>
        </w:tc>
        <w:tc>
          <w:tcPr>
            <w:tcW w:w="541" w:type="dxa"/>
            <w:shd w:val="clear" w:color="000000" w:fill="FCD5B4"/>
            <w:noWrap/>
            <w:vAlign w:val="center"/>
            <w:hideMark/>
          </w:tcPr>
          <w:p w14:paraId="592216CB"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3.7</w:t>
            </w:r>
          </w:p>
        </w:tc>
      </w:tr>
      <w:tr w:rsidR="00D62897" w:rsidRPr="00E42E69" w14:paraId="08D655DE" w14:textId="77777777" w:rsidTr="00D62897">
        <w:trPr>
          <w:trHeight w:val="227"/>
          <w:jc w:val="center"/>
        </w:trPr>
        <w:tc>
          <w:tcPr>
            <w:tcW w:w="3696" w:type="dxa"/>
            <w:shd w:val="clear" w:color="auto" w:fill="auto"/>
            <w:noWrap/>
            <w:vAlign w:val="center"/>
            <w:hideMark/>
          </w:tcPr>
          <w:p w14:paraId="47E3E3A3" w14:textId="77777777" w:rsidR="00D62897" w:rsidRPr="00E42E69" w:rsidRDefault="00D62897" w:rsidP="00A3747F">
            <w:pPr>
              <w:rPr>
                <w:rFonts w:eastAsia="Times New Roman" w:cs="Arial"/>
                <w:b/>
                <w:sz w:val="16"/>
                <w:szCs w:val="16"/>
              </w:rPr>
            </w:pPr>
            <w:r w:rsidRPr="00E42E69">
              <w:rPr>
                <w:rFonts w:eastAsia="Times New Roman" w:cs="Arial"/>
                <w:b/>
                <w:sz w:val="16"/>
                <w:szCs w:val="16"/>
              </w:rPr>
              <w:lastRenderedPageBreak/>
              <w:t xml:space="preserve">   América Latina y el Caribe</w:t>
            </w:r>
          </w:p>
        </w:tc>
        <w:tc>
          <w:tcPr>
            <w:tcW w:w="496" w:type="dxa"/>
            <w:shd w:val="clear" w:color="000000" w:fill="FFFFFF"/>
            <w:noWrap/>
            <w:vAlign w:val="center"/>
            <w:hideMark/>
          </w:tcPr>
          <w:p w14:paraId="0CA0BB0F"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0.8</w:t>
            </w:r>
          </w:p>
        </w:tc>
        <w:tc>
          <w:tcPr>
            <w:tcW w:w="643" w:type="dxa"/>
            <w:shd w:val="clear" w:color="auto" w:fill="auto"/>
            <w:noWrap/>
            <w:vAlign w:val="center"/>
            <w:hideMark/>
          </w:tcPr>
          <w:p w14:paraId="0D34F5EF"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-6.4</w:t>
            </w:r>
          </w:p>
        </w:tc>
        <w:tc>
          <w:tcPr>
            <w:tcW w:w="585" w:type="dxa"/>
            <w:shd w:val="clear" w:color="000000" w:fill="FDE9D9"/>
            <w:noWrap/>
            <w:vAlign w:val="center"/>
            <w:hideMark/>
          </w:tcPr>
          <w:p w14:paraId="43CB903D"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6.7</w:t>
            </w:r>
          </w:p>
        </w:tc>
        <w:tc>
          <w:tcPr>
            <w:tcW w:w="620" w:type="dxa"/>
            <w:shd w:val="clear" w:color="000000" w:fill="FCD5B4"/>
            <w:noWrap/>
            <w:vAlign w:val="center"/>
            <w:hideMark/>
          </w:tcPr>
          <w:p w14:paraId="736959C3"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2.5</w:t>
            </w:r>
          </w:p>
        </w:tc>
        <w:tc>
          <w:tcPr>
            <w:tcW w:w="541" w:type="dxa"/>
            <w:shd w:val="clear" w:color="000000" w:fill="FCD5B4"/>
            <w:noWrap/>
            <w:vAlign w:val="center"/>
            <w:hideMark/>
          </w:tcPr>
          <w:p w14:paraId="2BA5735F"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1.9</w:t>
            </w:r>
          </w:p>
        </w:tc>
        <w:tc>
          <w:tcPr>
            <w:tcW w:w="541" w:type="dxa"/>
            <w:shd w:val="clear" w:color="000000" w:fill="FCD5B4"/>
            <w:noWrap/>
            <w:vAlign w:val="center"/>
            <w:hideMark/>
          </w:tcPr>
          <w:p w14:paraId="0547BBC9"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2.4</w:t>
            </w:r>
          </w:p>
        </w:tc>
      </w:tr>
      <w:tr w:rsidR="00D62897" w:rsidRPr="00D62897" w14:paraId="0F4501CD" w14:textId="77777777" w:rsidTr="00D62897">
        <w:trPr>
          <w:trHeight w:val="227"/>
          <w:jc w:val="center"/>
        </w:trPr>
        <w:tc>
          <w:tcPr>
            <w:tcW w:w="3696" w:type="dxa"/>
            <w:shd w:val="clear" w:color="auto" w:fill="auto"/>
            <w:noWrap/>
            <w:vAlign w:val="center"/>
            <w:hideMark/>
          </w:tcPr>
          <w:p w14:paraId="21A8E351"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Brasil</w:t>
            </w:r>
          </w:p>
        </w:tc>
        <w:tc>
          <w:tcPr>
            <w:tcW w:w="496" w:type="dxa"/>
            <w:shd w:val="clear" w:color="000000" w:fill="FFFFFF"/>
            <w:noWrap/>
            <w:vAlign w:val="center"/>
            <w:hideMark/>
          </w:tcPr>
          <w:p w14:paraId="672560B5"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1.2</w:t>
            </w:r>
          </w:p>
        </w:tc>
        <w:tc>
          <w:tcPr>
            <w:tcW w:w="643" w:type="dxa"/>
            <w:shd w:val="clear" w:color="auto" w:fill="auto"/>
            <w:noWrap/>
            <w:vAlign w:val="center"/>
            <w:hideMark/>
          </w:tcPr>
          <w:p w14:paraId="1FFBE822"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-3.9</w:t>
            </w:r>
          </w:p>
        </w:tc>
        <w:tc>
          <w:tcPr>
            <w:tcW w:w="585" w:type="dxa"/>
            <w:shd w:val="clear" w:color="000000" w:fill="FDE9D9"/>
            <w:noWrap/>
            <w:vAlign w:val="center"/>
            <w:hideMark/>
          </w:tcPr>
          <w:p w14:paraId="1E0514CE"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4.6</w:t>
            </w:r>
          </w:p>
        </w:tc>
        <w:tc>
          <w:tcPr>
            <w:tcW w:w="620" w:type="dxa"/>
            <w:shd w:val="clear" w:color="000000" w:fill="FCD5B4"/>
            <w:noWrap/>
            <w:vAlign w:val="center"/>
            <w:hideMark/>
          </w:tcPr>
          <w:p w14:paraId="43FBDC02"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1.5</w:t>
            </w:r>
          </w:p>
        </w:tc>
        <w:tc>
          <w:tcPr>
            <w:tcW w:w="541" w:type="dxa"/>
            <w:shd w:val="clear" w:color="000000" w:fill="FCD5B4"/>
            <w:noWrap/>
            <w:vAlign w:val="center"/>
            <w:hideMark/>
          </w:tcPr>
          <w:p w14:paraId="303402E8"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0.8</w:t>
            </w:r>
          </w:p>
        </w:tc>
        <w:tc>
          <w:tcPr>
            <w:tcW w:w="541" w:type="dxa"/>
            <w:shd w:val="clear" w:color="000000" w:fill="FCD5B4"/>
            <w:noWrap/>
            <w:vAlign w:val="center"/>
            <w:hideMark/>
          </w:tcPr>
          <w:p w14:paraId="56605160"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2.0</w:t>
            </w:r>
          </w:p>
        </w:tc>
      </w:tr>
      <w:tr w:rsidR="00D62897" w:rsidRPr="00D62897" w14:paraId="13922CD8" w14:textId="77777777" w:rsidTr="00D62897">
        <w:trPr>
          <w:trHeight w:val="227"/>
          <w:jc w:val="center"/>
        </w:trPr>
        <w:tc>
          <w:tcPr>
            <w:tcW w:w="3696" w:type="dxa"/>
            <w:shd w:val="clear" w:color="auto" w:fill="auto"/>
            <w:noWrap/>
            <w:vAlign w:val="center"/>
            <w:hideMark/>
          </w:tcPr>
          <w:p w14:paraId="6562C81F" w14:textId="77777777" w:rsidR="00D62897" w:rsidRPr="00E42E69" w:rsidRDefault="00D62897" w:rsidP="00A3747F">
            <w:pPr>
              <w:rPr>
                <w:rFonts w:eastAsia="Times New Roman" w:cs="Arial"/>
                <w:b/>
                <w:sz w:val="16"/>
                <w:szCs w:val="16"/>
              </w:rPr>
            </w:pPr>
            <w:r w:rsidRPr="00E42E69">
              <w:rPr>
                <w:rFonts w:eastAsia="Times New Roman" w:cs="Arial"/>
                <w:b/>
                <w:sz w:val="16"/>
                <w:szCs w:val="16"/>
              </w:rPr>
              <w:t xml:space="preserve">        México</w:t>
            </w:r>
          </w:p>
        </w:tc>
        <w:tc>
          <w:tcPr>
            <w:tcW w:w="496" w:type="dxa"/>
            <w:shd w:val="clear" w:color="000000" w:fill="FFFFFF"/>
            <w:noWrap/>
            <w:vAlign w:val="center"/>
            <w:hideMark/>
          </w:tcPr>
          <w:p w14:paraId="19A44560"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-0.2</w:t>
            </w:r>
          </w:p>
        </w:tc>
        <w:tc>
          <w:tcPr>
            <w:tcW w:w="643" w:type="dxa"/>
            <w:shd w:val="clear" w:color="auto" w:fill="auto"/>
            <w:noWrap/>
            <w:vAlign w:val="center"/>
            <w:hideMark/>
          </w:tcPr>
          <w:p w14:paraId="4E062DDE"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-8.2</w:t>
            </w:r>
          </w:p>
        </w:tc>
        <w:tc>
          <w:tcPr>
            <w:tcW w:w="585" w:type="dxa"/>
            <w:shd w:val="clear" w:color="000000" w:fill="FDE9D9"/>
            <w:noWrap/>
            <w:vAlign w:val="center"/>
            <w:hideMark/>
          </w:tcPr>
          <w:p w14:paraId="5E1A8E1D"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4.8</w:t>
            </w:r>
          </w:p>
        </w:tc>
        <w:tc>
          <w:tcPr>
            <w:tcW w:w="620" w:type="dxa"/>
            <w:shd w:val="clear" w:color="000000" w:fill="FCD5B4"/>
            <w:noWrap/>
            <w:vAlign w:val="center"/>
            <w:hideMark/>
          </w:tcPr>
          <w:p w14:paraId="3BCAE107"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1.7</w:t>
            </w:r>
          </w:p>
        </w:tc>
        <w:tc>
          <w:tcPr>
            <w:tcW w:w="541" w:type="dxa"/>
            <w:shd w:val="clear" w:color="000000" w:fill="FCD5B4"/>
            <w:noWrap/>
            <w:vAlign w:val="center"/>
            <w:hideMark/>
          </w:tcPr>
          <w:p w14:paraId="712791FF"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1.9</w:t>
            </w:r>
          </w:p>
        </w:tc>
        <w:tc>
          <w:tcPr>
            <w:tcW w:w="541" w:type="dxa"/>
            <w:shd w:val="clear" w:color="000000" w:fill="FCD5B4"/>
            <w:noWrap/>
            <w:vAlign w:val="center"/>
            <w:hideMark/>
          </w:tcPr>
          <w:p w14:paraId="1618D648" w14:textId="77777777" w:rsidR="00D62897" w:rsidRPr="00E42E69" w:rsidRDefault="00D62897" w:rsidP="00A3747F">
            <w:pPr>
              <w:jc w:val="center"/>
              <w:rPr>
                <w:rFonts w:eastAsia="Times New Roman" w:cs="Arial"/>
                <w:b/>
                <w:sz w:val="16"/>
                <w:szCs w:val="16"/>
              </w:rPr>
            </w:pPr>
            <w:r w:rsidRPr="00E42E69">
              <w:rPr>
                <w:rFonts w:eastAsia="Times New Roman" w:cs="Arial"/>
                <w:b/>
                <w:sz w:val="16"/>
                <w:szCs w:val="16"/>
              </w:rPr>
              <w:t>2.0</w:t>
            </w:r>
          </w:p>
        </w:tc>
      </w:tr>
      <w:tr w:rsidR="00D62897" w:rsidRPr="00D62897" w14:paraId="07E2961E" w14:textId="77777777" w:rsidTr="00D62897">
        <w:trPr>
          <w:trHeight w:val="227"/>
          <w:jc w:val="center"/>
        </w:trPr>
        <w:tc>
          <w:tcPr>
            <w:tcW w:w="3696" w:type="dxa"/>
            <w:shd w:val="clear" w:color="auto" w:fill="auto"/>
            <w:noWrap/>
            <w:vAlign w:val="center"/>
            <w:hideMark/>
          </w:tcPr>
          <w:p w14:paraId="69CF27B8"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Argentina</w:t>
            </w:r>
          </w:p>
        </w:tc>
        <w:tc>
          <w:tcPr>
            <w:tcW w:w="496" w:type="dxa"/>
            <w:shd w:val="clear" w:color="000000" w:fill="FFFFFF"/>
            <w:noWrap/>
            <w:vAlign w:val="center"/>
            <w:hideMark/>
          </w:tcPr>
          <w:p w14:paraId="4B33A21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-2.0</w:t>
            </w:r>
          </w:p>
        </w:tc>
        <w:tc>
          <w:tcPr>
            <w:tcW w:w="643" w:type="dxa"/>
            <w:shd w:val="clear" w:color="auto" w:fill="auto"/>
            <w:noWrap/>
            <w:vAlign w:val="center"/>
            <w:hideMark/>
          </w:tcPr>
          <w:p w14:paraId="16DE7446"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-9.9</w:t>
            </w:r>
          </w:p>
        </w:tc>
        <w:tc>
          <w:tcPr>
            <w:tcW w:w="585" w:type="dxa"/>
            <w:shd w:val="clear" w:color="000000" w:fill="FDE9D9"/>
            <w:noWrap/>
            <w:vAlign w:val="center"/>
            <w:hideMark/>
          </w:tcPr>
          <w:p w14:paraId="6F1F5713"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10.3</w:t>
            </w:r>
          </w:p>
        </w:tc>
        <w:tc>
          <w:tcPr>
            <w:tcW w:w="620" w:type="dxa"/>
            <w:shd w:val="clear" w:color="000000" w:fill="FCD5B4"/>
            <w:noWrap/>
            <w:vAlign w:val="center"/>
            <w:hideMark/>
          </w:tcPr>
          <w:p w14:paraId="205C7634"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4.5</w:t>
            </w:r>
          </w:p>
        </w:tc>
        <w:tc>
          <w:tcPr>
            <w:tcW w:w="541" w:type="dxa"/>
            <w:shd w:val="clear" w:color="000000" w:fill="FCD5B4"/>
            <w:noWrap/>
            <w:vAlign w:val="center"/>
            <w:hideMark/>
          </w:tcPr>
          <w:p w14:paraId="162F7DF0"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2.5</w:t>
            </w:r>
          </w:p>
        </w:tc>
        <w:tc>
          <w:tcPr>
            <w:tcW w:w="541" w:type="dxa"/>
            <w:shd w:val="clear" w:color="000000" w:fill="FCD5B4"/>
            <w:noWrap/>
            <w:vAlign w:val="center"/>
            <w:hideMark/>
          </w:tcPr>
          <w:p w14:paraId="36FF19E2"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2.5</w:t>
            </w:r>
          </w:p>
        </w:tc>
      </w:tr>
      <w:tr w:rsidR="00D62897" w:rsidRPr="00D62897" w14:paraId="5DF3DA33" w14:textId="77777777" w:rsidTr="00D62897">
        <w:trPr>
          <w:trHeight w:val="227"/>
          <w:jc w:val="center"/>
        </w:trPr>
        <w:tc>
          <w:tcPr>
            <w:tcW w:w="3696" w:type="dxa"/>
            <w:shd w:val="clear" w:color="auto" w:fill="auto"/>
            <w:noWrap/>
            <w:vAlign w:val="center"/>
            <w:hideMark/>
          </w:tcPr>
          <w:p w14:paraId="6FE5EDB1" w14:textId="77777777" w:rsidR="00D62897" w:rsidRPr="00D62897" w:rsidRDefault="00D62897" w:rsidP="00A3747F">
            <w:pPr>
              <w:rPr>
                <w:rFonts w:eastAsia="Times New Roman" w:cs="Arial"/>
                <w:b/>
                <w:bCs/>
                <w:sz w:val="16"/>
                <w:szCs w:val="16"/>
              </w:rPr>
            </w:pPr>
            <w:r w:rsidRPr="00D62897">
              <w:rPr>
                <w:rFonts w:eastAsia="Times New Roman" w:cs="Arial"/>
                <w:b/>
                <w:bCs/>
                <w:sz w:val="16"/>
                <w:szCs w:val="16"/>
              </w:rPr>
              <w:t>Precios de materias primas</w:t>
            </w:r>
          </w:p>
        </w:tc>
        <w:tc>
          <w:tcPr>
            <w:tcW w:w="496" w:type="dxa"/>
            <w:shd w:val="clear" w:color="000000" w:fill="FFFFFF"/>
            <w:noWrap/>
            <w:vAlign w:val="center"/>
            <w:hideMark/>
          </w:tcPr>
          <w:p w14:paraId="62DC8AF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 </w:t>
            </w:r>
          </w:p>
        </w:tc>
        <w:tc>
          <w:tcPr>
            <w:tcW w:w="643" w:type="dxa"/>
            <w:shd w:val="clear" w:color="auto" w:fill="auto"/>
            <w:noWrap/>
            <w:vAlign w:val="center"/>
            <w:hideMark/>
          </w:tcPr>
          <w:p w14:paraId="41CC4D0C" w14:textId="77777777" w:rsidR="00D62897" w:rsidRPr="00D62897" w:rsidRDefault="00D62897" w:rsidP="00A3747F">
            <w:pPr>
              <w:jc w:val="center"/>
              <w:rPr>
                <w:rFonts w:eastAsia="Times New Roman" w:cs="Arial"/>
                <w:sz w:val="16"/>
                <w:szCs w:val="16"/>
              </w:rPr>
            </w:pPr>
          </w:p>
        </w:tc>
        <w:tc>
          <w:tcPr>
            <w:tcW w:w="585" w:type="dxa"/>
            <w:shd w:val="clear" w:color="000000" w:fill="FDE9D9"/>
            <w:noWrap/>
            <w:vAlign w:val="center"/>
            <w:hideMark/>
          </w:tcPr>
          <w:p w14:paraId="55B48FFD"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 </w:t>
            </w:r>
          </w:p>
        </w:tc>
        <w:tc>
          <w:tcPr>
            <w:tcW w:w="620" w:type="dxa"/>
            <w:shd w:val="clear" w:color="000000" w:fill="FCD5B4"/>
            <w:noWrap/>
            <w:vAlign w:val="center"/>
            <w:hideMark/>
          </w:tcPr>
          <w:p w14:paraId="0B04B375"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 </w:t>
            </w:r>
          </w:p>
        </w:tc>
        <w:tc>
          <w:tcPr>
            <w:tcW w:w="541" w:type="dxa"/>
            <w:shd w:val="clear" w:color="000000" w:fill="FCD5B4"/>
            <w:noWrap/>
            <w:vAlign w:val="center"/>
            <w:hideMark/>
          </w:tcPr>
          <w:p w14:paraId="4E653B1D"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 </w:t>
            </w:r>
          </w:p>
        </w:tc>
        <w:tc>
          <w:tcPr>
            <w:tcW w:w="541" w:type="dxa"/>
            <w:shd w:val="clear" w:color="000000" w:fill="FCD5B4"/>
            <w:noWrap/>
            <w:vAlign w:val="center"/>
            <w:hideMark/>
          </w:tcPr>
          <w:p w14:paraId="1C999670"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 </w:t>
            </w:r>
          </w:p>
        </w:tc>
      </w:tr>
      <w:tr w:rsidR="00D62897" w:rsidRPr="00D62897" w14:paraId="6C1EED2E" w14:textId="77777777" w:rsidTr="008B1058">
        <w:trPr>
          <w:trHeight w:val="227"/>
          <w:jc w:val="center"/>
        </w:trPr>
        <w:tc>
          <w:tcPr>
            <w:tcW w:w="3696" w:type="dxa"/>
            <w:tcBorders>
              <w:bottom w:val="single" w:sz="4" w:space="0" w:color="auto"/>
            </w:tcBorders>
            <w:shd w:val="clear" w:color="auto" w:fill="auto"/>
            <w:noWrap/>
            <w:vAlign w:val="center"/>
            <w:hideMark/>
          </w:tcPr>
          <w:p w14:paraId="6F06B289" w14:textId="77777777" w:rsidR="00D62897" w:rsidRPr="00D62897" w:rsidRDefault="00D62897" w:rsidP="00A3747F">
            <w:pPr>
              <w:rPr>
                <w:rFonts w:eastAsia="Times New Roman" w:cs="Arial"/>
                <w:sz w:val="16"/>
                <w:szCs w:val="16"/>
              </w:rPr>
            </w:pPr>
            <w:r w:rsidRPr="00D62897">
              <w:rPr>
                <w:rFonts w:eastAsia="Times New Roman" w:cs="Arial"/>
                <w:sz w:val="16"/>
                <w:szCs w:val="16"/>
              </w:rPr>
              <w:t xml:space="preserve">      Precio del petróleo</w:t>
            </w:r>
          </w:p>
        </w:tc>
        <w:tc>
          <w:tcPr>
            <w:tcW w:w="496" w:type="dxa"/>
            <w:tcBorders>
              <w:bottom w:val="single" w:sz="4" w:space="0" w:color="auto"/>
            </w:tcBorders>
            <w:shd w:val="clear" w:color="000000" w:fill="FFFFFF"/>
            <w:noWrap/>
            <w:vAlign w:val="center"/>
            <w:hideMark/>
          </w:tcPr>
          <w:p w14:paraId="6EFC3411"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-9.9</w:t>
            </w:r>
          </w:p>
        </w:tc>
        <w:tc>
          <w:tcPr>
            <w:tcW w:w="643" w:type="dxa"/>
            <w:tcBorders>
              <w:bottom w:val="single" w:sz="4" w:space="0" w:color="auto"/>
            </w:tcBorders>
            <w:shd w:val="clear" w:color="auto" w:fill="auto"/>
            <w:noWrap/>
            <w:vAlign w:val="center"/>
            <w:hideMark/>
          </w:tcPr>
          <w:p w14:paraId="5C666B95"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-33.9</w:t>
            </w:r>
          </w:p>
        </w:tc>
        <w:tc>
          <w:tcPr>
            <w:tcW w:w="585" w:type="dxa"/>
            <w:tcBorders>
              <w:bottom w:val="single" w:sz="4" w:space="0" w:color="auto"/>
            </w:tcBorders>
            <w:shd w:val="clear" w:color="000000" w:fill="FDE9D9"/>
            <w:noWrap/>
            <w:vAlign w:val="center"/>
            <w:hideMark/>
          </w:tcPr>
          <w:p w14:paraId="603A1343"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66.5</w:t>
            </w:r>
          </w:p>
        </w:tc>
        <w:tc>
          <w:tcPr>
            <w:tcW w:w="620" w:type="dxa"/>
            <w:tcBorders>
              <w:bottom w:val="single" w:sz="4" w:space="0" w:color="auto"/>
            </w:tcBorders>
            <w:shd w:val="clear" w:color="000000" w:fill="FCD5B4"/>
            <w:noWrap/>
            <w:vAlign w:val="center"/>
            <w:hideMark/>
          </w:tcPr>
          <w:p w14:paraId="2F01CCE7"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42.0</w:t>
            </w:r>
          </w:p>
        </w:tc>
        <w:tc>
          <w:tcPr>
            <w:tcW w:w="541" w:type="dxa"/>
            <w:tcBorders>
              <w:bottom w:val="single" w:sz="4" w:space="0" w:color="auto"/>
            </w:tcBorders>
            <w:shd w:val="clear" w:color="000000" w:fill="FCD5B4"/>
            <w:noWrap/>
            <w:vAlign w:val="center"/>
            <w:hideMark/>
          </w:tcPr>
          <w:p w14:paraId="731E9268"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-8.0</w:t>
            </w:r>
          </w:p>
        </w:tc>
        <w:tc>
          <w:tcPr>
            <w:tcW w:w="541" w:type="dxa"/>
            <w:tcBorders>
              <w:bottom w:val="single" w:sz="4" w:space="0" w:color="auto"/>
            </w:tcBorders>
            <w:shd w:val="clear" w:color="000000" w:fill="FCD5B4"/>
            <w:noWrap/>
            <w:vAlign w:val="center"/>
            <w:hideMark/>
          </w:tcPr>
          <w:p w14:paraId="76E38D79"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-13.0</w:t>
            </w:r>
          </w:p>
        </w:tc>
      </w:tr>
      <w:tr w:rsidR="00D62897" w:rsidRPr="00D62897" w14:paraId="3C6EFD04" w14:textId="77777777" w:rsidTr="008B1058">
        <w:trPr>
          <w:trHeight w:val="300"/>
          <w:jc w:val="center"/>
        </w:trPr>
        <w:tc>
          <w:tcPr>
            <w:tcW w:w="3696" w:type="dxa"/>
            <w:tcBorders>
              <w:bottom w:val="single" w:sz="4" w:space="0" w:color="auto"/>
            </w:tcBorders>
            <w:shd w:val="clear" w:color="auto" w:fill="auto"/>
            <w:noWrap/>
            <w:vAlign w:val="center"/>
            <w:hideMark/>
          </w:tcPr>
          <w:p w14:paraId="797DE3AF" w14:textId="77777777" w:rsidR="00D62897" w:rsidRPr="00D62897" w:rsidRDefault="00D62897" w:rsidP="00A3747F">
            <w:pPr>
              <w:ind w:left="209" w:hanging="209"/>
              <w:rPr>
                <w:rFonts w:eastAsia="Times New Roman" w:cs="Arial"/>
                <w:color w:val="262626"/>
                <w:sz w:val="16"/>
                <w:szCs w:val="16"/>
              </w:rPr>
            </w:pPr>
            <w:r w:rsidRPr="00D62897">
              <w:rPr>
                <w:rFonts w:eastAsia="Times New Roman" w:cs="Arial"/>
                <w:color w:val="262626"/>
                <w:sz w:val="16"/>
                <w:szCs w:val="16"/>
              </w:rPr>
              <w:t xml:space="preserve">      Índice de precios de los productos básicos no energéticos</w:t>
            </w:r>
          </w:p>
        </w:tc>
        <w:tc>
          <w:tcPr>
            <w:tcW w:w="496" w:type="dxa"/>
            <w:tcBorders>
              <w:bottom w:val="single" w:sz="4" w:space="0" w:color="auto"/>
            </w:tcBorders>
            <w:shd w:val="clear" w:color="000000" w:fill="FFFFFF"/>
            <w:noWrap/>
            <w:vAlign w:val="center"/>
            <w:hideMark/>
          </w:tcPr>
          <w:p w14:paraId="6D94B904"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-4.2</w:t>
            </w:r>
          </w:p>
        </w:tc>
        <w:tc>
          <w:tcPr>
            <w:tcW w:w="643" w:type="dxa"/>
            <w:tcBorders>
              <w:bottom w:val="single" w:sz="4" w:space="0" w:color="auto"/>
            </w:tcBorders>
            <w:shd w:val="clear" w:color="auto" w:fill="auto"/>
            <w:noWrap/>
            <w:vAlign w:val="center"/>
            <w:hideMark/>
          </w:tcPr>
          <w:p w14:paraId="7D8AC5CF"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3.3</w:t>
            </w:r>
          </w:p>
        </w:tc>
        <w:tc>
          <w:tcPr>
            <w:tcW w:w="585" w:type="dxa"/>
            <w:tcBorders>
              <w:bottom w:val="single" w:sz="4" w:space="0" w:color="auto"/>
            </w:tcBorders>
            <w:shd w:val="clear" w:color="000000" w:fill="FDE9D9"/>
            <w:noWrap/>
            <w:vAlign w:val="center"/>
            <w:hideMark/>
          </w:tcPr>
          <w:p w14:paraId="4FD3A40A"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32.7</w:t>
            </w:r>
          </w:p>
        </w:tc>
        <w:tc>
          <w:tcPr>
            <w:tcW w:w="620" w:type="dxa"/>
            <w:tcBorders>
              <w:bottom w:val="single" w:sz="4" w:space="0" w:color="auto"/>
            </w:tcBorders>
            <w:shd w:val="clear" w:color="000000" w:fill="FCD5B4"/>
            <w:noWrap/>
            <w:vAlign w:val="center"/>
            <w:hideMark/>
          </w:tcPr>
          <w:p w14:paraId="0548E7A2"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17.9</w:t>
            </w:r>
          </w:p>
        </w:tc>
        <w:tc>
          <w:tcPr>
            <w:tcW w:w="541" w:type="dxa"/>
            <w:tcBorders>
              <w:bottom w:val="single" w:sz="4" w:space="0" w:color="auto"/>
            </w:tcBorders>
            <w:shd w:val="clear" w:color="000000" w:fill="FCD5B4"/>
            <w:noWrap/>
            <w:vAlign w:val="center"/>
            <w:hideMark/>
          </w:tcPr>
          <w:p w14:paraId="58EAD6B7"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-8.1</w:t>
            </w:r>
          </w:p>
        </w:tc>
        <w:tc>
          <w:tcPr>
            <w:tcW w:w="541" w:type="dxa"/>
            <w:tcBorders>
              <w:bottom w:val="single" w:sz="4" w:space="0" w:color="auto"/>
            </w:tcBorders>
            <w:shd w:val="clear" w:color="000000" w:fill="FCD5B4"/>
            <w:noWrap/>
            <w:vAlign w:val="center"/>
            <w:hideMark/>
          </w:tcPr>
          <w:p w14:paraId="443C1268" w14:textId="77777777" w:rsidR="00D62897" w:rsidRPr="00D62897" w:rsidRDefault="00D62897" w:rsidP="00A3747F">
            <w:pPr>
              <w:jc w:val="center"/>
              <w:rPr>
                <w:rFonts w:eastAsia="Times New Roman" w:cs="Arial"/>
                <w:sz w:val="16"/>
                <w:szCs w:val="16"/>
              </w:rPr>
            </w:pPr>
            <w:r w:rsidRPr="00D62897">
              <w:rPr>
                <w:rFonts w:eastAsia="Times New Roman" w:cs="Arial"/>
                <w:sz w:val="16"/>
                <w:szCs w:val="16"/>
              </w:rPr>
              <w:t>-3.1</w:t>
            </w:r>
          </w:p>
        </w:tc>
      </w:tr>
      <w:tr w:rsidR="00D62897" w:rsidRPr="00D62897" w14:paraId="4D0BCDDA" w14:textId="77777777" w:rsidTr="008B1058">
        <w:trPr>
          <w:trHeight w:val="300"/>
          <w:jc w:val="center"/>
        </w:trPr>
        <w:tc>
          <w:tcPr>
            <w:tcW w:w="7122" w:type="dxa"/>
            <w:gridSpan w:val="7"/>
            <w:tcBorders>
              <w:top w:val="single" w:sz="4" w:space="0" w:color="auto"/>
              <w:left w:val="nil"/>
              <w:bottom w:val="nil"/>
              <w:right w:val="nil"/>
            </w:tcBorders>
            <w:shd w:val="clear" w:color="auto" w:fill="auto"/>
            <w:noWrap/>
            <w:vAlign w:val="center"/>
          </w:tcPr>
          <w:p w14:paraId="07290E07" w14:textId="64F3C1BC" w:rsidR="00D62897" w:rsidRPr="00D62897" w:rsidRDefault="00D62897" w:rsidP="001C6A96">
            <w:pPr>
              <w:jc w:val="left"/>
              <w:rPr>
                <w:rFonts w:eastAsia="Times New Roman" w:cs="Arial"/>
                <w:color w:val="000000"/>
                <w:sz w:val="14"/>
                <w:szCs w:val="12"/>
              </w:rPr>
            </w:pPr>
            <w:r w:rsidRPr="00A55906">
              <w:rPr>
                <w:rFonts w:eastAsia="Times New Roman" w:cs="Arial"/>
                <w:b/>
                <w:bCs/>
                <w:color w:val="000000"/>
                <w:sz w:val="14"/>
                <w:szCs w:val="12"/>
              </w:rPr>
              <w:t>Fuente</w:t>
            </w:r>
            <w:r w:rsidRPr="00A55906">
              <w:rPr>
                <w:rFonts w:eastAsia="Times New Roman" w:cs="Arial"/>
                <w:color w:val="000000"/>
                <w:sz w:val="14"/>
                <w:szCs w:val="12"/>
              </w:rPr>
              <w:t>: Banco Mundial.</w:t>
            </w:r>
            <w:r w:rsidRPr="00A55906">
              <w:rPr>
                <w:rFonts w:eastAsia="Times New Roman" w:cs="Arial"/>
                <w:color w:val="000000"/>
                <w:sz w:val="14"/>
                <w:szCs w:val="12"/>
              </w:rPr>
              <w:br/>
              <w:t>* e = estimación; f = pronóstico. MEED = mercados emergentes y economías en desarrollo. EM7 = Brasil, China, India, Indonesia, México, Federación Rusa, y Turquía. Las previsiones del Banco Mundial se actualizan frecuentemente con base en nueva información y en circunstancias mundiales cambiantes. En consecuencia, las proyecciones aquí presentadas pueden diferir de las contenidas en otros documentos del Banco, aunque las evaluaciones básicas de las perspectivas de los países no difieran significativamente en un momento dado. </w:t>
            </w:r>
          </w:p>
        </w:tc>
      </w:tr>
    </w:tbl>
    <w:p w14:paraId="2049A49F" w14:textId="77777777" w:rsidR="00D40E38" w:rsidRPr="00A55906" w:rsidRDefault="00D40E38" w:rsidP="00A3747F">
      <w:pPr>
        <w:rPr>
          <w:rFonts w:cs="Arial"/>
        </w:rPr>
      </w:pPr>
    </w:p>
    <w:p w14:paraId="097169C9" w14:textId="77777777" w:rsidR="00D62897" w:rsidRPr="00A55906" w:rsidRDefault="00D62897" w:rsidP="00A3747F">
      <w:pPr>
        <w:rPr>
          <w:rFonts w:cs="Arial"/>
        </w:rPr>
      </w:pPr>
    </w:p>
    <w:p w14:paraId="564BD252" w14:textId="4A08151B" w:rsidR="00A27050" w:rsidRPr="00A55906" w:rsidRDefault="0045406C" w:rsidP="00600223">
      <w:pPr>
        <w:pStyle w:val="Ttulo2"/>
      </w:pPr>
      <w:r>
        <w:t>1.III</w:t>
      </w:r>
      <w:r w:rsidR="003D3E34" w:rsidRPr="00A55906">
        <w:t xml:space="preserve"> </w:t>
      </w:r>
      <w:r w:rsidR="00031785" w:rsidRPr="00A55906">
        <w:t xml:space="preserve">Economía </w:t>
      </w:r>
      <w:r w:rsidR="00084C1A">
        <w:t>Nacional</w:t>
      </w:r>
    </w:p>
    <w:p w14:paraId="465603C6" w14:textId="77777777" w:rsidR="00EF448F" w:rsidRDefault="00EF448F" w:rsidP="00A3747F">
      <w:pPr>
        <w:rPr>
          <w:rFonts w:cs="Arial"/>
        </w:rPr>
      </w:pPr>
      <w:r>
        <w:rPr>
          <w:rFonts w:cs="Arial"/>
        </w:rPr>
        <w:t xml:space="preserve"> </w:t>
      </w:r>
    </w:p>
    <w:p w14:paraId="775418F2" w14:textId="56139795" w:rsidR="006875A3" w:rsidRDefault="00EF448F" w:rsidP="00A3747F">
      <w:pPr>
        <w:rPr>
          <w:rFonts w:cs="Arial"/>
        </w:rPr>
      </w:pPr>
      <w:r w:rsidRPr="00720D05">
        <w:rPr>
          <w:rFonts w:cs="Arial"/>
        </w:rPr>
        <w:t>De acuerdo a la Secretaría de Hacienda y Crédito Público, en el documento “</w:t>
      </w:r>
      <w:r w:rsidRPr="00720D05">
        <w:rPr>
          <w:rFonts w:cs="Arial"/>
          <w:i/>
        </w:rPr>
        <w:t>Criterios Generales de Política Económica para la Iniciativa de la Ley Ingresos y el Proyecto de Presupuesto de Egresos de la Federación correspondientes al ejercicio fiscal 2023</w:t>
      </w:r>
      <w:r w:rsidRPr="00720D05">
        <w:rPr>
          <w:rFonts w:cs="Arial"/>
        </w:rPr>
        <w:t>”</w:t>
      </w:r>
      <w:r w:rsidR="005D73C7">
        <w:rPr>
          <w:rFonts w:cs="Arial"/>
        </w:rPr>
        <w:t xml:space="preserve"> (CGPE)</w:t>
      </w:r>
      <w:r w:rsidRPr="00720D05">
        <w:rPr>
          <w:rFonts w:cs="Arial"/>
        </w:rPr>
        <w:t xml:space="preserve">, </w:t>
      </w:r>
      <w:r w:rsidR="00720D05">
        <w:rPr>
          <w:rFonts w:cs="Arial"/>
        </w:rPr>
        <w:t>p</w:t>
      </w:r>
      <w:r w:rsidRPr="00EF448F">
        <w:rPr>
          <w:rFonts w:cs="Arial"/>
        </w:rPr>
        <w:t>ara 2023 se estima que la economía mexicana tendrá un crecimiento en el rango de 1.2 a 3.0</w:t>
      </w:r>
      <w:r w:rsidR="006875A3">
        <w:rPr>
          <w:rFonts w:cs="Arial"/>
        </w:rPr>
        <w:t xml:space="preserve"> por ciento</w:t>
      </w:r>
      <w:r>
        <w:rPr>
          <w:rFonts w:cs="Arial"/>
        </w:rPr>
        <w:t xml:space="preserve"> </w:t>
      </w:r>
      <w:r w:rsidRPr="00EF448F">
        <w:rPr>
          <w:rFonts w:cs="Arial"/>
        </w:rPr>
        <w:t>anual. El desempeño positivo estará sustentado, principalmente, en el impacto de las políticas</w:t>
      </w:r>
      <w:r>
        <w:rPr>
          <w:rFonts w:cs="Arial"/>
        </w:rPr>
        <w:t xml:space="preserve"> </w:t>
      </w:r>
      <w:r w:rsidRPr="00EF448F">
        <w:rPr>
          <w:rFonts w:cs="Arial"/>
        </w:rPr>
        <w:t>públicas instrumentadas desde el inicio de la presente administración, las cuales están</w:t>
      </w:r>
      <w:r>
        <w:rPr>
          <w:rFonts w:cs="Arial"/>
        </w:rPr>
        <w:t xml:space="preserve"> </w:t>
      </w:r>
      <w:r w:rsidRPr="00EF448F">
        <w:rPr>
          <w:rFonts w:cs="Arial"/>
        </w:rPr>
        <w:t>encaminadas en robustecer el mercado laboral, reforzar la red de protección social e impulsar</w:t>
      </w:r>
      <w:r>
        <w:rPr>
          <w:rFonts w:cs="Arial"/>
        </w:rPr>
        <w:t xml:space="preserve"> </w:t>
      </w:r>
      <w:r w:rsidRPr="00EF448F">
        <w:rPr>
          <w:rFonts w:cs="Arial"/>
        </w:rPr>
        <w:t xml:space="preserve">la inversión pública en infraestructura. </w:t>
      </w:r>
    </w:p>
    <w:p w14:paraId="2F0CFAE9" w14:textId="77777777" w:rsidR="006875A3" w:rsidRDefault="006875A3" w:rsidP="00A3747F">
      <w:pPr>
        <w:rPr>
          <w:rFonts w:cs="Arial"/>
        </w:rPr>
      </w:pPr>
    </w:p>
    <w:p w14:paraId="4A59AEF4" w14:textId="08C2AA54" w:rsidR="00EF448F" w:rsidRDefault="00EF448F" w:rsidP="00A3747F">
      <w:pPr>
        <w:rPr>
          <w:rFonts w:cs="Arial"/>
        </w:rPr>
      </w:pPr>
      <w:r w:rsidRPr="00EF448F">
        <w:rPr>
          <w:rFonts w:cs="Arial"/>
        </w:rPr>
        <w:t>Se prevé que aumente la inversión y el consumo privados</w:t>
      </w:r>
      <w:r>
        <w:rPr>
          <w:rFonts w:cs="Arial"/>
        </w:rPr>
        <w:t xml:space="preserve"> </w:t>
      </w:r>
      <w:r w:rsidRPr="00EF448F">
        <w:rPr>
          <w:rFonts w:cs="Arial"/>
        </w:rPr>
        <w:t>los cuales continuarán siendo beneficiado por los flujos de remesas, inversión extranjera directa,</w:t>
      </w:r>
      <w:r>
        <w:rPr>
          <w:rFonts w:cs="Arial"/>
        </w:rPr>
        <w:t xml:space="preserve"> </w:t>
      </w:r>
      <w:r w:rsidRPr="00EF448F">
        <w:rPr>
          <w:rFonts w:cs="Arial"/>
        </w:rPr>
        <w:t>así como por la generación de empleos, los programas de bienestar y las reformas laborales</w:t>
      </w:r>
      <w:r>
        <w:rPr>
          <w:rFonts w:cs="Arial"/>
        </w:rPr>
        <w:t xml:space="preserve"> </w:t>
      </w:r>
      <w:r w:rsidRPr="00EF448F">
        <w:rPr>
          <w:rFonts w:cs="Arial"/>
        </w:rPr>
        <w:t>encaminadas a mejorar las condiciones de los trabajadores. De esta manera, el crecimiento de</w:t>
      </w:r>
      <w:r>
        <w:rPr>
          <w:rFonts w:cs="Arial"/>
        </w:rPr>
        <w:t xml:space="preserve"> </w:t>
      </w:r>
      <w:r w:rsidRPr="00EF448F">
        <w:rPr>
          <w:rFonts w:cs="Arial"/>
        </w:rPr>
        <w:t>la actividad económica estará acompañado de una mejor distribución de la riqueza y del</w:t>
      </w:r>
      <w:r>
        <w:rPr>
          <w:rFonts w:cs="Arial"/>
        </w:rPr>
        <w:t xml:space="preserve"> </w:t>
      </w:r>
      <w:r w:rsidRPr="00EF448F">
        <w:rPr>
          <w:rFonts w:cs="Arial"/>
        </w:rPr>
        <w:t>ingreso, condiciones necesarias para un desarrollo económico del país con equidad.</w:t>
      </w:r>
      <w:r w:rsidRPr="00EF448F">
        <w:rPr>
          <w:rFonts w:cs="Arial"/>
        </w:rPr>
        <w:cr/>
      </w:r>
    </w:p>
    <w:p w14:paraId="3873AD1E" w14:textId="2EC68568" w:rsidR="000903EB" w:rsidRDefault="005D73C7" w:rsidP="00A3747F">
      <w:pPr>
        <w:rPr>
          <w:rFonts w:cs="Arial"/>
        </w:rPr>
      </w:pPr>
      <w:r>
        <w:rPr>
          <w:rFonts w:cs="Arial"/>
        </w:rPr>
        <w:t xml:space="preserve">Se pronostica </w:t>
      </w:r>
      <w:r w:rsidR="000903EB" w:rsidRPr="000407E7">
        <w:rPr>
          <w:rFonts w:cs="Arial"/>
        </w:rPr>
        <w:t>un mayor dinamismo en el mercado interno nacional, particularmente en la región del sur-sureste del país, debido al derrame económico que están generando los proyectos prioritarios de infraestructura, los cuales impulsaron la reactivación económica de la región tras la pandemia. En este sentido, cabe señalar que la evidencia empírica muestra que los efectos</w:t>
      </w:r>
      <w:r w:rsidR="000903EB" w:rsidRPr="000903EB">
        <w:rPr>
          <w:rFonts w:cs="Arial"/>
        </w:rPr>
        <w:t xml:space="preserve"> multiplicadores en regiones con altos niveles de marginación pueden</w:t>
      </w:r>
      <w:r w:rsidR="000903EB">
        <w:rPr>
          <w:rFonts w:cs="Arial"/>
        </w:rPr>
        <w:t xml:space="preserve"> </w:t>
      </w:r>
      <w:r w:rsidR="000903EB" w:rsidRPr="000903EB">
        <w:rPr>
          <w:rFonts w:cs="Arial"/>
        </w:rPr>
        <w:t>ser significativamente más altos al promedio nacional.</w:t>
      </w:r>
    </w:p>
    <w:p w14:paraId="6B496710" w14:textId="70DBCF47" w:rsidR="000903EB" w:rsidRDefault="000903EB" w:rsidP="00A3747F">
      <w:pPr>
        <w:rPr>
          <w:rFonts w:cs="Arial"/>
        </w:rPr>
      </w:pPr>
      <w:r w:rsidRPr="000903EB">
        <w:rPr>
          <w:rFonts w:cs="Arial"/>
        </w:rPr>
        <w:lastRenderedPageBreak/>
        <w:t>Se espera que la inflación converja muy cerca del objetivo de Banxico apoyado de las medidas</w:t>
      </w:r>
      <w:r>
        <w:rPr>
          <w:rFonts w:cs="Arial"/>
        </w:rPr>
        <w:t xml:space="preserve"> </w:t>
      </w:r>
      <w:r w:rsidRPr="000903EB">
        <w:rPr>
          <w:rFonts w:cs="Arial"/>
        </w:rPr>
        <w:t>en materia fiscal y monetaria, una alta base de comparación, así como la reducción de las</w:t>
      </w:r>
      <w:r>
        <w:rPr>
          <w:rFonts w:cs="Arial"/>
        </w:rPr>
        <w:t xml:space="preserve"> </w:t>
      </w:r>
      <w:r w:rsidRPr="000903EB">
        <w:rPr>
          <w:rFonts w:cs="Arial"/>
        </w:rPr>
        <w:t>presiones internacionales, particularmente de los precios de las materias primas como el trigo,</w:t>
      </w:r>
      <w:r>
        <w:rPr>
          <w:rFonts w:cs="Arial"/>
        </w:rPr>
        <w:t xml:space="preserve"> </w:t>
      </w:r>
      <w:r w:rsidRPr="000903EB">
        <w:rPr>
          <w:rFonts w:cs="Arial"/>
        </w:rPr>
        <w:t>el maíz y energéticos como el petróleo y gas. Así, l</w:t>
      </w:r>
      <w:r w:rsidR="000407E7">
        <w:rPr>
          <w:rFonts w:cs="Arial"/>
        </w:rPr>
        <w:t>a inflación cerrará 2023 en 3.2 por ciento</w:t>
      </w:r>
      <w:r w:rsidRPr="000903EB">
        <w:rPr>
          <w:rFonts w:cs="Arial"/>
        </w:rPr>
        <w:t>, lo cual</w:t>
      </w:r>
      <w:r>
        <w:rPr>
          <w:rFonts w:cs="Arial"/>
        </w:rPr>
        <w:t xml:space="preserve"> </w:t>
      </w:r>
      <w:r w:rsidRPr="000903EB">
        <w:rPr>
          <w:rFonts w:cs="Arial"/>
        </w:rPr>
        <w:t>representa un ajuste al alza respecto a lo presentado en el paquete de 2022 (0.2 p</w:t>
      </w:r>
      <w:r w:rsidR="000407E7">
        <w:rPr>
          <w:rFonts w:cs="Arial"/>
        </w:rPr>
        <w:t xml:space="preserve">untos </w:t>
      </w:r>
      <w:r w:rsidRPr="000903EB">
        <w:rPr>
          <w:rFonts w:cs="Arial"/>
        </w:rPr>
        <w:t>p</w:t>
      </w:r>
      <w:r w:rsidR="000407E7">
        <w:rPr>
          <w:rFonts w:cs="Arial"/>
        </w:rPr>
        <w:t>orcentuales</w:t>
      </w:r>
      <w:r w:rsidRPr="000903EB">
        <w:rPr>
          <w:rFonts w:cs="Arial"/>
        </w:rPr>
        <w:t>) pero en línea</w:t>
      </w:r>
      <w:r>
        <w:rPr>
          <w:rFonts w:cs="Arial"/>
        </w:rPr>
        <w:t xml:space="preserve"> </w:t>
      </w:r>
      <w:r w:rsidRPr="000903EB">
        <w:rPr>
          <w:rFonts w:cs="Arial"/>
        </w:rPr>
        <w:t>con lo estimado por Banco de México</w:t>
      </w:r>
      <w:r w:rsidR="000407E7">
        <w:rPr>
          <w:rFonts w:cs="Arial"/>
        </w:rPr>
        <w:t xml:space="preserve"> en su último Informe </w:t>
      </w:r>
      <w:r w:rsidRPr="000903EB">
        <w:rPr>
          <w:rFonts w:cs="Arial"/>
        </w:rPr>
        <w:t>del 2º trimestre de 2022.</w:t>
      </w:r>
    </w:p>
    <w:p w14:paraId="57E3CC70" w14:textId="77777777" w:rsidR="000903EB" w:rsidRPr="000903EB" w:rsidRDefault="000903EB" w:rsidP="00A3747F">
      <w:pPr>
        <w:rPr>
          <w:rFonts w:cs="Arial"/>
        </w:rPr>
      </w:pPr>
    </w:p>
    <w:p w14:paraId="38780B92" w14:textId="737F4B6F" w:rsidR="000903EB" w:rsidRDefault="000903EB" w:rsidP="00A3747F">
      <w:pPr>
        <w:rPr>
          <w:rFonts w:cs="Arial"/>
        </w:rPr>
      </w:pPr>
      <w:r w:rsidRPr="000903EB">
        <w:rPr>
          <w:rFonts w:cs="Arial"/>
        </w:rPr>
        <w:t>Se estima que la tasa de interés podría comenzar a disminuir, por lo que se prevé que en 2023</w:t>
      </w:r>
      <w:r>
        <w:rPr>
          <w:rFonts w:cs="Arial"/>
        </w:rPr>
        <w:t xml:space="preserve"> </w:t>
      </w:r>
      <w:r w:rsidR="000407E7">
        <w:rPr>
          <w:rFonts w:cs="Arial"/>
        </w:rPr>
        <w:t>se encuentre en niveles de 8.5 por ciento</w:t>
      </w:r>
      <w:r w:rsidRPr="000903EB">
        <w:rPr>
          <w:rFonts w:cs="Arial"/>
        </w:rPr>
        <w:t>. Ello contrasta con lo estimado previamente en los CGPE 2022,</w:t>
      </w:r>
      <w:r>
        <w:rPr>
          <w:rFonts w:cs="Arial"/>
        </w:rPr>
        <w:t xml:space="preserve"> </w:t>
      </w:r>
      <w:r w:rsidRPr="000903EB">
        <w:rPr>
          <w:rFonts w:cs="Arial"/>
        </w:rPr>
        <w:t>d</w:t>
      </w:r>
      <w:r w:rsidR="000407E7">
        <w:rPr>
          <w:rFonts w:cs="Arial"/>
        </w:rPr>
        <w:t>onde se preveía una tasa de 5.3 por ciento</w:t>
      </w:r>
      <w:r w:rsidRPr="000903EB">
        <w:rPr>
          <w:rFonts w:cs="Arial"/>
        </w:rPr>
        <w:t xml:space="preserve"> para el cierre de 2023.</w:t>
      </w:r>
      <w:r w:rsidR="000407E7">
        <w:rPr>
          <w:rFonts w:cs="Arial"/>
        </w:rPr>
        <w:t xml:space="preserve"> Por su parte, l</w:t>
      </w:r>
      <w:r w:rsidRPr="000903EB">
        <w:rPr>
          <w:rFonts w:cs="Arial"/>
        </w:rPr>
        <w:t>a estimación del tipo de cambio de 20.6 pesos por dólar al cierre de año es consistente con los</w:t>
      </w:r>
      <w:r>
        <w:rPr>
          <w:rFonts w:cs="Arial"/>
        </w:rPr>
        <w:t xml:space="preserve"> </w:t>
      </w:r>
      <w:r w:rsidRPr="000903EB">
        <w:rPr>
          <w:rFonts w:cs="Arial"/>
        </w:rPr>
        <w:t>fundamentales macroeconómicos y con una trayectoria de las tasas de interés internas y la</w:t>
      </w:r>
      <w:r>
        <w:rPr>
          <w:rFonts w:cs="Arial"/>
        </w:rPr>
        <w:t xml:space="preserve"> </w:t>
      </w:r>
      <w:r w:rsidR="005D73C7">
        <w:rPr>
          <w:rFonts w:cs="Arial"/>
        </w:rPr>
        <w:t>postura relativa con el Sistema de la Reserva Federal</w:t>
      </w:r>
      <w:r w:rsidRPr="000903EB">
        <w:rPr>
          <w:rFonts w:cs="Arial"/>
        </w:rPr>
        <w:t xml:space="preserve"> </w:t>
      </w:r>
      <w:r w:rsidR="005D73C7">
        <w:rPr>
          <w:rFonts w:cs="Arial"/>
        </w:rPr>
        <w:t xml:space="preserve">por sus siglas en inglés </w:t>
      </w:r>
      <w:r w:rsidRPr="000903EB">
        <w:rPr>
          <w:rFonts w:cs="Arial"/>
        </w:rPr>
        <w:t>FED.</w:t>
      </w:r>
    </w:p>
    <w:p w14:paraId="7D42F99C" w14:textId="6AB70F20" w:rsidR="0035623C" w:rsidRDefault="0035623C" w:rsidP="00A3747F">
      <w:pPr>
        <w:rPr>
          <w:rFonts w:cs="Arial"/>
        </w:rPr>
      </w:pPr>
    </w:p>
    <w:p w14:paraId="72654D7A" w14:textId="674134F2" w:rsidR="0035623C" w:rsidRDefault="000407E7" w:rsidP="00A3747F">
      <w:pPr>
        <w:rPr>
          <w:rFonts w:cs="Arial"/>
        </w:rPr>
      </w:pPr>
      <w:r>
        <w:rPr>
          <w:rFonts w:cs="Arial"/>
        </w:rPr>
        <w:t>En lo que respecta al sector petrolero,</w:t>
      </w:r>
      <w:r w:rsidR="0035623C" w:rsidRPr="0035623C">
        <w:rPr>
          <w:rFonts w:cs="Arial"/>
        </w:rPr>
        <w:t xml:space="preserve"> se estima un precio de la mezcla mexicana de crudo de exportación de</w:t>
      </w:r>
      <w:r w:rsidR="0035623C">
        <w:rPr>
          <w:rFonts w:cs="Arial"/>
        </w:rPr>
        <w:t xml:space="preserve"> </w:t>
      </w:r>
      <w:r w:rsidR="0035623C" w:rsidRPr="0035623C">
        <w:rPr>
          <w:rFonts w:cs="Arial"/>
        </w:rPr>
        <w:t>68.7 dpb, en línea con la metodología establecida en el artículo 31 de la LFPRH y el artículo 15 de</w:t>
      </w:r>
      <w:r w:rsidR="0035623C">
        <w:rPr>
          <w:rFonts w:cs="Arial"/>
        </w:rPr>
        <w:t xml:space="preserve"> </w:t>
      </w:r>
      <w:r w:rsidR="0035623C" w:rsidRPr="0035623C">
        <w:rPr>
          <w:rFonts w:cs="Arial"/>
        </w:rPr>
        <w:t>su Reglamento. Si bien los precios de futuros se ubican por arriba del estimado por la fórmula,</w:t>
      </w:r>
      <w:r w:rsidR="0035623C">
        <w:rPr>
          <w:rFonts w:cs="Arial"/>
        </w:rPr>
        <w:t xml:space="preserve"> </w:t>
      </w:r>
      <w:r w:rsidR="0035623C" w:rsidRPr="0035623C">
        <w:rPr>
          <w:rFonts w:cs="Arial"/>
        </w:rPr>
        <w:t>las revisiones a la baja en el crecimiento de la economía mundial acontecidas desde mediados</w:t>
      </w:r>
      <w:r w:rsidR="0035623C">
        <w:rPr>
          <w:rFonts w:cs="Arial"/>
        </w:rPr>
        <w:t xml:space="preserve"> </w:t>
      </w:r>
      <w:r w:rsidR="0035623C" w:rsidRPr="0035623C">
        <w:rPr>
          <w:rFonts w:cs="Arial"/>
        </w:rPr>
        <w:t>de 2022 y en particular la actividad económica de China en un contexto de sanciones</w:t>
      </w:r>
      <w:r w:rsidR="0035623C">
        <w:rPr>
          <w:rFonts w:cs="Arial"/>
        </w:rPr>
        <w:t xml:space="preserve"> </w:t>
      </w:r>
      <w:r w:rsidR="0035623C" w:rsidRPr="0035623C">
        <w:rPr>
          <w:rFonts w:cs="Arial"/>
        </w:rPr>
        <w:t>económicas a Rusia, podrían resultar una menor demanda por el hidrocarburo y presionar los</w:t>
      </w:r>
      <w:r w:rsidR="0035623C">
        <w:rPr>
          <w:rFonts w:cs="Arial"/>
        </w:rPr>
        <w:t xml:space="preserve"> </w:t>
      </w:r>
      <w:r w:rsidR="0035623C" w:rsidRPr="0035623C">
        <w:rPr>
          <w:rFonts w:cs="Arial"/>
        </w:rPr>
        <w:t>precios a la baja.</w:t>
      </w:r>
    </w:p>
    <w:p w14:paraId="1A0758BB" w14:textId="77777777" w:rsidR="0035623C" w:rsidRPr="0035623C" w:rsidRDefault="0035623C" w:rsidP="00A3747F">
      <w:pPr>
        <w:rPr>
          <w:rFonts w:cs="Arial"/>
        </w:rPr>
      </w:pPr>
    </w:p>
    <w:p w14:paraId="59037C78" w14:textId="6A482219" w:rsidR="00DC391B" w:rsidRDefault="0035623C" w:rsidP="00A3747F">
      <w:pPr>
        <w:rPr>
          <w:rFonts w:cs="Arial"/>
        </w:rPr>
      </w:pPr>
      <w:r w:rsidRPr="0035623C">
        <w:rPr>
          <w:rFonts w:cs="Arial"/>
        </w:rPr>
        <w:t>La plataforma de producción de petróleo estimada es de 1,872 m</w:t>
      </w:r>
      <w:r w:rsidR="005F65BF">
        <w:rPr>
          <w:rFonts w:cs="Arial"/>
        </w:rPr>
        <w:t>iles de barriles diarios (m</w:t>
      </w:r>
      <w:r w:rsidRPr="0035623C">
        <w:rPr>
          <w:rFonts w:cs="Arial"/>
        </w:rPr>
        <w:t>bd</w:t>
      </w:r>
      <w:r w:rsidR="005F65BF">
        <w:rPr>
          <w:rFonts w:cs="Arial"/>
        </w:rPr>
        <w:t>)</w:t>
      </w:r>
      <w:r w:rsidRPr="0035623C">
        <w:rPr>
          <w:rFonts w:cs="Arial"/>
        </w:rPr>
        <w:t xml:space="preserve"> para 2023 y se basa en una</w:t>
      </w:r>
      <w:r>
        <w:rPr>
          <w:rFonts w:cs="Arial"/>
        </w:rPr>
        <w:t xml:space="preserve"> </w:t>
      </w:r>
      <w:r w:rsidRPr="0035623C">
        <w:rPr>
          <w:rFonts w:cs="Arial"/>
        </w:rPr>
        <w:t>estimación conservadora de la plataforma de producción de tal forma que se garanticen los</w:t>
      </w:r>
      <w:r>
        <w:rPr>
          <w:rFonts w:cs="Arial"/>
        </w:rPr>
        <w:t xml:space="preserve"> </w:t>
      </w:r>
      <w:r w:rsidRPr="0035623C">
        <w:rPr>
          <w:rFonts w:cs="Arial"/>
        </w:rPr>
        <w:t>equilibrios fiscales y no se presione a las finanzas públicas.</w:t>
      </w:r>
      <w:r w:rsidR="005F65BF">
        <w:rPr>
          <w:rFonts w:cs="Arial"/>
        </w:rPr>
        <w:t xml:space="preserve"> </w:t>
      </w:r>
      <w:r w:rsidR="00DC391B" w:rsidRPr="00DC391B">
        <w:rPr>
          <w:rFonts w:cs="Arial"/>
        </w:rPr>
        <w:t>En el balance presupuestario para 2023 se estima un déficit mayor en 215.1 mil millones de pesos</w:t>
      </w:r>
      <w:r w:rsidR="00DC391B">
        <w:rPr>
          <w:rFonts w:cs="Arial"/>
        </w:rPr>
        <w:t xml:space="preserve"> </w:t>
      </w:r>
      <w:r w:rsidR="00DC391B" w:rsidRPr="00DC391B">
        <w:rPr>
          <w:rFonts w:cs="Arial"/>
        </w:rPr>
        <w:t>constantes de 2023 con respecto al nivel aprobado y al estimado de cierre para 2022.</w:t>
      </w:r>
      <w:r w:rsidR="005F65BF">
        <w:rPr>
          <w:rFonts w:cs="Arial"/>
        </w:rPr>
        <w:t xml:space="preserve"> </w:t>
      </w:r>
    </w:p>
    <w:p w14:paraId="6C50FC96" w14:textId="60577CC2" w:rsidR="005F65BF" w:rsidRDefault="005F65BF" w:rsidP="00A3747F">
      <w:pPr>
        <w:rPr>
          <w:rFonts w:cs="Arial"/>
        </w:rPr>
      </w:pPr>
    </w:p>
    <w:p w14:paraId="4CA013E9" w14:textId="77777777" w:rsidR="00D03AFC" w:rsidRDefault="005F65BF" w:rsidP="00A3747F">
      <w:pPr>
        <w:rPr>
          <w:rFonts w:cs="Arial"/>
        </w:rPr>
      </w:pPr>
      <w:r>
        <w:rPr>
          <w:rFonts w:cs="Arial"/>
        </w:rPr>
        <w:t xml:space="preserve">Se </w:t>
      </w:r>
      <w:r w:rsidR="00032855">
        <w:rPr>
          <w:rFonts w:cs="Arial"/>
        </w:rPr>
        <w:t>proyecta</w:t>
      </w:r>
      <w:r w:rsidR="00334C12">
        <w:rPr>
          <w:rFonts w:cs="Arial"/>
        </w:rPr>
        <w:t xml:space="preserve"> que México continúe creciendo y consolidando su transformación económica, pues la actividad económica de nuestro país será impulsada por la mejoría de las condiciones de trabajo y la inclusión de regiones y sectores de las poblaciones históricamente desatendidas. Se espera que </w:t>
      </w:r>
      <w:r w:rsidR="00032855">
        <w:rPr>
          <w:rFonts w:cs="Arial"/>
        </w:rPr>
        <w:t xml:space="preserve">la actividad económica </w:t>
      </w:r>
      <w:r w:rsidR="00D03AFC">
        <w:rPr>
          <w:rFonts w:cs="Arial"/>
        </w:rPr>
        <w:t>continúe</w:t>
      </w:r>
    </w:p>
    <w:p w14:paraId="1759FAF1" w14:textId="14CB0C35" w:rsidR="005F65BF" w:rsidRDefault="00334C12" w:rsidP="00A3747F">
      <w:pPr>
        <w:rPr>
          <w:rFonts w:cs="Arial"/>
        </w:rPr>
      </w:pPr>
      <w:r>
        <w:rPr>
          <w:rFonts w:cs="Arial"/>
        </w:rPr>
        <w:t xml:space="preserve"> mostrando crecimientos trimestrales superiores al promedio histórico de 2011 a 2019, con lo cual se tendría una expansión de 3.0 por ciento anual para todo el año, en un escenario donde los factores internos y externos contribuyan de manera positiva. </w:t>
      </w:r>
    </w:p>
    <w:p w14:paraId="3546C227" w14:textId="12925CDD" w:rsidR="00334C12" w:rsidRDefault="00334C12" w:rsidP="00A3747F">
      <w:pPr>
        <w:rPr>
          <w:rFonts w:cs="Arial"/>
        </w:rPr>
      </w:pPr>
    </w:p>
    <w:p w14:paraId="14013273" w14:textId="18E482C2" w:rsidR="00334C12" w:rsidRPr="009A02B4" w:rsidRDefault="009A02B4" w:rsidP="009A02B4">
      <w:pPr>
        <w:rPr>
          <w:rFonts w:cs="Arial"/>
        </w:rPr>
      </w:pPr>
      <w:r w:rsidRPr="009A02B4">
        <w:rPr>
          <w:rFonts w:cs="Arial"/>
        </w:rPr>
        <w:lastRenderedPageBreak/>
        <w:t>El crecimiento del país estará basado en la inversión estratégica en infraestructura que se ha</w:t>
      </w:r>
      <w:r>
        <w:rPr>
          <w:rFonts w:cs="Arial"/>
        </w:rPr>
        <w:t xml:space="preserve"> </w:t>
      </w:r>
      <w:r w:rsidRPr="009A02B4">
        <w:rPr>
          <w:rFonts w:cs="Arial"/>
        </w:rPr>
        <w:t>estado llevando a cabo en la región sur-sureste del país desde 2019, con lo cual se espera</w:t>
      </w:r>
      <w:r>
        <w:rPr>
          <w:rFonts w:cs="Arial"/>
        </w:rPr>
        <w:t xml:space="preserve"> </w:t>
      </w:r>
      <w:r w:rsidRPr="009A02B4">
        <w:rPr>
          <w:rFonts w:cs="Arial"/>
        </w:rPr>
        <w:t>incrementar el crecimiento económico promedio de la región, lo cual a su vez abona a la</w:t>
      </w:r>
      <w:r>
        <w:rPr>
          <w:rFonts w:cs="Arial"/>
        </w:rPr>
        <w:t xml:space="preserve"> </w:t>
      </w:r>
      <w:r w:rsidRPr="009A02B4">
        <w:rPr>
          <w:rFonts w:cs="Arial"/>
        </w:rPr>
        <w:t>contabilidad de crecimiento nacional. Los proyectos insignia se encuentran ya iniciando su fase</w:t>
      </w:r>
      <w:r>
        <w:rPr>
          <w:rFonts w:cs="Arial"/>
        </w:rPr>
        <w:t xml:space="preserve"> </w:t>
      </w:r>
      <w:r w:rsidRPr="009A02B4">
        <w:rPr>
          <w:rFonts w:cs="Arial"/>
        </w:rPr>
        <w:t>de conclusión y han empezado a generar efectos positivos sobre el empleo, el crecimiento</w:t>
      </w:r>
      <w:r>
        <w:rPr>
          <w:rFonts w:cs="Arial"/>
        </w:rPr>
        <w:t xml:space="preserve"> </w:t>
      </w:r>
      <w:r w:rsidRPr="009A02B4">
        <w:rPr>
          <w:rFonts w:cs="Arial"/>
        </w:rPr>
        <w:t>regional y el combate a la pobreza. En este sentido, se estima que, mediante los proyectos del</w:t>
      </w:r>
      <w:r>
        <w:rPr>
          <w:rFonts w:cs="Arial"/>
        </w:rPr>
        <w:t xml:space="preserve"> </w:t>
      </w:r>
      <w:r w:rsidRPr="009A02B4">
        <w:rPr>
          <w:rFonts w:cs="Arial"/>
        </w:rPr>
        <w:t>Corredor Interoceánico del Istmo de Tehuantepec y el Tren Maya, casi 6 millones de habitantes</w:t>
      </w:r>
      <w:r>
        <w:rPr>
          <w:rFonts w:cs="Arial"/>
        </w:rPr>
        <w:t xml:space="preserve"> </w:t>
      </w:r>
      <w:r w:rsidRPr="009A02B4">
        <w:rPr>
          <w:rFonts w:cs="Arial"/>
        </w:rPr>
        <w:t>del sur-sureste del país se verán beneficiados directamente mediante a la transformación</w:t>
      </w:r>
      <w:r>
        <w:rPr>
          <w:rFonts w:cs="Arial"/>
        </w:rPr>
        <w:t xml:space="preserve"> </w:t>
      </w:r>
      <w:r w:rsidRPr="009A02B4">
        <w:rPr>
          <w:rFonts w:cs="Arial"/>
        </w:rPr>
        <w:t>económica regional que generarán dichos proyectos en sus comunidades.</w:t>
      </w:r>
    </w:p>
    <w:p w14:paraId="5F3C1C22" w14:textId="6FEEE741" w:rsidR="005F65BF" w:rsidRDefault="005F65BF" w:rsidP="00A3747F">
      <w:pPr>
        <w:rPr>
          <w:rFonts w:cs="Arial"/>
        </w:rPr>
      </w:pPr>
    </w:p>
    <w:p w14:paraId="3B2A8DEB" w14:textId="73FBF25B" w:rsidR="009A02B4" w:rsidRDefault="009A02B4" w:rsidP="009A02B4">
      <w:pPr>
        <w:rPr>
          <w:rFonts w:cs="Arial"/>
        </w:rPr>
      </w:pPr>
      <w:r w:rsidRPr="009A02B4">
        <w:rPr>
          <w:rFonts w:cs="Arial"/>
        </w:rPr>
        <w:t>En este contexto, dentro de las variables clave del marco macroeconómico, se prevé que la</w:t>
      </w:r>
      <w:r>
        <w:rPr>
          <w:rFonts w:cs="Arial"/>
        </w:rPr>
        <w:t xml:space="preserve"> </w:t>
      </w:r>
      <w:r w:rsidRPr="009A02B4">
        <w:rPr>
          <w:rFonts w:cs="Arial"/>
        </w:rPr>
        <w:t>inflación convergerá al objetivo del banco central como resultado de las distintas medidas en</w:t>
      </w:r>
      <w:r>
        <w:rPr>
          <w:rFonts w:cs="Arial"/>
        </w:rPr>
        <w:t xml:space="preserve"> </w:t>
      </w:r>
      <w:r w:rsidRPr="009A02B4">
        <w:rPr>
          <w:rFonts w:cs="Arial"/>
        </w:rPr>
        <w:t xml:space="preserve">materia fiscal y monetaria, como son el </w:t>
      </w:r>
      <w:r>
        <w:rPr>
          <w:rFonts w:cs="Arial"/>
        </w:rPr>
        <w:t>Paquete Contra la Inflación y la Carestía (</w:t>
      </w:r>
      <w:r w:rsidRPr="009A02B4">
        <w:rPr>
          <w:rFonts w:cs="Arial"/>
        </w:rPr>
        <w:t>PACIC</w:t>
      </w:r>
      <w:r>
        <w:rPr>
          <w:rFonts w:cs="Arial"/>
        </w:rPr>
        <w:t>)</w:t>
      </w:r>
      <w:r w:rsidRPr="009A02B4">
        <w:rPr>
          <w:rFonts w:cs="Arial"/>
        </w:rPr>
        <w:t xml:space="preserve"> y los incrementos de tasa de interés realizados</w:t>
      </w:r>
      <w:r>
        <w:rPr>
          <w:rFonts w:cs="Arial"/>
        </w:rPr>
        <w:t xml:space="preserve"> </w:t>
      </w:r>
      <w:r w:rsidRPr="009A02B4">
        <w:rPr>
          <w:rFonts w:cs="Arial"/>
        </w:rPr>
        <w:t>por el banco central. Se prevé además la reducción de las presiones internacionales,</w:t>
      </w:r>
      <w:r>
        <w:rPr>
          <w:rFonts w:cs="Arial"/>
        </w:rPr>
        <w:t xml:space="preserve"> </w:t>
      </w:r>
      <w:r w:rsidRPr="009A02B4">
        <w:rPr>
          <w:rFonts w:cs="Arial"/>
        </w:rPr>
        <w:t>particularmente en los precios de materias primas como el trigo, el maíz y el petróleo. De este</w:t>
      </w:r>
      <w:r>
        <w:rPr>
          <w:rFonts w:cs="Arial"/>
        </w:rPr>
        <w:t xml:space="preserve"> </w:t>
      </w:r>
      <w:r w:rsidRPr="009A02B4">
        <w:rPr>
          <w:rFonts w:cs="Arial"/>
        </w:rPr>
        <w:t xml:space="preserve">modo, se espera que </w:t>
      </w:r>
      <w:r w:rsidR="00BB59AF">
        <w:rPr>
          <w:rFonts w:cs="Arial"/>
        </w:rPr>
        <w:t>la inflación cierre 2023 en 3.2 por ciento</w:t>
      </w:r>
      <w:r w:rsidRPr="009A02B4">
        <w:rPr>
          <w:rFonts w:cs="Arial"/>
        </w:rPr>
        <w:t>, en línea con lo estimado por el banco</w:t>
      </w:r>
      <w:r>
        <w:rPr>
          <w:rFonts w:cs="Arial"/>
        </w:rPr>
        <w:t xml:space="preserve"> </w:t>
      </w:r>
      <w:r w:rsidRPr="009A02B4">
        <w:rPr>
          <w:rFonts w:cs="Arial"/>
        </w:rPr>
        <w:t>central.</w:t>
      </w:r>
    </w:p>
    <w:p w14:paraId="238D8D90" w14:textId="22A695C1" w:rsidR="00BB59AF" w:rsidRDefault="00BB59AF" w:rsidP="009A02B4">
      <w:pPr>
        <w:rPr>
          <w:rFonts w:cs="Arial"/>
        </w:rPr>
      </w:pPr>
    </w:p>
    <w:p w14:paraId="38CCA0B6" w14:textId="062EABE3" w:rsidR="00BB59AF" w:rsidRDefault="00BB59AF" w:rsidP="00BB59AF">
      <w:pPr>
        <w:rPr>
          <w:rFonts w:cs="Arial"/>
        </w:rPr>
      </w:pPr>
      <w:r w:rsidRPr="00BB59AF">
        <w:rPr>
          <w:rFonts w:cs="Arial"/>
        </w:rPr>
        <w:t>Ahora bien, el Paquete Económico 2023 se propone un balance público en equilibrio, al excluir</w:t>
      </w:r>
      <w:r>
        <w:rPr>
          <w:rFonts w:cs="Arial"/>
        </w:rPr>
        <w:t xml:space="preserve"> </w:t>
      </w:r>
      <w:r w:rsidRPr="00BB59AF">
        <w:rPr>
          <w:rFonts w:cs="Arial"/>
        </w:rPr>
        <w:t>la inversión presupuestaria para evaluar la contribución del gasto al equilibrio que señala la</w:t>
      </w:r>
      <w:r>
        <w:rPr>
          <w:rFonts w:cs="Arial"/>
        </w:rPr>
        <w:t xml:space="preserve"> </w:t>
      </w:r>
      <w:r w:rsidRPr="00BB59AF">
        <w:rPr>
          <w:rFonts w:cs="Arial"/>
        </w:rPr>
        <w:t>LFPRH. Este es un elemento importante para la inversión, dado el calendario establecido para</w:t>
      </w:r>
      <w:r>
        <w:rPr>
          <w:rFonts w:cs="Arial"/>
        </w:rPr>
        <w:t xml:space="preserve"> </w:t>
      </w:r>
      <w:r w:rsidRPr="00BB59AF">
        <w:rPr>
          <w:rFonts w:cs="Arial"/>
        </w:rPr>
        <w:t>los proyectos clave de infraestructura.</w:t>
      </w:r>
      <w:r w:rsidRPr="00BB59AF">
        <w:rPr>
          <w:rFonts w:cs="Arial"/>
        </w:rPr>
        <w:cr/>
      </w:r>
    </w:p>
    <w:p w14:paraId="36CF1B49" w14:textId="62D51AEB" w:rsidR="00BB59AF" w:rsidRDefault="00BB59AF" w:rsidP="00BB59AF">
      <w:pPr>
        <w:rPr>
          <w:rFonts w:cs="Arial"/>
        </w:rPr>
      </w:pPr>
      <w:r w:rsidRPr="00BB59AF">
        <w:rPr>
          <w:rFonts w:cs="Arial"/>
        </w:rPr>
        <w:t>Para el presupuesto de 2023 los ingresos tributarios del Gobierno Federal se ubicarán en 4.6</w:t>
      </w:r>
      <w:r>
        <w:rPr>
          <w:rFonts w:cs="Arial"/>
        </w:rPr>
        <w:t xml:space="preserve"> </w:t>
      </w:r>
      <w:r w:rsidRPr="00BB59AF">
        <w:rPr>
          <w:rFonts w:cs="Arial"/>
        </w:rPr>
        <w:t>billones de pesos, lo que representa un aumento en los ingresos de 1.7 pp del PIB en relación</w:t>
      </w:r>
      <w:r>
        <w:rPr>
          <w:rFonts w:cs="Arial"/>
        </w:rPr>
        <w:t xml:space="preserve"> </w:t>
      </w:r>
      <w:r w:rsidRPr="00BB59AF">
        <w:rPr>
          <w:rFonts w:cs="Arial"/>
        </w:rPr>
        <w:t>con lo observado en 2018. Estos mayores ingresos se explican por una serie de medidas que se</w:t>
      </w:r>
      <w:r>
        <w:rPr>
          <w:rFonts w:cs="Arial"/>
        </w:rPr>
        <w:t xml:space="preserve"> </w:t>
      </w:r>
      <w:r w:rsidRPr="00BB59AF">
        <w:rPr>
          <w:rFonts w:cs="Arial"/>
        </w:rPr>
        <w:t>han establecido desde el inicio de la actual administración para fortalecer los ingresos públicos,</w:t>
      </w:r>
      <w:r>
        <w:rPr>
          <w:rFonts w:cs="Arial"/>
        </w:rPr>
        <w:t xml:space="preserve"> </w:t>
      </w:r>
      <w:r w:rsidRPr="00BB59AF">
        <w:rPr>
          <w:rFonts w:cs="Arial"/>
        </w:rPr>
        <w:t>sin permitir que los hogares sientan en sus bolsillos la carga de un aumento de impuestos o la</w:t>
      </w:r>
      <w:r>
        <w:rPr>
          <w:rFonts w:cs="Arial"/>
        </w:rPr>
        <w:t xml:space="preserve"> </w:t>
      </w:r>
      <w:r w:rsidRPr="00BB59AF">
        <w:rPr>
          <w:rFonts w:cs="Arial"/>
        </w:rPr>
        <w:t>creación de nuevos tributos.</w:t>
      </w:r>
    </w:p>
    <w:p w14:paraId="24768EFA" w14:textId="77777777" w:rsidR="00BB59AF" w:rsidRPr="00BB59AF" w:rsidRDefault="00BB59AF" w:rsidP="00BB59AF">
      <w:pPr>
        <w:rPr>
          <w:rFonts w:cs="Arial"/>
        </w:rPr>
      </w:pPr>
    </w:p>
    <w:p w14:paraId="4256867A" w14:textId="77777777" w:rsidR="00BB59AF" w:rsidRPr="00BB59AF" w:rsidRDefault="00BB59AF" w:rsidP="00BB59AF">
      <w:pPr>
        <w:rPr>
          <w:rFonts w:cs="Arial"/>
        </w:rPr>
      </w:pPr>
      <w:r w:rsidRPr="00BB59AF">
        <w:rPr>
          <w:rFonts w:cs="Arial"/>
        </w:rPr>
        <w:t>Estas medidas incluyen la eliminación de la compensación universal, un mecanismo que</w:t>
      </w:r>
    </w:p>
    <w:p w14:paraId="4784E853" w14:textId="581E8623" w:rsidR="00BB59AF" w:rsidRDefault="00BB59AF" w:rsidP="00BB59AF">
      <w:pPr>
        <w:rPr>
          <w:rFonts w:cs="Arial"/>
        </w:rPr>
      </w:pPr>
      <w:r w:rsidRPr="00BB59AF">
        <w:rPr>
          <w:rFonts w:cs="Arial"/>
        </w:rPr>
        <w:t>permitía que la obligación de pagar un impuesto específico se pudiera cubrir con el saldo a favor</w:t>
      </w:r>
      <w:r>
        <w:rPr>
          <w:rFonts w:cs="Arial"/>
        </w:rPr>
        <w:t xml:space="preserve"> </w:t>
      </w:r>
      <w:r w:rsidRPr="00BB59AF">
        <w:rPr>
          <w:rFonts w:cs="Arial"/>
        </w:rPr>
        <w:t>de otro impuesto (pago cruzado de impuestos). Esta era una facilidad que prácticamente</w:t>
      </w:r>
      <w:r>
        <w:rPr>
          <w:rFonts w:cs="Arial"/>
        </w:rPr>
        <w:t xml:space="preserve"> </w:t>
      </w:r>
      <w:r w:rsidRPr="00BB59AF">
        <w:rPr>
          <w:rFonts w:cs="Arial"/>
        </w:rPr>
        <w:t>ningún país otorgaba y que en México servía para realizar planeaciones fiscales agresivas por</w:t>
      </w:r>
      <w:r>
        <w:rPr>
          <w:rFonts w:cs="Arial"/>
        </w:rPr>
        <w:t xml:space="preserve"> </w:t>
      </w:r>
      <w:r w:rsidRPr="00BB59AF">
        <w:rPr>
          <w:rFonts w:cs="Arial"/>
        </w:rPr>
        <w:t>parte de las empresas, en detrimento de la recaudación pública.</w:t>
      </w:r>
    </w:p>
    <w:p w14:paraId="495D8852" w14:textId="41DEFFFA" w:rsidR="00BB59AF" w:rsidRDefault="00BB59AF" w:rsidP="009A02B4">
      <w:pPr>
        <w:rPr>
          <w:rFonts w:cs="Arial"/>
        </w:rPr>
      </w:pPr>
    </w:p>
    <w:p w14:paraId="2B00E636" w14:textId="3851642F" w:rsidR="00BB59AF" w:rsidRDefault="00BB59AF" w:rsidP="00BB59AF">
      <w:pPr>
        <w:rPr>
          <w:rFonts w:cs="Arial"/>
        </w:rPr>
      </w:pPr>
      <w:r w:rsidRPr="00BB59AF">
        <w:rPr>
          <w:rFonts w:cs="Arial"/>
        </w:rPr>
        <w:t>En cuanto a la política de gasto, el P</w:t>
      </w:r>
      <w:r w:rsidR="005C0F04">
        <w:rPr>
          <w:rFonts w:cs="Arial"/>
        </w:rPr>
        <w:t xml:space="preserve">royecto de </w:t>
      </w:r>
      <w:r w:rsidRPr="00BB59AF">
        <w:rPr>
          <w:rFonts w:cs="Arial"/>
        </w:rPr>
        <w:t>P</w:t>
      </w:r>
      <w:r w:rsidR="005C0F04">
        <w:rPr>
          <w:rFonts w:cs="Arial"/>
        </w:rPr>
        <w:t xml:space="preserve">resupuesto de </w:t>
      </w:r>
      <w:r w:rsidRPr="00BB59AF">
        <w:rPr>
          <w:rFonts w:cs="Arial"/>
        </w:rPr>
        <w:t>E</w:t>
      </w:r>
      <w:r w:rsidR="005C0F04">
        <w:rPr>
          <w:rFonts w:cs="Arial"/>
        </w:rPr>
        <w:t xml:space="preserve">gresos de la </w:t>
      </w:r>
      <w:r w:rsidRPr="00BB59AF">
        <w:rPr>
          <w:rFonts w:cs="Arial"/>
        </w:rPr>
        <w:t>F</w:t>
      </w:r>
      <w:r w:rsidR="005C0F04">
        <w:rPr>
          <w:rFonts w:cs="Arial"/>
        </w:rPr>
        <w:t xml:space="preserve">ederación (PPEF) para el Ejercicio Fiscal 2023 </w:t>
      </w:r>
      <w:r w:rsidRPr="00BB59AF">
        <w:rPr>
          <w:rFonts w:cs="Arial"/>
        </w:rPr>
        <w:t>continuará otorgando suficiencia presupuestaria</w:t>
      </w:r>
      <w:r>
        <w:rPr>
          <w:rFonts w:cs="Arial"/>
        </w:rPr>
        <w:t xml:space="preserve"> </w:t>
      </w:r>
      <w:r w:rsidRPr="00BB59AF">
        <w:rPr>
          <w:rFonts w:cs="Arial"/>
        </w:rPr>
        <w:t>a los proyectos y programas de bienestar que el Gobierno de México ha impulsado con el</w:t>
      </w:r>
      <w:r>
        <w:rPr>
          <w:rFonts w:cs="Arial"/>
        </w:rPr>
        <w:t xml:space="preserve"> </w:t>
      </w:r>
      <w:r w:rsidRPr="00BB59AF">
        <w:rPr>
          <w:rFonts w:cs="Arial"/>
        </w:rPr>
        <w:t xml:space="preserve">objetivo </w:t>
      </w:r>
      <w:r w:rsidRPr="00BB59AF">
        <w:rPr>
          <w:rFonts w:cs="Arial"/>
        </w:rPr>
        <w:lastRenderedPageBreak/>
        <w:t>de mejorar la situación económica de la población más pobre del país, ya sea a través</w:t>
      </w:r>
      <w:r>
        <w:rPr>
          <w:rFonts w:cs="Arial"/>
        </w:rPr>
        <w:t xml:space="preserve"> </w:t>
      </w:r>
      <w:r w:rsidRPr="00BB59AF">
        <w:rPr>
          <w:rFonts w:cs="Arial"/>
        </w:rPr>
        <w:t>de apoyos directos a los sectores vulnerables o también vía mayor gasto en inversión productiva</w:t>
      </w:r>
      <w:r>
        <w:rPr>
          <w:rFonts w:cs="Arial"/>
        </w:rPr>
        <w:t xml:space="preserve"> </w:t>
      </w:r>
      <w:r w:rsidRPr="00BB59AF">
        <w:rPr>
          <w:rFonts w:cs="Arial"/>
        </w:rPr>
        <w:t>que estimule la actividad económica de las regiones más rezagadas.</w:t>
      </w:r>
    </w:p>
    <w:p w14:paraId="45280DF4" w14:textId="77777777" w:rsidR="00BB59AF" w:rsidRPr="00BB59AF" w:rsidRDefault="00BB59AF" w:rsidP="00BB59AF">
      <w:pPr>
        <w:rPr>
          <w:rFonts w:cs="Arial"/>
        </w:rPr>
      </w:pPr>
    </w:p>
    <w:p w14:paraId="230EE43A" w14:textId="5C41D0E1" w:rsidR="00BB59AF" w:rsidRDefault="00BB59AF" w:rsidP="00BB59AF">
      <w:pPr>
        <w:rPr>
          <w:rFonts w:cs="Arial"/>
        </w:rPr>
      </w:pPr>
      <w:r w:rsidRPr="00BB59AF">
        <w:rPr>
          <w:rFonts w:cs="Arial"/>
        </w:rPr>
        <w:t>En este marco, el PPEF 2023 propone un gasto en desarrollo social de 3.9 billones de pesos, lo</w:t>
      </w:r>
      <w:r>
        <w:rPr>
          <w:rFonts w:cs="Arial"/>
        </w:rPr>
        <w:t xml:space="preserve"> </w:t>
      </w:r>
      <w:r w:rsidRPr="00BB59AF">
        <w:rPr>
          <w:rFonts w:cs="Arial"/>
        </w:rPr>
        <w:t>que imp</w:t>
      </w:r>
      <w:r>
        <w:rPr>
          <w:rFonts w:cs="Arial"/>
        </w:rPr>
        <w:t>lica un crecimiento real de 9.1 por ciento</w:t>
      </w:r>
      <w:r w:rsidRPr="00BB59AF">
        <w:rPr>
          <w:rFonts w:cs="Arial"/>
        </w:rPr>
        <w:t xml:space="preserve"> con relación al monto aprobado para 2022. Al interior,</w:t>
      </w:r>
      <w:r>
        <w:rPr>
          <w:rFonts w:cs="Arial"/>
        </w:rPr>
        <w:t xml:space="preserve"> destaca un incremento de 4.0 por ciento</w:t>
      </w:r>
      <w:r w:rsidRPr="00BB59AF">
        <w:rPr>
          <w:rFonts w:cs="Arial"/>
        </w:rPr>
        <w:t xml:space="preserve"> en el gasto propuesto en salud, así como un aumento anual de</w:t>
      </w:r>
      <w:r>
        <w:rPr>
          <w:rFonts w:cs="Arial"/>
        </w:rPr>
        <w:t xml:space="preserve"> 12.7 por ciento </w:t>
      </w:r>
      <w:r w:rsidRPr="00BB59AF">
        <w:rPr>
          <w:rFonts w:cs="Arial"/>
        </w:rPr>
        <w:t>en el gasto en protección social, con lo cual este rubro seguirá alcanzando máximos</w:t>
      </w:r>
      <w:r>
        <w:rPr>
          <w:rFonts w:cs="Arial"/>
        </w:rPr>
        <w:t xml:space="preserve"> </w:t>
      </w:r>
      <w:r w:rsidRPr="00BB59AF">
        <w:rPr>
          <w:rFonts w:cs="Arial"/>
        </w:rPr>
        <w:t>históricos en beneficio de las mayorías.</w:t>
      </w:r>
      <w:r w:rsidRPr="00BB59AF">
        <w:rPr>
          <w:rFonts w:cs="Arial"/>
        </w:rPr>
        <w:cr/>
      </w:r>
    </w:p>
    <w:p w14:paraId="406C638F" w14:textId="5F0D135B" w:rsidR="005C0F04" w:rsidRPr="005C0F04" w:rsidRDefault="005C0F04" w:rsidP="005C0F04">
      <w:pPr>
        <w:rPr>
          <w:rFonts w:cs="Arial"/>
        </w:rPr>
      </w:pPr>
      <w:r w:rsidRPr="005C0F04">
        <w:rPr>
          <w:rFonts w:cs="Arial"/>
        </w:rPr>
        <w:t>Por su parte, la política de endeudamiento externo de 2023 tiene como objetivo utilizarse de</w:t>
      </w:r>
      <w:r>
        <w:rPr>
          <w:rFonts w:cs="Arial"/>
        </w:rPr>
        <w:t xml:space="preserve"> </w:t>
      </w:r>
      <w:r w:rsidRPr="005C0F04">
        <w:rPr>
          <w:rFonts w:cs="Arial"/>
        </w:rPr>
        <w:t>forma complementaria para mantener el adecuado funcionamiento de los mercados líquidos</w:t>
      </w:r>
      <w:r>
        <w:rPr>
          <w:rFonts w:cs="Arial"/>
        </w:rPr>
        <w:t xml:space="preserve"> </w:t>
      </w:r>
      <w:r w:rsidRPr="005C0F04">
        <w:rPr>
          <w:rFonts w:cs="Arial"/>
        </w:rPr>
        <w:t>en que opera México, incluyendo los mercados sostenibles.</w:t>
      </w:r>
    </w:p>
    <w:p w14:paraId="0622232C" w14:textId="77777777" w:rsidR="005C0F04" w:rsidRDefault="005C0F04" w:rsidP="005C0F04">
      <w:pPr>
        <w:rPr>
          <w:rFonts w:cs="Arial"/>
        </w:rPr>
      </w:pPr>
    </w:p>
    <w:p w14:paraId="19342E9B" w14:textId="1F61CDD5" w:rsidR="005C0F04" w:rsidRPr="005C0F04" w:rsidRDefault="005C0F04" w:rsidP="005C0F04">
      <w:pPr>
        <w:rPr>
          <w:rFonts w:cs="Arial"/>
        </w:rPr>
      </w:pPr>
      <w:r w:rsidRPr="005C0F04">
        <w:rPr>
          <w:rFonts w:cs="Arial"/>
        </w:rPr>
        <w:t>La prudencia fiscal que ha caracterizado al Gobierno Federal ha permitido que actualmente</w:t>
      </w:r>
    </w:p>
    <w:p w14:paraId="63F735F5" w14:textId="7C072EF4" w:rsidR="005C0F04" w:rsidRDefault="005C0F04" w:rsidP="005C0F04">
      <w:pPr>
        <w:rPr>
          <w:rFonts w:cs="Arial"/>
        </w:rPr>
      </w:pPr>
      <w:r w:rsidRPr="005C0F04">
        <w:rPr>
          <w:rFonts w:cs="Arial"/>
        </w:rPr>
        <w:t>México sea uno de los países de América Latina con menor nivel de deuda pública. Mientras la</w:t>
      </w:r>
      <w:r>
        <w:rPr>
          <w:rFonts w:cs="Arial"/>
        </w:rPr>
        <w:t xml:space="preserve"> </w:t>
      </w:r>
      <w:r w:rsidRPr="005C0F04">
        <w:rPr>
          <w:rFonts w:cs="Arial"/>
        </w:rPr>
        <w:t>mayoría de los países incrementaron su nivel de deuda externa a raíz de la pandemia, nuestro</w:t>
      </w:r>
      <w:r>
        <w:rPr>
          <w:rFonts w:cs="Arial"/>
        </w:rPr>
        <w:t xml:space="preserve"> </w:t>
      </w:r>
      <w:r w:rsidRPr="005C0F04">
        <w:rPr>
          <w:rFonts w:cs="Arial"/>
        </w:rPr>
        <w:t>país ha logrado mantenerla estable mediante su política de responsabilidad fiscal, un sofisticado</w:t>
      </w:r>
      <w:r>
        <w:rPr>
          <w:rFonts w:cs="Arial"/>
        </w:rPr>
        <w:t xml:space="preserve"> </w:t>
      </w:r>
      <w:r w:rsidRPr="005C0F04">
        <w:rPr>
          <w:rFonts w:cs="Arial"/>
        </w:rPr>
        <w:t>manejo de riesgos y una eficiente estrategia de refinanciamiento de pasivos. Así, para 2023 se</w:t>
      </w:r>
      <w:r>
        <w:rPr>
          <w:rFonts w:cs="Arial"/>
        </w:rPr>
        <w:t xml:space="preserve"> estima que 19.2 por ciento</w:t>
      </w:r>
      <w:r w:rsidRPr="005C0F04">
        <w:rPr>
          <w:rFonts w:cs="Arial"/>
        </w:rPr>
        <w:t xml:space="preserve"> del total de la deuda sea denominada</w:t>
      </w:r>
      <w:r>
        <w:rPr>
          <w:rFonts w:cs="Arial"/>
        </w:rPr>
        <w:t xml:space="preserve"> en moneda extranjera y el 80.8 por ciento </w:t>
      </w:r>
      <w:r w:rsidRPr="005C0F04">
        <w:rPr>
          <w:rFonts w:cs="Arial"/>
        </w:rPr>
        <w:t>restante en moneda nacional. Con lo mencionado, el Gobierno Federal mantiene un portafolio</w:t>
      </w:r>
      <w:r>
        <w:rPr>
          <w:rFonts w:cs="Arial"/>
        </w:rPr>
        <w:t xml:space="preserve"> </w:t>
      </w:r>
      <w:r w:rsidRPr="005C0F04">
        <w:rPr>
          <w:rFonts w:cs="Arial"/>
        </w:rPr>
        <w:t>de deuda de bajo riesgo y equilibrado que le permitirá mantener una posición financiera sólida</w:t>
      </w:r>
      <w:r>
        <w:rPr>
          <w:rFonts w:cs="Arial"/>
        </w:rPr>
        <w:t>.</w:t>
      </w:r>
    </w:p>
    <w:p w14:paraId="3AA130AA" w14:textId="77777777" w:rsidR="005C0F04" w:rsidRDefault="005C0F04" w:rsidP="005C0F04">
      <w:pPr>
        <w:rPr>
          <w:rFonts w:cs="Arial"/>
        </w:rPr>
      </w:pPr>
    </w:p>
    <w:p w14:paraId="503C3023" w14:textId="02AC25C6" w:rsidR="00BB59AF" w:rsidRPr="009A02B4" w:rsidRDefault="005C0F04" w:rsidP="005C0F04">
      <w:pPr>
        <w:rPr>
          <w:rFonts w:cs="Arial"/>
        </w:rPr>
      </w:pPr>
      <w:r w:rsidRPr="005C0F04">
        <w:rPr>
          <w:rFonts w:cs="Arial"/>
        </w:rPr>
        <w:t>Finalmente, el entorno macroeconómico previsto para 2022 se encuentra sujeto a riesgos que</w:t>
      </w:r>
      <w:r>
        <w:rPr>
          <w:rFonts w:cs="Arial"/>
        </w:rPr>
        <w:t xml:space="preserve"> </w:t>
      </w:r>
      <w:r w:rsidRPr="005C0F04">
        <w:rPr>
          <w:rFonts w:cs="Arial"/>
        </w:rPr>
        <w:t>podrían modificar las estimaciones anteriores. A continuación, se presenta un resumen de estos:</w:t>
      </w:r>
      <w:r w:rsidRPr="005C0F04">
        <w:rPr>
          <w:rFonts w:cs="Arial"/>
        </w:rPr>
        <w:cr/>
      </w:r>
    </w:p>
    <w:p w14:paraId="1E8D13A3" w14:textId="2E5E8D53" w:rsidR="000A3972" w:rsidRPr="00D806CC" w:rsidRDefault="00D806CC" w:rsidP="00A3747F">
      <w:pPr>
        <w:rPr>
          <w:rFonts w:cs="Arial"/>
          <w:i/>
        </w:rPr>
      </w:pPr>
      <w:r w:rsidRPr="00D806CC">
        <w:rPr>
          <w:rFonts w:cs="Arial"/>
          <w:i/>
        </w:rPr>
        <w:t>Riesgos a la baja:</w:t>
      </w:r>
    </w:p>
    <w:p w14:paraId="608776EF" w14:textId="2D9C569C" w:rsidR="00D806CC" w:rsidRDefault="00D806CC" w:rsidP="00A3747F">
      <w:pPr>
        <w:rPr>
          <w:rFonts w:cs="Arial"/>
        </w:rPr>
      </w:pPr>
    </w:p>
    <w:p w14:paraId="4F0EE617" w14:textId="07501D11" w:rsidR="00D806CC" w:rsidRPr="00D806CC" w:rsidRDefault="00D806CC" w:rsidP="00D806CC">
      <w:pPr>
        <w:pStyle w:val="Prrafodelista"/>
        <w:numPr>
          <w:ilvl w:val="0"/>
          <w:numId w:val="30"/>
        </w:numPr>
        <w:rPr>
          <w:rFonts w:cs="Arial"/>
        </w:rPr>
      </w:pPr>
      <w:r w:rsidRPr="00D806CC">
        <w:rPr>
          <w:rFonts w:cs="Arial"/>
        </w:rPr>
        <w:t>Una agudización del conflicto bélico entre Rusia y Ucrania, y el impacto a la economía de Europa por las sanciones impuestas a Rusia. Lo anterior podría afectar a México vía una mayor volatilidad en los precios de energéticos, desabasto de fertilizantes, alimentos, así como una menor inversión extranjera directa y caídas en los flujos financieros.</w:t>
      </w:r>
    </w:p>
    <w:p w14:paraId="5C64A507" w14:textId="4F0335A3" w:rsidR="00D806CC" w:rsidRPr="00D806CC" w:rsidRDefault="00D806CC" w:rsidP="00D806CC">
      <w:pPr>
        <w:pStyle w:val="Prrafodelista"/>
        <w:numPr>
          <w:ilvl w:val="0"/>
          <w:numId w:val="30"/>
        </w:numPr>
        <w:rPr>
          <w:rFonts w:cs="Arial"/>
        </w:rPr>
      </w:pPr>
      <w:r w:rsidRPr="00D806CC">
        <w:rPr>
          <w:rFonts w:cs="Arial"/>
        </w:rPr>
        <w:t>Una mayor persistencia a la esperada en la inflación que siga presionando el precio de los alimentos y combustibles, y, por tanto, una postura monetaria más restrictiva de la FED generando condiciones financieras restrictivas en EE.UU. y el resto de los países emergentes.</w:t>
      </w:r>
    </w:p>
    <w:p w14:paraId="492D8D73" w14:textId="010ADDBF" w:rsidR="00D806CC" w:rsidRDefault="00D806CC" w:rsidP="00D806CC">
      <w:pPr>
        <w:rPr>
          <w:rFonts w:cs="Arial"/>
        </w:rPr>
      </w:pPr>
    </w:p>
    <w:p w14:paraId="3D7511CA" w14:textId="34B80ECA" w:rsidR="00D806CC" w:rsidRPr="00D806CC" w:rsidRDefault="00D806CC" w:rsidP="00D806CC">
      <w:pPr>
        <w:pStyle w:val="Prrafodelista"/>
        <w:numPr>
          <w:ilvl w:val="0"/>
          <w:numId w:val="30"/>
        </w:numPr>
        <w:rPr>
          <w:rFonts w:cs="Arial"/>
        </w:rPr>
      </w:pPr>
      <w:r w:rsidRPr="00D806CC">
        <w:rPr>
          <w:rFonts w:cs="Arial"/>
        </w:rPr>
        <w:lastRenderedPageBreak/>
        <w:t>Factores climatológicos asociados a sequías o inundaciones que puedan afectar la actividad agrícola y algunos sectores industriales y de servicios, además de que se podrían generar distorsiones en la formación de precios en la economía m</w:t>
      </w:r>
      <w:r>
        <w:rPr>
          <w:rFonts w:cs="Arial"/>
        </w:rPr>
        <w:t>undial o México, en particular.</w:t>
      </w:r>
    </w:p>
    <w:p w14:paraId="6E4F3889" w14:textId="0477BE75" w:rsidR="00D806CC" w:rsidRPr="00D806CC" w:rsidRDefault="00D806CC" w:rsidP="00D806CC">
      <w:pPr>
        <w:pStyle w:val="Prrafodelista"/>
        <w:numPr>
          <w:ilvl w:val="0"/>
          <w:numId w:val="30"/>
        </w:numPr>
        <w:rPr>
          <w:rFonts w:cs="Arial"/>
        </w:rPr>
      </w:pPr>
      <w:r w:rsidRPr="00D806CC">
        <w:rPr>
          <w:rFonts w:cs="Arial"/>
        </w:rPr>
        <w:t>Desaceleración económica de China por problemas estructurales de su economía, en particular, por una menor inversión en el sector inmobiliario que reduciría los precios de materias primas; así como los préstamos y flujos financieros hacia sus países deudores, principalmente de África subsahariana como Djibouti y Zambia, y en el sur de Asia, como Laos y Sri Lanka, ambos grupos de países de bajos ingresos y con economías vulnerables.</w:t>
      </w:r>
    </w:p>
    <w:p w14:paraId="4F989026" w14:textId="54C40B21" w:rsidR="000A3972" w:rsidRDefault="000A3972" w:rsidP="00A3747F">
      <w:pPr>
        <w:rPr>
          <w:rFonts w:cs="Arial"/>
        </w:rPr>
      </w:pPr>
    </w:p>
    <w:p w14:paraId="7FEBD41D" w14:textId="13884280" w:rsidR="00D806CC" w:rsidRPr="00D806CC" w:rsidRDefault="00D806CC" w:rsidP="00A3747F">
      <w:pPr>
        <w:rPr>
          <w:rFonts w:cs="Arial"/>
          <w:i/>
        </w:rPr>
      </w:pPr>
      <w:r w:rsidRPr="00D806CC">
        <w:rPr>
          <w:rFonts w:cs="Arial"/>
          <w:i/>
        </w:rPr>
        <w:t>Riegos al alza:</w:t>
      </w:r>
    </w:p>
    <w:p w14:paraId="6D6BDA2D" w14:textId="237DA25B" w:rsidR="00D806CC" w:rsidRDefault="00D806CC" w:rsidP="00A3747F">
      <w:pPr>
        <w:rPr>
          <w:rFonts w:cs="Arial"/>
        </w:rPr>
      </w:pPr>
    </w:p>
    <w:p w14:paraId="25CA3BB3" w14:textId="3C021886" w:rsidR="00D806CC" w:rsidRPr="00D806CC" w:rsidRDefault="00D806CC" w:rsidP="00D806CC">
      <w:pPr>
        <w:pStyle w:val="Prrafodelista"/>
        <w:numPr>
          <w:ilvl w:val="0"/>
          <w:numId w:val="29"/>
        </w:numPr>
        <w:rPr>
          <w:rFonts w:cs="Arial"/>
        </w:rPr>
      </w:pPr>
      <w:r w:rsidRPr="00D806CC">
        <w:rPr>
          <w:rFonts w:cs="Arial"/>
        </w:rPr>
        <w:t>La resolución del conflicto bélico en Ucrania y las tensiones geopolíticas en Asia y el Medio Oriente, con lo cual se logre disminuir la severidad de las sanciones y presiones inflacionarias mundiales a los precios de materias primas, particularmente los ener</w:t>
      </w:r>
      <w:r>
        <w:rPr>
          <w:rFonts w:cs="Arial"/>
        </w:rPr>
        <w:t>géticos como el petróleo y gas.</w:t>
      </w:r>
    </w:p>
    <w:p w14:paraId="4B060E3E" w14:textId="63D23882" w:rsidR="00D806CC" w:rsidRPr="00D806CC" w:rsidRDefault="00D806CC" w:rsidP="00D806CC">
      <w:pPr>
        <w:pStyle w:val="Prrafodelista"/>
        <w:numPr>
          <w:ilvl w:val="0"/>
          <w:numId w:val="29"/>
        </w:numPr>
        <w:rPr>
          <w:rFonts w:cs="Arial"/>
        </w:rPr>
      </w:pPr>
      <w:r w:rsidRPr="00D806CC">
        <w:rPr>
          <w:rFonts w:cs="Arial"/>
        </w:rPr>
        <w:t>Menores incrementos o una postura monetaria menos restrictiva en la tasa de interés de referencia en EE.UU. que impliquen una menor inflación o un mayor dinamismo de la actividad económica.</w:t>
      </w:r>
    </w:p>
    <w:p w14:paraId="1EC1EAD2" w14:textId="7E196E9F" w:rsidR="00D806CC" w:rsidRPr="00D806CC" w:rsidRDefault="00D806CC" w:rsidP="00D806CC">
      <w:pPr>
        <w:pStyle w:val="Prrafodelista"/>
        <w:numPr>
          <w:ilvl w:val="0"/>
          <w:numId w:val="29"/>
        </w:numPr>
        <w:rPr>
          <w:rFonts w:cs="Arial"/>
        </w:rPr>
      </w:pPr>
      <w:r w:rsidRPr="00D806CC">
        <w:rPr>
          <w:rFonts w:cs="Arial"/>
        </w:rPr>
        <w:t>Una disminución más rápida de los costos de trasportación y flete marítimo, así como la resolución de los problemas logísticos en puertos y aduanas que aumente las transacciones</w:t>
      </w:r>
    </w:p>
    <w:p w14:paraId="44A47D62" w14:textId="30A596DC" w:rsidR="00D806CC" w:rsidRPr="00D806CC" w:rsidRDefault="00D806CC" w:rsidP="00D806CC">
      <w:pPr>
        <w:pStyle w:val="Prrafodelista"/>
        <w:numPr>
          <w:ilvl w:val="0"/>
          <w:numId w:val="29"/>
        </w:numPr>
        <w:rPr>
          <w:rFonts w:cs="Arial"/>
        </w:rPr>
      </w:pPr>
      <w:r w:rsidRPr="00D806CC">
        <w:rPr>
          <w:rFonts w:cs="Arial"/>
        </w:rPr>
        <w:t>comerciales, fomente las exportaciones y alivie las presiones de inflacionarias por el lado de los costos.</w:t>
      </w:r>
    </w:p>
    <w:p w14:paraId="75331445" w14:textId="6BBC74AE" w:rsidR="00D806CC" w:rsidRPr="00D806CC" w:rsidRDefault="00D806CC" w:rsidP="00D806CC">
      <w:pPr>
        <w:pStyle w:val="Prrafodelista"/>
        <w:numPr>
          <w:ilvl w:val="0"/>
          <w:numId w:val="29"/>
        </w:numPr>
        <w:rPr>
          <w:rFonts w:cs="Arial"/>
        </w:rPr>
      </w:pPr>
      <w:r w:rsidRPr="00D806CC">
        <w:rPr>
          <w:rFonts w:cs="Arial"/>
        </w:rPr>
        <w:t xml:space="preserve">Mayor producción industrial y agrícola de granos y cereales que permitan reducir la escasez de insumos industriales y aumente la oferta de </w:t>
      </w:r>
      <w:r>
        <w:rPr>
          <w:rFonts w:cs="Arial"/>
        </w:rPr>
        <w:t>alimentos.</w:t>
      </w:r>
    </w:p>
    <w:p w14:paraId="7F1E7BA0" w14:textId="48C666B3" w:rsidR="00D806CC" w:rsidRPr="00D806CC" w:rsidRDefault="00D806CC" w:rsidP="00D806CC">
      <w:pPr>
        <w:pStyle w:val="Prrafodelista"/>
        <w:numPr>
          <w:ilvl w:val="0"/>
          <w:numId w:val="29"/>
        </w:numPr>
        <w:rPr>
          <w:rFonts w:cs="Arial"/>
        </w:rPr>
      </w:pPr>
      <w:r w:rsidRPr="00D806CC">
        <w:rPr>
          <w:rFonts w:cs="Arial"/>
        </w:rPr>
        <w:t>Una mejora de las condiciones financieras a nivel mundial, que reduzcan la volatilidad y las salidas abruptas en el flujo de capitales de países emergentes.</w:t>
      </w:r>
    </w:p>
    <w:p w14:paraId="50E0B8E0" w14:textId="73910BA8" w:rsidR="00D806CC" w:rsidRDefault="00D806CC" w:rsidP="00D806CC">
      <w:pPr>
        <w:pStyle w:val="Prrafodelista"/>
        <w:numPr>
          <w:ilvl w:val="0"/>
          <w:numId w:val="29"/>
        </w:numPr>
        <w:rPr>
          <w:rFonts w:cs="Arial"/>
        </w:rPr>
      </w:pPr>
      <w:r w:rsidRPr="00D806CC">
        <w:rPr>
          <w:rFonts w:cs="Arial"/>
        </w:rPr>
        <w:t xml:space="preserve">Una aceleración en la transferencia de los procesos productivos de empresas internacionales hacia México a raíz de la reconfiguración global de cadenas productivas como estrategia geográfica y disposición de tratados comerciales. </w:t>
      </w:r>
    </w:p>
    <w:p w14:paraId="3E124BDE" w14:textId="4A58C07F" w:rsidR="00D806CC" w:rsidRDefault="00D806CC" w:rsidP="00D806CC">
      <w:pPr>
        <w:rPr>
          <w:rFonts w:cs="Arial"/>
        </w:rPr>
      </w:pPr>
    </w:p>
    <w:p w14:paraId="49DDB11C" w14:textId="7CF2F3BC" w:rsidR="00D806CC" w:rsidRDefault="00D806CC" w:rsidP="00D806CC">
      <w:pPr>
        <w:rPr>
          <w:rFonts w:cs="Arial"/>
        </w:rPr>
      </w:pPr>
      <w:r>
        <w:rPr>
          <w:rFonts w:cs="Arial"/>
        </w:rPr>
        <w:t>Por su parte,</w:t>
      </w:r>
      <w:r w:rsidR="00E36896">
        <w:rPr>
          <w:rFonts w:cs="Arial"/>
        </w:rPr>
        <w:t xml:space="preserve"> en el </w:t>
      </w:r>
      <w:r>
        <w:rPr>
          <w:rFonts w:cs="Arial"/>
        </w:rPr>
        <w:t xml:space="preserve">panorama económico que se presenta en los Criterios Generales de Política Económica para el periodo de 2024 a 2028 prevé que </w:t>
      </w:r>
      <w:r w:rsidR="00E36896">
        <w:rPr>
          <w:rFonts w:cs="Arial"/>
        </w:rPr>
        <w:t xml:space="preserve">la mayoría de los países logren </w:t>
      </w:r>
      <w:r>
        <w:rPr>
          <w:rFonts w:cs="Arial"/>
        </w:rPr>
        <w:t>un crecimiento cercano a su PIB potencial</w:t>
      </w:r>
      <w:r w:rsidR="003979AC">
        <w:rPr>
          <w:rFonts w:cs="Arial"/>
        </w:rPr>
        <w:t xml:space="preserve">, para el caso de EE.UU., nuestro principal socio comercial, los analistas de Blue Chip, pronostican que entre 2024 y 2028 el PIB real del país se expandirá a un ritmo promedio anual de 2.0 por ciento, mientras que la inflación lo hará en 2.2 por ciento. </w:t>
      </w:r>
    </w:p>
    <w:p w14:paraId="03849D7C" w14:textId="75215480" w:rsidR="003979AC" w:rsidRDefault="003979AC" w:rsidP="00D806CC">
      <w:pPr>
        <w:rPr>
          <w:rFonts w:cs="Arial"/>
        </w:rPr>
      </w:pPr>
    </w:p>
    <w:p w14:paraId="1AB3B960" w14:textId="26E4A7B3" w:rsidR="003979AC" w:rsidRDefault="003979AC" w:rsidP="00D806CC">
      <w:pPr>
        <w:rPr>
          <w:rFonts w:cs="Arial"/>
        </w:rPr>
      </w:pPr>
      <w:r>
        <w:rPr>
          <w:rFonts w:cs="Arial"/>
        </w:rPr>
        <w:lastRenderedPageBreak/>
        <w:t>En este contexto, México se verá favorecido por factores externos dada la estrecha integración comercial con la economía global y especialmente con EE. UU., previéndose así un desempeño positivo para las exportaciones, así mismo para la inversión extranjera, el turismo y las remesas.</w:t>
      </w:r>
    </w:p>
    <w:p w14:paraId="2D0242BD" w14:textId="42E00AD5" w:rsidR="003979AC" w:rsidRDefault="003979AC" w:rsidP="00D806CC">
      <w:pPr>
        <w:rPr>
          <w:rFonts w:cs="Arial"/>
        </w:rPr>
      </w:pPr>
    </w:p>
    <w:p w14:paraId="280C5BD5" w14:textId="00011FEC" w:rsidR="003979AC" w:rsidRPr="00D806CC" w:rsidRDefault="003979AC" w:rsidP="00D806CC">
      <w:pPr>
        <w:rPr>
          <w:rFonts w:cs="Arial"/>
        </w:rPr>
      </w:pPr>
      <w:r>
        <w:rPr>
          <w:rFonts w:cs="Arial"/>
        </w:rPr>
        <w:t>Se estima que en el periodo de 2024-2028 el PIB de México registrará un crecimiento real anual de entre 1.9 y 2.9 por ciento</w:t>
      </w:r>
      <w:r w:rsidR="00E80CF4">
        <w:rPr>
          <w:rFonts w:cs="Arial"/>
        </w:rPr>
        <w:t xml:space="preserve">. De manera puntual, se proyecta una expansión de 2.4 por ciento para el periodo ya señalado. Se espera que la inflación se ubique en la meta establecida por el Banco de México de 3.0 por ciento, en cuanto al tipo de cambio, se prevé una ligera depreciación en el horizonte del pronóstico </w:t>
      </w:r>
    </w:p>
    <w:p w14:paraId="10A02D86" w14:textId="48DE3ECA" w:rsidR="00D806CC" w:rsidRDefault="00D806CC" w:rsidP="00D806CC">
      <w:pPr>
        <w:rPr>
          <w:rFonts w:cs="Arial"/>
        </w:rPr>
      </w:pPr>
    </w:p>
    <w:p w14:paraId="111B9DE2" w14:textId="037B729D" w:rsidR="00E80CF4" w:rsidRDefault="00E80CF4" w:rsidP="00E80CF4">
      <w:pPr>
        <w:rPr>
          <w:rFonts w:cs="Arial"/>
        </w:rPr>
      </w:pPr>
      <w:r w:rsidRPr="00E80CF4">
        <w:rPr>
          <w:rFonts w:cs="Arial"/>
        </w:rPr>
        <w:t>Al considerar dichas proyecciones, se asume que continuará la disminución gradual de la tasa</w:t>
      </w:r>
      <w:r>
        <w:rPr>
          <w:rFonts w:cs="Arial"/>
        </w:rPr>
        <w:t xml:space="preserve"> </w:t>
      </w:r>
      <w:r w:rsidRPr="00E80CF4">
        <w:rPr>
          <w:rFonts w:cs="Arial"/>
        </w:rPr>
        <w:t>de Cetes a 28 días hasta situarse en 5.5</w:t>
      </w:r>
      <w:r w:rsidR="001E7D80">
        <w:rPr>
          <w:rFonts w:cs="Arial"/>
        </w:rPr>
        <w:t>por ciento</w:t>
      </w:r>
      <w:r w:rsidRPr="00E80CF4">
        <w:rPr>
          <w:rFonts w:cs="Arial"/>
        </w:rPr>
        <w:t xml:space="preserve"> en 2026. Lo anterior es consistente con una postura</w:t>
      </w:r>
      <w:r>
        <w:rPr>
          <w:rFonts w:cs="Arial"/>
        </w:rPr>
        <w:t xml:space="preserve"> </w:t>
      </w:r>
      <w:r w:rsidRPr="00E80CF4">
        <w:rPr>
          <w:rFonts w:cs="Arial"/>
        </w:rPr>
        <w:t>monetaria neutral de equilibrio y resultaría que el diferencial entre la tasa de interés de México</w:t>
      </w:r>
      <w:r>
        <w:rPr>
          <w:rFonts w:cs="Arial"/>
        </w:rPr>
        <w:t xml:space="preserve"> </w:t>
      </w:r>
      <w:r w:rsidRPr="00E80CF4">
        <w:rPr>
          <w:rFonts w:cs="Arial"/>
        </w:rPr>
        <w:t>y EE.UU. se reduzca desde 2025 y logre estabilizarse posteriormente.</w:t>
      </w:r>
    </w:p>
    <w:p w14:paraId="4BC90B33" w14:textId="1BD958DA" w:rsidR="00E80CF4" w:rsidRDefault="00E80CF4" w:rsidP="00E80CF4">
      <w:pPr>
        <w:rPr>
          <w:rFonts w:cs="Arial"/>
        </w:rPr>
      </w:pPr>
    </w:p>
    <w:p w14:paraId="05F9147D" w14:textId="4FDC9558" w:rsidR="00E80CF4" w:rsidRDefault="00E80CF4" w:rsidP="00E80CF4">
      <w:pPr>
        <w:rPr>
          <w:rFonts w:cs="Arial"/>
        </w:rPr>
      </w:pPr>
      <w:r w:rsidRPr="00E80CF4">
        <w:rPr>
          <w:rFonts w:cs="Arial"/>
        </w:rPr>
        <w:t>En el periodo 2024-2028, el déficit de la cuenta corriente de la balanza de pagos se mantendrá</w:t>
      </w:r>
      <w:r>
        <w:rPr>
          <w:rFonts w:cs="Arial"/>
        </w:rPr>
        <w:t xml:space="preserve"> </w:t>
      </w:r>
      <w:r w:rsidRPr="00E80CF4">
        <w:rPr>
          <w:rFonts w:cs="Arial"/>
        </w:rPr>
        <w:t>por debajo del promedio histórico al ubica</w:t>
      </w:r>
      <w:r w:rsidR="00337245">
        <w:rPr>
          <w:rFonts w:cs="Arial"/>
        </w:rPr>
        <w:t>rse en un nivel promedio de 1.0 por ciento</w:t>
      </w:r>
      <w:r w:rsidRPr="00E80CF4">
        <w:rPr>
          <w:rFonts w:cs="Arial"/>
        </w:rPr>
        <w:t xml:space="preserve"> del PIB derivado de</w:t>
      </w:r>
      <w:r>
        <w:rPr>
          <w:rFonts w:cs="Arial"/>
        </w:rPr>
        <w:t xml:space="preserve"> </w:t>
      </w:r>
      <w:r w:rsidRPr="00E80CF4">
        <w:rPr>
          <w:rFonts w:cs="Arial"/>
        </w:rPr>
        <w:t>un desempeño positivo de las remesas, y acorde al crecimiento previsto para EE.UU., así como</w:t>
      </w:r>
      <w:r>
        <w:rPr>
          <w:rFonts w:cs="Arial"/>
        </w:rPr>
        <w:t xml:space="preserve"> </w:t>
      </w:r>
      <w:r w:rsidRPr="00E80CF4">
        <w:rPr>
          <w:rFonts w:cs="Arial"/>
        </w:rPr>
        <w:t>por la evolución esperada de la balanza comercial petrolera y de servicios en donde México</w:t>
      </w:r>
      <w:r>
        <w:rPr>
          <w:rFonts w:cs="Arial"/>
        </w:rPr>
        <w:t xml:space="preserve"> </w:t>
      </w:r>
      <w:r w:rsidRPr="00E80CF4">
        <w:rPr>
          <w:rFonts w:cs="Arial"/>
        </w:rPr>
        <w:t>podría continuar registrando un déficit. En cuanto a los precios de la mezcla mexicana, se prevé</w:t>
      </w:r>
      <w:r>
        <w:rPr>
          <w:rFonts w:cs="Arial"/>
        </w:rPr>
        <w:t xml:space="preserve"> </w:t>
      </w:r>
      <w:r w:rsidRPr="00E80CF4">
        <w:rPr>
          <w:rFonts w:cs="Arial"/>
        </w:rPr>
        <w:t xml:space="preserve">un precio promedio de 56.9 </w:t>
      </w:r>
      <w:r>
        <w:rPr>
          <w:rFonts w:cs="Arial"/>
        </w:rPr>
        <w:t>dólares por barril (</w:t>
      </w:r>
      <w:r w:rsidRPr="00E80CF4">
        <w:rPr>
          <w:rFonts w:cs="Arial"/>
        </w:rPr>
        <w:t>dpb</w:t>
      </w:r>
      <w:r>
        <w:rPr>
          <w:rFonts w:cs="Arial"/>
        </w:rPr>
        <w:t>)</w:t>
      </w:r>
      <w:r w:rsidRPr="00E80CF4">
        <w:rPr>
          <w:rFonts w:cs="Arial"/>
        </w:rPr>
        <w:t xml:space="preserve"> en el periodo 2024-2028, el cual es consistente con la dinámica</w:t>
      </w:r>
      <w:r>
        <w:rPr>
          <w:rFonts w:cs="Arial"/>
        </w:rPr>
        <w:t xml:space="preserve"> </w:t>
      </w:r>
      <w:r w:rsidRPr="00E80CF4">
        <w:rPr>
          <w:rFonts w:cs="Arial"/>
        </w:rPr>
        <w:t>que muestra la curva de futuros al mes de agosto. Para la plataforma de producción de crudo,</w:t>
      </w:r>
      <w:r>
        <w:rPr>
          <w:rFonts w:cs="Arial"/>
        </w:rPr>
        <w:t xml:space="preserve"> </w:t>
      </w:r>
      <w:r w:rsidRPr="00E80CF4">
        <w:rPr>
          <w:rFonts w:cs="Arial"/>
        </w:rPr>
        <w:t>se asume una trayectoria conservadora con respecto a las proyecciones de PEMEX y de las</w:t>
      </w:r>
      <w:r>
        <w:rPr>
          <w:rFonts w:cs="Arial"/>
        </w:rPr>
        <w:t xml:space="preserve"> </w:t>
      </w:r>
      <w:r w:rsidRPr="00E80CF4">
        <w:rPr>
          <w:rFonts w:cs="Arial"/>
        </w:rPr>
        <w:t>empresas privadas.</w:t>
      </w:r>
    </w:p>
    <w:p w14:paraId="67C8205D" w14:textId="7EDA63A4" w:rsidR="00084461" w:rsidRDefault="00084461" w:rsidP="00084461">
      <w:pPr>
        <w:rPr>
          <w:rFonts w:cs="Arial"/>
        </w:rPr>
      </w:pPr>
    </w:p>
    <w:p w14:paraId="73BE2966" w14:textId="71E27807" w:rsidR="00084461" w:rsidRDefault="00084461" w:rsidP="00084461">
      <w:pPr>
        <w:rPr>
          <w:rFonts w:cs="Arial"/>
        </w:rPr>
      </w:pPr>
      <w:r>
        <w:rPr>
          <w:rFonts w:cs="Arial"/>
        </w:rPr>
        <w:t>En cuanto los riesgos fiscales de corto plazo se plantean los siguientes</w:t>
      </w:r>
      <w:r w:rsidR="00C35D41">
        <w:rPr>
          <w:rFonts w:cs="Arial"/>
        </w:rPr>
        <w:t>.</w:t>
      </w:r>
    </w:p>
    <w:p w14:paraId="6D10B34B" w14:textId="32B299D7" w:rsidR="00084461" w:rsidRDefault="00084461" w:rsidP="00084461">
      <w:pPr>
        <w:rPr>
          <w:rFonts w:cs="Arial"/>
        </w:rPr>
      </w:pPr>
    </w:p>
    <w:p w14:paraId="5734BC2B" w14:textId="79C2CAE9" w:rsidR="00084461" w:rsidRDefault="00084461" w:rsidP="00084461">
      <w:pPr>
        <w:rPr>
          <w:rFonts w:cs="Arial"/>
        </w:rPr>
      </w:pPr>
      <w:r>
        <w:rPr>
          <w:rFonts w:cs="Arial"/>
        </w:rPr>
        <w:t>Sensibilidades de Ingresos y Egresos en 2023:</w:t>
      </w:r>
    </w:p>
    <w:p w14:paraId="40EF3D90" w14:textId="02B23711" w:rsidR="00084461" w:rsidRDefault="00084461" w:rsidP="00084461">
      <w:pPr>
        <w:rPr>
          <w:rFonts w:cs="Arial"/>
        </w:rPr>
      </w:pPr>
    </w:p>
    <w:tbl>
      <w:tblPr>
        <w:tblStyle w:val="Tablaconcuadrcula"/>
        <w:tblW w:w="0" w:type="auto"/>
        <w:tblLook w:val="04A0" w:firstRow="1" w:lastRow="0" w:firstColumn="1" w:lastColumn="0" w:noHBand="0" w:noVBand="1"/>
      </w:tblPr>
      <w:tblGrid>
        <w:gridCol w:w="2263"/>
        <w:gridCol w:w="1134"/>
        <w:gridCol w:w="851"/>
        <w:gridCol w:w="4580"/>
      </w:tblGrid>
      <w:tr w:rsidR="00084461" w14:paraId="7544642F" w14:textId="77777777" w:rsidTr="006C1091">
        <w:tc>
          <w:tcPr>
            <w:tcW w:w="2263" w:type="dxa"/>
            <w:shd w:val="clear" w:color="auto" w:fill="DBDBDB" w:themeFill="accent3" w:themeFillTint="66"/>
          </w:tcPr>
          <w:p w14:paraId="12DE6142" w14:textId="77777777" w:rsidR="00084461" w:rsidRPr="006C1091" w:rsidRDefault="00084461" w:rsidP="00084461">
            <w:pPr>
              <w:rPr>
                <w:rFonts w:cs="Arial"/>
                <w:sz w:val="20"/>
              </w:rPr>
            </w:pPr>
          </w:p>
        </w:tc>
        <w:tc>
          <w:tcPr>
            <w:tcW w:w="1134" w:type="dxa"/>
            <w:shd w:val="clear" w:color="auto" w:fill="DBDBDB" w:themeFill="accent3" w:themeFillTint="66"/>
            <w:vAlign w:val="center"/>
          </w:tcPr>
          <w:p w14:paraId="7845DB45" w14:textId="3D58A9B2" w:rsidR="00084461" w:rsidRPr="006C1091" w:rsidRDefault="00060CCE" w:rsidP="00060CCE">
            <w:pPr>
              <w:jc w:val="center"/>
              <w:rPr>
                <w:rFonts w:cs="Arial"/>
                <w:b/>
                <w:sz w:val="20"/>
              </w:rPr>
            </w:pPr>
            <w:r w:rsidRPr="006C1091">
              <w:rPr>
                <w:rFonts w:cs="Arial"/>
                <w:b/>
                <w:sz w:val="20"/>
              </w:rPr>
              <w:t>Millones de Pesos</w:t>
            </w:r>
          </w:p>
        </w:tc>
        <w:tc>
          <w:tcPr>
            <w:tcW w:w="851" w:type="dxa"/>
            <w:shd w:val="clear" w:color="auto" w:fill="DBDBDB" w:themeFill="accent3" w:themeFillTint="66"/>
            <w:vAlign w:val="center"/>
          </w:tcPr>
          <w:p w14:paraId="2AF9CC0C" w14:textId="6EF79A9D" w:rsidR="00084461" w:rsidRPr="006C1091" w:rsidRDefault="00060CCE" w:rsidP="00060CCE">
            <w:pPr>
              <w:jc w:val="center"/>
              <w:rPr>
                <w:rFonts w:cs="Arial"/>
                <w:b/>
                <w:sz w:val="20"/>
              </w:rPr>
            </w:pPr>
            <w:r w:rsidRPr="006C1091">
              <w:rPr>
                <w:rFonts w:cs="Arial"/>
                <w:b/>
                <w:sz w:val="20"/>
              </w:rPr>
              <w:t>% del PIB</w:t>
            </w:r>
          </w:p>
        </w:tc>
        <w:tc>
          <w:tcPr>
            <w:tcW w:w="4580" w:type="dxa"/>
            <w:shd w:val="clear" w:color="auto" w:fill="DBDBDB" w:themeFill="accent3" w:themeFillTint="66"/>
            <w:vAlign w:val="center"/>
          </w:tcPr>
          <w:p w14:paraId="4C15A414" w14:textId="51218C0C" w:rsidR="00084461" w:rsidRPr="006C1091" w:rsidRDefault="00060CCE" w:rsidP="00060CCE">
            <w:pPr>
              <w:jc w:val="center"/>
              <w:rPr>
                <w:rFonts w:cs="Arial"/>
                <w:b/>
                <w:sz w:val="20"/>
              </w:rPr>
            </w:pPr>
            <w:r w:rsidRPr="006C1091">
              <w:rPr>
                <w:rFonts w:cs="Arial"/>
                <w:b/>
                <w:sz w:val="20"/>
              </w:rPr>
              <w:t>Explicación</w:t>
            </w:r>
          </w:p>
        </w:tc>
      </w:tr>
      <w:tr w:rsidR="00084461" w14:paraId="0CF20157" w14:textId="77777777" w:rsidTr="00081BDA">
        <w:tc>
          <w:tcPr>
            <w:tcW w:w="2263" w:type="dxa"/>
            <w:vAlign w:val="center"/>
          </w:tcPr>
          <w:p w14:paraId="5BC465DE" w14:textId="75CBEEFC" w:rsidR="00084461" w:rsidRPr="00060CCE" w:rsidRDefault="00084461" w:rsidP="00081BDA">
            <w:pPr>
              <w:jc w:val="left"/>
              <w:rPr>
                <w:rFonts w:cs="Arial"/>
                <w:sz w:val="20"/>
              </w:rPr>
            </w:pPr>
            <w:r w:rsidRPr="00060CCE">
              <w:rPr>
                <w:rFonts w:cs="Arial"/>
                <w:sz w:val="20"/>
              </w:rPr>
              <w:t>Medio punto real de crecimiento económico (tributarios)</w:t>
            </w:r>
          </w:p>
        </w:tc>
        <w:tc>
          <w:tcPr>
            <w:tcW w:w="1134" w:type="dxa"/>
            <w:vAlign w:val="center"/>
          </w:tcPr>
          <w:p w14:paraId="1884ED29" w14:textId="2086EFB4" w:rsidR="00084461" w:rsidRPr="00060CCE" w:rsidRDefault="00084461" w:rsidP="00081BDA">
            <w:pPr>
              <w:jc w:val="right"/>
              <w:rPr>
                <w:rFonts w:cs="Arial"/>
                <w:sz w:val="20"/>
              </w:rPr>
            </w:pPr>
            <w:r w:rsidRPr="00060CCE">
              <w:rPr>
                <w:rFonts w:cs="Arial"/>
                <w:sz w:val="20"/>
              </w:rPr>
              <w:t>23,089.9</w:t>
            </w:r>
          </w:p>
        </w:tc>
        <w:tc>
          <w:tcPr>
            <w:tcW w:w="851" w:type="dxa"/>
            <w:vAlign w:val="center"/>
          </w:tcPr>
          <w:p w14:paraId="13214FAA" w14:textId="77777777" w:rsidR="00084461" w:rsidRPr="00060CCE" w:rsidRDefault="00084461" w:rsidP="00081BDA">
            <w:pPr>
              <w:jc w:val="right"/>
              <w:rPr>
                <w:rFonts w:cs="Arial"/>
                <w:sz w:val="20"/>
              </w:rPr>
            </w:pPr>
            <w:r w:rsidRPr="00060CCE">
              <w:rPr>
                <w:rFonts w:cs="Arial"/>
                <w:sz w:val="20"/>
              </w:rPr>
              <w:t>0.08</w:t>
            </w:r>
          </w:p>
          <w:p w14:paraId="3E8B0CDF" w14:textId="32E4EB3D" w:rsidR="007B0166" w:rsidRPr="00060CCE" w:rsidRDefault="007B0166" w:rsidP="00081BDA">
            <w:pPr>
              <w:jc w:val="right"/>
              <w:rPr>
                <w:rFonts w:cs="Arial"/>
                <w:sz w:val="20"/>
              </w:rPr>
            </w:pPr>
          </w:p>
        </w:tc>
        <w:tc>
          <w:tcPr>
            <w:tcW w:w="4580" w:type="dxa"/>
          </w:tcPr>
          <w:p w14:paraId="77798BB8" w14:textId="6C396A13" w:rsidR="00084461" w:rsidRPr="00060CCE" w:rsidRDefault="00084461" w:rsidP="00084461">
            <w:pPr>
              <w:rPr>
                <w:rFonts w:cs="Arial"/>
                <w:sz w:val="20"/>
              </w:rPr>
            </w:pPr>
            <w:r w:rsidRPr="00060CCE">
              <w:rPr>
                <w:rFonts w:cs="Arial"/>
                <w:sz w:val="20"/>
              </w:rPr>
              <w:t xml:space="preserve">Un crecimiento económico mayor al estimado incrementa los ingresos públicos debido a una mayor recaudación de los impuestos (IVA, ISR y otros). </w:t>
            </w:r>
          </w:p>
        </w:tc>
      </w:tr>
      <w:tr w:rsidR="00084461" w14:paraId="5DCB31FA" w14:textId="77777777" w:rsidTr="00081BDA">
        <w:tc>
          <w:tcPr>
            <w:tcW w:w="2263" w:type="dxa"/>
            <w:vAlign w:val="center"/>
          </w:tcPr>
          <w:p w14:paraId="3B2A24DF" w14:textId="3F8B2424" w:rsidR="00084461" w:rsidRPr="00060CCE" w:rsidRDefault="00084461" w:rsidP="00081BDA">
            <w:pPr>
              <w:jc w:val="left"/>
              <w:rPr>
                <w:rFonts w:cs="Arial"/>
                <w:sz w:val="20"/>
              </w:rPr>
            </w:pPr>
            <w:r w:rsidRPr="00060CCE">
              <w:rPr>
                <w:rFonts w:cs="Arial"/>
                <w:sz w:val="20"/>
              </w:rPr>
              <w:t xml:space="preserve">Un dólar adicional en el precio del petróleo (ingresos petroleros) </w:t>
            </w:r>
          </w:p>
        </w:tc>
        <w:tc>
          <w:tcPr>
            <w:tcW w:w="1134" w:type="dxa"/>
            <w:vAlign w:val="center"/>
          </w:tcPr>
          <w:p w14:paraId="5AD556AD" w14:textId="7901AE4E" w:rsidR="00084461" w:rsidRPr="00060CCE" w:rsidRDefault="00084461" w:rsidP="00081BDA">
            <w:pPr>
              <w:jc w:val="right"/>
              <w:rPr>
                <w:rFonts w:cs="Arial"/>
                <w:sz w:val="20"/>
              </w:rPr>
            </w:pPr>
            <w:r w:rsidRPr="00060CCE">
              <w:rPr>
                <w:rFonts w:cs="Arial"/>
                <w:sz w:val="20"/>
              </w:rPr>
              <w:t>13,116.0</w:t>
            </w:r>
          </w:p>
        </w:tc>
        <w:tc>
          <w:tcPr>
            <w:tcW w:w="851" w:type="dxa"/>
            <w:vAlign w:val="center"/>
          </w:tcPr>
          <w:p w14:paraId="456B189E" w14:textId="70EEEF42" w:rsidR="00084461" w:rsidRPr="00060CCE" w:rsidRDefault="00084461" w:rsidP="00081BDA">
            <w:pPr>
              <w:jc w:val="right"/>
              <w:rPr>
                <w:rFonts w:cs="Arial"/>
                <w:sz w:val="20"/>
              </w:rPr>
            </w:pPr>
            <w:r w:rsidRPr="00060CCE">
              <w:rPr>
                <w:rFonts w:cs="Arial"/>
                <w:sz w:val="20"/>
              </w:rPr>
              <w:t>0.05</w:t>
            </w:r>
          </w:p>
        </w:tc>
        <w:tc>
          <w:tcPr>
            <w:tcW w:w="4580" w:type="dxa"/>
          </w:tcPr>
          <w:p w14:paraId="389C4336" w14:textId="39D33095" w:rsidR="00084461" w:rsidRPr="00060CCE" w:rsidRDefault="007B0166" w:rsidP="00084461">
            <w:pPr>
              <w:rPr>
                <w:rFonts w:cs="Arial"/>
                <w:sz w:val="20"/>
              </w:rPr>
            </w:pPr>
            <w:r w:rsidRPr="00060CCE">
              <w:rPr>
                <w:rFonts w:cs="Arial"/>
                <w:sz w:val="20"/>
              </w:rPr>
              <w:t>Un aumento en el precio del petróleo incrementa los ingresos por exportaciones de petróleo más que el incremento de los gastos por importación de hidrocarburos para Pemex</w:t>
            </w:r>
          </w:p>
        </w:tc>
      </w:tr>
      <w:tr w:rsidR="00060CCE" w14:paraId="18738D64" w14:textId="77777777" w:rsidTr="00081BDA">
        <w:tc>
          <w:tcPr>
            <w:tcW w:w="2263" w:type="dxa"/>
            <w:vAlign w:val="center"/>
          </w:tcPr>
          <w:p w14:paraId="574928F9" w14:textId="47906E97" w:rsidR="00060CCE" w:rsidRPr="00060CCE" w:rsidRDefault="00060CCE" w:rsidP="00081BDA">
            <w:pPr>
              <w:jc w:val="left"/>
              <w:rPr>
                <w:rFonts w:cs="Arial"/>
                <w:sz w:val="20"/>
              </w:rPr>
            </w:pPr>
            <w:r w:rsidRPr="00060CCE">
              <w:rPr>
                <w:rFonts w:cs="Arial"/>
                <w:sz w:val="20"/>
              </w:rPr>
              <w:lastRenderedPageBreak/>
              <w:t>Apreciación de 10 centavos en el tipo de cambio promedio</w:t>
            </w:r>
          </w:p>
        </w:tc>
        <w:tc>
          <w:tcPr>
            <w:tcW w:w="1134" w:type="dxa"/>
            <w:vAlign w:val="center"/>
          </w:tcPr>
          <w:p w14:paraId="2CB5BA8A" w14:textId="34D08B2E" w:rsidR="00060CCE" w:rsidRPr="00060CCE" w:rsidRDefault="00060CCE" w:rsidP="00081BDA">
            <w:pPr>
              <w:jc w:val="right"/>
              <w:rPr>
                <w:rFonts w:cs="Arial"/>
                <w:sz w:val="20"/>
              </w:rPr>
            </w:pPr>
            <w:r w:rsidRPr="00060CCE">
              <w:rPr>
                <w:rFonts w:cs="Arial"/>
                <w:sz w:val="20"/>
              </w:rPr>
              <w:t>-4,354.9</w:t>
            </w:r>
          </w:p>
        </w:tc>
        <w:tc>
          <w:tcPr>
            <w:tcW w:w="851" w:type="dxa"/>
            <w:vAlign w:val="center"/>
          </w:tcPr>
          <w:p w14:paraId="52C2110E" w14:textId="6644F08B" w:rsidR="00060CCE" w:rsidRPr="00060CCE" w:rsidRDefault="00060CCE" w:rsidP="00081BDA">
            <w:pPr>
              <w:jc w:val="right"/>
              <w:rPr>
                <w:rFonts w:cs="Arial"/>
                <w:sz w:val="20"/>
              </w:rPr>
            </w:pPr>
            <w:r w:rsidRPr="00060CCE">
              <w:rPr>
                <w:rFonts w:cs="Arial"/>
                <w:sz w:val="20"/>
              </w:rPr>
              <w:t>-0.02</w:t>
            </w:r>
          </w:p>
        </w:tc>
        <w:tc>
          <w:tcPr>
            <w:tcW w:w="4580" w:type="dxa"/>
            <w:vMerge w:val="restart"/>
          </w:tcPr>
          <w:p w14:paraId="7A152684" w14:textId="3EF49A46" w:rsidR="00060CCE" w:rsidRPr="00060CCE" w:rsidRDefault="00060CCE" w:rsidP="00084461">
            <w:pPr>
              <w:rPr>
                <w:rFonts w:cs="Arial"/>
                <w:sz w:val="20"/>
              </w:rPr>
            </w:pPr>
            <w:r w:rsidRPr="00060CCE">
              <w:rPr>
                <w:rFonts w:cs="Arial"/>
                <w:sz w:val="20"/>
              </w:rPr>
              <w:t>Una apreciación del peso frente al dólar reduce los ingresos petroleros debido a que una proporción elevada de los mismos está asociada a las exportaciones de crudo. Asimismo, reduce el costo por el servicio de la deuda denominada en moneda extranjera.</w:t>
            </w:r>
          </w:p>
        </w:tc>
      </w:tr>
      <w:tr w:rsidR="00060CCE" w14:paraId="105872B9" w14:textId="77777777" w:rsidTr="00081BDA">
        <w:tc>
          <w:tcPr>
            <w:tcW w:w="2263" w:type="dxa"/>
            <w:vAlign w:val="center"/>
          </w:tcPr>
          <w:p w14:paraId="2403FD7C" w14:textId="3A64CC05" w:rsidR="00060CCE" w:rsidRPr="00060CCE" w:rsidRDefault="00060CCE" w:rsidP="00081BDA">
            <w:pPr>
              <w:jc w:val="left"/>
              <w:rPr>
                <w:rFonts w:cs="Arial"/>
                <w:sz w:val="20"/>
              </w:rPr>
            </w:pPr>
            <w:r w:rsidRPr="00060CCE">
              <w:rPr>
                <w:rFonts w:cs="Arial"/>
                <w:sz w:val="20"/>
              </w:rPr>
              <w:t>Ingresos petroleros (-)</w:t>
            </w:r>
          </w:p>
        </w:tc>
        <w:tc>
          <w:tcPr>
            <w:tcW w:w="1134" w:type="dxa"/>
            <w:vAlign w:val="center"/>
          </w:tcPr>
          <w:p w14:paraId="482054D0" w14:textId="1B55270E" w:rsidR="00060CCE" w:rsidRPr="00060CCE" w:rsidRDefault="00060CCE" w:rsidP="00081BDA">
            <w:pPr>
              <w:jc w:val="right"/>
              <w:rPr>
                <w:rFonts w:cs="Arial"/>
                <w:sz w:val="20"/>
              </w:rPr>
            </w:pPr>
            <w:r w:rsidRPr="00060CCE">
              <w:rPr>
                <w:rFonts w:cs="Arial"/>
                <w:sz w:val="20"/>
              </w:rPr>
              <w:t>-5,092.9</w:t>
            </w:r>
          </w:p>
        </w:tc>
        <w:tc>
          <w:tcPr>
            <w:tcW w:w="851" w:type="dxa"/>
            <w:vAlign w:val="center"/>
          </w:tcPr>
          <w:p w14:paraId="1B629671" w14:textId="6C62D158" w:rsidR="00060CCE" w:rsidRPr="00060CCE" w:rsidRDefault="00060CCE" w:rsidP="00081BDA">
            <w:pPr>
              <w:jc w:val="right"/>
              <w:rPr>
                <w:rFonts w:cs="Arial"/>
                <w:sz w:val="20"/>
              </w:rPr>
            </w:pPr>
            <w:r w:rsidRPr="00060CCE">
              <w:rPr>
                <w:rFonts w:cs="Arial"/>
                <w:sz w:val="20"/>
              </w:rPr>
              <w:t>-0.02</w:t>
            </w:r>
          </w:p>
        </w:tc>
        <w:tc>
          <w:tcPr>
            <w:tcW w:w="4580" w:type="dxa"/>
            <w:vMerge/>
          </w:tcPr>
          <w:p w14:paraId="30322F97" w14:textId="77777777" w:rsidR="00060CCE" w:rsidRPr="00060CCE" w:rsidRDefault="00060CCE" w:rsidP="00084461">
            <w:pPr>
              <w:rPr>
                <w:rFonts w:cs="Arial"/>
                <w:sz w:val="20"/>
              </w:rPr>
            </w:pPr>
          </w:p>
        </w:tc>
      </w:tr>
      <w:tr w:rsidR="00060CCE" w14:paraId="3893C47A" w14:textId="77777777" w:rsidTr="00081BDA">
        <w:tc>
          <w:tcPr>
            <w:tcW w:w="2263" w:type="dxa"/>
            <w:vAlign w:val="center"/>
          </w:tcPr>
          <w:p w14:paraId="2C35E5E5" w14:textId="3CB73DD1" w:rsidR="00060CCE" w:rsidRPr="00060CCE" w:rsidRDefault="00060CCE" w:rsidP="00081BDA">
            <w:pPr>
              <w:jc w:val="left"/>
              <w:rPr>
                <w:rFonts w:cs="Arial"/>
                <w:sz w:val="20"/>
              </w:rPr>
            </w:pPr>
            <w:r w:rsidRPr="00060CCE">
              <w:rPr>
                <w:rFonts w:cs="Arial"/>
                <w:sz w:val="20"/>
              </w:rPr>
              <w:t>Costo Financiero (+)*/</w:t>
            </w:r>
          </w:p>
        </w:tc>
        <w:tc>
          <w:tcPr>
            <w:tcW w:w="1134" w:type="dxa"/>
            <w:vAlign w:val="center"/>
          </w:tcPr>
          <w:p w14:paraId="2AC14EFF" w14:textId="60E521B7" w:rsidR="00060CCE" w:rsidRPr="00060CCE" w:rsidRDefault="00060CCE" w:rsidP="00081BDA">
            <w:pPr>
              <w:jc w:val="right"/>
              <w:rPr>
                <w:rFonts w:cs="Arial"/>
                <w:sz w:val="20"/>
              </w:rPr>
            </w:pPr>
            <w:r w:rsidRPr="00060CCE">
              <w:rPr>
                <w:rFonts w:cs="Arial"/>
                <w:sz w:val="20"/>
              </w:rPr>
              <w:t>738.0</w:t>
            </w:r>
          </w:p>
        </w:tc>
        <w:tc>
          <w:tcPr>
            <w:tcW w:w="851" w:type="dxa"/>
            <w:vAlign w:val="center"/>
          </w:tcPr>
          <w:p w14:paraId="55004714" w14:textId="041F22AD" w:rsidR="00060CCE" w:rsidRPr="00060CCE" w:rsidRDefault="00060CCE" w:rsidP="00081BDA">
            <w:pPr>
              <w:jc w:val="right"/>
              <w:rPr>
                <w:rFonts w:cs="Arial"/>
                <w:sz w:val="20"/>
              </w:rPr>
            </w:pPr>
            <w:r w:rsidRPr="00060CCE">
              <w:rPr>
                <w:rFonts w:cs="Arial"/>
                <w:sz w:val="20"/>
              </w:rPr>
              <w:t>0.00</w:t>
            </w:r>
          </w:p>
        </w:tc>
        <w:tc>
          <w:tcPr>
            <w:tcW w:w="4580" w:type="dxa"/>
            <w:vMerge/>
          </w:tcPr>
          <w:p w14:paraId="06B3BE2F" w14:textId="77777777" w:rsidR="00060CCE" w:rsidRPr="00060CCE" w:rsidRDefault="00060CCE" w:rsidP="00084461">
            <w:pPr>
              <w:rPr>
                <w:rFonts w:cs="Arial"/>
                <w:sz w:val="20"/>
              </w:rPr>
            </w:pPr>
          </w:p>
        </w:tc>
      </w:tr>
      <w:tr w:rsidR="00084461" w14:paraId="5EF034C8" w14:textId="77777777" w:rsidTr="00081BDA">
        <w:tc>
          <w:tcPr>
            <w:tcW w:w="2263" w:type="dxa"/>
            <w:tcBorders>
              <w:bottom w:val="single" w:sz="4" w:space="0" w:color="auto"/>
            </w:tcBorders>
          </w:tcPr>
          <w:p w14:paraId="17E54707" w14:textId="22309C05" w:rsidR="00084461" w:rsidRPr="00060CCE" w:rsidRDefault="00060CCE" w:rsidP="00060CCE">
            <w:pPr>
              <w:rPr>
                <w:rFonts w:cs="Arial"/>
                <w:sz w:val="20"/>
              </w:rPr>
            </w:pPr>
            <w:r w:rsidRPr="00060CCE">
              <w:rPr>
                <w:rFonts w:cs="Arial"/>
                <w:sz w:val="20"/>
              </w:rPr>
              <w:t xml:space="preserve">Por 50 mbd de extracción de crudo (ingresos petroleros) </w:t>
            </w:r>
          </w:p>
        </w:tc>
        <w:tc>
          <w:tcPr>
            <w:tcW w:w="1134" w:type="dxa"/>
            <w:tcBorders>
              <w:bottom w:val="single" w:sz="4" w:space="0" w:color="auto"/>
            </w:tcBorders>
            <w:vAlign w:val="center"/>
          </w:tcPr>
          <w:p w14:paraId="51E28EB0" w14:textId="4D7AE9EA" w:rsidR="00084461" w:rsidRPr="00060CCE" w:rsidRDefault="00060CCE" w:rsidP="00081BDA">
            <w:pPr>
              <w:jc w:val="right"/>
              <w:rPr>
                <w:rFonts w:cs="Arial"/>
                <w:sz w:val="20"/>
              </w:rPr>
            </w:pPr>
            <w:r w:rsidRPr="00060CCE">
              <w:rPr>
                <w:rFonts w:cs="Arial"/>
                <w:sz w:val="20"/>
              </w:rPr>
              <w:t>24,583.1</w:t>
            </w:r>
          </w:p>
        </w:tc>
        <w:tc>
          <w:tcPr>
            <w:tcW w:w="851" w:type="dxa"/>
            <w:tcBorders>
              <w:bottom w:val="single" w:sz="4" w:space="0" w:color="auto"/>
            </w:tcBorders>
            <w:vAlign w:val="center"/>
          </w:tcPr>
          <w:p w14:paraId="7B88EA26" w14:textId="35DEFE85" w:rsidR="00060CCE" w:rsidRPr="00060CCE" w:rsidRDefault="00060CCE" w:rsidP="00081BDA">
            <w:pPr>
              <w:jc w:val="right"/>
              <w:rPr>
                <w:rFonts w:cs="Arial"/>
                <w:sz w:val="20"/>
              </w:rPr>
            </w:pPr>
            <w:r w:rsidRPr="00060CCE">
              <w:rPr>
                <w:rFonts w:cs="Arial"/>
                <w:sz w:val="20"/>
              </w:rPr>
              <w:t>0.09</w:t>
            </w:r>
          </w:p>
        </w:tc>
        <w:tc>
          <w:tcPr>
            <w:tcW w:w="4580" w:type="dxa"/>
            <w:tcBorders>
              <w:bottom w:val="single" w:sz="4" w:space="0" w:color="auto"/>
            </w:tcBorders>
          </w:tcPr>
          <w:p w14:paraId="4E8BA971" w14:textId="7EE7559D" w:rsidR="00084461" w:rsidRPr="00060CCE" w:rsidRDefault="00060CCE" w:rsidP="00084461">
            <w:pPr>
              <w:rPr>
                <w:rFonts w:cs="Arial"/>
                <w:sz w:val="20"/>
              </w:rPr>
            </w:pPr>
            <w:r w:rsidRPr="00060CCE">
              <w:rPr>
                <w:rFonts w:cs="Arial"/>
                <w:sz w:val="20"/>
              </w:rPr>
              <w:t>Una mayor plataforma de producción de petróleo incrementa los ingresos petroleros debido a la mayor venta de petróleo.</w:t>
            </w:r>
          </w:p>
        </w:tc>
      </w:tr>
      <w:tr w:rsidR="00060CCE" w14:paraId="3236D8F0" w14:textId="77777777" w:rsidTr="00081BDA">
        <w:tc>
          <w:tcPr>
            <w:tcW w:w="2263" w:type="dxa"/>
            <w:tcBorders>
              <w:bottom w:val="single" w:sz="4" w:space="0" w:color="auto"/>
            </w:tcBorders>
            <w:vAlign w:val="center"/>
          </w:tcPr>
          <w:p w14:paraId="7024C037" w14:textId="27555DC0" w:rsidR="00060CCE" w:rsidRPr="00060CCE" w:rsidRDefault="00060CCE" w:rsidP="00081BDA">
            <w:pPr>
              <w:jc w:val="left"/>
              <w:rPr>
                <w:rFonts w:cs="Arial"/>
                <w:sz w:val="20"/>
              </w:rPr>
            </w:pPr>
            <w:r w:rsidRPr="00060CCE">
              <w:rPr>
                <w:rFonts w:cs="Arial"/>
                <w:sz w:val="20"/>
              </w:rPr>
              <w:t>Por 100 puntos base en la tasa de interés (Costo financiero)**/</w:t>
            </w:r>
          </w:p>
        </w:tc>
        <w:tc>
          <w:tcPr>
            <w:tcW w:w="1134" w:type="dxa"/>
            <w:tcBorders>
              <w:bottom w:val="single" w:sz="4" w:space="0" w:color="auto"/>
            </w:tcBorders>
            <w:vAlign w:val="center"/>
          </w:tcPr>
          <w:p w14:paraId="4CEEDEA3" w14:textId="76261FE3" w:rsidR="00060CCE" w:rsidRPr="00060CCE" w:rsidRDefault="00060CCE" w:rsidP="00081BDA">
            <w:pPr>
              <w:jc w:val="right"/>
              <w:rPr>
                <w:rFonts w:cs="Arial"/>
                <w:sz w:val="20"/>
              </w:rPr>
            </w:pPr>
            <w:r w:rsidRPr="00060CCE">
              <w:rPr>
                <w:rFonts w:cs="Arial"/>
                <w:sz w:val="20"/>
              </w:rPr>
              <w:t>30,218.0</w:t>
            </w:r>
          </w:p>
        </w:tc>
        <w:tc>
          <w:tcPr>
            <w:tcW w:w="851" w:type="dxa"/>
            <w:tcBorders>
              <w:bottom w:val="single" w:sz="4" w:space="0" w:color="auto"/>
            </w:tcBorders>
            <w:vAlign w:val="center"/>
          </w:tcPr>
          <w:p w14:paraId="02DFF959" w14:textId="2B4528AC" w:rsidR="00060CCE" w:rsidRPr="00060CCE" w:rsidRDefault="00060CCE" w:rsidP="00081BDA">
            <w:pPr>
              <w:jc w:val="right"/>
              <w:rPr>
                <w:rFonts w:cs="Arial"/>
                <w:sz w:val="20"/>
              </w:rPr>
            </w:pPr>
            <w:r w:rsidRPr="00060CCE">
              <w:rPr>
                <w:rFonts w:cs="Arial"/>
                <w:sz w:val="20"/>
              </w:rPr>
              <w:t>0.00</w:t>
            </w:r>
          </w:p>
        </w:tc>
        <w:tc>
          <w:tcPr>
            <w:tcW w:w="4580" w:type="dxa"/>
            <w:tcBorders>
              <w:bottom w:val="single" w:sz="4" w:space="0" w:color="auto"/>
            </w:tcBorders>
          </w:tcPr>
          <w:p w14:paraId="656D6E8C" w14:textId="4D5C5647" w:rsidR="00060CCE" w:rsidRPr="00060CCE" w:rsidRDefault="00060CCE" w:rsidP="00084461">
            <w:pPr>
              <w:rPr>
                <w:rFonts w:cs="Arial"/>
                <w:sz w:val="20"/>
              </w:rPr>
            </w:pPr>
            <w:r w:rsidRPr="00060CCE">
              <w:rPr>
                <w:rFonts w:cs="Arial"/>
                <w:sz w:val="20"/>
              </w:rPr>
              <w:t xml:space="preserve">Un aumento en la tasa de interés incrementa el gasto no programable del Sector Público al aumentar el pago de intereses de la deuda a tasa variable y los costos de refinanciamiento de la deuda que está por vencer. </w:t>
            </w:r>
          </w:p>
        </w:tc>
      </w:tr>
      <w:tr w:rsidR="00060CCE" w14:paraId="20262F67" w14:textId="77777777" w:rsidTr="00081BDA">
        <w:tc>
          <w:tcPr>
            <w:tcW w:w="8828" w:type="dxa"/>
            <w:gridSpan w:val="4"/>
            <w:tcBorders>
              <w:top w:val="single" w:sz="4" w:space="0" w:color="auto"/>
              <w:left w:val="nil"/>
              <w:bottom w:val="nil"/>
              <w:right w:val="nil"/>
            </w:tcBorders>
          </w:tcPr>
          <w:p w14:paraId="10506EC4" w14:textId="77777777" w:rsidR="00060CCE" w:rsidRPr="007378B7" w:rsidRDefault="00060CCE" w:rsidP="00084461">
            <w:pPr>
              <w:rPr>
                <w:rFonts w:cs="Arial"/>
                <w:sz w:val="16"/>
              </w:rPr>
            </w:pPr>
            <w:r w:rsidRPr="007378B7">
              <w:rPr>
                <w:rFonts w:cs="Arial"/>
                <w:sz w:val="16"/>
              </w:rPr>
              <w:t>*/ Se refiere al aumento del costo externo en pesos de la deuda externa del Gobierno Federal.</w:t>
            </w:r>
          </w:p>
          <w:p w14:paraId="06F9E267" w14:textId="77777777" w:rsidR="00060CCE" w:rsidRPr="007378B7" w:rsidRDefault="00060CCE" w:rsidP="00084461">
            <w:pPr>
              <w:rPr>
                <w:rFonts w:cs="Arial"/>
                <w:sz w:val="16"/>
              </w:rPr>
            </w:pPr>
            <w:r w:rsidRPr="007378B7">
              <w:rPr>
                <w:rFonts w:cs="Arial"/>
                <w:sz w:val="16"/>
              </w:rPr>
              <w:t>**/ Incluye al IPAB</w:t>
            </w:r>
          </w:p>
          <w:p w14:paraId="7AFEE864" w14:textId="5F34F01B" w:rsidR="00060CCE" w:rsidRPr="00060CCE" w:rsidRDefault="00060CCE" w:rsidP="00084461">
            <w:pPr>
              <w:rPr>
                <w:rFonts w:cs="Arial"/>
                <w:sz w:val="20"/>
              </w:rPr>
            </w:pPr>
            <w:r w:rsidRPr="007378B7">
              <w:rPr>
                <w:rFonts w:cs="Arial"/>
                <w:sz w:val="16"/>
              </w:rPr>
              <w:t>Fuente: SHCP.</w:t>
            </w:r>
          </w:p>
        </w:tc>
      </w:tr>
    </w:tbl>
    <w:p w14:paraId="09F73F87" w14:textId="77777777" w:rsidR="00084461" w:rsidRDefault="00084461" w:rsidP="00084461">
      <w:pPr>
        <w:rPr>
          <w:rFonts w:cs="Arial"/>
        </w:rPr>
      </w:pPr>
    </w:p>
    <w:p w14:paraId="65B8AA55" w14:textId="4F59D809" w:rsidR="00D806CC" w:rsidRDefault="0075231A" w:rsidP="00365E52">
      <w:pPr>
        <w:rPr>
          <w:rFonts w:cs="Arial"/>
        </w:rPr>
      </w:pPr>
      <w:r>
        <w:rPr>
          <w:rFonts w:cs="Arial"/>
        </w:rPr>
        <w:t>Visto lo anterior, es necesario revisar el panorama económico en el que se encuentra nuestro E</w:t>
      </w:r>
      <w:r w:rsidR="00E36896">
        <w:rPr>
          <w:rFonts w:cs="Arial"/>
        </w:rPr>
        <w:t xml:space="preserve">stado, en el entendido de que </w:t>
      </w:r>
      <w:r>
        <w:rPr>
          <w:rFonts w:cs="Arial"/>
        </w:rPr>
        <w:t xml:space="preserve">nuestra economía local no es ajena a los acontecimientos macroeconómicos que se </w:t>
      </w:r>
      <w:r w:rsidR="00D6147B">
        <w:rPr>
          <w:rFonts w:cs="Arial"/>
        </w:rPr>
        <w:t>suscitan</w:t>
      </w:r>
      <w:r>
        <w:rPr>
          <w:rFonts w:cs="Arial"/>
        </w:rPr>
        <w:t xml:space="preserve"> a nivel mundial, regional y local, pues al tener una economía diversificada somos parte de las cadenas globales de valor, estas relaciones económicas inciden directamente en nuestra vida diaria, por lo que se presenta el panorama de la economía local con la información oficial más reciente de la</w:t>
      </w:r>
      <w:r w:rsidR="00365E52">
        <w:rPr>
          <w:rFonts w:cs="Arial"/>
        </w:rPr>
        <w:t xml:space="preserve"> que se dispone.</w:t>
      </w:r>
    </w:p>
    <w:p w14:paraId="66AB239A" w14:textId="77777777" w:rsidR="00E36896" w:rsidRDefault="00E36896" w:rsidP="00365E52">
      <w:pPr>
        <w:rPr>
          <w:rFonts w:cs="Arial"/>
        </w:rPr>
      </w:pPr>
    </w:p>
    <w:p w14:paraId="39E46D38" w14:textId="49EEB593" w:rsidR="000A3972" w:rsidRPr="00A55906" w:rsidRDefault="0045406C" w:rsidP="0045406C">
      <w:pPr>
        <w:pStyle w:val="Ttulo2"/>
      </w:pPr>
      <w:r w:rsidRPr="00F35724">
        <w:t>1.IV</w:t>
      </w:r>
      <w:r w:rsidR="00E45ECD" w:rsidRPr="00F35724">
        <w:t xml:space="preserve"> Economía </w:t>
      </w:r>
      <w:r w:rsidR="00084C1A" w:rsidRPr="00F35724">
        <w:t>Local</w:t>
      </w:r>
    </w:p>
    <w:p w14:paraId="0A8803A2" w14:textId="2AA95161" w:rsidR="000C072F" w:rsidRPr="000C072F" w:rsidRDefault="000C072F" w:rsidP="000C072F">
      <w:pPr>
        <w:rPr>
          <w:rFonts w:cs="Arial"/>
        </w:rPr>
      </w:pPr>
    </w:p>
    <w:p w14:paraId="59581828" w14:textId="5680A16E" w:rsidR="000C072F" w:rsidRDefault="000C072F" w:rsidP="000C072F">
      <w:pPr>
        <w:rPr>
          <w:rFonts w:cs="Arial"/>
        </w:rPr>
      </w:pPr>
      <w:r w:rsidRPr="000C072F">
        <w:rPr>
          <w:rFonts w:cs="Arial"/>
        </w:rPr>
        <w:t>La población total del Estado de Colima es de 731,391 personas de las cua</w:t>
      </w:r>
      <w:r w:rsidR="00052495">
        <w:rPr>
          <w:rFonts w:cs="Arial"/>
        </w:rPr>
        <w:t>les el 50.7 por ciento son mujeres y el 49.3 por ciento</w:t>
      </w:r>
      <w:r w:rsidRPr="000C072F">
        <w:rPr>
          <w:rFonts w:cs="Arial"/>
        </w:rPr>
        <w:t xml:space="preserve"> hombres, se</w:t>
      </w:r>
      <w:r w:rsidR="00052495">
        <w:rPr>
          <w:rFonts w:cs="Arial"/>
        </w:rPr>
        <w:t>gún la Encuesta Intercensal 2020</w:t>
      </w:r>
      <w:r w:rsidRPr="000C072F">
        <w:rPr>
          <w:rFonts w:cs="Arial"/>
        </w:rPr>
        <w:t xml:space="preserve"> del Instituto Nacional de Estadística y Geografía</w:t>
      </w:r>
      <w:r w:rsidR="00365E52">
        <w:rPr>
          <w:rFonts w:cs="Arial"/>
        </w:rPr>
        <w:t xml:space="preserve"> (INEGI), lo que representa 0.6 por ciento</w:t>
      </w:r>
      <w:r w:rsidRPr="000C072F">
        <w:rPr>
          <w:rFonts w:cs="Arial"/>
        </w:rPr>
        <w:t xml:space="preserve"> </w:t>
      </w:r>
      <w:r w:rsidR="00052495">
        <w:rPr>
          <w:rFonts w:cs="Arial"/>
        </w:rPr>
        <w:t>de la población de México.</w:t>
      </w:r>
      <w:r w:rsidR="00602143">
        <w:rPr>
          <w:rFonts w:cs="Arial"/>
        </w:rPr>
        <w:t xml:space="preserve"> </w:t>
      </w:r>
    </w:p>
    <w:p w14:paraId="008ECD2C" w14:textId="77777777" w:rsidR="000C072F" w:rsidRPr="000C072F" w:rsidRDefault="000C072F" w:rsidP="000C072F">
      <w:pPr>
        <w:rPr>
          <w:rFonts w:cs="Arial"/>
        </w:rPr>
      </w:pPr>
    </w:p>
    <w:p w14:paraId="01F4A68C" w14:textId="4F7F57B8" w:rsidR="00E62D49" w:rsidRDefault="000C072F" w:rsidP="00881265">
      <w:pPr>
        <w:rPr>
          <w:rFonts w:cs="Arial"/>
        </w:rPr>
      </w:pPr>
      <w:r w:rsidRPr="000C072F">
        <w:rPr>
          <w:rFonts w:cs="Arial"/>
        </w:rPr>
        <w:t>El Producto Interno Bruto (PIB) de Colima en 2020</w:t>
      </w:r>
      <w:r w:rsidR="00602143">
        <w:rPr>
          <w:rFonts w:cs="Arial"/>
        </w:rPr>
        <w:t xml:space="preserve"> representó el 0.6 por ciento</w:t>
      </w:r>
      <w:r w:rsidRPr="000C072F">
        <w:rPr>
          <w:rFonts w:cs="Arial"/>
        </w:rPr>
        <w:t xml:space="preserve"> y ocupó el lugar 31, con respecto al total nacional y en comparación con el año anterior tuvo una variació</w:t>
      </w:r>
      <w:r w:rsidR="00602143">
        <w:rPr>
          <w:rFonts w:cs="Arial"/>
        </w:rPr>
        <w:t>n en valore</w:t>
      </w:r>
      <w:r w:rsidR="000F70E0">
        <w:rPr>
          <w:rFonts w:cs="Arial"/>
        </w:rPr>
        <w:t xml:space="preserve">s constantes de -7.2 por ciento, ello reflejado principalmente por </w:t>
      </w:r>
      <w:r w:rsidR="00B02DC7">
        <w:rPr>
          <w:rFonts w:cs="Arial"/>
        </w:rPr>
        <w:t xml:space="preserve">una caída en términos reales del -14.6 por ciento en las actividades secundarias y -5.1 por ciento en las actividades terciarias. </w:t>
      </w:r>
    </w:p>
    <w:p w14:paraId="6355006A" w14:textId="77777777" w:rsidR="00E36896" w:rsidRDefault="00E36896" w:rsidP="00881265">
      <w:pPr>
        <w:rPr>
          <w:rFonts w:cs="Arial"/>
        </w:rPr>
      </w:pPr>
    </w:p>
    <w:p w14:paraId="266BAF65" w14:textId="55321ED1" w:rsidR="007E0100" w:rsidRDefault="000F70E0" w:rsidP="00881265">
      <w:pPr>
        <w:rPr>
          <w:rFonts w:cs="Arial"/>
        </w:rPr>
      </w:pPr>
      <w:r>
        <w:rPr>
          <w:rFonts w:cs="Arial"/>
        </w:rPr>
        <w:t>Con información del INEGI</w:t>
      </w:r>
      <w:r w:rsidR="00D3517B">
        <w:rPr>
          <w:rFonts w:cs="Arial"/>
        </w:rPr>
        <w:t xml:space="preserve">, </w:t>
      </w:r>
      <w:r w:rsidR="006C4BAE">
        <w:rPr>
          <w:rFonts w:cs="Arial"/>
        </w:rPr>
        <w:t>el Estado de Colima, present</w:t>
      </w:r>
      <w:r w:rsidR="00F35724">
        <w:rPr>
          <w:rFonts w:cs="Arial"/>
        </w:rPr>
        <w:t>ó una variación porcentual del 2.1 por ciento en el segundo</w:t>
      </w:r>
      <w:r w:rsidR="006C4BAE">
        <w:rPr>
          <w:rFonts w:cs="Arial"/>
        </w:rPr>
        <w:t xml:space="preserve"> trimestre del 2022, con relación al trimestre anterior. Variación </w:t>
      </w:r>
      <w:r w:rsidR="00F35724">
        <w:rPr>
          <w:rFonts w:cs="Arial"/>
        </w:rPr>
        <w:t xml:space="preserve">que comienza a mostrar signos de recuperación de la economía y el más alto en comparación </w:t>
      </w:r>
      <w:r w:rsidR="00F35724">
        <w:rPr>
          <w:rFonts w:cs="Arial"/>
        </w:rPr>
        <w:lastRenderedPageBreak/>
        <w:t>a los últimos</w:t>
      </w:r>
      <w:r w:rsidR="00141CC2">
        <w:rPr>
          <w:rFonts w:cs="Arial"/>
        </w:rPr>
        <w:t xml:space="preserve"> dos</w:t>
      </w:r>
      <w:r w:rsidR="00F35724">
        <w:rPr>
          <w:rFonts w:cs="Arial"/>
        </w:rPr>
        <w:t xml:space="preserve"> trimestres</w:t>
      </w:r>
      <w:r w:rsidR="00141CC2">
        <w:rPr>
          <w:rFonts w:cs="Arial"/>
        </w:rPr>
        <w:t xml:space="preserve"> de 2021</w:t>
      </w:r>
      <w:r w:rsidR="006C4BAE">
        <w:rPr>
          <w:rFonts w:cs="Arial"/>
        </w:rPr>
        <w:t>.</w:t>
      </w:r>
      <w:r w:rsidR="00B02DC7">
        <w:rPr>
          <w:rFonts w:cs="Arial"/>
        </w:rPr>
        <w:t xml:space="preserve"> En relación con el mismo trimestre del año anterior</w:t>
      </w:r>
      <w:r w:rsidR="00881265">
        <w:rPr>
          <w:rFonts w:cs="Arial"/>
        </w:rPr>
        <w:t xml:space="preserve">, el </w:t>
      </w:r>
      <w:r w:rsidR="00881265" w:rsidRPr="00D3517B">
        <w:rPr>
          <w:rFonts w:cs="Arial"/>
        </w:rPr>
        <w:t>Indicador Trimestral de la Actividad Económica Estatal</w:t>
      </w:r>
      <w:r w:rsidR="00B02DC7">
        <w:rPr>
          <w:rFonts w:cs="Arial"/>
        </w:rPr>
        <w:t>, presentó</w:t>
      </w:r>
      <w:r w:rsidR="00F35724">
        <w:rPr>
          <w:rFonts w:cs="Arial"/>
        </w:rPr>
        <w:t xml:space="preserve"> un avance del 1.0</w:t>
      </w:r>
      <w:r w:rsidR="00881265">
        <w:rPr>
          <w:rFonts w:cs="Arial"/>
        </w:rPr>
        <w:t xml:space="preserve"> por ciento. Tales cifras reflejan una mejora en la economía local</w:t>
      </w:r>
      <w:r w:rsidR="002B4873">
        <w:rPr>
          <w:rFonts w:cs="Arial"/>
        </w:rPr>
        <w:t xml:space="preserve"> pues a pesar de que se tuvo un crecimiento negativo en 2020</w:t>
      </w:r>
      <w:r w:rsidR="00F35724">
        <w:rPr>
          <w:rFonts w:cs="Arial"/>
        </w:rPr>
        <w:t xml:space="preserve"> y parte de 2021 según lo estimado</w:t>
      </w:r>
      <w:r w:rsidR="002B4873">
        <w:rPr>
          <w:rFonts w:cs="Arial"/>
        </w:rPr>
        <w:t xml:space="preserve">, las cifras demuestran una mejora en la actividad económica del estado, misma que se vio fuertemente </w:t>
      </w:r>
      <w:r w:rsidR="00881265">
        <w:rPr>
          <w:rFonts w:cs="Arial"/>
        </w:rPr>
        <w:t xml:space="preserve">afectada por la pandemia </w:t>
      </w:r>
      <w:r w:rsidR="002B4873">
        <w:rPr>
          <w:rFonts w:cs="Arial"/>
        </w:rPr>
        <w:t xml:space="preserve">provocada por </w:t>
      </w:r>
      <w:r w:rsidR="00037584">
        <w:rPr>
          <w:rFonts w:cs="Arial"/>
        </w:rPr>
        <w:t xml:space="preserve">el virus SARS-CoV-2. </w:t>
      </w:r>
    </w:p>
    <w:p w14:paraId="590679F6" w14:textId="18AAFD22" w:rsidR="00881265" w:rsidRDefault="00881265" w:rsidP="00881265">
      <w:pPr>
        <w:rPr>
          <w:rFonts w:cs="Arial"/>
        </w:rPr>
      </w:pPr>
    </w:p>
    <w:tbl>
      <w:tblPr>
        <w:tblStyle w:val="Tablaconcuadrcula"/>
        <w:tblW w:w="0" w:type="auto"/>
        <w:tblLook w:val="04A0" w:firstRow="1" w:lastRow="0" w:firstColumn="1" w:lastColumn="0" w:noHBand="0" w:noVBand="1"/>
      </w:tblPr>
      <w:tblGrid>
        <w:gridCol w:w="3600"/>
        <w:gridCol w:w="812"/>
        <w:gridCol w:w="826"/>
        <w:gridCol w:w="952"/>
        <w:gridCol w:w="811"/>
        <w:gridCol w:w="942"/>
        <w:gridCol w:w="895"/>
      </w:tblGrid>
      <w:tr w:rsidR="00F35724" w:rsidRPr="006F51C6" w14:paraId="6F1FFCFA" w14:textId="055BD041" w:rsidTr="00F35724">
        <w:tc>
          <w:tcPr>
            <w:tcW w:w="7943" w:type="dxa"/>
            <w:gridSpan w:val="6"/>
            <w:tcBorders>
              <w:top w:val="nil"/>
              <w:left w:val="nil"/>
              <w:bottom w:val="single" w:sz="4" w:space="0" w:color="auto"/>
              <w:right w:val="nil"/>
            </w:tcBorders>
          </w:tcPr>
          <w:p w14:paraId="0ACEAE33" w14:textId="5C99F4AC" w:rsidR="00F35724" w:rsidRPr="006F51C6" w:rsidRDefault="00F35724" w:rsidP="00A3747F">
            <w:pPr>
              <w:jc w:val="center"/>
              <w:rPr>
                <w:rFonts w:cs="Arial"/>
                <w:b/>
                <w:sz w:val="20"/>
                <w:szCs w:val="20"/>
              </w:rPr>
            </w:pPr>
            <w:r w:rsidRPr="006F51C6">
              <w:rPr>
                <w:rFonts w:cs="Arial"/>
                <w:b/>
                <w:sz w:val="20"/>
                <w:szCs w:val="20"/>
              </w:rPr>
              <w:t xml:space="preserve">Indicador Trimestral de la Actividad Económica Estatal </w:t>
            </w:r>
          </w:p>
          <w:p w14:paraId="1E470E4A" w14:textId="662F80C7" w:rsidR="00F35724" w:rsidRPr="006F51C6" w:rsidRDefault="00F35724" w:rsidP="00A3747F">
            <w:pPr>
              <w:jc w:val="center"/>
              <w:rPr>
                <w:rFonts w:cs="Arial"/>
                <w:sz w:val="18"/>
                <w:szCs w:val="20"/>
              </w:rPr>
            </w:pPr>
            <w:r w:rsidRPr="006F51C6">
              <w:rPr>
                <w:rFonts w:cs="Arial"/>
                <w:sz w:val="18"/>
                <w:szCs w:val="20"/>
              </w:rPr>
              <w:t>Cifras desestacionalizadas Base 2013</w:t>
            </w:r>
          </w:p>
          <w:p w14:paraId="50B5F25F" w14:textId="4024D8F0" w:rsidR="00F35724" w:rsidRPr="006F51C6" w:rsidRDefault="00F35724" w:rsidP="006C4BAE">
            <w:pPr>
              <w:jc w:val="center"/>
              <w:rPr>
                <w:rFonts w:cs="Arial"/>
                <w:sz w:val="20"/>
                <w:szCs w:val="20"/>
              </w:rPr>
            </w:pPr>
            <w:r w:rsidRPr="006F51C6">
              <w:rPr>
                <w:rFonts w:cs="Arial"/>
                <w:sz w:val="18"/>
                <w:szCs w:val="20"/>
              </w:rPr>
              <w:t xml:space="preserve">Variación </w:t>
            </w:r>
            <w:r>
              <w:rPr>
                <w:rFonts w:cs="Arial"/>
                <w:sz w:val="18"/>
                <w:szCs w:val="20"/>
              </w:rPr>
              <w:t>Trimestral (Porcentajes)</w:t>
            </w:r>
          </w:p>
        </w:tc>
        <w:tc>
          <w:tcPr>
            <w:tcW w:w="895" w:type="dxa"/>
            <w:tcBorders>
              <w:top w:val="nil"/>
              <w:left w:val="nil"/>
              <w:bottom w:val="single" w:sz="4" w:space="0" w:color="auto"/>
              <w:right w:val="nil"/>
            </w:tcBorders>
          </w:tcPr>
          <w:p w14:paraId="2E5112C6" w14:textId="77777777" w:rsidR="00F35724" w:rsidRPr="006F51C6" w:rsidRDefault="00F35724" w:rsidP="00A3747F">
            <w:pPr>
              <w:jc w:val="center"/>
              <w:rPr>
                <w:rFonts w:cs="Arial"/>
                <w:b/>
                <w:sz w:val="20"/>
                <w:szCs w:val="20"/>
              </w:rPr>
            </w:pPr>
          </w:p>
        </w:tc>
      </w:tr>
      <w:tr w:rsidR="00F35724" w:rsidRPr="006F51C6" w14:paraId="4BD96081" w14:textId="774A0281" w:rsidTr="00F35724">
        <w:tc>
          <w:tcPr>
            <w:tcW w:w="3600" w:type="dxa"/>
            <w:vMerge w:val="restart"/>
            <w:tcBorders>
              <w:top w:val="single" w:sz="4" w:space="0" w:color="auto"/>
            </w:tcBorders>
            <w:shd w:val="clear" w:color="auto" w:fill="F2F2F2" w:themeFill="background1" w:themeFillShade="F2"/>
            <w:vAlign w:val="center"/>
          </w:tcPr>
          <w:p w14:paraId="479EA0C0" w14:textId="1939327D" w:rsidR="00F35724" w:rsidRPr="006F51C6" w:rsidRDefault="00F35724" w:rsidP="00A3747F">
            <w:pPr>
              <w:jc w:val="center"/>
              <w:rPr>
                <w:rFonts w:cs="Arial"/>
                <w:b/>
                <w:sz w:val="18"/>
              </w:rPr>
            </w:pPr>
            <w:r w:rsidRPr="006F51C6">
              <w:rPr>
                <w:rFonts w:cs="Arial"/>
                <w:b/>
                <w:sz w:val="18"/>
              </w:rPr>
              <w:t>Entidad</w:t>
            </w:r>
          </w:p>
        </w:tc>
        <w:tc>
          <w:tcPr>
            <w:tcW w:w="3401" w:type="dxa"/>
            <w:gridSpan w:val="4"/>
            <w:tcBorders>
              <w:top w:val="single" w:sz="4" w:space="0" w:color="auto"/>
            </w:tcBorders>
            <w:shd w:val="clear" w:color="auto" w:fill="F2F2F2" w:themeFill="background1" w:themeFillShade="F2"/>
          </w:tcPr>
          <w:p w14:paraId="43C8193C" w14:textId="7648826E" w:rsidR="00F35724" w:rsidRPr="006F51C6" w:rsidRDefault="00F35724" w:rsidP="00A3747F">
            <w:pPr>
              <w:jc w:val="center"/>
              <w:rPr>
                <w:rFonts w:cs="Arial"/>
                <w:b/>
                <w:sz w:val="18"/>
              </w:rPr>
            </w:pPr>
            <w:r w:rsidRPr="006F51C6">
              <w:rPr>
                <w:rFonts w:cs="Arial"/>
                <w:b/>
                <w:sz w:val="18"/>
              </w:rPr>
              <w:t>2021</w:t>
            </w:r>
          </w:p>
        </w:tc>
        <w:tc>
          <w:tcPr>
            <w:tcW w:w="1837" w:type="dxa"/>
            <w:gridSpan w:val="2"/>
            <w:tcBorders>
              <w:top w:val="single" w:sz="4" w:space="0" w:color="auto"/>
            </w:tcBorders>
            <w:shd w:val="clear" w:color="auto" w:fill="F2F2F2" w:themeFill="background1" w:themeFillShade="F2"/>
          </w:tcPr>
          <w:p w14:paraId="6D4F0120" w14:textId="3B77B651" w:rsidR="00F35724" w:rsidRDefault="00F35724" w:rsidP="00A3747F">
            <w:pPr>
              <w:jc w:val="center"/>
              <w:rPr>
                <w:rFonts w:cs="Arial"/>
                <w:b/>
                <w:sz w:val="18"/>
              </w:rPr>
            </w:pPr>
            <w:r>
              <w:rPr>
                <w:rFonts w:cs="Arial"/>
                <w:b/>
                <w:sz w:val="18"/>
              </w:rPr>
              <w:t>2022</w:t>
            </w:r>
          </w:p>
        </w:tc>
      </w:tr>
      <w:tr w:rsidR="00F35724" w:rsidRPr="006F51C6" w14:paraId="41626CBD" w14:textId="0AEB28FB" w:rsidTr="00F35724">
        <w:tc>
          <w:tcPr>
            <w:tcW w:w="3600" w:type="dxa"/>
            <w:vMerge/>
            <w:shd w:val="clear" w:color="auto" w:fill="F2F2F2" w:themeFill="background1" w:themeFillShade="F2"/>
          </w:tcPr>
          <w:p w14:paraId="6D5811B2" w14:textId="77777777" w:rsidR="00F35724" w:rsidRPr="006F51C6" w:rsidRDefault="00F35724" w:rsidP="00A3747F">
            <w:pPr>
              <w:jc w:val="center"/>
              <w:rPr>
                <w:rFonts w:cs="Arial"/>
                <w:b/>
                <w:sz w:val="18"/>
              </w:rPr>
            </w:pPr>
          </w:p>
        </w:tc>
        <w:tc>
          <w:tcPr>
            <w:tcW w:w="812" w:type="dxa"/>
            <w:shd w:val="clear" w:color="auto" w:fill="F2F2F2" w:themeFill="background1" w:themeFillShade="F2"/>
          </w:tcPr>
          <w:p w14:paraId="66ABDBE3" w14:textId="2416A610" w:rsidR="00F35724" w:rsidRPr="006F51C6" w:rsidRDefault="00F35724" w:rsidP="00A3747F">
            <w:pPr>
              <w:jc w:val="center"/>
              <w:rPr>
                <w:rFonts w:cs="Arial"/>
                <w:b/>
                <w:sz w:val="18"/>
              </w:rPr>
            </w:pPr>
            <w:r w:rsidRPr="006F51C6">
              <w:rPr>
                <w:b/>
              </w:rPr>
              <w:t>1T</w:t>
            </w:r>
          </w:p>
        </w:tc>
        <w:tc>
          <w:tcPr>
            <w:tcW w:w="826" w:type="dxa"/>
            <w:shd w:val="clear" w:color="auto" w:fill="F2F2F2" w:themeFill="background1" w:themeFillShade="F2"/>
          </w:tcPr>
          <w:p w14:paraId="6A1F87FA" w14:textId="13ED6CD6" w:rsidR="00F35724" w:rsidRPr="006F51C6" w:rsidRDefault="00F35724" w:rsidP="00A3747F">
            <w:pPr>
              <w:jc w:val="center"/>
              <w:rPr>
                <w:rFonts w:cs="Arial"/>
                <w:b/>
                <w:sz w:val="18"/>
              </w:rPr>
            </w:pPr>
            <w:r w:rsidRPr="006F51C6">
              <w:rPr>
                <w:b/>
              </w:rPr>
              <w:t>2T</w:t>
            </w:r>
          </w:p>
        </w:tc>
        <w:tc>
          <w:tcPr>
            <w:tcW w:w="952" w:type="dxa"/>
            <w:shd w:val="clear" w:color="auto" w:fill="F2F2F2" w:themeFill="background1" w:themeFillShade="F2"/>
          </w:tcPr>
          <w:p w14:paraId="56B06CF7" w14:textId="167509FD" w:rsidR="00F35724" w:rsidRPr="006F51C6" w:rsidRDefault="00F35724" w:rsidP="00A3747F">
            <w:pPr>
              <w:jc w:val="center"/>
              <w:rPr>
                <w:rFonts w:cs="Arial"/>
                <w:b/>
                <w:sz w:val="18"/>
              </w:rPr>
            </w:pPr>
            <w:r w:rsidRPr="006F51C6">
              <w:rPr>
                <w:b/>
              </w:rPr>
              <w:t>3T</w:t>
            </w:r>
          </w:p>
        </w:tc>
        <w:tc>
          <w:tcPr>
            <w:tcW w:w="811" w:type="dxa"/>
            <w:shd w:val="clear" w:color="auto" w:fill="F2F2F2" w:themeFill="background1" w:themeFillShade="F2"/>
          </w:tcPr>
          <w:p w14:paraId="49513631" w14:textId="230CE3E3" w:rsidR="00F35724" w:rsidRPr="006F51C6" w:rsidRDefault="00F35724" w:rsidP="00A3747F">
            <w:pPr>
              <w:jc w:val="center"/>
              <w:rPr>
                <w:rFonts w:cs="Arial"/>
                <w:b/>
                <w:sz w:val="18"/>
              </w:rPr>
            </w:pPr>
            <w:r w:rsidRPr="006F51C6">
              <w:rPr>
                <w:b/>
              </w:rPr>
              <w:t>4T</w:t>
            </w:r>
          </w:p>
        </w:tc>
        <w:tc>
          <w:tcPr>
            <w:tcW w:w="942" w:type="dxa"/>
            <w:shd w:val="clear" w:color="auto" w:fill="F2F2F2" w:themeFill="background1" w:themeFillShade="F2"/>
          </w:tcPr>
          <w:p w14:paraId="4B98D64F" w14:textId="408F3F0D" w:rsidR="00F35724" w:rsidRPr="006F51C6" w:rsidRDefault="00F35724" w:rsidP="00A3747F">
            <w:pPr>
              <w:jc w:val="center"/>
              <w:rPr>
                <w:rFonts w:cs="Arial"/>
                <w:b/>
                <w:sz w:val="18"/>
              </w:rPr>
            </w:pPr>
            <w:r w:rsidRPr="006F51C6">
              <w:rPr>
                <w:b/>
              </w:rPr>
              <w:t>1T</w:t>
            </w:r>
          </w:p>
        </w:tc>
        <w:tc>
          <w:tcPr>
            <w:tcW w:w="895" w:type="dxa"/>
            <w:shd w:val="clear" w:color="auto" w:fill="F2F2F2" w:themeFill="background1" w:themeFillShade="F2"/>
          </w:tcPr>
          <w:p w14:paraId="7A8FDE80" w14:textId="5DAE9297" w:rsidR="00F35724" w:rsidRPr="006F51C6" w:rsidRDefault="00F35724" w:rsidP="00A3747F">
            <w:pPr>
              <w:jc w:val="center"/>
              <w:rPr>
                <w:b/>
              </w:rPr>
            </w:pPr>
            <w:r>
              <w:rPr>
                <w:b/>
              </w:rPr>
              <w:t>2T</w:t>
            </w:r>
          </w:p>
        </w:tc>
      </w:tr>
      <w:tr w:rsidR="00F35724" w14:paraId="1FE13D56" w14:textId="7C57D2FA" w:rsidTr="00F35724">
        <w:tc>
          <w:tcPr>
            <w:tcW w:w="3600" w:type="dxa"/>
          </w:tcPr>
          <w:p w14:paraId="4A1D8EE8" w14:textId="20FA92FD" w:rsidR="00F35724" w:rsidRDefault="00F35724" w:rsidP="00A3747F">
            <w:pPr>
              <w:rPr>
                <w:rFonts w:cs="Arial"/>
                <w:sz w:val="18"/>
              </w:rPr>
            </w:pPr>
            <w:r w:rsidRPr="00CA4459">
              <w:t>Colima</w:t>
            </w:r>
          </w:p>
        </w:tc>
        <w:tc>
          <w:tcPr>
            <w:tcW w:w="812" w:type="dxa"/>
            <w:vAlign w:val="center"/>
          </w:tcPr>
          <w:p w14:paraId="6B003CA9" w14:textId="385DF5BF" w:rsidR="00F35724" w:rsidRPr="00DD3BD0" w:rsidRDefault="00F35724" w:rsidP="00A3747F">
            <w:pPr>
              <w:jc w:val="center"/>
            </w:pPr>
            <w:r>
              <w:t>2.7</w:t>
            </w:r>
          </w:p>
        </w:tc>
        <w:tc>
          <w:tcPr>
            <w:tcW w:w="826" w:type="dxa"/>
            <w:vAlign w:val="center"/>
          </w:tcPr>
          <w:p w14:paraId="03240C32" w14:textId="14135E26" w:rsidR="00F35724" w:rsidRPr="00DD3BD0" w:rsidRDefault="00F35724" w:rsidP="00A3747F">
            <w:pPr>
              <w:jc w:val="center"/>
            </w:pPr>
            <w:r w:rsidRPr="0013494C">
              <w:t>3.4</w:t>
            </w:r>
          </w:p>
        </w:tc>
        <w:tc>
          <w:tcPr>
            <w:tcW w:w="952" w:type="dxa"/>
            <w:vAlign w:val="center"/>
          </w:tcPr>
          <w:p w14:paraId="18F483C1" w14:textId="72A88473" w:rsidR="00F35724" w:rsidRPr="00DD3BD0" w:rsidRDefault="00F35724" w:rsidP="00A3747F">
            <w:pPr>
              <w:jc w:val="center"/>
            </w:pPr>
            <w:r>
              <w:t>-4.3</w:t>
            </w:r>
          </w:p>
        </w:tc>
        <w:tc>
          <w:tcPr>
            <w:tcW w:w="811" w:type="dxa"/>
            <w:vAlign w:val="center"/>
          </w:tcPr>
          <w:p w14:paraId="776F2F52" w14:textId="6E9A2B0D" w:rsidR="00F35724" w:rsidRPr="00DD3BD0" w:rsidRDefault="00F35724" w:rsidP="00A3747F">
            <w:pPr>
              <w:jc w:val="center"/>
            </w:pPr>
            <w:r>
              <w:t>1.1</w:t>
            </w:r>
          </w:p>
        </w:tc>
        <w:tc>
          <w:tcPr>
            <w:tcW w:w="942" w:type="dxa"/>
            <w:vAlign w:val="center"/>
          </w:tcPr>
          <w:p w14:paraId="7F775412" w14:textId="4AB5F566" w:rsidR="00F35724" w:rsidRPr="00DD3BD0" w:rsidRDefault="00F35724" w:rsidP="00A3747F">
            <w:pPr>
              <w:jc w:val="center"/>
            </w:pPr>
            <w:r>
              <w:t>2.2</w:t>
            </w:r>
          </w:p>
        </w:tc>
        <w:tc>
          <w:tcPr>
            <w:tcW w:w="895" w:type="dxa"/>
          </w:tcPr>
          <w:p w14:paraId="5045B209" w14:textId="1F73F668" w:rsidR="00F35724" w:rsidRPr="00CA4459" w:rsidRDefault="00F35724" w:rsidP="00A3747F">
            <w:pPr>
              <w:jc w:val="center"/>
            </w:pPr>
            <w:r>
              <w:t>2.1</w:t>
            </w:r>
          </w:p>
        </w:tc>
      </w:tr>
    </w:tbl>
    <w:p w14:paraId="10F820C3" w14:textId="1AF4158D" w:rsidR="00423E7C" w:rsidRPr="007378B7" w:rsidRDefault="00423E7C" w:rsidP="00A3747F">
      <w:pPr>
        <w:rPr>
          <w:rFonts w:cs="Arial"/>
          <w:sz w:val="16"/>
        </w:rPr>
      </w:pPr>
      <w:r w:rsidRPr="007378B7">
        <w:rPr>
          <w:rFonts w:cs="Arial"/>
          <w:sz w:val="16"/>
        </w:rPr>
        <w:t>Fuente: INEGI Sistema de Cuentas Nacionales de México. Disponible en:</w:t>
      </w:r>
    </w:p>
    <w:p w14:paraId="0DA61C57" w14:textId="7746D726" w:rsidR="007E0100" w:rsidRPr="007378B7" w:rsidRDefault="00035C8A" w:rsidP="00A3747F">
      <w:pPr>
        <w:rPr>
          <w:rFonts w:cs="Arial"/>
          <w:sz w:val="16"/>
        </w:rPr>
      </w:pPr>
      <w:hyperlink r:id="rId8" w:history="1">
        <w:r w:rsidR="00935A6C" w:rsidRPr="007378B7">
          <w:rPr>
            <w:rStyle w:val="Hipervnculo"/>
            <w:rFonts w:cs="Arial"/>
            <w:sz w:val="16"/>
          </w:rPr>
          <w:t>https://www.inegi.org.mx/temas/itaee/</w:t>
        </w:r>
      </w:hyperlink>
    </w:p>
    <w:p w14:paraId="4AFC7A2F" w14:textId="296ABF92" w:rsidR="00935A6C" w:rsidRPr="007378B7" w:rsidRDefault="00935A6C" w:rsidP="00A3747F">
      <w:pPr>
        <w:rPr>
          <w:rFonts w:cs="Arial"/>
          <w:sz w:val="16"/>
        </w:rPr>
      </w:pPr>
      <w:r w:rsidRPr="007378B7">
        <w:rPr>
          <w:rFonts w:cs="Arial"/>
          <w:sz w:val="16"/>
        </w:rPr>
        <w:t xml:space="preserve">Última actualización: 28 </w:t>
      </w:r>
      <w:r w:rsidR="00F35724">
        <w:rPr>
          <w:rFonts w:cs="Arial"/>
          <w:sz w:val="16"/>
        </w:rPr>
        <w:t>de octubre</w:t>
      </w:r>
      <w:r w:rsidRPr="007378B7">
        <w:rPr>
          <w:rFonts w:cs="Arial"/>
          <w:sz w:val="16"/>
        </w:rPr>
        <w:t xml:space="preserve"> de 2022</w:t>
      </w:r>
    </w:p>
    <w:p w14:paraId="434775A9" w14:textId="190C7413" w:rsidR="00423E7C" w:rsidRDefault="00423E7C" w:rsidP="00A3747F">
      <w:pPr>
        <w:rPr>
          <w:rFonts w:cs="Arial"/>
        </w:rPr>
      </w:pPr>
    </w:p>
    <w:p w14:paraId="55F88E69" w14:textId="0DCDBB79" w:rsidR="00DD0AF3" w:rsidRDefault="007378B7" w:rsidP="00DD0AF3">
      <w:pPr>
        <w:rPr>
          <w:rFonts w:cs="Arial"/>
        </w:rPr>
      </w:pPr>
      <w:r>
        <w:rPr>
          <w:rFonts w:cs="Arial"/>
          <w:noProof/>
        </w:rPr>
        <w:drawing>
          <wp:anchor distT="0" distB="0" distL="114300" distR="114300" simplePos="0" relativeHeight="251658240" behindDoc="1" locked="0" layoutInCell="1" allowOverlap="1" wp14:anchorId="264279CE" wp14:editId="210ED382">
            <wp:simplePos x="0" y="0"/>
            <wp:positionH relativeFrom="margin">
              <wp:align>left</wp:align>
            </wp:positionH>
            <wp:positionV relativeFrom="paragraph">
              <wp:posOffset>234950</wp:posOffset>
            </wp:positionV>
            <wp:extent cx="3197225" cy="1818005"/>
            <wp:effectExtent l="0" t="0" r="3175" b="0"/>
            <wp:wrapTight wrapText="bothSides">
              <wp:wrapPolygon edited="0">
                <wp:start x="0" y="0"/>
                <wp:lineTo x="0" y="21276"/>
                <wp:lineTo x="21493" y="21276"/>
                <wp:lineTo x="2149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10287" t="3644" r="2756" b="10604"/>
                    <a:stretch/>
                  </pic:blipFill>
                  <pic:spPr bwMode="auto">
                    <a:xfrm>
                      <a:off x="0" y="0"/>
                      <a:ext cx="3197225" cy="1818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D0AF3" w:rsidRPr="00062144">
        <w:rPr>
          <w:rFonts w:cs="Arial"/>
        </w:rPr>
        <w:t>Entre las principales actividades productivas de la entidad,</w:t>
      </w:r>
      <w:r w:rsidR="00955BCE">
        <w:rPr>
          <w:rFonts w:cs="Arial"/>
        </w:rPr>
        <w:t xml:space="preserve"> se encuentran: comercio (21.15 por ciento); construcción (11.71 por ciento</w:t>
      </w:r>
      <w:r w:rsidR="00DD0AF3" w:rsidRPr="00062144">
        <w:rPr>
          <w:rFonts w:cs="Arial"/>
        </w:rPr>
        <w:t>); generación, transmisión y distribución de energía eléctrica, suministro de agua y de gas por du</w:t>
      </w:r>
      <w:r w:rsidR="00955BCE">
        <w:rPr>
          <w:rFonts w:cs="Arial"/>
        </w:rPr>
        <w:t>ctos al consumidor final (6.74 por ciento)</w:t>
      </w:r>
      <w:r w:rsidR="00DD0AF3" w:rsidRPr="00062144">
        <w:rPr>
          <w:rFonts w:cs="Arial"/>
        </w:rPr>
        <w:t>; servicios inmobiliarios y de alquiler de bien</w:t>
      </w:r>
      <w:r w:rsidR="00167BC6">
        <w:rPr>
          <w:rFonts w:cs="Arial"/>
        </w:rPr>
        <w:t>es muebles e intangibles (13.23 por ciento</w:t>
      </w:r>
      <w:r w:rsidR="00DD0AF3" w:rsidRPr="00062144">
        <w:rPr>
          <w:rFonts w:cs="Arial"/>
        </w:rPr>
        <w:t xml:space="preserve">); transportes, </w:t>
      </w:r>
      <w:r w:rsidR="00167BC6">
        <w:rPr>
          <w:rFonts w:cs="Arial"/>
        </w:rPr>
        <w:t>correos y almacenamiento (11.45 por ciento</w:t>
      </w:r>
      <w:r w:rsidR="00DD0AF3" w:rsidRPr="00062144">
        <w:rPr>
          <w:rFonts w:cs="Arial"/>
        </w:rPr>
        <w:t xml:space="preserve">). </w:t>
      </w:r>
      <w:r w:rsidR="00167BC6">
        <w:rPr>
          <w:rFonts w:cs="Arial"/>
        </w:rPr>
        <w:t xml:space="preserve">Juntas representan el 64.28 por ciento </w:t>
      </w:r>
      <w:r w:rsidR="00DD0AF3" w:rsidRPr="00062144">
        <w:rPr>
          <w:rFonts w:cs="Arial"/>
        </w:rPr>
        <w:t>del PIB estatal.</w:t>
      </w:r>
    </w:p>
    <w:p w14:paraId="2DFA5EFD" w14:textId="5C628A13" w:rsidR="007378B7" w:rsidRPr="007378B7" w:rsidRDefault="007378B7" w:rsidP="00DD0AF3">
      <w:pPr>
        <w:rPr>
          <w:rFonts w:cs="Arial"/>
          <w:b/>
          <w:sz w:val="12"/>
        </w:rPr>
      </w:pPr>
      <w:r w:rsidRPr="007378B7">
        <w:rPr>
          <w:rFonts w:cs="Arial"/>
          <w:b/>
          <w:sz w:val="12"/>
        </w:rPr>
        <w:t xml:space="preserve">Conformación de la economía </w:t>
      </w:r>
      <w:r>
        <w:rPr>
          <w:rFonts w:cs="Arial"/>
          <w:b/>
          <w:sz w:val="12"/>
        </w:rPr>
        <w:t>colimense por sector año 2020.</w:t>
      </w:r>
    </w:p>
    <w:p w14:paraId="7153ECBD" w14:textId="292400F6" w:rsidR="00E62D49" w:rsidRPr="007378B7" w:rsidRDefault="007378B7" w:rsidP="00DD0AF3">
      <w:pPr>
        <w:rPr>
          <w:rFonts w:cs="Arial"/>
          <w:sz w:val="12"/>
        </w:rPr>
      </w:pPr>
      <w:r w:rsidRPr="007378B7">
        <w:rPr>
          <w:rFonts w:cs="Arial"/>
          <w:b/>
          <w:sz w:val="12"/>
        </w:rPr>
        <w:t xml:space="preserve">Fuente: </w:t>
      </w:r>
      <w:r>
        <w:rPr>
          <w:rFonts w:cs="Arial"/>
          <w:sz w:val="12"/>
        </w:rPr>
        <w:t>Elaboración propia base en cifras del INEGI,2022.</w:t>
      </w:r>
    </w:p>
    <w:p w14:paraId="48FBEDE4" w14:textId="5A47F949" w:rsidR="007378B7" w:rsidRDefault="007378B7" w:rsidP="00DD0AF3">
      <w:pPr>
        <w:rPr>
          <w:rFonts w:cs="Arial"/>
        </w:rPr>
      </w:pPr>
    </w:p>
    <w:p w14:paraId="1633456E" w14:textId="5A409799" w:rsidR="00037584" w:rsidRDefault="00037584" w:rsidP="00DD0AF3">
      <w:pPr>
        <w:rPr>
          <w:rFonts w:cs="Arial"/>
        </w:rPr>
      </w:pPr>
      <w:r>
        <w:rPr>
          <w:rFonts w:cs="Arial"/>
        </w:rPr>
        <w:t xml:space="preserve">Las entidades federativas que mayor crecimiento económico </w:t>
      </w:r>
      <w:r w:rsidR="00F35724">
        <w:rPr>
          <w:rFonts w:cs="Arial"/>
        </w:rPr>
        <w:t xml:space="preserve">han tenido con cifras al segundo </w:t>
      </w:r>
      <w:r>
        <w:rPr>
          <w:rFonts w:cs="Arial"/>
        </w:rPr>
        <w:t xml:space="preserve">trimestre de 2022 son: </w:t>
      </w:r>
      <w:r w:rsidR="00F35724">
        <w:rPr>
          <w:rFonts w:cs="Arial"/>
        </w:rPr>
        <w:t>Nayarit con 11</w:t>
      </w:r>
      <w:r>
        <w:rPr>
          <w:rFonts w:cs="Arial"/>
        </w:rPr>
        <w:t xml:space="preserve"> por ciento, </w:t>
      </w:r>
      <w:r w:rsidR="00F35724">
        <w:rPr>
          <w:rFonts w:cs="Arial"/>
        </w:rPr>
        <w:t>Tabasco con 3.8</w:t>
      </w:r>
      <w:r>
        <w:rPr>
          <w:rFonts w:cs="Arial"/>
        </w:rPr>
        <w:t xml:space="preserve"> por ciento, </w:t>
      </w:r>
      <w:r w:rsidR="00F35724">
        <w:rPr>
          <w:rFonts w:cs="Arial"/>
        </w:rPr>
        <w:t>Guerrero con 3.5</w:t>
      </w:r>
      <w:r>
        <w:rPr>
          <w:rFonts w:cs="Arial"/>
        </w:rPr>
        <w:t xml:space="preserve"> por ciento y Chi</w:t>
      </w:r>
      <w:r w:rsidR="00F35724">
        <w:rPr>
          <w:rFonts w:cs="Arial"/>
        </w:rPr>
        <w:t>apas con 2.8</w:t>
      </w:r>
      <w:r>
        <w:rPr>
          <w:rFonts w:cs="Arial"/>
        </w:rPr>
        <w:t xml:space="preserve"> por ciento, en el otro extremo </w:t>
      </w:r>
      <w:r w:rsidR="00F35724">
        <w:rPr>
          <w:rFonts w:cs="Arial"/>
        </w:rPr>
        <w:t>Baja California</w:t>
      </w:r>
      <w:r>
        <w:rPr>
          <w:rFonts w:cs="Arial"/>
        </w:rPr>
        <w:t xml:space="preserve"> </w:t>
      </w:r>
      <w:r w:rsidR="00E36896">
        <w:rPr>
          <w:rFonts w:cs="Arial"/>
        </w:rPr>
        <w:t xml:space="preserve">Sur </w:t>
      </w:r>
      <w:r>
        <w:rPr>
          <w:rFonts w:cs="Arial"/>
        </w:rPr>
        <w:t xml:space="preserve">creció </w:t>
      </w:r>
      <w:r w:rsidRPr="00F35724">
        <w:rPr>
          <w:rFonts w:cs="Arial"/>
        </w:rPr>
        <w:t>negativamente en -</w:t>
      </w:r>
      <w:r w:rsidR="00F35724">
        <w:rPr>
          <w:rFonts w:cs="Arial"/>
        </w:rPr>
        <w:t>4.0</w:t>
      </w:r>
      <w:r w:rsidRPr="00F35724">
        <w:rPr>
          <w:rFonts w:cs="Arial"/>
        </w:rPr>
        <w:t xml:space="preserve"> por ciento.</w:t>
      </w:r>
    </w:p>
    <w:p w14:paraId="2E013A40" w14:textId="1F7BC6AF" w:rsidR="002B4873" w:rsidRDefault="002B4873" w:rsidP="00A3747F">
      <w:pPr>
        <w:rPr>
          <w:rFonts w:cs="Arial"/>
        </w:rPr>
      </w:pPr>
    </w:p>
    <w:p w14:paraId="48AA27B5" w14:textId="078CBBCD" w:rsidR="00A706CD" w:rsidRDefault="00167BC6" w:rsidP="00A3747F">
      <w:pPr>
        <w:rPr>
          <w:rFonts w:cs="Arial"/>
        </w:rPr>
      </w:pPr>
      <w:r>
        <w:rPr>
          <w:rFonts w:cs="Arial"/>
        </w:rPr>
        <w:t xml:space="preserve">De acuerdo a cifras </w:t>
      </w:r>
      <w:r w:rsidR="00621F45">
        <w:rPr>
          <w:rFonts w:cs="Arial"/>
        </w:rPr>
        <w:t>INEGI,</w:t>
      </w:r>
      <w:r w:rsidR="00214F5A">
        <w:rPr>
          <w:rFonts w:cs="Arial"/>
        </w:rPr>
        <w:t xml:space="preserve"> en el documento</w:t>
      </w:r>
      <w:r w:rsidR="00621F45">
        <w:rPr>
          <w:rFonts w:cs="Arial"/>
        </w:rPr>
        <w:t xml:space="preserve"> </w:t>
      </w:r>
      <w:r w:rsidR="00A706CD" w:rsidRPr="00621F45">
        <w:rPr>
          <w:rFonts w:cs="Arial"/>
        </w:rPr>
        <w:t xml:space="preserve">Encuesta Nacional </w:t>
      </w:r>
      <w:r w:rsidR="00A706CD">
        <w:rPr>
          <w:rFonts w:cs="Arial"/>
        </w:rPr>
        <w:t>de O</w:t>
      </w:r>
      <w:r w:rsidR="00A706CD" w:rsidRPr="00621F45">
        <w:rPr>
          <w:rFonts w:cs="Arial"/>
        </w:rPr>
        <w:t xml:space="preserve">cupación y </w:t>
      </w:r>
      <w:r w:rsidR="00A706CD">
        <w:rPr>
          <w:rFonts w:cs="Arial"/>
        </w:rPr>
        <w:t>E</w:t>
      </w:r>
      <w:r w:rsidR="00A706CD" w:rsidRPr="00621F45">
        <w:rPr>
          <w:rFonts w:cs="Arial"/>
        </w:rPr>
        <w:t>mpleo, Segundo Trimestre de 2022</w:t>
      </w:r>
      <w:r w:rsidR="00214F5A">
        <w:rPr>
          <w:rFonts w:cs="Arial"/>
        </w:rPr>
        <w:t>; l</w:t>
      </w:r>
      <w:r w:rsidR="00621F45" w:rsidRPr="00621F45">
        <w:rPr>
          <w:rFonts w:cs="Arial"/>
        </w:rPr>
        <w:t>as entidades federativas que presentaron las mayores tasas de participación en la actividad económica (cociente entre la PEA y la población de 15 años y más) fue</w:t>
      </w:r>
      <w:r w:rsidR="008B54A0">
        <w:rPr>
          <w:rFonts w:cs="Arial"/>
        </w:rPr>
        <w:t>ron: Baja California Sur (68.5 por ciento</w:t>
      </w:r>
      <w:r w:rsidR="00621F45" w:rsidRPr="00621F45">
        <w:rPr>
          <w:rFonts w:cs="Arial"/>
        </w:rPr>
        <w:t xml:space="preserve">), </w:t>
      </w:r>
      <w:r w:rsidR="008B54A0">
        <w:rPr>
          <w:rFonts w:cs="Arial"/>
        </w:rPr>
        <w:t>Colima (66.7 por ciento</w:t>
      </w:r>
      <w:r w:rsidR="00621F45" w:rsidRPr="00167BC6">
        <w:rPr>
          <w:rFonts w:cs="Arial"/>
        </w:rPr>
        <w:t>),</w:t>
      </w:r>
      <w:r w:rsidR="008B54A0">
        <w:rPr>
          <w:rFonts w:cs="Arial"/>
        </w:rPr>
        <w:t xml:space="preserve"> Yucatán (66 </w:t>
      </w:r>
      <w:r w:rsidR="008B54A0">
        <w:rPr>
          <w:rFonts w:cs="Arial"/>
        </w:rPr>
        <w:lastRenderedPageBreak/>
        <w:t>por ciento), Nayarit (65 por ciento), Quintana Roo (64.9 por ciento), Sonora (63 por ciento) y Chihuahua (62.2 por ciento</w:t>
      </w:r>
      <w:r w:rsidR="00621F45" w:rsidRPr="00621F45">
        <w:rPr>
          <w:rFonts w:cs="Arial"/>
        </w:rPr>
        <w:t xml:space="preserve">). </w:t>
      </w:r>
    </w:p>
    <w:p w14:paraId="3D0D4931" w14:textId="77777777" w:rsidR="00F35724" w:rsidRDefault="00F35724" w:rsidP="00A3747F">
      <w:pPr>
        <w:rPr>
          <w:rFonts w:cs="Arial"/>
        </w:rPr>
      </w:pPr>
    </w:p>
    <w:tbl>
      <w:tblPr>
        <w:tblW w:w="0" w:type="auto"/>
        <w:jc w:val="center"/>
        <w:tblLayout w:type="fixed"/>
        <w:tblCellMar>
          <w:left w:w="70" w:type="dxa"/>
          <w:right w:w="70" w:type="dxa"/>
        </w:tblCellMar>
        <w:tblLook w:val="0000" w:firstRow="0" w:lastRow="0" w:firstColumn="0" w:lastColumn="0" w:noHBand="0" w:noVBand="0"/>
      </w:tblPr>
      <w:tblGrid>
        <w:gridCol w:w="917"/>
        <w:gridCol w:w="1032"/>
        <w:gridCol w:w="1018"/>
        <w:gridCol w:w="709"/>
        <w:gridCol w:w="684"/>
        <w:gridCol w:w="592"/>
        <w:gridCol w:w="526"/>
        <w:gridCol w:w="526"/>
        <w:gridCol w:w="535"/>
        <w:gridCol w:w="650"/>
        <w:gridCol w:w="579"/>
        <w:gridCol w:w="716"/>
      </w:tblGrid>
      <w:tr w:rsidR="002E29B1" w:rsidRPr="00490BFE" w14:paraId="00E10F8E" w14:textId="77777777" w:rsidTr="00C91FD5">
        <w:trPr>
          <w:tblHeader/>
          <w:jc w:val="center"/>
        </w:trPr>
        <w:tc>
          <w:tcPr>
            <w:tcW w:w="8484" w:type="dxa"/>
            <w:gridSpan w:val="12"/>
            <w:tcBorders>
              <w:bottom w:val="single" w:sz="4" w:space="0" w:color="auto"/>
            </w:tcBorders>
            <w:shd w:val="clear" w:color="auto" w:fill="auto"/>
            <w:vAlign w:val="center"/>
          </w:tcPr>
          <w:p w14:paraId="05C264E0" w14:textId="51FBF5CE" w:rsidR="002E29B1" w:rsidRPr="008B54A0" w:rsidRDefault="002E29B1" w:rsidP="00A3747F">
            <w:pPr>
              <w:jc w:val="center"/>
              <w:rPr>
                <w:rFonts w:cs="Arial"/>
                <w:b/>
                <w:sz w:val="18"/>
              </w:rPr>
            </w:pPr>
            <w:r w:rsidRPr="008B54A0">
              <w:rPr>
                <w:rFonts w:cs="Arial"/>
                <w:b/>
                <w:sz w:val="18"/>
              </w:rPr>
              <w:t>Población y Tasas Complementarias de Ocupación y Desocupación</w:t>
            </w:r>
          </w:p>
          <w:p w14:paraId="3478299C" w14:textId="1C0BD121" w:rsidR="002E29B1" w:rsidRPr="00490BFE" w:rsidRDefault="002E29B1" w:rsidP="00A3747F">
            <w:pPr>
              <w:widowControl w:val="0"/>
              <w:ind w:right="64"/>
              <w:jc w:val="center"/>
              <w:rPr>
                <w:rFonts w:cs="Arial"/>
                <w:b/>
                <w:color w:val="000000"/>
                <w:sz w:val="20"/>
                <w:szCs w:val="18"/>
              </w:rPr>
            </w:pPr>
            <w:r w:rsidRPr="008B54A0">
              <w:rPr>
                <w:rFonts w:cs="Arial"/>
                <w:b/>
                <w:sz w:val="18"/>
              </w:rPr>
              <w:t>Según Entidad Federativa, Segundo Trimestre de 2022</w:t>
            </w:r>
          </w:p>
        </w:tc>
      </w:tr>
      <w:tr w:rsidR="00C91FD5" w:rsidRPr="00621F45" w14:paraId="030115A8" w14:textId="77777777" w:rsidTr="00490BFE">
        <w:trPr>
          <w:tblHeader/>
          <w:jc w:val="center"/>
        </w:trPr>
        <w:tc>
          <w:tcPr>
            <w:tcW w:w="917"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9622432" w14:textId="77777777" w:rsidR="00621F45" w:rsidRPr="008B54A0" w:rsidRDefault="00621F45" w:rsidP="00A3747F">
            <w:pPr>
              <w:widowControl w:val="0"/>
              <w:jc w:val="center"/>
              <w:rPr>
                <w:rFonts w:cs="Arial"/>
                <w:b/>
                <w:bCs/>
                <w:sz w:val="14"/>
                <w:szCs w:val="16"/>
              </w:rPr>
            </w:pPr>
            <w:r w:rsidRPr="008B54A0">
              <w:rPr>
                <w:rFonts w:cs="Arial"/>
                <w:b/>
                <w:bCs/>
                <w:sz w:val="14"/>
                <w:szCs w:val="16"/>
              </w:rPr>
              <w:t>Entidad Federativa</w:t>
            </w:r>
          </w:p>
        </w:tc>
        <w:tc>
          <w:tcPr>
            <w:tcW w:w="20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5133CBA" w14:textId="77777777" w:rsidR="00621F45" w:rsidRPr="008B54A0" w:rsidRDefault="00621F45" w:rsidP="00A3747F">
            <w:pPr>
              <w:widowControl w:val="0"/>
              <w:jc w:val="center"/>
              <w:rPr>
                <w:rFonts w:cs="Arial"/>
                <w:b/>
                <w:bCs/>
                <w:sz w:val="14"/>
                <w:szCs w:val="18"/>
              </w:rPr>
            </w:pPr>
            <w:r w:rsidRPr="008B54A0">
              <w:rPr>
                <w:rFonts w:cs="Arial"/>
                <w:b/>
                <w:bCs/>
                <w:sz w:val="14"/>
                <w:szCs w:val="18"/>
              </w:rPr>
              <w:t>Población</w:t>
            </w:r>
          </w:p>
        </w:tc>
        <w:tc>
          <w:tcPr>
            <w:tcW w:w="551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0D65A4" w14:textId="77777777" w:rsidR="00621F45" w:rsidRPr="008B54A0" w:rsidRDefault="00621F45" w:rsidP="00A3747F">
            <w:pPr>
              <w:widowControl w:val="0"/>
              <w:ind w:right="64"/>
              <w:jc w:val="center"/>
              <w:rPr>
                <w:rFonts w:cs="Arial"/>
                <w:b/>
                <w:color w:val="000000"/>
                <w:sz w:val="14"/>
                <w:szCs w:val="18"/>
              </w:rPr>
            </w:pPr>
            <w:r w:rsidRPr="008B54A0">
              <w:rPr>
                <w:rFonts w:cs="Arial"/>
                <w:b/>
                <w:color w:val="000000"/>
                <w:sz w:val="14"/>
                <w:szCs w:val="18"/>
              </w:rPr>
              <w:t>Tasa de:</w:t>
            </w:r>
          </w:p>
        </w:tc>
      </w:tr>
      <w:tr w:rsidR="00C91FD5" w:rsidRPr="00621F45" w14:paraId="261F3AC0" w14:textId="77777777" w:rsidTr="00490BFE">
        <w:trPr>
          <w:tblHeader/>
          <w:jc w:val="center"/>
        </w:trPr>
        <w:tc>
          <w:tcPr>
            <w:tcW w:w="91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A86FAC" w14:textId="77777777" w:rsidR="00621F45" w:rsidRPr="00621F45" w:rsidRDefault="00621F45" w:rsidP="00A3747F">
            <w:pPr>
              <w:widowControl w:val="0"/>
              <w:jc w:val="center"/>
              <w:rPr>
                <w:rFonts w:cs="Arial"/>
                <w:b/>
                <w:bCs/>
                <w:sz w:val="14"/>
              </w:rPr>
            </w:pPr>
          </w:p>
        </w:tc>
        <w:tc>
          <w:tcPr>
            <w:tcW w:w="103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D108AE" w14:textId="77777777" w:rsidR="00621F45" w:rsidRPr="008B54A0" w:rsidRDefault="00621F45" w:rsidP="00A3747F">
            <w:pPr>
              <w:widowControl w:val="0"/>
              <w:jc w:val="center"/>
              <w:rPr>
                <w:rFonts w:eastAsia="Times New Roman" w:cs="Arial"/>
                <w:b/>
                <w:bCs/>
                <w:sz w:val="14"/>
                <w:szCs w:val="16"/>
                <w:lang w:val="es-ES_tradnl" w:eastAsia="es-ES"/>
              </w:rPr>
            </w:pPr>
            <w:r w:rsidRPr="008B54A0">
              <w:rPr>
                <w:rFonts w:eastAsia="Times New Roman" w:cs="Arial"/>
                <w:b/>
                <w:bCs/>
                <w:sz w:val="14"/>
                <w:szCs w:val="16"/>
                <w:lang w:val="es-ES_tradnl" w:eastAsia="es-ES"/>
              </w:rPr>
              <w:t>Ocupada</w:t>
            </w:r>
          </w:p>
        </w:tc>
        <w:tc>
          <w:tcPr>
            <w:tcW w:w="101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46DAF8" w14:textId="2D3416CD" w:rsidR="00621F45" w:rsidRPr="008B54A0" w:rsidRDefault="00881265" w:rsidP="00A3747F">
            <w:pPr>
              <w:widowControl w:val="0"/>
              <w:ind w:left="-64" w:right="-46"/>
              <w:jc w:val="center"/>
              <w:rPr>
                <w:rFonts w:eastAsia="Times New Roman" w:cs="Arial"/>
                <w:b/>
                <w:bCs/>
                <w:sz w:val="14"/>
                <w:szCs w:val="16"/>
                <w:lang w:val="es-ES_tradnl" w:eastAsia="es-ES"/>
              </w:rPr>
            </w:pPr>
            <w:r w:rsidRPr="008B54A0">
              <w:rPr>
                <w:rFonts w:eastAsia="Times New Roman" w:cs="Arial"/>
                <w:b/>
                <w:bCs/>
                <w:sz w:val="14"/>
                <w:szCs w:val="16"/>
                <w:lang w:val="es-ES_tradnl" w:eastAsia="es-ES"/>
              </w:rPr>
              <w:t>Desocu</w:t>
            </w:r>
            <w:r w:rsidR="00621F45" w:rsidRPr="008B54A0">
              <w:rPr>
                <w:rFonts w:eastAsia="Times New Roman" w:cs="Arial"/>
                <w:b/>
                <w:bCs/>
                <w:sz w:val="14"/>
                <w:szCs w:val="16"/>
                <w:lang w:val="es-ES_tradnl" w:eastAsia="es-ES"/>
              </w:rPr>
              <w:t>pada</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4B3B2E" w14:textId="1A548BC0" w:rsidR="00621F45" w:rsidRPr="008B54A0" w:rsidRDefault="008B54A0" w:rsidP="00A3747F">
            <w:pPr>
              <w:widowControl w:val="0"/>
              <w:ind w:left="-44" w:right="-70"/>
              <w:jc w:val="center"/>
              <w:rPr>
                <w:rFonts w:eastAsia="Times New Roman" w:cs="Arial"/>
                <w:b/>
                <w:bCs/>
                <w:sz w:val="10"/>
                <w:szCs w:val="16"/>
                <w:lang w:val="es-ES_tradnl" w:eastAsia="es-ES"/>
              </w:rPr>
            </w:pPr>
            <w:r w:rsidRPr="008B54A0">
              <w:rPr>
                <w:rFonts w:eastAsia="Times New Roman" w:cs="Arial"/>
                <w:b/>
                <w:bCs/>
                <w:sz w:val="10"/>
                <w:szCs w:val="16"/>
                <w:lang w:val="es-ES_tradnl" w:eastAsia="es-ES"/>
              </w:rPr>
              <w:t>Participación</w:t>
            </w:r>
          </w:p>
        </w:tc>
        <w:tc>
          <w:tcPr>
            <w:tcW w:w="68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72A1A71" w14:textId="3C132410" w:rsidR="00621F45" w:rsidRPr="008B54A0" w:rsidRDefault="008B54A0" w:rsidP="008B54A0">
            <w:pPr>
              <w:widowControl w:val="0"/>
              <w:ind w:left="-56" w:right="-39"/>
              <w:jc w:val="center"/>
              <w:rPr>
                <w:rFonts w:eastAsia="Times New Roman" w:cs="Arial"/>
                <w:b/>
                <w:bCs/>
                <w:sz w:val="10"/>
                <w:szCs w:val="16"/>
                <w:lang w:val="es-ES_tradnl" w:eastAsia="es-ES"/>
              </w:rPr>
            </w:pPr>
            <w:r w:rsidRPr="008B54A0">
              <w:rPr>
                <w:rFonts w:eastAsia="Times New Roman" w:cs="Arial"/>
                <w:b/>
                <w:bCs/>
                <w:sz w:val="8"/>
                <w:szCs w:val="16"/>
                <w:lang w:val="es-ES_tradnl" w:eastAsia="es-ES"/>
              </w:rPr>
              <w:t>Deso</w:t>
            </w:r>
            <w:r w:rsidR="00621F45" w:rsidRPr="008B54A0">
              <w:rPr>
                <w:rFonts w:eastAsia="Times New Roman" w:cs="Arial"/>
                <w:b/>
                <w:bCs/>
                <w:sz w:val="8"/>
                <w:szCs w:val="16"/>
                <w:lang w:val="es-ES_tradnl" w:eastAsia="es-ES"/>
              </w:rPr>
              <w:t>cupa</w:t>
            </w:r>
            <w:r w:rsidRPr="008B54A0">
              <w:rPr>
                <w:rFonts w:eastAsia="Times New Roman" w:cs="Arial"/>
                <w:b/>
                <w:bCs/>
                <w:sz w:val="8"/>
                <w:szCs w:val="16"/>
                <w:lang w:val="es-ES_tradnl" w:eastAsia="es-ES"/>
              </w:rPr>
              <w:t>ción</w:t>
            </w:r>
          </w:p>
        </w:tc>
        <w:tc>
          <w:tcPr>
            <w:tcW w:w="5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454CE0" w14:textId="3462E6B8" w:rsidR="00621F45" w:rsidRPr="008B54A0" w:rsidRDefault="00621F45" w:rsidP="00A3747F">
            <w:pPr>
              <w:widowControl w:val="0"/>
              <w:ind w:left="-39" w:right="-35"/>
              <w:jc w:val="center"/>
              <w:rPr>
                <w:rFonts w:eastAsia="Times New Roman" w:cs="Arial"/>
                <w:b/>
                <w:bCs/>
                <w:sz w:val="10"/>
                <w:szCs w:val="16"/>
                <w:lang w:val="es-ES_tradnl" w:eastAsia="es-ES"/>
              </w:rPr>
            </w:pPr>
            <w:r w:rsidRPr="008B54A0">
              <w:rPr>
                <w:rFonts w:eastAsia="Times New Roman" w:cs="Arial"/>
                <w:b/>
                <w:bCs/>
                <w:sz w:val="10"/>
                <w:szCs w:val="16"/>
                <w:lang w:val="es-ES_tradnl" w:eastAsia="es-ES"/>
              </w:rPr>
              <w:t>O</w:t>
            </w:r>
            <w:r w:rsidR="008B54A0" w:rsidRPr="008B54A0">
              <w:rPr>
                <w:rFonts w:eastAsia="Times New Roman" w:cs="Arial"/>
                <w:b/>
                <w:bCs/>
                <w:sz w:val="10"/>
                <w:szCs w:val="16"/>
                <w:lang w:val="es-ES_tradnl" w:eastAsia="es-ES"/>
              </w:rPr>
              <w:t>cupación Parcial y Desocupación</w:t>
            </w:r>
          </w:p>
        </w:tc>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A2EF89" w14:textId="2882B78C" w:rsidR="00621F45" w:rsidRPr="008B54A0" w:rsidRDefault="008B54A0" w:rsidP="00A3747F">
            <w:pPr>
              <w:widowControl w:val="0"/>
              <w:ind w:left="-56" w:right="-56"/>
              <w:jc w:val="center"/>
              <w:rPr>
                <w:rFonts w:eastAsia="Times New Roman" w:cs="Arial"/>
                <w:b/>
                <w:bCs/>
                <w:sz w:val="10"/>
                <w:szCs w:val="16"/>
                <w:lang w:val="es-ES_tradnl" w:eastAsia="es-ES"/>
              </w:rPr>
            </w:pPr>
            <w:r w:rsidRPr="008B54A0">
              <w:rPr>
                <w:rFonts w:eastAsia="Times New Roman" w:cs="Arial"/>
                <w:b/>
                <w:bCs/>
                <w:sz w:val="10"/>
                <w:szCs w:val="16"/>
                <w:lang w:val="es-ES_tradnl" w:eastAsia="es-ES"/>
              </w:rPr>
              <w:t>Presión General</w:t>
            </w:r>
          </w:p>
        </w:tc>
        <w:tc>
          <w:tcPr>
            <w:tcW w:w="5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CC4384" w14:textId="3B5A6F5A" w:rsidR="00621F45" w:rsidRPr="008B54A0" w:rsidRDefault="008B54A0" w:rsidP="00A3747F">
            <w:pPr>
              <w:widowControl w:val="0"/>
              <w:ind w:left="-70" w:right="-64"/>
              <w:jc w:val="center"/>
              <w:rPr>
                <w:rFonts w:eastAsia="Times New Roman" w:cs="Arial"/>
                <w:b/>
                <w:bCs/>
                <w:sz w:val="10"/>
                <w:szCs w:val="16"/>
                <w:lang w:val="es-ES_tradnl" w:eastAsia="es-ES"/>
              </w:rPr>
            </w:pPr>
            <w:r w:rsidRPr="008B54A0">
              <w:rPr>
                <w:rFonts w:eastAsia="Times New Roman" w:cs="Arial"/>
                <w:b/>
                <w:bCs/>
                <w:sz w:val="10"/>
                <w:szCs w:val="16"/>
                <w:lang w:val="es-ES_tradnl" w:eastAsia="es-ES"/>
              </w:rPr>
              <w:t>Trabajo Asalariado</w:t>
            </w:r>
          </w:p>
        </w:tc>
        <w:tc>
          <w:tcPr>
            <w:tcW w:w="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471CC1" w14:textId="74DDC89F" w:rsidR="00621F45" w:rsidRPr="008B54A0" w:rsidRDefault="008B54A0" w:rsidP="00A3747F">
            <w:pPr>
              <w:widowControl w:val="0"/>
              <w:jc w:val="center"/>
              <w:rPr>
                <w:rFonts w:eastAsia="Times New Roman" w:cs="Arial"/>
                <w:b/>
                <w:bCs/>
                <w:sz w:val="10"/>
                <w:szCs w:val="16"/>
                <w:lang w:val="es-ES_tradnl" w:eastAsia="es-ES"/>
              </w:rPr>
            </w:pPr>
            <w:r w:rsidRPr="008B54A0">
              <w:rPr>
                <w:rFonts w:eastAsia="Times New Roman" w:cs="Arial"/>
                <w:b/>
                <w:bCs/>
                <w:sz w:val="10"/>
                <w:szCs w:val="16"/>
                <w:lang w:val="es-ES_tradnl" w:eastAsia="es-ES"/>
              </w:rPr>
              <w:t>Subocupación</w:t>
            </w:r>
          </w:p>
        </w:tc>
        <w:tc>
          <w:tcPr>
            <w:tcW w:w="6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27176A" w14:textId="175D0848" w:rsidR="00621F45" w:rsidRPr="008B54A0" w:rsidRDefault="008B54A0" w:rsidP="008B54A0">
            <w:pPr>
              <w:widowControl w:val="0"/>
              <w:ind w:left="-38" w:right="-74"/>
              <w:jc w:val="center"/>
              <w:rPr>
                <w:rFonts w:eastAsia="Times New Roman" w:cs="Arial"/>
                <w:b/>
                <w:bCs/>
                <w:sz w:val="10"/>
                <w:szCs w:val="16"/>
                <w:lang w:val="es-ES_tradnl" w:eastAsia="es-ES"/>
              </w:rPr>
            </w:pPr>
            <w:r w:rsidRPr="008B54A0">
              <w:rPr>
                <w:rFonts w:eastAsia="Times New Roman" w:cs="Arial"/>
                <w:b/>
                <w:bCs/>
                <w:sz w:val="10"/>
                <w:szCs w:val="16"/>
                <w:lang w:val="es-ES_tradnl" w:eastAsia="es-ES"/>
              </w:rPr>
              <w:t>Condiciones Críticas de Ocupación</w:t>
            </w:r>
          </w:p>
        </w:tc>
        <w:tc>
          <w:tcPr>
            <w:tcW w:w="57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BA2EA6" w14:textId="312BE17A" w:rsidR="00621F45" w:rsidRPr="008B54A0" w:rsidRDefault="008B54A0" w:rsidP="008B54A0">
            <w:pPr>
              <w:widowControl w:val="0"/>
              <w:ind w:left="-45" w:right="-53"/>
              <w:jc w:val="center"/>
              <w:rPr>
                <w:rFonts w:eastAsia="Times New Roman" w:cs="Arial"/>
                <w:b/>
                <w:bCs/>
                <w:sz w:val="10"/>
                <w:szCs w:val="16"/>
                <w:lang w:val="es-ES_tradnl" w:eastAsia="es-ES"/>
              </w:rPr>
            </w:pPr>
            <w:r w:rsidRPr="008B54A0">
              <w:rPr>
                <w:rFonts w:eastAsia="Times New Roman" w:cs="Arial"/>
                <w:b/>
                <w:bCs/>
                <w:sz w:val="10"/>
                <w:szCs w:val="16"/>
                <w:lang w:val="es-ES_tradnl" w:eastAsia="es-ES"/>
              </w:rPr>
              <w:t xml:space="preserve">Informalidad Laboral </w:t>
            </w:r>
          </w:p>
        </w:tc>
        <w:tc>
          <w:tcPr>
            <w:tcW w:w="71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9C7AC8" w14:textId="0C2C3165" w:rsidR="00621F45" w:rsidRPr="008B54A0" w:rsidRDefault="008B54A0" w:rsidP="008B54A0">
            <w:pPr>
              <w:widowControl w:val="0"/>
              <w:ind w:left="-45" w:right="-53"/>
              <w:jc w:val="center"/>
              <w:rPr>
                <w:rFonts w:eastAsia="Times New Roman" w:cs="Arial"/>
                <w:b/>
                <w:bCs/>
                <w:sz w:val="10"/>
                <w:szCs w:val="16"/>
                <w:lang w:val="es-ES_tradnl" w:eastAsia="es-ES"/>
              </w:rPr>
            </w:pPr>
            <w:r w:rsidRPr="008B54A0">
              <w:rPr>
                <w:rFonts w:eastAsia="Times New Roman" w:cs="Arial"/>
                <w:b/>
                <w:bCs/>
                <w:sz w:val="10"/>
                <w:szCs w:val="16"/>
                <w:lang w:val="es-ES_tradnl" w:eastAsia="es-ES"/>
              </w:rPr>
              <w:t>Ocupación en el Sector Informal</w:t>
            </w:r>
          </w:p>
        </w:tc>
      </w:tr>
      <w:tr w:rsidR="00621F45" w:rsidRPr="00621F45" w14:paraId="2F6A0FF9" w14:textId="77777777" w:rsidTr="00490BFE">
        <w:trPr>
          <w:trHeight w:val="273"/>
          <w:tblHeader/>
          <w:jc w:val="center"/>
        </w:trPr>
        <w:tc>
          <w:tcPr>
            <w:tcW w:w="917"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1DA767" w14:textId="77777777" w:rsidR="00621F45" w:rsidRPr="00621F45" w:rsidRDefault="00621F45" w:rsidP="00A3747F">
            <w:pPr>
              <w:widowControl w:val="0"/>
              <w:jc w:val="center"/>
              <w:rPr>
                <w:rFonts w:cs="Arial"/>
                <w:b/>
                <w:bCs/>
                <w:sz w:val="14"/>
              </w:rPr>
            </w:pPr>
          </w:p>
        </w:tc>
        <w:tc>
          <w:tcPr>
            <w:tcW w:w="20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ABD11D" w14:textId="77777777" w:rsidR="00621F45" w:rsidRPr="00621F45" w:rsidRDefault="00621F45" w:rsidP="00A3747F">
            <w:pPr>
              <w:widowControl w:val="0"/>
              <w:ind w:left="-64" w:right="-46"/>
              <w:jc w:val="center"/>
              <w:rPr>
                <w:rFonts w:cs="Arial"/>
                <w:bCs/>
                <w:sz w:val="14"/>
                <w:szCs w:val="16"/>
              </w:rPr>
            </w:pPr>
            <w:r w:rsidRPr="00621F45">
              <w:rPr>
                <w:rFonts w:cs="Arial"/>
                <w:bCs/>
                <w:sz w:val="14"/>
                <w:szCs w:val="16"/>
              </w:rPr>
              <w:t>(Personas)</w:t>
            </w:r>
          </w:p>
        </w:tc>
        <w:tc>
          <w:tcPr>
            <w:tcW w:w="5517"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82364D" w14:textId="77777777" w:rsidR="00621F45" w:rsidRPr="00621F45" w:rsidRDefault="00621F45" w:rsidP="00A3747F">
            <w:pPr>
              <w:widowControl w:val="0"/>
              <w:jc w:val="center"/>
              <w:rPr>
                <w:rFonts w:cs="Arial"/>
                <w:bCs/>
                <w:sz w:val="14"/>
                <w:szCs w:val="16"/>
              </w:rPr>
            </w:pPr>
            <w:r w:rsidRPr="00621F45">
              <w:rPr>
                <w:rFonts w:cs="Arial"/>
                <w:bCs/>
                <w:sz w:val="14"/>
                <w:szCs w:val="16"/>
              </w:rPr>
              <w:t>(Porcentaje)</w:t>
            </w:r>
          </w:p>
        </w:tc>
      </w:tr>
      <w:tr w:rsidR="00621F45" w:rsidRPr="00C91FD5" w14:paraId="1941659D" w14:textId="77777777" w:rsidTr="00C91FD5">
        <w:trPr>
          <w:trHeight w:val="80"/>
          <w:jc w:val="center"/>
        </w:trPr>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ADB41" w14:textId="77777777" w:rsidR="00621F45" w:rsidRPr="00AC3025" w:rsidRDefault="00621F45" w:rsidP="00E62D49">
            <w:pPr>
              <w:widowControl w:val="0"/>
              <w:jc w:val="center"/>
              <w:rPr>
                <w:rFonts w:cs="Arial"/>
                <w:b/>
                <w:bCs/>
                <w:sz w:val="16"/>
                <w:szCs w:val="16"/>
              </w:rPr>
            </w:pPr>
            <w:r w:rsidRPr="00AC3025">
              <w:rPr>
                <w:rFonts w:cs="Arial"/>
                <w:b/>
                <w:color w:val="000000"/>
                <w:sz w:val="16"/>
                <w:szCs w:val="16"/>
              </w:rPr>
              <w:t>Colima</w:t>
            </w:r>
          </w:p>
        </w:tc>
        <w:tc>
          <w:tcPr>
            <w:tcW w:w="10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6A3775" w14:textId="77777777" w:rsidR="00621F45" w:rsidRPr="00C91FD5" w:rsidRDefault="00621F45" w:rsidP="00A3747F">
            <w:pPr>
              <w:widowControl w:val="0"/>
              <w:tabs>
                <w:tab w:val="decimal" w:pos="812"/>
              </w:tabs>
              <w:jc w:val="center"/>
              <w:rPr>
                <w:rFonts w:cs="Arial"/>
                <w:bCs/>
                <w:color w:val="000000"/>
                <w:sz w:val="16"/>
                <w:szCs w:val="16"/>
              </w:rPr>
            </w:pPr>
            <w:r w:rsidRPr="00C91FD5">
              <w:rPr>
                <w:rFonts w:cs="Arial"/>
                <w:color w:val="000000"/>
                <w:sz w:val="16"/>
                <w:szCs w:val="16"/>
              </w:rPr>
              <w:t>385 110</w:t>
            </w:r>
          </w:p>
        </w:tc>
        <w:tc>
          <w:tcPr>
            <w:tcW w:w="10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E8475" w14:textId="77777777" w:rsidR="00621F45" w:rsidRPr="00C91FD5" w:rsidRDefault="00621F45" w:rsidP="00A3747F">
            <w:pPr>
              <w:widowControl w:val="0"/>
              <w:tabs>
                <w:tab w:val="decimal" w:pos="812"/>
              </w:tabs>
              <w:jc w:val="center"/>
              <w:rPr>
                <w:rFonts w:cs="Arial"/>
                <w:bCs/>
                <w:color w:val="000000"/>
                <w:sz w:val="16"/>
                <w:szCs w:val="16"/>
              </w:rPr>
            </w:pPr>
            <w:r w:rsidRPr="00C91FD5">
              <w:rPr>
                <w:rFonts w:cs="Arial"/>
                <w:color w:val="000000"/>
                <w:sz w:val="16"/>
                <w:szCs w:val="16"/>
              </w:rPr>
              <w:t>10 127</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8C4734" w14:textId="77777777" w:rsidR="00621F45" w:rsidRPr="00C91FD5" w:rsidRDefault="00621F45" w:rsidP="00A3747F">
            <w:pPr>
              <w:widowControl w:val="0"/>
              <w:tabs>
                <w:tab w:val="decimal" w:pos="298"/>
              </w:tabs>
              <w:jc w:val="center"/>
              <w:rPr>
                <w:rFonts w:cs="Arial"/>
                <w:bCs/>
                <w:color w:val="000000"/>
                <w:sz w:val="16"/>
                <w:szCs w:val="16"/>
              </w:rPr>
            </w:pPr>
            <w:r w:rsidRPr="00C91FD5">
              <w:rPr>
                <w:rFonts w:cs="Arial"/>
                <w:color w:val="000000"/>
                <w:sz w:val="16"/>
                <w:szCs w:val="16"/>
              </w:rPr>
              <w:t>66.7</w:t>
            </w:r>
          </w:p>
        </w:tc>
        <w:tc>
          <w:tcPr>
            <w:tcW w:w="684" w:type="dxa"/>
            <w:tcBorders>
              <w:top w:val="single" w:sz="4" w:space="0" w:color="auto"/>
              <w:left w:val="single" w:sz="4" w:space="0" w:color="auto"/>
              <w:bottom w:val="single" w:sz="4" w:space="0" w:color="auto"/>
              <w:right w:val="single" w:sz="4" w:space="0" w:color="auto"/>
            </w:tcBorders>
            <w:shd w:val="clear" w:color="auto" w:fill="auto"/>
            <w:vAlign w:val="center"/>
          </w:tcPr>
          <w:p w14:paraId="4F9499C4" w14:textId="77777777" w:rsidR="00621F45" w:rsidRPr="00C91FD5" w:rsidRDefault="00621F45" w:rsidP="00A3747F">
            <w:pPr>
              <w:widowControl w:val="0"/>
              <w:tabs>
                <w:tab w:val="decimal" w:pos="169"/>
              </w:tabs>
              <w:jc w:val="center"/>
              <w:rPr>
                <w:rFonts w:cs="Arial"/>
                <w:bCs/>
                <w:color w:val="000000"/>
                <w:sz w:val="16"/>
                <w:szCs w:val="16"/>
              </w:rPr>
            </w:pPr>
            <w:r w:rsidRPr="00C91FD5">
              <w:rPr>
                <w:rFonts w:cs="Arial"/>
                <w:color w:val="000000"/>
                <w:sz w:val="16"/>
                <w:szCs w:val="16"/>
              </w:rPr>
              <w:t>2.6</w:t>
            </w:r>
          </w:p>
        </w:tc>
        <w:tc>
          <w:tcPr>
            <w:tcW w:w="592" w:type="dxa"/>
            <w:tcBorders>
              <w:top w:val="single" w:sz="4" w:space="0" w:color="auto"/>
              <w:left w:val="single" w:sz="4" w:space="0" w:color="auto"/>
              <w:bottom w:val="single" w:sz="4" w:space="0" w:color="auto"/>
              <w:right w:val="single" w:sz="4" w:space="0" w:color="auto"/>
            </w:tcBorders>
            <w:shd w:val="clear" w:color="auto" w:fill="auto"/>
            <w:vAlign w:val="center"/>
          </w:tcPr>
          <w:p w14:paraId="12DBC20F" w14:textId="77777777" w:rsidR="00621F45" w:rsidRPr="00C91FD5" w:rsidRDefault="00621F45" w:rsidP="00A3747F">
            <w:pPr>
              <w:widowControl w:val="0"/>
              <w:tabs>
                <w:tab w:val="decimal" w:pos="312"/>
              </w:tabs>
              <w:jc w:val="center"/>
              <w:rPr>
                <w:rFonts w:cs="Arial"/>
                <w:bCs/>
                <w:color w:val="000000"/>
                <w:sz w:val="16"/>
                <w:szCs w:val="16"/>
              </w:rPr>
            </w:pPr>
            <w:r w:rsidRPr="00C91FD5">
              <w:rPr>
                <w:rFonts w:cs="Arial"/>
                <w:color w:val="000000"/>
                <w:sz w:val="16"/>
                <w:szCs w:val="16"/>
              </w:rPr>
              <w:t>10.0</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13B0625D" w14:textId="77777777" w:rsidR="00621F45" w:rsidRPr="00C91FD5" w:rsidRDefault="00621F45" w:rsidP="00A3747F">
            <w:pPr>
              <w:widowControl w:val="0"/>
              <w:tabs>
                <w:tab w:val="decimal" w:pos="173"/>
              </w:tabs>
              <w:jc w:val="center"/>
              <w:rPr>
                <w:rFonts w:cs="Arial"/>
                <w:bCs/>
                <w:color w:val="000000"/>
                <w:sz w:val="16"/>
                <w:szCs w:val="16"/>
              </w:rPr>
            </w:pPr>
            <w:r w:rsidRPr="00C91FD5">
              <w:rPr>
                <w:rFonts w:cs="Arial"/>
                <w:color w:val="000000"/>
                <w:sz w:val="16"/>
                <w:szCs w:val="16"/>
              </w:rPr>
              <w:t>5.0</w:t>
            </w: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70BA4400" w14:textId="77777777" w:rsidR="00621F45" w:rsidRPr="00C91FD5" w:rsidRDefault="00621F45" w:rsidP="00A3747F">
            <w:pPr>
              <w:widowControl w:val="0"/>
              <w:tabs>
                <w:tab w:val="decimal" w:pos="302"/>
              </w:tabs>
              <w:jc w:val="center"/>
              <w:rPr>
                <w:rFonts w:cs="Arial"/>
                <w:bCs/>
                <w:color w:val="000000"/>
                <w:sz w:val="16"/>
                <w:szCs w:val="16"/>
              </w:rPr>
            </w:pPr>
            <w:r w:rsidRPr="00C91FD5">
              <w:rPr>
                <w:rFonts w:cs="Arial"/>
                <w:color w:val="000000"/>
                <w:sz w:val="16"/>
                <w:szCs w:val="16"/>
              </w:rPr>
              <w:t>67.0</w:t>
            </w:r>
          </w:p>
        </w:tc>
        <w:tc>
          <w:tcPr>
            <w:tcW w:w="535" w:type="dxa"/>
            <w:tcBorders>
              <w:top w:val="single" w:sz="4" w:space="0" w:color="auto"/>
              <w:left w:val="single" w:sz="4" w:space="0" w:color="auto"/>
              <w:bottom w:val="single" w:sz="4" w:space="0" w:color="auto"/>
              <w:right w:val="single" w:sz="4" w:space="0" w:color="auto"/>
            </w:tcBorders>
            <w:shd w:val="clear" w:color="auto" w:fill="auto"/>
            <w:vAlign w:val="center"/>
          </w:tcPr>
          <w:p w14:paraId="34CFB960" w14:textId="77777777" w:rsidR="00621F45" w:rsidRPr="00C91FD5" w:rsidRDefault="00621F45" w:rsidP="00A3747F">
            <w:pPr>
              <w:widowControl w:val="0"/>
              <w:tabs>
                <w:tab w:val="decimal" w:pos="302"/>
              </w:tabs>
              <w:jc w:val="center"/>
              <w:rPr>
                <w:rFonts w:cs="Arial"/>
                <w:bCs/>
                <w:color w:val="000000"/>
                <w:sz w:val="16"/>
                <w:szCs w:val="16"/>
              </w:rPr>
            </w:pPr>
            <w:r w:rsidRPr="00C91FD5">
              <w:rPr>
                <w:rFonts w:cs="Arial"/>
                <w:color w:val="000000"/>
                <w:sz w:val="16"/>
                <w:szCs w:val="16"/>
              </w:rPr>
              <w:t>5.5</w:t>
            </w:r>
          </w:p>
        </w:tc>
        <w:tc>
          <w:tcPr>
            <w:tcW w:w="650" w:type="dxa"/>
            <w:tcBorders>
              <w:top w:val="single" w:sz="4" w:space="0" w:color="auto"/>
              <w:left w:val="single" w:sz="4" w:space="0" w:color="auto"/>
              <w:bottom w:val="single" w:sz="4" w:space="0" w:color="auto"/>
              <w:right w:val="single" w:sz="4" w:space="0" w:color="auto"/>
            </w:tcBorders>
            <w:shd w:val="clear" w:color="auto" w:fill="auto"/>
            <w:vAlign w:val="center"/>
          </w:tcPr>
          <w:p w14:paraId="200757A4" w14:textId="77777777" w:rsidR="00621F45" w:rsidRPr="00C91FD5" w:rsidRDefault="00621F45" w:rsidP="00A3747F">
            <w:pPr>
              <w:widowControl w:val="0"/>
              <w:tabs>
                <w:tab w:val="decimal" w:pos="340"/>
              </w:tabs>
              <w:jc w:val="center"/>
              <w:rPr>
                <w:rFonts w:cs="Arial"/>
                <w:bCs/>
                <w:color w:val="000000"/>
                <w:sz w:val="16"/>
                <w:szCs w:val="16"/>
              </w:rPr>
            </w:pPr>
            <w:r w:rsidRPr="00C91FD5">
              <w:rPr>
                <w:rFonts w:cs="Arial"/>
                <w:color w:val="000000"/>
                <w:sz w:val="16"/>
                <w:szCs w:val="16"/>
              </w:rPr>
              <w:t>20.6</w:t>
            </w:r>
          </w:p>
        </w:tc>
        <w:tc>
          <w:tcPr>
            <w:tcW w:w="579" w:type="dxa"/>
            <w:tcBorders>
              <w:top w:val="single" w:sz="4" w:space="0" w:color="auto"/>
              <w:left w:val="single" w:sz="4" w:space="0" w:color="auto"/>
              <w:bottom w:val="single" w:sz="4" w:space="0" w:color="auto"/>
              <w:right w:val="single" w:sz="4" w:space="0" w:color="auto"/>
            </w:tcBorders>
            <w:shd w:val="clear" w:color="auto" w:fill="auto"/>
            <w:vAlign w:val="center"/>
          </w:tcPr>
          <w:p w14:paraId="54B9F828" w14:textId="77777777" w:rsidR="00621F45" w:rsidRPr="00C91FD5" w:rsidRDefault="00621F45" w:rsidP="00A3747F">
            <w:pPr>
              <w:widowControl w:val="0"/>
              <w:tabs>
                <w:tab w:val="decimal" w:pos="246"/>
              </w:tabs>
              <w:jc w:val="center"/>
              <w:rPr>
                <w:rFonts w:cs="Arial"/>
                <w:bCs/>
                <w:color w:val="000000"/>
                <w:sz w:val="16"/>
                <w:szCs w:val="16"/>
              </w:rPr>
            </w:pPr>
            <w:r w:rsidRPr="00C91FD5">
              <w:rPr>
                <w:rFonts w:cs="Arial"/>
                <w:color w:val="000000"/>
                <w:sz w:val="16"/>
                <w:szCs w:val="16"/>
              </w:rPr>
              <w:t>49.1</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71FE9A" w14:textId="77777777" w:rsidR="00621F45" w:rsidRPr="00C91FD5" w:rsidRDefault="00621F45" w:rsidP="00A3747F">
            <w:pPr>
              <w:widowControl w:val="0"/>
              <w:tabs>
                <w:tab w:val="decimal" w:pos="283"/>
              </w:tabs>
              <w:jc w:val="center"/>
              <w:rPr>
                <w:rFonts w:cs="Arial"/>
                <w:bCs/>
                <w:color w:val="000000"/>
                <w:sz w:val="16"/>
                <w:szCs w:val="16"/>
              </w:rPr>
            </w:pPr>
            <w:r w:rsidRPr="00C91FD5">
              <w:rPr>
                <w:rFonts w:cs="Arial"/>
                <w:color w:val="000000"/>
                <w:sz w:val="16"/>
                <w:szCs w:val="16"/>
              </w:rPr>
              <w:t>19.1</w:t>
            </w:r>
          </w:p>
        </w:tc>
      </w:tr>
    </w:tbl>
    <w:p w14:paraId="6B964A7D" w14:textId="0FF1FEA9" w:rsidR="003E7BDB" w:rsidRPr="008B54A0" w:rsidRDefault="008B54A0" w:rsidP="008B54A0">
      <w:pPr>
        <w:pStyle w:val="n0"/>
        <w:keepLines w:val="0"/>
        <w:widowControl w:val="0"/>
        <w:tabs>
          <w:tab w:val="left" w:pos="1350"/>
          <w:tab w:val="left" w:pos="2190"/>
          <w:tab w:val="left" w:pos="3752"/>
        </w:tabs>
        <w:spacing w:before="0"/>
        <w:ind w:left="0" w:right="-267" w:firstLine="0"/>
        <w:jc w:val="left"/>
        <w:rPr>
          <w:color w:val="auto"/>
          <w:sz w:val="12"/>
          <w:szCs w:val="14"/>
        </w:rPr>
      </w:pPr>
      <w:r>
        <w:rPr>
          <w:b/>
          <w:color w:val="auto"/>
          <w:sz w:val="12"/>
          <w:szCs w:val="14"/>
        </w:rPr>
        <w:t xml:space="preserve">     </w:t>
      </w:r>
      <w:r w:rsidR="003E7BDB" w:rsidRPr="008B54A0">
        <w:rPr>
          <w:b/>
          <w:color w:val="auto"/>
          <w:sz w:val="12"/>
          <w:szCs w:val="14"/>
        </w:rPr>
        <w:t>Fuente</w:t>
      </w:r>
      <w:r w:rsidR="003E7BDB" w:rsidRPr="008B54A0">
        <w:rPr>
          <w:color w:val="auto"/>
          <w:sz w:val="12"/>
          <w:szCs w:val="14"/>
        </w:rPr>
        <w:t xml:space="preserve">: INEGI. </w:t>
      </w:r>
      <w:r w:rsidR="003E7BDB" w:rsidRPr="008B54A0">
        <w:rPr>
          <w:noProof/>
          <w:color w:val="auto"/>
          <w:sz w:val="12"/>
          <w:szCs w:val="14"/>
        </w:rPr>
        <w:t>Encuesta Nacional de Ocupación y Empleo, Nueva Edición (ENOE)</w:t>
      </w:r>
    </w:p>
    <w:p w14:paraId="49E9116A" w14:textId="377030F9" w:rsidR="00621F45" w:rsidRDefault="00621F45" w:rsidP="00A3747F">
      <w:pPr>
        <w:rPr>
          <w:rFonts w:cs="Arial"/>
        </w:rPr>
      </w:pPr>
    </w:p>
    <w:p w14:paraId="66139499" w14:textId="5C73F264" w:rsidR="001C6A96" w:rsidRDefault="001C6A96" w:rsidP="00A3747F">
      <w:pPr>
        <w:rPr>
          <w:rFonts w:cs="Arial"/>
        </w:rPr>
      </w:pPr>
      <w:r>
        <w:rPr>
          <w:rFonts w:cs="Arial"/>
        </w:rPr>
        <w:t>Nuestro estado cuenta con 38</w:t>
      </w:r>
      <w:r w:rsidR="006960DF">
        <w:rPr>
          <w:rFonts w:cs="Arial"/>
        </w:rPr>
        <w:t xml:space="preserve"> mil 511 unidades económicas según el Directorio Estadístico Nacional de Unidades</w:t>
      </w:r>
      <w:r w:rsidR="00AC3025">
        <w:rPr>
          <w:rFonts w:cs="Arial"/>
        </w:rPr>
        <w:t xml:space="preserve"> ello representa un 0.7 por ciento</w:t>
      </w:r>
      <w:r w:rsidR="006960DF">
        <w:rPr>
          <w:rFonts w:cs="Arial"/>
        </w:rPr>
        <w:t xml:space="preserve">, </w:t>
      </w:r>
      <w:r w:rsidR="00AC3025">
        <w:rPr>
          <w:rFonts w:cs="Arial"/>
        </w:rPr>
        <w:t>solo por encima del estado de Baja California Sur que cuenta con 35,745 unidades económicas con cifras al 2022.</w:t>
      </w:r>
      <w:r w:rsidR="00AC1A1C">
        <w:rPr>
          <w:rFonts w:cs="Arial"/>
        </w:rPr>
        <w:t xml:space="preserve"> </w:t>
      </w:r>
    </w:p>
    <w:p w14:paraId="6726C855" w14:textId="77777777" w:rsidR="00E36896" w:rsidRDefault="00E36896" w:rsidP="00A3747F">
      <w:pPr>
        <w:rPr>
          <w:rFonts w:cs="Arial"/>
        </w:rPr>
      </w:pPr>
    </w:p>
    <w:p w14:paraId="74FEDDD4" w14:textId="77777777" w:rsidR="00E36896" w:rsidRDefault="00E36896" w:rsidP="00E36896">
      <w:pPr>
        <w:rPr>
          <w:rFonts w:cs="Arial"/>
        </w:rPr>
      </w:pPr>
      <w:r w:rsidRPr="000C072F">
        <w:rPr>
          <w:rFonts w:cs="Arial"/>
        </w:rPr>
        <w:t>La pre</w:t>
      </w:r>
      <w:r>
        <w:rPr>
          <w:rFonts w:cs="Arial"/>
        </w:rPr>
        <w:t>sente administración estatal, continuado trabajado</w:t>
      </w:r>
      <w:r w:rsidRPr="000C072F">
        <w:rPr>
          <w:rFonts w:cs="Arial"/>
        </w:rPr>
        <w:t xml:space="preserve"> arduamente en la estructuración y consolidación de las bases jurídicas y financieras para generar mejores condiciones en la hacienda pública local que repercuta en condiciones propicias p</w:t>
      </w:r>
      <w:r>
        <w:rPr>
          <w:rFonts w:cs="Arial"/>
        </w:rPr>
        <w:t xml:space="preserve">ara la atracción de inversiones y en el bienestar social. </w:t>
      </w:r>
    </w:p>
    <w:p w14:paraId="7090F4F7" w14:textId="77777777" w:rsidR="00E36896" w:rsidRPr="000C072F" w:rsidRDefault="00E36896" w:rsidP="00E36896">
      <w:pPr>
        <w:rPr>
          <w:rFonts w:cs="Arial"/>
        </w:rPr>
      </w:pPr>
    </w:p>
    <w:p w14:paraId="041297C1" w14:textId="77777777" w:rsidR="00E36896" w:rsidRDefault="00E36896" w:rsidP="00E36896">
      <w:pPr>
        <w:rPr>
          <w:rFonts w:cs="Arial"/>
        </w:rPr>
      </w:pPr>
      <w:r w:rsidRPr="000C072F">
        <w:rPr>
          <w:rFonts w:cs="Arial"/>
        </w:rPr>
        <w:t>Así mismo, se fortalecen las estrategias y las acciones con el propósito de que permitan en el tiempo, mantener el equilibrio en las finanzas públicas sin descuidar las obligaciones sust</w:t>
      </w:r>
      <w:r>
        <w:rPr>
          <w:rFonts w:cs="Arial"/>
        </w:rPr>
        <w:t>antivas del Estado, fortaleciendo</w:t>
      </w:r>
      <w:r w:rsidRPr="000C072F">
        <w:rPr>
          <w:rFonts w:cs="Arial"/>
        </w:rPr>
        <w:t xml:space="preserve"> los ingresos propios y aplicando un estricto programa de contención del gasto público.  </w:t>
      </w:r>
    </w:p>
    <w:p w14:paraId="7129EAB3" w14:textId="4F87B34D" w:rsidR="001C6A96" w:rsidRDefault="001C6A96" w:rsidP="00A3747F">
      <w:pPr>
        <w:rPr>
          <w:rFonts w:cs="Arial"/>
        </w:rPr>
      </w:pPr>
    </w:p>
    <w:p w14:paraId="35D06F34" w14:textId="0EA0AEFF" w:rsidR="00834FB2" w:rsidRPr="00A55906" w:rsidRDefault="00AA639D" w:rsidP="0045406C">
      <w:pPr>
        <w:pStyle w:val="Ttulo2"/>
      </w:pPr>
      <w:r w:rsidRPr="002B4873">
        <w:t>1.</w:t>
      </w:r>
      <w:r w:rsidR="0045406C" w:rsidRPr="002B4873">
        <w:t>V</w:t>
      </w:r>
      <w:r w:rsidR="00834FB2" w:rsidRPr="002B4873">
        <w:t xml:space="preserve"> Condiciones Financieras</w:t>
      </w:r>
    </w:p>
    <w:p w14:paraId="208C3774" w14:textId="77777777" w:rsidR="00CA5730" w:rsidRPr="00A55906" w:rsidRDefault="00CA5730" w:rsidP="00A3747F">
      <w:pPr>
        <w:rPr>
          <w:rFonts w:cs="Arial"/>
        </w:rPr>
      </w:pPr>
    </w:p>
    <w:p w14:paraId="3AFF5179" w14:textId="49074281" w:rsidR="00A0285B" w:rsidRDefault="0060260C" w:rsidP="00A3747F">
      <w:pPr>
        <w:rPr>
          <w:rFonts w:cs="Arial"/>
        </w:rPr>
      </w:pPr>
      <w:r>
        <w:rPr>
          <w:rFonts w:cs="Arial"/>
        </w:rPr>
        <w:t>Con</w:t>
      </w:r>
      <w:r w:rsidR="00E36896">
        <w:rPr>
          <w:rFonts w:cs="Arial"/>
        </w:rPr>
        <w:t xml:space="preserve"> corte al tercer trimestre del Ejercicio F</w:t>
      </w:r>
      <w:r>
        <w:rPr>
          <w:rFonts w:cs="Arial"/>
        </w:rPr>
        <w:t>iscal 2022, el Gobierno del Estado de Colima, de acuerdo a la Ley de Ingresos del Estado de Colima para el Ejercicio Fiscal 2022</w:t>
      </w:r>
      <w:r w:rsidR="00A0285B">
        <w:rPr>
          <w:rFonts w:cs="Arial"/>
        </w:rPr>
        <w:t xml:space="preserve"> de los 18,565,434,132.00 pesos se</w:t>
      </w:r>
      <w:r>
        <w:rPr>
          <w:rFonts w:cs="Arial"/>
        </w:rPr>
        <w:t xml:space="preserve"> ha</w:t>
      </w:r>
      <w:r w:rsidR="00A0285B">
        <w:rPr>
          <w:rFonts w:cs="Arial"/>
        </w:rPr>
        <w:t>n</w:t>
      </w:r>
      <w:r>
        <w:rPr>
          <w:rFonts w:cs="Arial"/>
        </w:rPr>
        <w:t xml:space="preserve"> </w:t>
      </w:r>
      <w:r w:rsidR="00A0285B">
        <w:rPr>
          <w:rFonts w:cs="Arial"/>
        </w:rPr>
        <w:t>devengado 14,501,005,389.62</w:t>
      </w:r>
      <w:r>
        <w:rPr>
          <w:rFonts w:cs="Arial"/>
        </w:rPr>
        <w:t xml:space="preserve"> pesos cifra que muestra un avance del 7</w:t>
      </w:r>
      <w:r w:rsidR="00A0285B">
        <w:rPr>
          <w:rFonts w:cs="Arial"/>
        </w:rPr>
        <w:t>8</w:t>
      </w:r>
      <w:r>
        <w:rPr>
          <w:rFonts w:cs="Arial"/>
        </w:rPr>
        <w:t xml:space="preserve"> por ciento en </w:t>
      </w:r>
      <w:r w:rsidR="00A0285B">
        <w:rPr>
          <w:rFonts w:cs="Arial"/>
        </w:rPr>
        <w:t xml:space="preserve">la recaudación, y que se estima habrá de cumplirse al cierre del ejercicio fiscal. </w:t>
      </w:r>
    </w:p>
    <w:p w14:paraId="318F2F2E" w14:textId="77777777" w:rsidR="00A0285B" w:rsidRDefault="00A0285B" w:rsidP="00A3747F">
      <w:pPr>
        <w:rPr>
          <w:rFonts w:cs="Arial"/>
        </w:rPr>
      </w:pPr>
    </w:p>
    <w:p w14:paraId="68A54F84" w14:textId="72DEE4BC" w:rsidR="00C115B0" w:rsidRDefault="00A0285B" w:rsidP="00A3747F">
      <w:pPr>
        <w:rPr>
          <w:rFonts w:cs="Arial"/>
        </w:rPr>
      </w:pPr>
      <w:r>
        <w:rPr>
          <w:rFonts w:cs="Arial"/>
        </w:rPr>
        <w:t>Los Ingresos de Libre Disposición</w:t>
      </w:r>
      <w:r w:rsidR="0060260C">
        <w:rPr>
          <w:rFonts w:cs="Arial"/>
        </w:rPr>
        <w:t xml:space="preserve"> </w:t>
      </w:r>
      <w:r>
        <w:rPr>
          <w:rFonts w:cs="Arial"/>
        </w:rPr>
        <w:t xml:space="preserve">muestran un avance del 83 por ciento al cierre del tercer trimestre, con una recaudación de 6,767,245,979.54 de los 8,140,321,337.00 que se estimaron a recaudar en el año. </w:t>
      </w:r>
      <w:r w:rsidR="00C115B0">
        <w:rPr>
          <w:rFonts w:cs="Arial"/>
        </w:rPr>
        <w:t xml:space="preserve">Los ingresos locales o de gestión en el mismo periodo de tiempo ascienden a </w:t>
      </w:r>
      <w:r w:rsidR="00C115B0" w:rsidRPr="00C115B0">
        <w:rPr>
          <w:rFonts w:cs="Arial"/>
        </w:rPr>
        <w:t>1,271,038,734.23</w:t>
      </w:r>
      <w:r w:rsidR="00C115B0">
        <w:rPr>
          <w:rFonts w:cs="Arial"/>
        </w:rPr>
        <w:t xml:space="preserve"> pesos de los </w:t>
      </w:r>
      <w:r w:rsidR="00C115B0" w:rsidRPr="00C115B0">
        <w:rPr>
          <w:rFonts w:cs="Arial"/>
        </w:rPr>
        <w:t>1,518,629,878.00</w:t>
      </w:r>
      <w:r w:rsidR="00C115B0">
        <w:rPr>
          <w:rFonts w:cs="Arial"/>
        </w:rPr>
        <w:t xml:space="preserve"> que se estiman recaudar lo que implica un avance en la recaudación por esta vía del 84 por ciento. </w:t>
      </w:r>
      <w:r w:rsidR="00C16C23">
        <w:rPr>
          <w:rFonts w:cs="Arial"/>
        </w:rPr>
        <w:t xml:space="preserve">Los ingresos locales representan cerca del 19 por ciento del total de los Ingresos de Libre Disposición. </w:t>
      </w:r>
    </w:p>
    <w:p w14:paraId="6BF9F03D" w14:textId="3CD2F5D4" w:rsidR="00C16C23" w:rsidRDefault="00C16C23" w:rsidP="00A3747F">
      <w:pPr>
        <w:rPr>
          <w:rFonts w:cs="Arial"/>
        </w:rPr>
      </w:pPr>
    </w:p>
    <w:p w14:paraId="042D924C" w14:textId="7EA17992" w:rsidR="00C16C23" w:rsidRDefault="00C16C23" w:rsidP="00A3747F">
      <w:pPr>
        <w:rPr>
          <w:rFonts w:cs="Arial"/>
        </w:rPr>
      </w:pPr>
      <w:r>
        <w:rPr>
          <w:rFonts w:cs="Arial"/>
        </w:rPr>
        <w:t xml:space="preserve">Por su parte, en el rubro de Transferencias Federales Etiquetadas se estiman recibir 9,437,542,763.00 </w:t>
      </w:r>
      <w:r w:rsidR="00310336">
        <w:rPr>
          <w:rFonts w:cs="Arial"/>
        </w:rPr>
        <w:t xml:space="preserve">pesos </w:t>
      </w:r>
      <w:r>
        <w:rPr>
          <w:rFonts w:cs="Arial"/>
        </w:rPr>
        <w:t xml:space="preserve">durante el ejercicio fiscal 2022, de los cuales al tercer trimestre se han devengado ingresos de este tipo por </w:t>
      </w:r>
      <w:r w:rsidR="00310336">
        <w:rPr>
          <w:rFonts w:cs="Arial"/>
        </w:rPr>
        <w:t xml:space="preserve">7,428,759,410.08 pesos lo que representa un avance del 79 por ciento, las Aportaciones Federales representan el rubro más importante con 5,319,907,157.53 pesos devengados. </w:t>
      </w:r>
    </w:p>
    <w:p w14:paraId="67436562" w14:textId="77777777" w:rsidR="006634DB" w:rsidRDefault="006634DB" w:rsidP="00A3747F">
      <w:pPr>
        <w:rPr>
          <w:rFonts w:cs="Arial"/>
        </w:rPr>
      </w:pPr>
    </w:p>
    <w:p w14:paraId="51B66FE5" w14:textId="2551A219" w:rsidR="00310336" w:rsidRDefault="006634DB" w:rsidP="00A3747F">
      <w:pPr>
        <w:rPr>
          <w:rFonts w:cs="Arial"/>
        </w:rPr>
      </w:pPr>
      <w:r>
        <w:rPr>
          <w:rFonts w:cs="Arial"/>
        </w:rPr>
        <w:t xml:space="preserve">En lo que refiere al </w:t>
      </w:r>
      <w:r w:rsidR="00310336">
        <w:rPr>
          <w:rFonts w:cs="Arial"/>
        </w:rPr>
        <w:t xml:space="preserve">financiamiento que fue estimado a necesitarse durante el ejercicio fiscal 2022 ascendió y fue autorizado en su modalidad de corto plazo en la Ley de Ingresos del Estado de Colima para el Ejercicio Fiscal 2022 a la suma de 987,570,032.00 pesos, de los cuales, en un ejercicio de responsabilidad y con el afán de no comprometer los ingresos del ejercicio fiscal que se está presupuestando, solo se han contratado 305,000,000.00 de pesos, cifra cercana a un tercio del techo autorizado. </w:t>
      </w:r>
    </w:p>
    <w:p w14:paraId="1E513A5A" w14:textId="77777777" w:rsidR="00310336" w:rsidRDefault="00310336" w:rsidP="00A3747F">
      <w:pPr>
        <w:rPr>
          <w:rFonts w:cs="Arial"/>
        </w:rPr>
      </w:pPr>
    </w:p>
    <w:p w14:paraId="02F79524" w14:textId="64B56785" w:rsidR="00310336" w:rsidRDefault="00310336" w:rsidP="00A3747F">
      <w:pPr>
        <w:rPr>
          <w:rFonts w:cs="Arial"/>
        </w:rPr>
      </w:pPr>
      <w:r>
        <w:rPr>
          <w:rFonts w:cs="Arial"/>
        </w:rPr>
        <w:t xml:space="preserve">Gráficamente se puede observar el comportamiento de la recaudación al cierre del tercer trimestre por los grandes agregados del ingreso. </w:t>
      </w:r>
    </w:p>
    <w:p w14:paraId="28BAF631" w14:textId="0AF8FBDE" w:rsidR="00310336" w:rsidRDefault="00310336" w:rsidP="00A3747F">
      <w:pPr>
        <w:rPr>
          <w:rFonts w:cs="Arial"/>
        </w:rPr>
      </w:pPr>
    </w:p>
    <w:p w14:paraId="0CE333F1" w14:textId="48B43E41" w:rsidR="00310336" w:rsidRDefault="001D7FBB" w:rsidP="001D7FBB">
      <w:pPr>
        <w:jc w:val="center"/>
        <w:rPr>
          <w:rFonts w:cs="Arial"/>
        </w:rPr>
      </w:pPr>
      <w:r>
        <w:rPr>
          <w:rFonts w:cs="Arial"/>
          <w:noProof/>
        </w:rPr>
        <w:drawing>
          <wp:inline distT="0" distB="0" distL="0" distR="0" wp14:anchorId="0AAEF1CF" wp14:editId="065E57D1">
            <wp:extent cx="4861112" cy="2237160"/>
            <wp:effectExtent l="76200" t="76200" r="130175" b="12509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6169" t="3861" r="5170"/>
                    <a:stretch/>
                  </pic:blipFill>
                  <pic:spPr bwMode="auto">
                    <a:xfrm>
                      <a:off x="0" y="0"/>
                      <a:ext cx="4890978" cy="225090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14:paraId="3E381663" w14:textId="06345799" w:rsidR="00721BAF" w:rsidRDefault="0060260C" w:rsidP="00A3747F">
      <w:pPr>
        <w:rPr>
          <w:rFonts w:cs="Arial"/>
          <w:sz w:val="12"/>
        </w:rPr>
      </w:pPr>
      <w:r w:rsidRPr="001D7FBB">
        <w:rPr>
          <w:rFonts w:cs="Arial"/>
          <w:b/>
          <w:sz w:val="20"/>
        </w:rPr>
        <w:t xml:space="preserve"> </w:t>
      </w:r>
      <w:r w:rsidR="001D7FBB" w:rsidRPr="001D7FBB">
        <w:rPr>
          <w:rFonts w:cs="Arial"/>
          <w:sz w:val="18"/>
        </w:rPr>
        <w:t>Fuente:</w:t>
      </w:r>
      <w:r w:rsidR="001D7FBB" w:rsidRPr="001D7FBB">
        <w:rPr>
          <w:rFonts w:cs="Arial"/>
          <w:sz w:val="20"/>
        </w:rPr>
        <w:t xml:space="preserve"> </w:t>
      </w:r>
      <w:r w:rsidR="001D7FBB" w:rsidRPr="001D7FBB">
        <w:rPr>
          <w:rFonts w:cs="Arial"/>
          <w:sz w:val="12"/>
        </w:rPr>
        <w:t>Elaboración propia con información de la Cuenta Pública Trimestral del Gobierno del Estado del Colima al Tercer Trimestre del Ejercicio Fiscal 2022</w:t>
      </w:r>
      <w:r w:rsidR="001D7FBB">
        <w:rPr>
          <w:rFonts w:cs="Arial"/>
          <w:sz w:val="12"/>
        </w:rPr>
        <w:t>.</w:t>
      </w:r>
    </w:p>
    <w:p w14:paraId="7EB86D63" w14:textId="6A0DDC3E" w:rsidR="001D7FBB" w:rsidRPr="001D7FBB" w:rsidRDefault="001D7FBB" w:rsidP="00A3747F">
      <w:pPr>
        <w:rPr>
          <w:rFonts w:cs="Arial"/>
          <w:sz w:val="20"/>
        </w:rPr>
      </w:pPr>
      <w:r>
        <w:rPr>
          <w:rFonts w:cs="Arial"/>
          <w:sz w:val="12"/>
        </w:rPr>
        <w:t xml:space="preserve">                      </w:t>
      </w:r>
      <w:r w:rsidRPr="001D7FBB">
        <w:rPr>
          <w:rFonts w:cs="Arial"/>
          <w:sz w:val="12"/>
        </w:rPr>
        <w:t>https://www.col.gob.mx/armonizacionv3/index.php/detalle/contenido/NDY0Ng==</w:t>
      </w:r>
    </w:p>
    <w:p w14:paraId="08BFA51E" w14:textId="77777777" w:rsidR="00F40C0F" w:rsidRPr="00A55906" w:rsidRDefault="00F40C0F" w:rsidP="00A3747F">
      <w:pPr>
        <w:rPr>
          <w:rFonts w:cs="Arial"/>
        </w:rPr>
      </w:pPr>
    </w:p>
    <w:p w14:paraId="3B2E1883" w14:textId="7893B984" w:rsidR="00F40C0F" w:rsidRDefault="006634DB" w:rsidP="00A3747F">
      <w:pPr>
        <w:rPr>
          <w:rFonts w:cs="Arial"/>
        </w:rPr>
      </w:pPr>
      <w:r>
        <w:rPr>
          <w:rFonts w:cs="Arial"/>
        </w:rPr>
        <w:t>E</w:t>
      </w:r>
      <w:r w:rsidR="00D05580">
        <w:rPr>
          <w:rFonts w:cs="Arial"/>
        </w:rPr>
        <w:t xml:space="preserve">n el Decreto de Presupuesto de Egresos del Estado de Colima para el Ejercicio Fiscal 2022 se presupuestaron recursos a ejercer por la suma de </w:t>
      </w:r>
      <w:r w:rsidR="00D05580" w:rsidRPr="00D05580">
        <w:rPr>
          <w:rFonts w:cs="Arial"/>
        </w:rPr>
        <w:t>18,565,434,132.00</w:t>
      </w:r>
      <w:r w:rsidR="00D05580">
        <w:rPr>
          <w:rFonts w:cs="Arial"/>
        </w:rPr>
        <w:t xml:space="preserve"> pesos de los cuales al cierre del tercer trimestre del año en curso se han ejercido 14,265,942,321.12 pesos lo que refleja un ejercicio del gasto cercano al 77 por ciento. </w:t>
      </w:r>
    </w:p>
    <w:p w14:paraId="463433F0" w14:textId="3FDB9D8D" w:rsidR="00D05580" w:rsidRDefault="00D05580" w:rsidP="00A3747F">
      <w:pPr>
        <w:rPr>
          <w:rFonts w:cs="Arial"/>
        </w:rPr>
      </w:pPr>
    </w:p>
    <w:p w14:paraId="726F1E4C" w14:textId="6804CF9D" w:rsidR="00461184" w:rsidRDefault="00D05580" w:rsidP="000F4765">
      <w:pPr>
        <w:rPr>
          <w:rFonts w:cs="Arial"/>
        </w:rPr>
      </w:pPr>
      <w:r>
        <w:rPr>
          <w:rFonts w:cs="Arial"/>
        </w:rPr>
        <w:lastRenderedPageBreak/>
        <w:t xml:space="preserve">En lo que respecta al capítulo de Servicios Personales se han ejercido cerca de </w:t>
      </w:r>
      <w:r w:rsidRPr="00D05580">
        <w:rPr>
          <w:rFonts w:cs="Arial"/>
        </w:rPr>
        <w:t>1,229,424,478.66</w:t>
      </w:r>
      <w:r>
        <w:rPr>
          <w:rFonts w:cs="Arial"/>
        </w:rPr>
        <w:t xml:space="preserve"> pesos lo que representa ejercicio del 61 por ciento del presupuesto autorizado para tal fin, en relación al capítulo de Materiales y Suministros se han ejercido cerca 73,607,817.54 pesos lo que representa un avance del 35 por ciento de los 212,487,287.0</w:t>
      </w:r>
      <w:r w:rsidR="000F4765">
        <w:rPr>
          <w:rFonts w:cs="Arial"/>
        </w:rPr>
        <w:t xml:space="preserve">0 pesos, en comparación al mismo trimestre del Ejercicio Fiscal 2021, se han ejercido cerca de 65 millones de pesos menos, ello en gran medida gracias a un estricto control del gasto, a la optimización y uso eficiente de los recursos disponibles y a un transparente ejercicio de los recursos públicos. </w:t>
      </w:r>
    </w:p>
    <w:p w14:paraId="1B9DB751" w14:textId="578C2479" w:rsidR="000F4765" w:rsidRDefault="000F4765" w:rsidP="000F4765">
      <w:pPr>
        <w:rPr>
          <w:rFonts w:cs="Arial"/>
        </w:rPr>
      </w:pPr>
    </w:p>
    <w:p w14:paraId="36602500" w14:textId="7D7D65A4" w:rsidR="000F4765" w:rsidRDefault="00311F92" w:rsidP="000F4765">
      <w:pPr>
        <w:rPr>
          <w:rFonts w:cs="Arial"/>
        </w:rPr>
      </w:pPr>
      <w:r>
        <w:rPr>
          <w:rFonts w:cs="Arial"/>
        </w:rPr>
        <w:t xml:space="preserve">En el capítulo del gasto relacionado con </w:t>
      </w:r>
      <w:r w:rsidR="000F4765">
        <w:rPr>
          <w:rFonts w:cs="Arial"/>
        </w:rPr>
        <w:t>Servicios Generales</w:t>
      </w:r>
      <w:r>
        <w:rPr>
          <w:rFonts w:cs="Arial"/>
        </w:rPr>
        <w:t xml:space="preserve"> </w:t>
      </w:r>
      <w:r w:rsidR="00933BB5">
        <w:rPr>
          <w:rFonts w:cs="Arial"/>
        </w:rPr>
        <w:t xml:space="preserve">a la fecha que se reporta, </w:t>
      </w:r>
      <w:r>
        <w:rPr>
          <w:rFonts w:cs="Arial"/>
        </w:rPr>
        <w:t>se han ejercido 252,420,800</w:t>
      </w:r>
      <w:r w:rsidR="00933BB5">
        <w:rPr>
          <w:rFonts w:cs="Arial"/>
        </w:rPr>
        <w:t xml:space="preserve">.93 pesos cifra que es 94 millones de pesos inferior a lo que se había ejercido en el mismo periodo del Ejercicio Fiscal 2021, </w:t>
      </w:r>
      <w:r w:rsidR="00075F3C">
        <w:rPr>
          <w:rFonts w:cs="Arial"/>
        </w:rPr>
        <w:t xml:space="preserve">dentro de este capítulo los gastos que conllevan mayor carga financiera, es el pago de energía eléctrica para el funcionamiento de la infraestructura en materia de seguridad, Arrendamiento de equipo de transporte, manejo de desechos, impuesto sobre nóminas e instalación, reparación y mantenimiento de maquinaria, otros equipos y herramienta. </w:t>
      </w:r>
    </w:p>
    <w:p w14:paraId="4EB14CDF" w14:textId="0671C8E0" w:rsidR="00075F3C" w:rsidRDefault="00075F3C" w:rsidP="000F4765">
      <w:pPr>
        <w:rPr>
          <w:rFonts w:cs="Arial"/>
        </w:rPr>
      </w:pPr>
    </w:p>
    <w:p w14:paraId="5633EBBA" w14:textId="72156A39" w:rsidR="00B6760C" w:rsidRDefault="00B6760C" w:rsidP="000F4765">
      <w:pPr>
        <w:rPr>
          <w:rFonts w:cs="Arial"/>
        </w:rPr>
      </w:pPr>
      <w:r>
        <w:rPr>
          <w:rFonts w:cs="Arial"/>
        </w:rPr>
        <w:t xml:space="preserve">Por su parte, las Transferencias, Asignaciones, Subsidios y Otras Ayudas, que importan </w:t>
      </w:r>
      <w:r w:rsidRPr="00B6760C">
        <w:rPr>
          <w:rFonts w:cs="Arial"/>
        </w:rPr>
        <w:t>12,211,762,242.00</w:t>
      </w:r>
      <w:r>
        <w:rPr>
          <w:rFonts w:cs="Arial"/>
        </w:rPr>
        <w:t xml:space="preserve"> pesos, se han ejercido cerca </w:t>
      </w:r>
      <w:r w:rsidRPr="00B6760C">
        <w:rPr>
          <w:rFonts w:cs="Arial"/>
        </w:rPr>
        <w:t>9,615,500,161.81</w:t>
      </w:r>
      <w:r w:rsidR="001011C3">
        <w:rPr>
          <w:rFonts w:cs="Arial"/>
        </w:rPr>
        <w:t xml:space="preserve"> pesos lo que representa un 79 por ciento, en este rubro de gasto destacan el pago de pensiones y jubilaciones por</w:t>
      </w:r>
      <w:r w:rsidR="00092DB4">
        <w:rPr>
          <w:rFonts w:cs="Arial"/>
        </w:rPr>
        <w:t xml:space="preserve"> cerca de </w:t>
      </w:r>
      <w:r w:rsidR="001011C3">
        <w:rPr>
          <w:rFonts w:cs="Arial"/>
        </w:rPr>
        <w:t>740 millones de pesos con las que no se tiene ningún adeudo, así como las transferencias a los Poderes del Estado y Órganos Autónomos Estatales que en su conjunto suman 740 millones de pesos</w:t>
      </w:r>
      <w:r w:rsidR="00D1508B">
        <w:rPr>
          <w:rFonts w:cs="Arial"/>
        </w:rPr>
        <w:t>, la Fiscalía General del E</w:t>
      </w:r>
      <w:r w:rsidR="00C17333">
        <w:rPr>
          <w:rFonts w:cs="Arial"/>
        </w:rPr>
        <w:t xml:space="preserve">stado y </w:t>
      </w:r>
      <w:r w:rsidR="00D1508B">
        <w:rPr>
          <w:rFonts w:cs="Arial"/>
        </w:rPr>
        <w:t>el Poder Judicial del Estado</w:t>
      </w:r>
      <w:r w:rsidR="00C17333">
        <w:rPr>
          <w:rFonts w:cs="Arial"/>
        </w:rPr>
        <w:t>, representan el 73 por ciento de estas asignaciones.</w:t>
      </w:r>
    </w:p>
    <w:p w14:paraId="3A990352" w14:textId="48212BF7" w:rsidR="00C17333" w:rsidRDefault="00C17333" w:rsidP="000F4765">
      <w:pPr>
        <w:rPr>
          <w:rFonts w:cs="Arial"/>
        </w:rPr>
      </w:pPr>
    </w:p>
    <w:p w14:paraId="1803F665" w14:textId="185A01C4" w:rsidR="00075F3C" w:rsidRDefault="00C17333" w:rsidP="000F4765">
      <w:pPr>
        <w:rPr>
          <w:rFonts w:cs="Arial"/>
        </w:rPr>
      </w:pPr>
      <w:r>
        <w:rPr>
          <w:rFonts w:cs="Arial"/>
        </w:rPr>
        <w:t xml:space="preserve">En lo que toca a Bienes Muebles, Inmuebles e Intangibles de los </w:t>
      </w:r>
      <w:r w:rsidRPr="00C17333">
        <w:rPr>
          <w:rFonts w:cs="Arial"/>
        </w:rPr>
        <w:t>101,901,062.00</w:t>
      </w:r>
      <w:r>
        <w:rPr>
          <w:rFonts w:cs="Arial"/>
        </w:rPr>
        <w:t xml:space="preserve"> pesos se han ejercido 17,779,293.12, lo que representa un ejercicio del gasto del 17 por ci</w:t>
      </w:r>
      <w:r w:rsidR="006634DB">
        <w:rPr>
          <w:rFonts w:cs="Arial"/>
        </w:rPr>
        <w:t xml:space="preserve">ento, en este capítulo, se </w:t>
      </w:r>
      <w:r>
        <w:rPr>
          <w:rFonts w:cs="Arial"/>
        </w:rPr>
        <w:t>ha dejado de adquirir</w:t>
      </w:r>
      <w:r w:rsidR="00451EBA">
        <w:rPr>
          <w:rFonts w:cs="Arial"/>
        </w:rPr>
        <w:t xml:space="preserve"> equipamiento tecnológico para las Dependencias del Poder Ejecutivo y se ha utilizado y optimizado el equipo del que se dispone. </w:t>
      </w:r>
    </w:p>
    <w:p w14:paraId="19D38196" w14:textId="1943D78D" w:rsidR="00451EBA" w:rsidRDefault="00451EBA" w:rsidP="000F4765">
      <w:pPr>
        <w:rPr>
          <w:rFonts w:cs="Arial"/>
        </w:rPr>
      </w:pPr>
    </w:p>
    <w:p w14:paraId="5AB1002E" w14:textId="27AEBAC2" w:rsidR="00451EBA" w:rsidRDefault="00451EBA" w:rsidP="000F4765">
      <w:pPr>
        <w:rPr>
          <w:rFonts w:cs="Arial"/>
        </w:rPr>
      </w:pPr>
      <w:r>
        <w:rPr>
          <w:rFonts w:cs="Arial"/>
        </w:rPr>
        <w:t>Al tercer trimestre del Ejercicio Fiscal 2022</w:t>
      </w:r>
      <w:r w:rsidR="00CB271B">
        <w:rPr>
          <w:rFonts w:cs="Arial"/>
        </w:rPr>
        <w:t xml:space="preserve">, los municipios de nuestro estado han recibido </w:t>
      </w:r>
      <w:r w:rsidR="00CB271B" w:rsidRPr="00CB271B">
        <w:rPr>
          <w:rFonts w:cs="Arial"/>
        </w:rPr>
        <w:t>2,092,171,829.07</w:t>
      </w:r>
      <w:r w:rsidR="00CB271B">
        <w:rPr>
          <w:rFonts w:cs="Arial"/>
        </w:rPr>
        <w:t xml:space="preserve"> pesos, en su mayoría de recursos provenientes de Participaciones Federales y del Fondo de Aportaciones para el Fortalecimiento de los Municipios y las Demarcaciones Territoriales del Distrito Federal. Se estima que para el último trimestre del año 2022 reciban 603 millones de pesos, consistente con las estimaciones previstas en la Ley de Ingresos y el Presupuesto de Egresos del Estado de Colima para el Ejercicio Fiscal 2022.</w:t>
      </w:r>
    </w:p>
    <w:p w14:paraId="5DD44940" w14:textId="41226FA9" w:rsidR="00CB271B" w:rsidRDefault="00CB271B" w:rsidP="000F4765">
      <w:pPr>
        <w:rPr>
          <w:rFonts w:cs="Arial"/>
        </w:rPr>
      </w:pPr>
    </w:p>
    <w:p w14:paraId="3460ADD1" w14:textId="58D666AB" w:rsidR="003F0829" w:rsidRDefault="00CB271B" w:rsidP="000F4765">
      <w:pPr>
        <w:rPr>
          <w:rFonts w:cs="Arial"/>
        </w:rPr>
      </w:pPr>
      <w:r>
        <w:rPr>
          <w:rFonts w:cs="Arial"/>
        </w:rPr>
        <w:t xml:space="preserve">En lo que respecta, al pago de Deuda Pública, </w:t>
      </w:r>
      <w:r w:rsidR="004B2573">
        <w:rPr>
          <w:rFonts w:cs="Arial"/>
        </w:rPr>
        <w:t>se han ejercido</w:t>
      </w:r>
      <w:r>
        <w:rPr>
          <w:rFonts w:cs="Arial"/>
        </w:rPr>
        <w:t xml:space="preserve"> cerca de </w:t>
      </w:r>
      <w:r w:rsidRPr="00CB271B">
        <w:rPr>
          <w:rFonts w:cs="Arial"/>
        </w:rPr>
        <w:t>982,321,651.29</w:t>
      </w:r>
      <w:r w:rsidR="003F0829">
        <w:rPr>
          <w:rFonts w:cs="Arial"/>
        </w:rPr>
        <w:t xml:space="preserve"> pesos, de los cuales cerca de 478 millones de pesos corresponden a adeudos generados </w:t>
      </w:r>
      <w:r w:rsidR="003F0829">
        <w:rPr>
          <w:rFonts w:cs="Arial"/>
        </w:rPr>
        <w:lastRenderedPageBreak/>
        <w:t xml:space="preserve">por administraciones anteriores, </w:t>
      </w:r>
      <w:r w:rsidR="004B2573">
        <w:rPr>
          <w:rFonts w:cs="Arial"/>
        </w:rPr>
        <w:t xml:space="preserve">y aproximadamente </w:t>
      </w:r>
      <w:r w:rsidR="003F0829">
        <w:rPr>
          <w:rFonts w:cs="Arial"/>
        </w:rPr>
        <w:t>300 millones correspondientes a las nóminas que la administración anterior adeudó a las y los trabajadores del Gobierno del Estado, Organismos Descentralizados, Desconcentrados, Poderes del Estado y Órganos Autónomos</w:t>
      </w:r>
      <w:r w:rsidR="004B2573">
        <w:rPr>
          <w:rFonts w:cs="Arial"/>
        </w:rPr>
        <w:t xml:space="preserve">, para las que la actual administración se vio obligada a contratar </w:t>
      </w:r>
      <w:r w:rsidR="00104D76">
        <w:rPr>
          <w:rFonts w:cs="Arial"/>
        </w:rPr>
        <w:t>financiamientos de corto plazo.</w:t>
      </w:r>
    </w:p>
    <w:p w14:paraId="342DA63B" w14:textId="77777777" w:rsidR="006634DB" w:rsidRDefault="006634DB" w:rsidP="000F4765">
      <w:pPr>
        <w:rPr>
          <w:rFonts w:cs="Arial"/>
        </w:rPr>
      </w:pPr>
    </w:p>
    <w:p w14:paraId="3C622463" w14:textId="52C1FF7E" w:rsidR="00104D76" w:rsidRDefault="00104D76" w:rsidP="000F4765">
      <w:pPr>
        <w:rPr>
          <w:rFonts w:cs="Arial"/>
        </w:rPr>
      </w:pPr>
      <w:r>
        <w:rPr>
          <w:rFonts w:cs="Arial"/>
        </w:rPr>
        <w:t xml:space="preserve">El estado de situación financiera detallado con corte al 30 de septiembre de 2022 muestra pasivos por pagar a </w:t>
      </w:r>
      <w:r w:rsidR="002C619B">
        <w:rPr>
          <w:rFonts w:cs="Arial"/>
        </w:rPr>
        <w:t xml:space="preserve">corto plazo por un monto de 957,836,837.01 pesos, en comparación con el año anterior para el mismo periodo de tiempo esta cifra ascendió a 1,923,501,792.94 pesos, esta última cifra </w:t>
      </w:r>
      <w:r w:rsidR="00DF0968">
        <w:rPr>
          <w:rFonts w:cs="Arial"/>
        </w:rPr>
        <w:t xml:space="preserve">representa </w:t>
      </w:r>
      <w:r w:rsidR="002C619B">
        <w:rPr>
          <w:rFonts w:cs="Arial"/>
        </w:rPr>
        <w:t xml:space="preserve">cuentas por pagar generadas al mes de septiembre del ejercicio fiscal 2021. El pasivo no circulante asciende a 3,655,021,660.43 pesos que se componen principalmente por deuda pública a largo plazo heredada. </w:t>
      </w:r>
    </w:p>
    <w:p w14:paraId="634483D9" w14:textId="1D50844C" w:rsidR="002C619B" w:rsidRDefault="002C619B" w:rsidP="000F4765">
      <w:pPr>
        <w:rPr>
          <w:rFonts w:cs="Arial"/>
        </w:rPr>
      </w:pPr>
    </w:p>
    <w:p w14:paraId="34F029BB" w14:textId="57200CD3" w:rsidR="002C619B" w:rsidRDefault="00176108" w:rsidP="000F4765">
      <w:pPr>
        <w:rPr>
          <w:rFonts w:cs="Arial"/>
        </w:rPr>
      </w:pPr>
      <w:r>
        <w:rPr>
          <w:rFonts w:cs="Arial"/>
        </w:rPr>
        <w:t xml:space="preserve">Es por lo anteriormente señalado que en el Proyecto de Presupuesto de Egresos del Estado de Colima para el Ejercicio Fiscal 2023, considera por segundo año consecutivo, en su operatividad el mínimo indispensable para el funcionamiento adecuado de las Dependencias Centralizadas y la Administración Pública Paraestatal eliminando completamente el dispendio y los gastos superfluos que caracterizaron a las administraciones pasadas. </w:t>
      </w:r>
    </w:p>
    <w:p w14:paraId="0398D9E4" w14:textId="5E566500" w:rsidR="00176108" w:rsidRDefault="00176108" w:rsidP="000F4765">
      <w:pPr>
        <w:rPr>
          <w:rFonts w:cs="Arial"/>
        </w:rPr>
      </w:pPr>
    </w:p>
    <w:p w14:paraId="05EAD63B" w14:textId="77777777" w:rsidR="0026062E" w:rsidRDefault="00176108" w:rsidP="000F4765">
      <w:pPr>
        <w:rPr>
          <w:rFonts w:cs="Arial"/>
        </w:rPr>
      </w:pPr>
      <w:r>
        <w:rPr>
          <w:rFonts w:cs="Arial"/>
        </w:rPr>
        <w:t xml:space="preserve">El control del crecimiento del capítulo correspondiente a Servicios Personales </w:t>
      </w:r>
      <w:r w:rsidR="007C33ED">
        <w:rPr>
          <w:rFonts w:cs="Arial"/>
        </w:rPr>
        <w:t>que se inició durante la presente Administración Estatal se mantiene para el Ejercicio Fiscal 2023, este capítulo incrementa en cerca de 3 puntos porcentuales menos del límite que señala la Ley de Disciplina Financiera, ubicándose todavía en cifras corrientes en niveles inferiores a los Servicios P</w:t>
      </w:r>
      <w:r w:rsidR="0026062E">
        <w:rPr>
          <w:rFonts w:cs="Arial"/>
        </w:rPr>
        <w:t>ersonales al máximo histórico que</w:t>
      </w:r>
      <w:r w:rsidR="007C33ED">
        <w:rPr>
          <w:rFonts w:cs="Arial"/>
        </w:rPr>
        <w:t xml:space="preserve"> se autorizaron para el Ejercicio Fiscal 2018 y que ascendieron a </w:t>
      </w:r>
      <w:r w:rsidR="007C33ED" w:rsidRPr="007C33ED">
        <w:rPr>
          <w:rFonts w:cs="Arial"/>
        </w:rPr>
        <w:t>2,213,544,864.51</w:t>
      </w:r>
      <w:r w:rsidR="007C33ED">
        <w:rPr>
          <w:rFonts w:cs="Arial"/>
        </w:rPr>
        <w:t xml:space="preserve"> pesos.</w:t>
      </w:r>
    </w:p>
    <w:p w14:paraId="1AB9D3E1" w14:textId="77777777" w:rsidR="0026062E" w:rsidRDefault="0026062E" w:rsidP="000F4765">
      <w:pPr>
        <w:rPr>
          <w:rFonts w:cs="Arial"/>
        </w:rPr>
      </w:pPr>
    </w:p>
    <w:p w14:paraId="336D9F25" w14:textId="112ECABA" w:rsidR="00176108" w:rsidRDefault="0026062E" w:rsidP="000F4765">
      <w:pPr>
        <w:rPr>
          <w:rFonts w:cs="Arial"/>
        </w:rPr>
      </w:pPr>
      <w:r>
        <w:rPr>
          <w:rFonts w:cs="Arial"/>
        </w:rPr>
        <w:t>Materiales y Suministros se propone crezca, respecto a lo aprobado para el Ejercicio Fiscal 2022, en cerca de 50 millones de pesos, explicados principalmente por incrementos necesarios para el pago de alimentos de recl</w:t>
      </w:r>
      <w:r w:rsidR="00DF0968">
        <w:rPr>
          <w:rFonts w:cs="Arial"/>
        </w:rPr>
        <w:t>usos por 17 millones de pesos, v</w:t>
      </w:r>
      <w:r>
        <w:rPr>
          <w:rFonts w:cs="Arial"/>
        </w:rPr>
        <w:t>alores en tránsito por 5.1 millones de pesos, vestuarios y uniformes para nuestras fuerzas de seguridad por 17</w:t>
      </w:r>
      <w:r w:rsidR="001037E4">
        <w:rPr>
          <w:rFonts w:cs="Arial"/>
        </w:rPr>
        <w:t>.5</w:t>
      </w:r>
      <w:r>
        <w:rPr>
          <w:rFonts w:cs="Arial"/>
        </w:rPr>
        <w:t xml:space="preserve"> millones de pesos</w:t>
      </w:r>
      <w:r w:rsidR="001037E4">
        <w:rPr>
          <w:rFonts w:cs="Arial"/>
        </w:rPr>
        <w:t xml:space="preserve"> y prendas de protección para seguridad pública por cerca de 7 millones de pesos.</w:t>
      </w:r>
    </w:p>
    <w:p w14:paraId="633C5D7C" w14:textId="5B3039EA" w:rsidR="001037E4" w:rsidRDefault="001037E4" w:rsidP="000F4765">
      <w:pPr>
        <w:rPr>
          <w:rFonts w:cs="Arial"/>
        </w:rPr>
      </w:pPr>
    </w:p>
    <w:p w14:paraId="642AAAC9" w14:textId="540DA48C" w:rsidR="001037E4" w:rsidRDefault="001037E4" w:rsidP="000F4765">
      <w:pPr>
        <w:rPr>
          <w:rFonts w:cs="Arial"/>
        </w:rPr>
      </w:pPr>
      <w:r>
        <w:rPr>
          <w:rFonts w:cs="Arial"/>
        </w:rPr>
        <w:t xml:space="preserve">Servicios Generales, muestra un importante fortalecimiento, principalmente explicado por los recursos etiquetados provenientes del Fondo de Aportaciones para la Seguridad Pública, los cuales formando parte del gasto etiquetado será destinado principalmente para la instalación, reparación, mantenimiento de equipo de cómputo y tecnología de la información, de mobiliario y equipo, instrumental médico y de laboratorio, de vehículos y </w:t>
      </w:r>
      <w:r>
        <w:rPr>
          <w:rFonts w:cs="Arial"/>
        </w:rPr>
        <w:lastRenderedPageBreak/>
        <w:t>equipo de transporte, de maquinaria y otros equipos</w:t>
      </w:r>
      <w:r w:rsidR="002D1AA1">
        <w:rPr>
          <w:rFonts w:cs="Arial"/>
        </w:rPr>
        <w:t xml:space="preserve"> y arrendamiento de vehículos así como el pago de energía eléctrica, que en suma importan 180.8 millones de pesos. </w:t>
      </w:r>
    </w:p>
    <w:p w14:paraId="7904B3CB" w14:textId="16498614" w:rsidR="007C33ED" w:rsidRDefault="007C33ED" w:rsidP="000F4765">
      <w:pPr>
        <w:rPr>
          <w:rFonts w:cs="Arial"/>
        </w:rPr>
      </w:pPr>
    </w:p>
    <w:p w14:paraId="1DA9629E" w14:textId="399F18F1" w:rsidR="007C33ED" w:rsidRDefault="008509DD" w:rsidP="000F4765">
      <w:pPr>
        <w:rPr>
          <w:rFonts w:cs="Arial"/>
        </w:rPr>
      </w:pPr>
      <w:r>
        <w:rPr>
          <w:rFonts w:cs="Arial"/>
        </w:rPr>
        <w:t>Transferencias, Asignaciones, Subsidios y Otras Ayudas, presenta un incremento de 1,070,050,889.00 pesos respecto al Ejercicio Fiscal 2022, incrementos que se explican principalmente por recursos provenientes de Aportaciones Federales en los fondos como el Fondo de Aportaciones para la Nómina Educativa y Gasto Operativo, el Fondo de Aportaciones M</w:t>
      </w:r>
      <w:r w:rsidR="007B0060">
        <w:rPr>
          <w:rFonts w:cs="Arial"/>
        </w:rPr>
        <w:t xml:space="preserve">últiples y el Fondo de Aportaciones para los Servicios de Salud, así como los recursos provenientes del Subsidio Federal Ordinario a la Universidad de Colima. </w:t>
      </w:r>
    </w:p>
    <w:p w14:paraId="278C98B0" w14:textId="15C85625" w:rsidR="007B0060" w:rsidRDefault="007B0060" w:rsidP="000F4765">
      <w:pPr>
        <w:rPr>
          <w:rFonts w:cs="Arial"/>
        </w:rPr>
      </w:pPr>
    </w:p>
    <w:p w14:paraId="2A0110C1" w14:textId="3709DD9A" w:rsidR="003F0829" w:rsidRDefault="007B0060" w:rsidP="000F4765">
      <w:pPr>
        <w:rPr>
          <w:rFonts w:cs="Arial"/>
        </w:rPr>
      </w:pPr>
      <w:r>
        <w:rPr>
          <w:rFonts w:cs="Arial"/>
        </w:rPr>
        <w:t>En este rubro, especial mención merecen los Órganos Públicos Autónomos, los cuales incrementan en sus asignaciones, respecto al Ejercicio Fiscal 202</w:t>
      </w:r>
      <w:r w:rsidR="00337245">
        <w:rPr>
          <w:rFonts w:cs="Arial"/>
        </w:rPr>
        <w:t>2</w:t>
      </w:r>
      <w:r>
        <w:rPr>
          <w:rFonts w:cs="Arial"/>
        </w:rPr>
        <w:t xml:space="preserve">, en 85.3 millones de pesos, principalmente explicados por incrementos en las asignaciones propuestas por el Instituto Electoral del Estado por 48.2 millones de pesos lo que representa una ampliación del 95 por ciento, los incrementos cercanos al 48 por ciento </w:t>
      </w:r>
      <w:r w:rsidR="00B87E51">
        <w:rPr>
          <w:rFonts w:cs="Arial"/>
        </w:rPr>
        <w:t xml:space="preserve">según la propuesta del </w:t>
      </w:r>
      <w:r w:rsidR="00B87E51" w:rsidRPr="00B87E51">
        <w:rPr>
          <w:rFonts w:cs="Arial"/>
        </w:rPr>
        <w:t>Instituto de Transparencia, Acceso a la Información Pública y Protección de Datos del Estado de Colima</w:t>
      </w:r>
      <w:r w:rsidR="00B87E51">
        <w:rPr>
          <w:rFonts w:cs="Arial"/>
        </w:rPr>
        <w:t xml:space="preserve"> y el 26 por ciento propuesto por el </w:t>
      </w:r>
      <w:r w:rsidR="00B87E51" w:rsidRPr="00B87E51">
        <w:rPr>
          <w:rFonts w:cs="Arial"/>
        </w:rPr>
        <w:t>Tribunal de Justicia Administrativa del Estado de Colima</w:t>
      </w:r>
      <w:r w:rsidR="00B87E51">
        <w:rPr>
          <w:rFonts w:cs="Arial"/>
        </w:rPr>
        <w:t>, el resto presentando un incremento respecto al año anterior del 3.3 por ciento que responde la inflación estimada para el Ejercicio Fiscal 2023 según los Pre-Criterios 2023.</w:t>
      </w:r>
    </w:p>
    <w:p w14:paraId="225260B3" w14:textId="6F5FF1B7" w:rsidR="00B87E51" w:rsidRDefault="00B87E51" w:rsidP="000F4765">
      <w:pPr>
        <w:rPr>
          <w:rFonts w:cs="Arial"/>
        </w:rPr>
      </w:pPr>
    </w:p>
    <w:p w14:paraId="4EC8ED3E" w14:textId="790746E4" w:rsidR="00B87E51" w:rsidRDefault="00B87E51" w:rsidP="000F4765">
      <w:pPr>
        <w:rPr>
          <w:rFonts w:cs="Arial"/>
        </w:rPr>
      </w:pPr>
      <w:r>
        <w:rPr>
          <w:rFonts w:cs="Arial"/>
        </w:rPr>
        <w:t xml:space="preserve">En </w:t>
      </w:r>
      <w:r w:rsidR="00481662">
        <w:rPr>
          <w:rFonts w:cs="Arial"/>
        </w:rPr>
        <w:t>relación a</w:t>
      </w:r>
      <w:r>
        <w:rPr>
          <w:rFonts w:cs="Arial"/>
        </w:rPr>
        <w:t xml:space="preserve"> los Poderes del Estado, el Poder Legislativo no presenta incremento alguno, la propuesta se mantiene en la misma cantidad que viene ejerciendo desde el ejercicio fiscal 2020, por su parte el Poder Judicial, presenta incrementos por 8 millones de pesos respecto al aprobado para el Ejercicio Fiscal 2022.</w:t>
      </w:r>
    </w:p>
    <w:p w14:paraId="1BED6E5B" w14:textId="77777777" w:rsidR="00B87E51" w:rsidRDefault="00B87E51" w:rsidP="000F4765">
      <w:pPr>
        <w:rPr>
          <w:rFonts w:cs="Arial"/>
        </w:rPr>
      </w:pPr>
    </w:p>
    <w:p w14:paraId="50BBA6D5" w14:textId="6F138020" w:rsidR="00F40C0F" w:rsidRDefault="00B87E51" w:rsidP="00A3747F">
      <w:pPr>
        <w:rPr>
          <w:rFonts w:cs="Arial"/>
        </w:rPr>
      </w:pPr>
      <w:r>
        <w:rPr>
          <w:rFonts w:cs="Arial"/>
        </w:rPr>
        <w:t>En lo que respecta a ayudas sociales y subsidios, para el Ejercicio Fiscal 2023 se propone mantener el Subsidio a la Tenencia por un monto de 38</w:t>
      </w:r>
      <w:r w:rsidR="00345ACB">
        <w:rPr>
          <w:rFonts w:cs="Arial"/>
        </w:rPr>
        <w:t>0 millones de pesos, así como la continuación</w:t>
      </w:r>
      <w:r>
        <w:rPr>
          <w:rFonts w:cs="Arial"/>
        </w:rPr>
        <w:t xml:space="preserve"> de las “Colibecas” que otorga el Gobierno del Estado, las cuales </w:t>
      </w:r>
      <w:r w:rsidR="00345ACB">
        <w:rPr>
          <w:rFonts w:cs="Arial"/>
        </w:rPr>
        <w:t xml:space="preserve">se </w:t>
      </w:r>
      <w:r w:rsidR="001B19AF">
        <w:rPr>
          <w:rFonts w:cs="Arial"/>
        </w:rPr>
        <w:t xml:space="preserve">mantienen en igual cuantía al presupuesto autorizado para el Ejercicio Fiscal 2022 presentando solo incrementos en el Programa de Universalidad de la Pensión para el Bienestar de las Personas con Discapacidad, misma que será potencializada por el Gobierno Federal para sumar cerca de 80 millones de pesos. </w:t>
      </w:r>
    </w:p>
    <w:p w14:paraId="4153A81B" w14:textId="36768001" w:rsidR="001B19AF" w:rsidRDefault="001B19AF" w:rsidP="00A3747F">
      <w:pPr>
        <w:rPr>
          <w:rFonts w:cs="Arial"/>
        </w:rPr>
      </w:pPr>
    </w:p>
    <w:p w14:paraId="7B196D04" w14:textId="46852556" w:rsidR="001B19AF" w:rsidRDefault="001B19AF" w:rsidP="001B19AF">
      <w:pPr>
        <w:rPr>
          <w:rFonts w:cs="Arial"/>
        </w:rPr>
      </w:pPr>
      <w:r>
        <w:rPr>
          <w:rFonts w:cs="Arial"/>
        </w:rPr>
        <w:t xml:space="preserve">En un firme compromiso con la educación, la presente Administración por segundo año consecutivo propone asignar la totalidad de los recursos convenidos con la Universidad de Colima, </w:t>
      </w:r>
      <w:r w:rsidRPr="001B19AF">
        <w:rPr>
          <w:rFonts w:cs="Arial"/>
        </w:rPr>
        <w:t>500,030,275.00</w:t>
      </w:r>
      <w:r>
        <w:rPr>
          <w:rFonts w:cs="Arial"/>
        </w:rPr>
        <w:t xml:space="preserve"> pesos será la aportación estatal y </w:t>
      </w:r>
      <w:r w:rsidRPr="001B19AF">
        <w:rPr>
          <w:rFonts w:cs="Arial"/>
        </w:rPr>
        <w:t>1,800,366,068.00</w:t>
      </w:r>
      <w:r>
        <w:rPr>
          <w:rFonts w:cs="Arial"/>
        </w:rPr>
        <w:t xml:space="preserve"> pesos como aportación federal. En suma </w:t>
      </w:r>
      <w:r w:rsidRPr="001B19AF">
        <w:rPr>
          <w:rFonts w:cs="Arial"/>
        </w:rPr>
        <w:t>2,300,396,343.00</w:t>
      </w:r>
      <w:r>
        <w:rPr>
          <w:rFonts w:cs="Arial"/>
        </w:rPr>
        <w:t xml:space="preserve"> pesos recibirá la Universidad de Colima para el Ejercicio Fiscal 2023.</w:t>
      </w:r>
    </w:p>
    <w:p w14:paraId="7CF629E2" w14:textId="77777777" w:rsidR="001B19AF" w:rsidRPr="001B19AF" w:rsidRDefault="001B19AF" w:rsidP="001B19AF">
      <w:pPr>
        <w:rPr>
          <w:rFonts w:cs="Arial"/>
        </w:rPr>
      </w:pPr>
    </w:p>
    <w:p w14:paraId="2BEA391B" w14:textId="39D14970" w:rsidR="00F40C0F" w:rsidRPr="00BE623A" w:rsidRDefault="00BE623A" w:rsidP="00BE623A">
      <w:pPr>
        <w:rPr>
          <w:rFonts w:cs="Arial"/>
        </w:rPr>
      </w:pPr>
      <w:r>
        <w:rPr>
          <w:rFonts w:cs="Arial"/>
        </w:rPr>
        <w:lastRenderedPageBreak/>
        <w:t xml:space="preserve">El Sistema Pensionario </w:t>
      </w:r>
      <w:r w:rsidR="00481662">
        <w:rPr>
          <w:rFonts w:cs="Arial"/>
        </w:rPr>
        <w:t>representa para el</w:t>
      </w:r>
      <w:r>
        <w:rPr>
          <w:rFonts w:cs="Arial"/>
        </w:rPr>
        <w:t xml:space="preserve"> Estado de Colima </w:t>
      </w:r>
      <w:r w:rsidR="00481662">
        <w:rPr>
          <w:rFonts w:cs="Arial"/>
        </w:rPr>
        <w:t xml:space="preserve">un monto de </w:t>
      </w:r>
      <w:r w:rsidRPr="00BE623A">
        <w:rPr>
          <w:rFonts w:cs="Arial"/>
        </w:rPr>
        <w:t>1,381,883,718.00</w:t>
      </w:r>
      <w:r>
        <w:rPr>
          <w:rFonts w:cs="Arial"/>
        </w:rPr>
        <w:t xml:space="preserve"> pesos, cifra que incrementa</w:t>
      </w:r>
      <w:r w:rsidR="00F95856">
        <w:rPr>
          <w:rFonts w:cs="Arial"/>
        </w:rPr>
        <w:t xml:space="preserve"> en</w:t>
      </w:r>
      <w:r>
        <w:rPr>
          <w:rFonts w:cs="Arial"/>
        </w:rPr>
        <w:t xml:space="preserve"> cerca de 136.7 millones de pesos más para el Ejercicio Fiscal 2023 y representa</w:t>
      </w:r>
      <w:r w:rsidR="00F95856">
        <w:rPr>
          <w:rFonts w:cs="Arial"/>
        </w:rPr>
        <w:t xml:space="preserve"> aproximadamente el 18.1 por ciento de los Ingresos de Libre Disposición del Estado. </w:t>
      </w:r>
    </w:p>
    <w:p w14:paraId="539D7F13" w14:textId="77777777" w:rsidR="00F40C0F" w:rsidRPr="00A55906" w:rsidRDefault="00F40C0F" w:rsidP="00A3747F">
      <w:pPr>
        <w:rPr>
          <w:rFonts w:cs="Arial"/>
        </w:rPr>
      </w:pPr>
    </w:p>
    <w:p w14:paraId="5C20D391" w14:textId="20DE3CEF" w:rsidR="00F40C0F" w:rsidRDefault="00D22557" w:rsidP="00A3747F">
      <w:pPr>
        <w:rPr>
          <w:rFonts w:cs="Arial"/>
        </w:rPr>
      </w:pPr>
      <w:r>
        <w:rPr>
          <w:rFonts w:cs="Arial"/>
        </w:rPr>
        <w:t xml:space="preserve">Para finalizar, se propone una asignación de 157,361,143.00 pesos para el pago de Adeudos de Ejercicios Fiscales Anteriores, con los cuales se pretende se genere una disminución en las cuentas por pagar a corto plazo, de la misma forma, se presupuestan 726,422,778.00 para el pago de la Deuda Pública Estatal. </w:t>
      </w:r>
    </w:p>
    <w:p w14:paraId="08D46E6D" w14:textId="40C5D9E9" w:rsidR="00D22557" w:rsidRDefault="00D22557" w:rsidP="00A3747F">
      <w:pPr>
        <w:rPr>
          <w:rFonts w:cs="Arial"/>
        </w:rPr>
      </w:pPr>
    </w:p>
    <w:p w14:paraId="09CFC86F" w14:textId="6FE859CE" w:rsidR="0038169C" w:rsidRDefault="0038169C" w:rsidP="00A3747F">
      <w:pPr>
        <w:rPr>
          <w:rFonts w:cs="Arial"/>
        </w:rPr>
      </w:pPr>
      <w:r>
        <w:rPr>
          <w:rFonts w:cs="Arial"/>
        </w:rPr>
        <w:t xml:space="preserve">Las necesidades de financiamiento de corto plazo que se estiman serán necesarias </w:t>
      </w:r>
      <w:r w:rsidR="00481662">
        <w:rPr>
          <w:rFonts w:cs="Arial"/>
        </w:rPr>
        <w:t>durante el Ejercicio Fiscal 2023</w:t>
      </w:r>
      <w:r>
        <w:rPr>
          <w:rFonts w:cs="Arial"/>
        </w:rPr>
        <w:t xml:space="preserve"> ascienden a </w:t>
      </w:r>
      <w:r w:rsidRPr="0038169C">
        <w:rPr>
          <w:rFonts w:cs="Arial"/>
        </w:rPr>
        <w:t>192,903,836.00</w:t>
      </w:r>
      <w:r>
        <w:rPr>
          <w:rFonts w:cs="Arial"/>
        </w:rPr>
        <w:t xml:space="preserve"> pesos, cifra que se encuentra dentro de los parámetros establecidos por la Ley de Disciplina Financiera de las Entidades Federativas y los Municipios, así como la Ley de Presupuesto y Responsabilidad Hacendaria del Estado de Colima y la Ley de Deuda Pública del Estado de Colima y sus Municipios para un Endeudamiento en Observación. </w:t>
      </w:r>
    </w:p>
    <w:p w14:paraId="3FCA17B7" w14:textId="704D2A2B" w:rsidR="00065E18" w:rsidRDefault="00065E18" w:rsidP="00A3747F">
      <w:pPr>
        <w:rPr>
          <w:rFonts w:cs="Arial"/>
        </w:rPr>
      </w:pPr>
    </w:p>
    <w:p w14:paraId="2C27F435" w14:textId="16B2EC30" w:rsidR="0073460C" w:rsidRDefault="0073460C" w:rsidP="00A3747F">
      <w:pPr>
        <w:rPr>
          <w:rFonts w:cs="Arial"/>
        </w:rPr>
      </w:pPr>
      <w:r>
        <w:rPr>
          <w:rFonts w:cs="Arial"/>
        </w:rPr>
        <w:t xml:space="preserve">De esta forma, en lo grandes agregados del gasto en relación a su propósito u objetivos socioeconómicos que persiguen los diferentes entes públicos, mostrando los objetivos generales de las políticas públicas y los recursos económicos que se propone asignar para alcanzar estos. En la función de Gobierno el crecimiento que se propone es de un 13 por ciento, sustentado principalmente por mayores asignaciones a los asuntos de orden público y seguridad interior por 105.8 millones de pesos respecto al Ejercicio Fiscal 2022, </w:t>
      </w:r>
      <w:r w:rsidR="00A53C68">
        <w:rPr>
          <w:rFonts w:cs="Arial"/>
        </w:rPr>
        <w:t xml:space="preserve">Justicia con 71.4 millones de pesos adicionales y Coordinación de la Política de Gobierno con 55.6 millones de pesos adicionales esta variación explicada por el incremento propuesto por el Instituto Estatal Electoral. </w:t>
      </w:r>
    </w:p>
    <w:p w14:paraId="691BA2B6" w14:textId="4556A013" w:rsidR="00A53C68" w:rsidRDefault="00A53C68" w:rsidP="00A3747F">
      <w:pPr>
        <w:rPr>
          <w:rFonts w:cs="Arial"/>
        </w:rPr>
      </w:pPr>
    </w:p>
    <w:p w14:paraId="40E19B87" w14:textId="1053008E" w:rsidR="004E718E" w:rsidRDefault="00440ABC" w:rsidP="004E718E">
      <w:pPr>
        <w:rPr>
          <w:rFonts w:cs="Arial"/>
        </w:rPr>
      </w:pPr>
      <w:r>
        <w:rPr>
          <w:rFonts w:cs="Arial"/>
        </w:rPr>
        <w:t xml:space="preserve">Por su parte, el gasto que tiene como finalidad el Desarrollo Social incrementa en un 9 por ciento para importar 13,155,276,799.00 pesos, al interior los rubros que presentan los mayores incrementos son Educación con 884,020,679.00 adicionales a los autorizados para el Ejercicio Fiscal 2022, Protección Social con una variación de </w:t>
      </w:r>
      <w:r w:rsidRPr="00440ABC">
        <w:rPr>
          <w:rFonts w:cs="Arial"/>
        </w:rPr>
        <w:t>245,149,593.00</w:t>
      </w:r>
      <w:r>
        <w:rPr>
          <w:rFonts w:cs="Arial"/>
        </w:rPr>
        <w:t xml:space="preserve"> pesos, el gasto destinado a Salud </w:t>
      </w:r>
      <w:r w:rsidR="004E718E">
        <w:rPr>
          <w:rFonts w:cs="Arial"/>
        </w:rPr>
        <w:t xml:space="preserve">se estima en </w:t>
      </w:r>
      <w:r w:rsidR="004E718E" w:rsidRPr="004E718E">
        <w:rPr>
          <w:rFonts w:cs="Arial"/>
        </w:rPr>
        <w:t>2,278,923,012.00</w:t>
      </w:r>
      <w:r w:rsidR="004E718E">
        <w:rPr>
          <w:rFonts w:cs="Arial"/>
        </w:rPr>
        <w:t xml:space="preserve">. Referente al gasto cuyo destino es el Desarrollo Económico, se incrementa en 30 por ciento, impulsado por un mayor presupuesto asignado para asuntos económicos, comerciales y laborales en general. </w:t>
      </w:r>
    </w:p>
    <w:p w14:paraId="5B490D45" w14:textId="620F4B04" w:rsidR="004E718E" w:rsidRDefault="004E718E" w:rsidP="004E718E">
      <w:pPr>
        <w:rPr>
          <w:rFonts w:cs="Arial"/>
        </w:rPr>
      </w:pPr>
    </w:p>
    <w:p w14:paraId="7FBDD581" w14:textId="6449B707" w:rsidR="004E718E" w:rsidRPr="004E718E" w:rsidRDefault="004E718E" w:rsidP="004E718E">
      <w:pPr>
        <w:rPr>
          <w:rFonts w:cs="Arial"/>
        </w:rPr>
      </w:pPr>
      <w:r>
        <w:rPr>
          <w:rFonts w:cs="Arial"/>
        </w:rPr>
        <w:t>Las Transferencias, Participaciones, y Aportaciones entre Diferentes Niveles y Ordenes de Gobierno incrementan en un 22 por ciento lo que representa 601,467,078.00 pesos adicionales que estarán recibiendo los Municipios de nuestro Estado durante el Ejercicio Fiscal 2023.</w:t>
      </w:r>
    </w:p>
    <w:p w14:paraId="01458A94" w14:textId="47068E20" w:rsidR="00D22557" w:rsidRDefault="0038169C" w:rsidP="00A3747F">
      <w:pPr>
        <w:rPr>
          <w:rFonts w:cs="Arial"/>
        </w:rPr>
      </w:pPr>
      <w:r>
        <w:rPr>
          <w:rFonts w:cs="Arial"/>
        </w:rPr>
        <w:lastRenderedPageBreak/>
        <w:t xml:space="preserve">Es así que el Proyecto de Presupuesto de Egresos del Estado de Colima para el Ejercicio Fiscal 2023, que se somete a la consideración del H. Congreso del Estado de Colima, asciende a </w:t>
      </w:r>
      <w:r w:rsidRPr="0038169C">
        <w:rPr>
          <w:rFonts w:cs="Arial"/>
        </w:rPr>
        <w:t>20,555,300,000.00</w:t>
      </w:r>
      <w:r>
        <w:rPr>
          <w:rFonts w:cs="Arial"/>
        </w:rPr>
        <w:t xml:space="preserve"> pesos, cifra que refleja las necesidades y compromisos de gasto público de todo el aparato gubernamental del Estado de Colima y que es, en términos nominales</w:t>
      </w:r>
      <w:r w:rsidR="00481662">
        <w:rPr>
          <w:rFonts w:cs="Arial"/>
        </w:rPr>
        <w:t>,</w:t>
      </w:r>
      <w:r>
        <w:rPr>
          <w:rFonts w:cs="Arial"/>
        </w:rPr>
        <w:t xml:space="preserve"> 10.7 por ciento mayor al aproba</w:t>
      </w:r>
      <w:r w:rsidR="00481662">
        <w:rPr>
          <w:rFonts w:cs="Arial"/>
        </w:rPr>
        <w:t>do para el Ejercicio Fiscal 2022</w:t>
      </w:r>
      <w:r>
        <w:rPr>
          <w:rFonts w:cs="Arial"/>
        </w:rPr>
        <w:t>.</w:t>
      </w:r>
    </w:p>
    <w:p w14:paraId="35FA74E7" w14:textId="6172DC04" w:rsidR="0038169C" w:rsidRDefault="0038169C" w:rsidP="00A3747F">
      <w:pPr>
        <w:rPr>
          <w:rFonts w:cs="Arial"/>
        </w:rPr>
      </w:pPr>
    </w:p>
    <w:p w14:paraId="0E6F68E3" w14:textId="1A7B9C8F" w:rsidR="0038169C" w:rsidRPr="00A55906" w:rsidRDefault="0038169C" w:rsidP="00A3747F">
      <w:pPr>
        <w:rPr>
          <w:rFonts w:cs="Arial"/>
        </w:rPr>
      </w:pPr>
    </w:p>
    <w:p w14:paraId="69E30826" w14:textId="7AFFFCBB" w:rsidR="00B6760C" w:rsidRDefault="00B6760C" w:rsidP="00A3747F">
      <w:pPr>
        <w:rPr>
          <w:rFonts w:cs="Arial"/>
          <w:b/>
          <w:bCs/>
        </w:rPr>
      </w:pPr>
    </w:p>
    <w:p w14:paraId="498F998E" w14:textId="2A3261C1" w:rsidR="00E71236" w:rsidRDefault="00E71236" w:rsidP="00A3747F">
      <w:pPr>
        <w:rPr>
          <w:rFonts w:cs="Arial"/>
          <w:b/>
          <w:bCs/>
        </w:rPr>
      </w:pPr>
    </w:p>
    <w:p w14:paraId="69DCFCA8" w14:textId="29D5F9E2" w:rsidR="00E71236" w:rsidRDefault="00E71236" w:rsidP="00A3747F">
      <w:pPr>
        <w:rPr>
          <w:rFonts w:cs="Arial"/>
          <w:b/>
          <w:bCs/>
        </w:rPr>
      </w:pPr>
    </w:p>
    <w:p w14:paraId="10E018DD" w14:textId="5C5EB76D" w:rsidR="00E71236" w:rsidRDefault="00E71236" w:rsidP="00A3747F">
      <w:pPr>
        <w:rPr>
          <w:rFonts w:cs="Arial"/>
          <w:b/>
          <w:bCs/>
        </w:rPr>
      </w:pPr>
    </w:p>
    <w:p w14:paraId="38AFBAB2" w14:textId="3F012BF7" w:rsidR="00E71236" w:rsidRDefault="00E71236" w:rsidP="00A3747F">
      <w:pPr>
        <w:rPr>
          <w:rFonts w:cs="Arial"/>
          <w:b/>
          <w:bCs/>
        </w:rPr>
      </w:pPr>
    </w:p>
    <w:p w14:paraId="2B008B68" w14:textId="7D17FE18" w:rsidR="00E71236" w:rsidRDefault="00E71236" w:rsidP="00A3747F">
      <w:pPr>
        <w:rPr>
          <w:rFonts w:cs="Arial"/>
          <w:b/>
          <w:bCs/>
        </w:rPr>
      </w:pPr>
    </w:p>
    <w:p w14:paraId="1C7BCFF0" w14:textId="705E35BF" w:rsidR="00E71236" w:rsidRDefault="00E71236" w:rsidP="00A3747F">
      <w:pPr>
        <w:rPr>
          <w:rFonts w:cs="Arial"/>
          <w:b/>
          <w:bCs/>
        </w:rPr>
      </w:pPr>
    </w:p>
    <w:p w14:paraId="6940D81F" w14:textId="540A529F" w:rsidR="00E71236" w:rsidRDefault="00E71236" w:rsidP="00A3747F">
      <w:pPr>
        <w:rPr>
          <w:rFonts w:cs="Arial"/>
          <w:b/>
          <w:bCs/>
        </w:rPr>
      </w:pPr>
    </w:p>
    <w:p w14:paraId="2B106F96" w14:textId="4EC9BA98" w:rsidR="00E71236" w:rsidRDefault="00E71236" w:rsidP="00A3747F">
      <w:pPr>
        <w:rPr>
          <w:rFonts w:cs="Arial"/>
          <w:b/>
          <w:bCs/>
        </w:rPr>
      </w:pPr>
    </w:p>
    <w:p w14:paraId="2C082F76" w14:textId="70B2FA91" w:rsidR="00E71236" w:rsidRDefault="00E71236" w:rsidP="00A3747F">
      <w:pPr>
        <w:rPr>
          <w:rFonts w:cs="Arial"/>
          <w:b/>
          <w:bCs/>
        </w:rPr>
      </w:pPr>
    </w:p>
    <w:p w14:paraId="1D437A99" w14:textId="506EC144" w:rsidR="00E71236" w:rsidRDefault="00E71236" w:rsidP="00A3747F">
      <w:pPr>
        <w:rPr>
          <w:rFonts w:cs="Arial"/>
          <w:b/>
          <w:bCs/>
        </w:rPr>
      </w:pPr>
    </w:p>
    <w:p w14:paraId="43F91C74" w14:textId="6167F542" w:rsidR="00E71236" w:rsidRDefault="00E71236" w:rsidP="00A3747F">
      <w:pPr>
        <w:rPr>
          <w:rFonts w:cs="Arial"/>
          <w:b/>
          <w:bCs/>
        </w:rPr>
      </w:pPr>
    </w:p>
    <w:p w14:paraId="6C38DECF" w14:textId="2A8854A7" w:rsidR="00E71236" w:rsidRDefault="00E71236" w:rsidP="00A3747F">
      <w:pPr>
        <w:rPr>
          <w:rFonts w:cs="Arial"/>
          <w:b/>
          <w:bCs/>
        </w:rPr>
      </w:pPr>
    </w:p>
    <w:p w14:paraId="4B244CFB" w14:textId="3B071926" w:rsidR="00E71236" w:rsidRDefault="00E71236" w:rsidP="00A3747F">
      <w:pPr>
        <w:rPr>
          <w:rFonts w:cs="Arial"/>
          <w:b/>
          <w:bCs/>
        </w:rPr>
      </w:pPr>
    </w:p>
    <w:p w14:paraId="1A5CA55E" w14:textId="02F55F66" w:rsidR="00E71236" w:rsidRDefault="00E71236" w:rsidP="00A3747F">
      <w:pPr>
        <w:rPr>
          <w:rFonts w:cs="Arial"/>
          <w:b/>
          <w:bCs/>
        </w:rPr>
      </w:pPr>
    </w:p>
    <w:p w14:paraId="1A598C6C" w14:textId="02E33586" w:rsidR="00E71236" w:rsidRDefault="00E71236" w:rsidP="00A3747F">
      <w:pPr>
        <w:rPr>
          <w:rFonts w:cs="Arial"/>
          <w:b/>
          <w:bCs/>
        </w:rPr>
      </w:pPr>
    </w:p>
    <w:p w14:paraId="618915AB" w14:textId="3E5E4FFE" w:rsidR="00E71236" w:rsidRDefault="00E71236" w:rsidP="00A3747F">
      <w:pPr>
        <w:rPr>
          <w:rFonts w:cs="Arial"/>
          <w:b/>
          <w:bCs/>
        </w:rPr>
      </w:pPr>
    </w:p>
    <w:p w14:paraId="432FA834" w14:textId="07B87A33" w:rsidR="00E71236" w:rsidRDefault="00E71236" w:rsidP="00A3747F">
      <w:pPr>
        <w:rPr>
          <w:rFonts w:cs="Arial"/>
          <w:b/>
          <w:bCs/>
        </w:rPr>
      </w:pPr>
    </w:p>
    <w:p w14:paraId="4B34B7A4" w14:textId="4773273D" w:rsidR="00E71236" w:rsidRDefault="00E71236" w:rsidP="00A3747F">
      <w:pPr>
        <w:rPr>
          <w:rFonts w:cs="Arial"/>
          <w:b/>
          <w:bCs/>
        </w:rPr>
      </w:pPr>
    </w:p>
    <w:p w14:paraId="27B53A62" w14:textId="43D513B3" w:rsidR="001E7D80" w:rsidRDefault="001E7D80" w:rsidP="00A3747F">
      <w:pPr>
        <w:rPr>
          <w:rFonts w:cs="Arial"/>
          <w:b/>
          <w:bCs/>
        </w:rPr>
      </w:pPr>
    </w:p>
    <w:p w14:paraId="60618E2C" w14:textId="3758A3F2" w:rsidR="001E7D80" w:rsidRDefault="001E7D80" w:rsidP="00A3747F">
      <w:pPr>
        <w:rPr>
          <w:rFonts w:cs="Arial"/>
          <w:b/>
          <w:bCs/>
        </w:rPr>
      </w:pPr>
    </w:p>
    <w:p w14:paraId="5E963E93" w14:textId="12C85804" w:rsidR="001E7D80" w:rsidRDefault="001E7D80" w:rsidP="00A3747F">
      <w:pPr>
        <w:rPr>
          <w:rFonts w:cs="Arial"/>
          <w:b/>
          <w:bCs/>
        </w:rPr>
      </w:pPr>
    </w:p>
    <w:p w14:paraId="2AE55AE2" w14:textId="70CC35FC" w:rsidR="001E7D80" w:rsidRDefault="001E7D80" w:rsidP="00A3747F">
      <w:pPr>
        <w:rPr>
          <w:rFonts w:cs="Arial"/>
          <w:b/>
          <w:bCs/>
        </w:rPr>
      </w:pPr>
    </w:p>
    <w:p w14:paraId="653FF2C4" w14:textId="12A22069" w:rsidR="001E7D80" w:rsidRDefault="001E7D80" w:rsidP="00A3747F">
      <w:pPr>
        <w:rPr>
          <w:rFonts w:cs="Arial"/>
          <w:b/>
          <w:bCs/>
        </w:rPr>
      </w:pPr>
    </w:p>
    <w:p w14:paraId="70C21503" w14:textId="6C2C3976" w:rsidR="001E7D80" w:rsidRDefault="001E7D80" w:rsidP="00A3747F">
      <w:pPr>
        <w:rPr>
          <w:rFonts w:cs="Arial"/>
          <w:b/>
          <w:bCs/>
        </w:rPr>
      </w:pPr>
    </w:p>
    <w:p w14:paraId="77A553F5" w14:textId="60F4FBBF" w:rsidR="001E7D80" w:rsidRDefault="001E7D80" w:rsidP="00A3747F">
      <w:pPr>
        <w:rPr>
          <w:rFonts w:cs="Arial"/>
          <w:b/>
          <w:bCs/>
        </w:rPr>
      </w:pPr>
    </w:p>
    <w:p w14:paraId="316AABF9" w14:textId="7400D8C4" w:rsidR="001E7D80" w:rsidRDefault="001E7D80" w:rsidP="00A3747F">
      <w:pPr>
        <w:rPr>
          <w:rFonts w:cs="Arial"/>
          <w:b/>
          <w:bCs/>
        </w:rPr>
      </w:pPr>
    </w:p>
    <w:p w14:paraId="5F88BAEE" w14:textId="25765E44" w:rsidR="001E7D80" w:rsidRDefault="001E7D80" w:rsidP="00A3747F">
      <w:pPr>
        <w:rPr>
          <w:rFonts w:cs="Arial"/>
          <w:b/>
          <w:bCs/>
        </w:rPr>
      </w:pPr>
    </w:p>
    <w:p w14:paraId="490B247A" w14:textId="3EC8C10E" w:rsidR="001E7D80" w:rsidRDefault="001E7D80" w:rsidP="00A3747F">
      <w:pPr>
        <w:rPr>
          <w:rFonts w:cs="Arial"/>
          <w:b/>
          <w:bCs/>
        </w:rPr>
      </w:pPr>
    </w:p>
    <w:p w14:paraId="36A31F10" w14:textId="77777777" w:rsidR="001E7D80" w:rsidRDefault="001E7D80" w:rsidP="00A3747F">
      <w:pPr>
        <w:rPr>
          <w:rFonts w:cs="Arial"/>
          <w:b/>
          <w:bCs/>
        </w:rPr>
      </w:pPr>
    </w:p>
    <w:p w14:paraId="6F61EC29" w14:textId="03A04F27" w:rsidR="00E71236" w:rsidRDefault="00E71236" w:rsidP="00A3747F">
      <w:pPr>
        <w:rPr>
          <w:rFonts w:cs="Arial"/>
          <w:b/>
          <w:bCs/>
        </w:rPr>
      </w:pPr>
    </w:p>
    <w:p w14:paraId="380936A1" w14:textId="7818BC93" w:rsidR="00E71236" w:rsidRDefault="00E71236" w:rsidP="00A3747F">
      <w:pPr>
        <w:rPr>
          <w:rFonts w:cs="Arial"/>
          <w:b/>
          <w:bCs/>
        </w:rPr>
      </w:pPr>
    </w:p>
    <w:p w14:paraId="68073F39" w14:textId="173C5428" w:rsidR="00E71236" w:rsidRDefault="00E71236" w:rsidP="00A3747F">
      <w:pPr>
        <w:rPr>
          <w:rFonts w:cs="Arial"/>
          <w:b/>
          <w:bCs/>
        </w:rPr>
      </w:pPr>
    </w:p>
    <w:p w14:paraId="00754B11" w14:textId="6BF54F95" w:rsidR="00E71236" w:rsidRDefault="00E71236" w:rsidP="00A3747F">
      <w:pPr>
        <w:rPr>
          <w:rFonts w:cs="Arial"/>
          <w:b/>
          <w:bCs/>
        </w:rPr>
      </w:pPr>
    </w:p>
    <w:p w14:paraId="3CFAFE58" w14:textId="77777777" w:rsidR="00E71236" w:rsidRDefault="00E71236" w:rsidP="00A3747F">
      <w:pPr>
        <w:rPr>
          <w:rFonts w:cs="Arial"/>
          <w:b/>
          <w:bCs/>
        </w:rPr>
      </w:pPr>
    </w:p>
    <w:p w14:paraId="52D58BD9" w14:textId="64229CD9" w:rsidR="00B6760C" w:rsidRDefault="00B6760C" w:rsidP="00A3747F">
      <w:pPr>
        <w:rPr>
          <w:rFonts w:cs="Arial"/>
          <w:b/>
          <w:bCs/>
        </w:rPr>
      </w:pPr>
    </w:p>
    <w:p w14:paraId="1EE82CFE" w14:textId="7C0253C4" w:rsidR="00B6760C" w:rsidRDefault="00B6760C" w:rsidP="00A3747F">
      <w:pPr>
        <w:rPr>
          <w:rFonts w:cs="Arial"/>
          <w:b/>
          <w:bCs/>
        </w:rPr>
      </w:pPr>
    </w:p>
    <w:p w14:paraId="00546F1B" w14:textId="03346B44" w:rsidR="00B6760C" w:rsidRDefault="00B6760C" w:rsidP="00A3747F">
      <w:pPr>
        <w:rPr>
          <w:rFonts w:cs="Arial"/>
          <w:b/>
          <w:bCs/>
        </w:rPr>
      </w:pPr>
    </w:p>
    <w:p w14:paraId="0D03B3E6" w14:textId="23C10D5A" w:rsidR="00B6760C" w:rsidRDefault="00B6760C" w:rsidP="00A3747F">
      <w:pPr>
        <w:rPr>
          <w:rFonts w:cs="Arial"/>
          <w:b/>
          <w:bCs/>
        </w:rPr>
      </w:pPr>
    </w:p>
    <w:p w14:paraId="402A063E" w14:textId="5E53A182" w:rsidR="00B6760C" w:rsidRDefault="00B6760C" w:rsidP="00A3747F">
      <w:pPr>
        <w:rPr>
          <w:rFonts w:cs="Arial"/>
          <w:b/>
          <w:bCs/>
        </w:rPr>
      </w:pPr>
    </w:p>
    <w:p w14:paraId="4967E88B" w14:textId="77777777" w:rsidR="00B6760C" w:rsidRPr="00A55906" w:rsidRDefault="00B6760C" w:rsidP="00A3747F">
      <w:pPr>
        <w:rPr>
          <w:rFonts w:cs="Arial"/>
          <w:b/>
          <w:bCs/>
        </w:rPr>
      </w:pPr>
    </w:p>
    <w:p w14:paraId="282A1930" w14:textId="77777777" w:rsidR="00F40C0F" w:rsidRPr="00A55906" w:rsidRDefault="00F40C0F" w:rsidP="00A3747F">
      <w:pPr>
        <w:rPr>
          <w:rFonts w:cs="Arial"/>
          <w:b/>
          <w:bCs/>
        </w:rPr>
      </w:pPr>
    </w:p>
    <w:p w14:paraId="72150766" w14:textId="77777777" w:rsidR="00F40C0F" w:rsidRPr="00A55906" w:rsidRDefault="00F40C0F" w:rsidP="00A3747F">
      <w:pPr>
        <w:rPr>
          <w:rFonts w:cs="Arial"/>
          <w:b/>
          <w:bCs/>
        </w:rPr>
      </w:pPr>
    </w:p>
    <w:p w14:paraId="2BC9C067" w14:textId="77777777" w:rsidR="00F40C0F" w:rsidRPr="00A55906" w:rsidRDefault="00F40C0F" w:rsidP="00A3747F">
      <w:pPr>
        <w:rPr>
          <w:rFonts w:cs="Arial"/>
          <w:b/>
          <w:bCs/>
        </w:rPr>
      </w:pPr>
    </w:p>
    <w:p w14:paraId="75E6FC11" w14:textId="77777777" w:rsidR="00F40C0F" w:rsidRPr="00A55906" w:rsidRDefault="00F40C0F" w:rsidP="00A3747F">
      <w:pPr>
        <w:rPr>
          <w:rFonts w:cs="Arial"/>
          <w:b/>
          <w:bCs/>
        </w:rPr>
      </w:pPr>
    </w:p>
    <w:p w14:paraId="39611169" w14:textId="77777777" w:rsidR="00F40C0F" w:rsidRPr="00A55906" w:rsidRDefault="00F40C0F" w:rsidP="00A3747F">
      <w:pPr>
        <w:rPr>
          <w:rFonts w:cs="Arial"/>
          <w:b/>
          <w:bCs/>
        </w:rPr>
      </w:pPr>
    </w:p>
    <w:p w14:paraId="5BE5BF16" w14:textId="77777777" w:rsidR="00F40C0F" w:rsidRPr="00A55906" w:rsidRDefault="00F40C0F" w:rsidP="00A3747F">
      <w:pPr>
        <w:rPr>
          <w:rFonts w:cs="Arial"/>
          <w:b/>
          <w:bCs/>
        </w:rPr>
      </w:pPr>
    </w:p>
    <w:p w14:paraId="17E095F2" w14:textId="77777777" w:rsidR="00F40C0F" w:rsidRPr="00A55906" w:rsidRDefault="00F40C0F" w:rsidP="00A3747F">
      <w:pPr>
        <w:rPr>
          <w:rFonts w:cs="Arial"/>
          <w:b/>
          <w:bCs/>
        </w:rPr>
      </w:pPr>
    </w:p>
    <w:p w14:paraId="1DE52E6C" w14:textId="77777777" w:rsidR="00F40C0F" w:rsidRPr="00A55906" w:rsidRDefault="00F40C0F" w:rsidP="00A3747F">
      <w:pPr>
        <w:rPr>
          <w:rFonts w:cs="Arial"/>
          <w:b/>
          <w:bCs/>
        </w:rPr>
      </w:pPr>
    </w:p>
    <w:p w14:paraId="7C329FFA" w14:textId="77777777" w:rsidR="00F40C0F" w:rsidRPr="00A55906" w:rsidRDefault="00F40C0F" w:rsidP="00A3747F">
      <w:pPr>
        <w:autoSpaceDE w:val="0"/>
        <w:autoSpaceDN w:val="0"/>
        <w:adjustRightInd w:val="0"/>
        <w:jc w:val="center"/>
        <w:rPr>
          <w:rFonts w:eastAsia="Times New Roman" w:cs="Arial"/>
          <w:b/>
        </w:rPr>
      </w:pPr>
      <w:r w:rsidRPr="00A55906">
        <w:rPr>
          <w:rFonts w:eastAsia="Times New Roman" w:cs="Arial"/>
          <w:b/>
        </w:rPr>
        <w:t>TOMO II. MARCO PLURIANUAL</w:t>
      </w:r>
    </w:p>
    <w:p w14:paraId="3D30233F" w14:textId="77777777" w:rsidR="00F40C0F" w:rsidRPr="00A55906" w:rsidRDefault="00F40C0F" w:rsidP="00A3747F">
      <w:pPr>
        <w:rPr>
          <w:rFonts w:cs="Arial"/>
          <w:b/>
          <w:bCs/>
        </w:rPr>
      </w:pPr>
    </w:p>
    <w:p w14:paraId="7AC4F13D" w14:textId="77777777" w:rsidR="00F40C0F" w:rsidRPr="00A55906" w:rsidRDefault="00F40C0F" w:rsidP="00A3747F">
      <w:pPr>
        <w:rPr>
          <w:rFonts w:cs="Arial"/>
          <w:b/>
          <w:bCs/>
        </w:rPr>
      </w:pPr>
    </w:p>
    <w:p w14:paraId="7067AAB1" w14:textId="77777777" w:rsidR="00F40C0F" w:rsidRPr="00A55906" w:rsidRDefault="00F40C0F" w:rsidP="00A3747F">
      <w:pPr>
        <w:rPr>
          <w:rFonts w:cs="Arial"/>
          <w:b/>
          <w:bCs/>
        </w:rPr>
      </w:pPr>
    </w:p>
    <w:p w14:paraId="540C3A1E" w14:textId="77777777" w:rsidR="00F40C0F" w:rsidRPr="00A55906" w:rsidRDefault="00F40C0F" w:rsidP="00A3747F">
      <w:pPr>
        <w:rPr>
          <w:rFonts w:cs="Arial"/>
          <w:b/>
          <w:bCs/>
        </w:rPr>
      </w:pPr>
    </w:p>
    <w:p w14:paraId="741E6770" w14:textId="77777777" w:rsidR="00F40C0F" w:rsidRPr="00A55906" w:rsidRDefault="00F40C0F" w:rsidP="00A3747F">
      <w:pPr>
        <w:rPr>
          <w:rFonts w:cs="Arial"/>
          <w:b/>
          <w:bCs/>
        </w:rPr>
      </w:pPr>
    </w:p>
    <w:p w14:paraId="4D732C06" w14:textId="77777777" w:rsidR="00F40C0F" w:rsidRPr="00A55906" w:rsidRDefault="00F40C0F" w:rsidP="00A3747F">
      <w:pPr>
        <w:rPr>
          <w:rFonts w:cs="Arial"/>
          <w:b/>
          <w:bCs/>
        </w:rPr>
      </w:pPr>
    </w:p>
    <w:p w14:paraId="566CB13A" w14:textId="77777777" w:rsidR="00F40C0F" w:rsidRPr="00A55906" w:rsidRDefault="00F40C0F" w:rsidP="00A3747F">
      <w:pPr>
        <w:rPr>
          <w:rFonts w:cs="Arial"/>
          <w:b/>
          <w:bCs/>
        </w:rPr>
      </w:pPr>
    </w:p>
    <w:p w14:paraId="22D7F01D" w14:textId="77777777" w:rsidR="00F40C0F" w:rsidRPr="00A55906" w:rsidRDefault="00F40C0F" w:rsidP="00A3747F">
      <w:pPr>
        <w:rPr>
          <w:rFonts w:cs="Arial"/>
          <w:b/>
          <w:bCs/>
        </w:rPr>
      </w:pPr>
    </w:p>
    <w:p w14:paraId="51234D8B" w14:textId="77777777" w:rsidR="00F40C0F" w:rsidRPr="00A55906" w:rsidRDefault="00F40C0F" w:rsidP="00A3747F">
      <w:pPr>
        <w:rPr>
          <w:rFonts w:cs="Arial"/>
          <w:b/>
          <w:bCs/>
        </w:rPr>
      </w:pPr>
    </w:p>
    <w:p w14:paraId="5262B280" w14:textId="77777777" w:rsidR="00F40C0F" w:rsidRPr="00A55906" w:rsidRDefault="00F40C0F" w:rsidP="00A3747F">
      <w:pPr>
        <w:rPr>
          <w:rFonts w:cs="Arial"/>
          <w:b/>
          <w:bCs/>
        </w:rPr>
      </w:pPr>
    </w:p>
    <w:p w14:paraId="2F66ACA5" w14:textId="77777777" w:rsidR="00F40C0F" w:rsidRPr="00A55906" w:rsidRDefault="00F40C0F" w:rsidP="00A3747F">
      <w:pPr>
        <w:rPr>
          <w:rFonts w:cs="Arial"/>
          <w:b/>
          <w:bCs/>
        </w:rPr>
      </w:pPr>
    </w:p>
    <w:p w14:paraId="10FA0F1C" w14:textId="77777777" w:rsidR="00F40C0F" w:rsidRPr="00A55906" w:rsidRDefault="00F40C0F" w:rsidP="00A3747F">
      <w:pPr>
        <w:rPr>
          <w:rFonts w:cs="Arial"/>
          <w:b/>
          <w:bCs/>
        </w:rPr>
      </w:pPr>
    </w:p>
    <w:p w14:paraId="64225E7D" w14:textId="77777777" w:rsidR="00F40C0F" w:rsidRPr="00A55906" w:rsidRDefault="00F40C0F" w:rsidP="00A3747F">
      <w:pPr>
        <w:rPr>
          <w:rFonts w:cs="Arial"/>
          <w:b/>
          <w:bCs/>
        </w:rPr>
      </w:pPr>
    </w:p>
    <w:p w14:paraId="158FDFE4" w14:textId="77777777" w:rsidR="00F40C0F" w:rsidRPr="00A55906" w:rsidRDefault="00F40C0F" w:rsidP="00A3747F">
      <w:pPr>
        <w:rPr>
          <w:rFonts w:cs="Arial"/>
          <w:b/>
          <w:bCs/>
        </w:rPr>
      </w:pPr>
    </w:p>
    <w:p w14:paraId="4B8CF8AE" w14:textId="77777777" w:rsidR="00F40C0F" w:rsidRPr="00A55906" w:rsidRDefault="00F40C0F" w:rsidP="00A3747F">
      <w:pPr>
        <w:rPr>
          <w:rFonts w:cs="Arial"/>
          <w:b/>
          <w:bCs/>
        </w:rPr>
      </w:pPr>
    </w:p>
    <w:p w14:paraId="7A2D16A8" w14:textId="235CF642" w:rsidR="00461184" w:rsidRDefault="00461184" w:rsidP="00A3747F">
      <w:pPr>
        <w:rPr>
          <w:rFonts w:cs="Arial"/>
        </w:rPr>
      </w:pPr>
      <w:r>
        <w:rPr>
          <w:rFonts w:cs="Arial"/>
        </w:rPr>
        <w:br w:type="page"/>
      </w:r>
    </w:p>
    <w:p w14:paraId="2ECB1701" w14:textId="77777777" w:rsidR="00F40C0F" w:rsidRPr="00A55906" w:rsidRDefault="00F40C0F" w:rsidP="0045406C">
      <w:pPr>
        <w:pStyle w:val="Ttulo1"/>
      </w:pPr>
      <w:r w:rsidRPr="00A55906">
        <w:lastRenderedPageBreak/>
        <w:t>2. MARCO PLURIANUAL</w:t>
      </w:r>
    </w:p>
    <w:p w14:paraId="585E6EBD" w14:textId="77777777" w:rsidR="00461184" w:rsidRDefault="00461184" w:rsidP="00A3747F">
      <w:pPr>
        <w:rPr>
          <w:rFonts w:cs="Arial"/>
        </w:rPr>
      </w:pPr>
    </w:p>
    <w:p w14:paraId="403E5176" w14:textId="0C15A8A4" w:rsidR="00F40C0F" w:rsidRDefault="00F40C0F" w:rsidP="00A3747F">
      <w:pPr>
        <w:rPr>
          <w:rFonts w:cs="Arial"/>
        </w:rPr>
      </w:pPr>
      <w:r w:rsidRPr="00A55906">
        <w:rPr>
          <w:rFonts w:cs="Arial"/>
        </w:rPr>
        <w:t xml:space="preserve">En atención a lo dispuesto por el artículo 5 de la Ley de Disciplina Financiera de las Entidades Federativas y los Municipios, se presenta la </w:t>
      </w:r>
      <w:r w:rsidR="00E71236">
        <w:rPr>
          <w:rFonts w:cs="Arial"/>
        </w:rPr>
        <w:t xml:space="preserve">siguiente </w:t>
      </w:r>
      <w:r w:rsidRPr="00A55906">
        <w:rPr>
          <w:rFonts w:cs="Arial"/>
        </w:rPr>
        <w:t xml:space="preserve">información. </w:t>
      </w:r>
    </w:p>
    <w:p w14:paraId="7F10FD2F" w14:textId="77777777" w:rsidR="00461184" w:rsidRPr="00A55906" w:rsidRDefault="00461184" w:rsidP="00A3747F">
      <w:pPr>
        <w:rPr>
          <w:rFonts w:cs="Arial"/>
        </w:rPr>
      </w:pPr>
    </w:p>
    <w:p w14:paraId="31C7FC60" w14:textId="2A72EE11" w:rsidR="00F40C0F" w:rsidRDefault="00AA639D" w:rsidP="0045406C">
      <w:pPr>
        <w:pStyle w:val="Ttulo2"/>
      </w:pPr>
      <w:r>
        <w:t>2.</w:t>
      </w:r>
      <w:r w:rsidR="00F40C0F" w:rsidRPr="00A55906">
        <w:t>I. Objetivos anuales, estrategias y metas</w:t>
      </w:r>
      <w:r w:rsidR="006C1091">
        <w:rPr>
          <w:vertAlign w:val="superscript"/>
        </w:rPr>
        <w:t>1/</w:t>
      </w:r>
      <w:r w:rsidR="00F40C0F" w:rsidRPr="00A55906">
        <w:t>.</w:t>
      </w:r>
    </w:p>
    <w:p w14:paraId="1C19D7F0" w14:textId="77777777" w:rsidR="00461184" w:rsidRPr="00A55906" w:rsidRDefault="00461184" w:rsidP="00A3747F">
      <w:pPr>
        <w:rPr>
          <w:rFonts w:cs="Arial"/>
          <w:b/>
          <w:bCs/>
        </w:rPr>
      </w:pPr>
    </w:p>
    <w:tbl>
      <w:tblPr>
        <w:tblStyle w:val="Tablaconcuadrcula"/>
        <w:tblW w:w="9209" w:type="dxa"/>
        <w:jc w:val="center"/>
        <w:tblLook w:val="04A0" w:firstRow="1" w:lastRow="0" w:firstColumn="1" w:lastColumn="0" w:noHBand="0" w:noVBand="1"/>
      </w:tblPr>
      <w:tblGrid>
        <w:gridCol w:w="9209"/>
      </w:tblGrid>
      <w:tr w:rsidR="00BB603F" w:rsidRPr="005A71F0" w14:paraId="0F375D7F" w14:textId="77777777" w:rsidTr="00BB603F">
        <w:trPr>
          <w:trHeight w:val="20"/>
          <w:jc w:val="center"/>
        </w:trPr>
        <w:tc>
          <w:tcPr>
            <w:tcW w:w="9209" w:type="dxa"/>
            <w:shd w:val="clear" w:color="auto" w:fill="FBE4D5" w:themeFill="accent2" w:themeFillTint="33"/>
            <w:vAlign w:val="center"/>
            <w:hideMark/>
          </w:tcPr>
          <w:p w14:paraId="043F65F7" w14:textId="77777777" w:rsidR="00BB603F" w:rsidRPr="005A71F0" w:rsidRDefault="00BB603F" w:rsidP="0068149B">
            <w:pPr>
              <w:rPr>
                <w:b/>
                <w:bCs/>
              </w:rPr>
            </w:pPr>
            <w:r w:rsidRPr="005A71F0">
              <w:rPr>
                <w:b/>
                <w:bCs/>
              </w:rPr>
              <w:t>Oficina de la Gubernatura</w:t>
            </w:r>
          </w:p>
        </w:tc>
      </w:tr>
      <w:tr w:rsidR="00BB603F" w:rsidRPr="005A71F0" w14:paraId="5F7A591F" w14:textId="77777777" w:rsidTr="00BB603F">
        <w:trPr>
          <w:trHeight w:val="20"/>
          <w:jc w:val="center"/>
        </w:trPr>
        <w:tc>
          <w:tcPr>
            <w:tcW w:w="9209" w:type="dxa"/>
            <w:vAlign w:val="center"/>
            <w:hideMark/>
          </w:tcPr>
          <w:p w14:paraId="5A0A7D6B" w14:textId="77777777" w:rsidR="00BB603F" w:rsidRPr="005A71F0" w:rsidRDefault="00BB603F" w:rsidP="0068149B">
            <w:r w:rsidRPr="005A71F0">
              <w:t>El Despacho de la C. Gobernadora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r>
      <w:tr w:rsidR="00BB603F" w:rsidRPr="005A71F0" w14:paraId="3CC56734" w14:textId="77777777" w:rsidTr="00BB603F">
        <w:trPr>
          <w:trHeight w:val="20"/>
          <w:jc w:val="center"/>
        </w:trPr>
        <w:tc>
          <w:tcPr>
            <w:tcW w:w="9209" w:type="dxa"/>
            <w:shd w:val="clear" w:color="auto" w:fill="FBE4D5" w:themeFill="accent2" w:themeFillTint="33"/>
            <w:vAlign w:val="center"/>
            <w:hideMark/>
          </w:tcPr>
          <w:p w14:paraId="73B9DFA3" w14:textId="77777777" w:rsidR="00BB603F" w:rsidRPr="005A71F0" w:rsidRDefault="00BB603F" w:rsidP="0068149B">
            <w:pPr>
              <w:rPr>
                <w:b/>
                <w:bCs/>
              </w:rPr>
            </w:pPr>
            <w:r w:rsidRPr="005A71F0">
              <w:rPr>
                <w:b/>
                <w:bCs/>
              </w:rPr>
              <w:t>Secretaría General de Gobierno</w:t>
            </w:r>
          </w:p>
        </w:tc>
      </w:tr>
      <w:tr w:rsidR="00BB603F" w:rsidRPr="005A71F0" w14:paraId="4BD8EF55" w14:textId="77777777" w:rsidTr="00BB603F">
        <w:trPr>
          <w:trHeight w:val="20"/>
          <w:jc w:val="center"/>
        </w:trPr>
        <w:tc>
          <w:tcPr>
            <w:tcW w:w="9209" w:type="dxa"/>
            <w:vAlign w:val="center"/>
            <w:hideMark/>
          </w:tcPr>
          <w:p w14:paraId="7C14FA72" w14:textId="77777777" w:rsidR="00BB603F" w:rsidRPr="005A71F0" w:rsidRDefault="00BB603F" w:rsidP="0068149B">
            <w:r w:rsidRPr="005A71F0">
              <w:t>En el Estado de Colima y sus municipios se salvaguardan los derechos humanos y se garantiza el mejoramiento de la calidad de vida de los ciudadanos.</w:t>
            </w:r>
          </w:p>
        </w:tc>
      </w:tr>
      <w:tr w:rsidR="00BB603F" w:rsidRPr="005A71F0" w14:paraId="495E6868" w14:textId="77777777" w:rsidTr="00BB603F">
        <w:trPr>
          <w:trHeight w:val="20"/>
          <w:jc w:val="center"/>
        </w:trPr>
        <w:tc>
          <w:tcPr>
            <w:tcW w:w="9209" w:type="dxa"/>
            <w:shd w:val="clear" w:color="auto" w:fill="FBE4D5" w:themeFill="accent2" w:themeFillTint="33"/>
            <w:vAlign w:val="center"/>
            <w:hideMark/>
          </w:tcPr>
          <w:p w14:paraId="5C627CE6" w14:textId="77777777" w:rsidR="00BB603F" w:rsidRPr="005A71F0" w:rsidRDefault="00BB603F" w:rsidP="0068149B">
            <w:pPr>
              <w:rPr>
                <w:b/>
                <w:bCs/>
              </w:rPr>
            </w:pPr>
            <w:r w:rsidRPr="005A71F0">
              <w:rPr>
                <w:b/>
                <w:bCs/>
              </w:rPr>
              <w:t>Secretaría de Planeación, Finanzas y Administración</w:t>
            </w:r>
          </w:p>
        </w:tc>
      </w:tr>
      <w:tr w:rsidR="00BB603F" w:rsidRPr="005A71F0" w14:paraId="15A9401B" w14:textId="77777777" w:rsidTr="00BB603F">
        <w:trPr>
          <w:trHeight w:val="20"/>
          <w:jc w:val="center"/>
        </w:trPr>
        <w:tc>
          <w:tcPr>
            <w:tcW w:w="9209" w:type="dxa"/>
            <w:vAlign w:val="center"/>
            <w:hideMark/>
          </w:tcPr>
          <w:p w14:paraId="45D84A5A" w14:textId="77777777" w:rsidR="00BB603F" w:rsidRPr="005A71F0" w:rsidRDefault="00BB603F" w:rsidP="0068149B">
            <w:r w:rsidRPr="005A71F0">
              <w:t>El estado de Colima presenta finanzas fortalecidas.</w:t>
            </w:r>
          </w:p>
        </w:tc>
      </w:tr>
      <w:tr w:rsidR="00BB603F" w:rsidRPr="005A71F0" w14:paraId="236DDC66" w14:textId="77777777" w:rsidTr="00BB603F">
        <w:trPr>
          <w:trHeight w:val="20"/>
          <w:jc w:val="center"/>
        </w:trPr>
        <w:tc>
          <w:tcPr>
            <w:tcW w:w="9209" w:type="dxa"/>
            <w:vAlign w:val="center"/>
            <w:hideMark/>
          </w:tcPr>
          <w:p w14:paraId="190D0462" w14:textId="77777777" w:rsidR="00BB603F" w:rsidRPr="005A71F0" w:rsidRDefault="00BB603F" w:rsidP="0068149B">
            <w:r w:rsidRPr="005A71F0">
              <w:t>La población de Colima cuenta con instrumentos de planeación, programación, monitoreo seguimiento y evaluación eficientes, transparentes y accesibles.</w:t>
            </w:r>
          </w:p>
        </w:tc>
      </w:tr>
      <w:tr w:rsidR="00BB603F" w:rsidRPr="005A71F0" w14:paraId="304F8DD1" w14:textId="77777777" w:rsidTr="00BB603F">
        <w:trPr>
          <w:trHeight w:val="20"/>
          <w:jc w:val="center"/>
        </w:trPr>
        <w:tc>
          <w:tcPr>
            <w:tcW w:w="9209" w:type="dxa"/>
            <w:vAlign w:val="center"/>
            <w:hideMark/>
          </w:tcPr>
          <w:p w14:paraId="48AD02C1" w14:textId="77777777" w:rsidR="00BB603F" w:rsidRPr="005A71F0" w:rsidRDefault="00BB603F" w:rsidP="0068149B">
            <w:r w:rsidRPr="005A71F0">
              <w:t>La población del Estado de Colima cuenta con una administración pública atendida con oportunidad, eficiencia y eficacia, que permite una adecuada recaudación y distribución de los recursos públicos.</w:t>
            </w:r>
          </w:p>
        </w:tc>
      </w:tr>
      <w:tr w:rsidR="00BB603F" w:rsidRPr="005A71F0" w14:paraId="61A5AD39" w14:textId="77777777" w:rsidTr="00BB603F">
        <w:trPr>
          <w:trHeight w:val="20"/>
          <w:jc w:val="center"/>
        </w:trPr>
        <w:tc>
          <w:tcPr>
            <w:tcW w:w="9209" w:type="dxa"/>
            <w:shd w:val="clear" w:color="auto" w:fill="FBE4D5" w:themeFill="accent2" w:themeFillTint="33"/>
            <w:vAlign w:val="center"/>
            <w:hideMark/>
          </w:tcPr>
          <w:p w14:paraId="77004D62" w14:textId="77777777" w:rsidR="00BB603F" w:rsidRPr="005A71F0" w:rsidRDefault="00BB603F" w:rsidP="0068149B">
            <w:pPr>
              <w:rPr>
                <w:b/>
                <w:bCs/>
              </w:rPr>
            </w:pPr>
            <w:r w:rsidRPr="005A71F0">
              <w:rPr>
                <w:b/>
                <w:bCs/>
              </w:rPr>
              <w:t>Subsecretaría de Administración</w:t>
            </w:r>
          </w:p>
        </w:tc>
      </w:tr>
      <w:tr w:rsidR="00BB603F" w:rsidRPr="005A71F0" w14:paraId="307853E8" w14:textId="77777777" w:rsidTr="00BB603F">
        <w:trPr>
          <w:trHeight w:val="20"/>
          <w:jc w:val="center"/>
        </w:trPr>
        <w:tc>
          <w:tcPr>
            <w:tcW w:w="9209" w:type="dxa"/>
            <w:vAlign w:val="center"/>
            <w:hideMark/>
          </w:tcPr>
          <w:p w14:paraId="2BF35107" w14:textId="77777777" w:rsidR="00BB603F" w:rsidRPr="005A71F0" w:rsidRDefault="00BB603F" w:rsidP="0068149B">
            <w:r w:rsidRPr="005A71F0">
              <w:t>Las dependencias del Poder Ejecutivo disponen de los recursos humanos, materiales, técnicos y de servicio necesarios, para cumplir de manera oportuna con sus atribuciones y funciones.</w:t>
            </w:r>
          </w:p>
        </w:tc>
      </w:tr>
      <w:tr w:rsidR="00BB603F" w:rsidRPr="005A71F0" w14:paraId="5DE8440D" w14:textId="77777777" w:rsidTr="00BB603F">
        <w:trPr>
          <w:trHeight w:val="20"/>
          <w:jc w:val="center"/>
        </w:trPr>
        <w:tc>
          <w:tcPr>
            <w:tcW w:w="9209" w:type="dxa"/>
            <w:shd w:val="clear" w:color="auto" w:fill="FBE4D5" w:themeFill="accent2" w:themeFillTint="33"/>
            <w:vAlign w:val="center"/>
            <w:hideMark/>
          </w:tcPr>
          <w:p w14:paraId="1337C75F" w14:textId="77777777" w:rsidR="00BB603F" w:rsidRPr="005A71F0" w:rsidRDefault="00BB603F" w:rsidP="0068149B">
            <w:pPr>
              <w:rPr>
                <w:b/>
                <w:bCs/>
              </w:rPr>
            </w:pPr>
            <w:r w:rsidRPr="005A71F0">
              <w:rPr>
                <w:b/>
                <w:bCs/>
              </w:rPr>
              <w:t>Secretaría de Bienestar, Inclusión Social y Mujeres</w:t>
            </w:r>
          </w:p>
        </w:tc>
      </w:tr>
      <w:tr w:rsidR="00BB603F" w:rsidRPr="005A71F0" w14:paraId="17C2B34B" w14:textId="77777777" w:rsidTr="00BB603F">
        <w:trPr>
          <w:trHeight w:val="20"/>
          <w:jc w:val="center"/>
        </w:trPr>
        <w:tc>
          <w:tcPr>
            <w:tcW w:w="9209" w:type="dxa"/>
            <w:vAlign w:val="center"/>
            <w:hideMark/>
          </w:tcPr>
          <w:p w14:paraId="32879DEF" w14:textId="77777777" w:rsidR="00BB603F" w:rsidRPr="005A71F0" w:rsidRDefault="00BB603F" w:rsidP="0068149B">
            <w:r w:rsidRPr="005A71F0">
              <w:t>Se reduce el número de habitantes del estado de Colima que se encuentran en rezago social.</w:t>
            </w:r>
          </w:p>
        </w:tc>
      </w:tr>
      <w:tr w:rsidR="00BB603F" w:rsidRPr="005A71F0" w14:paraId="72CE0DE5" w14:textId="77777777" w:rsidTr="00BB603F">
        <w:trPr>
          <w:trHeight w:val="20"/>
          <w:jc w:val="center"/>
        </w:trPr>
        <w:tc>
          <w:tcPr>
            <w:tcW w:w="9209" w:type="dxa"/>
            <w:shd w:val="clear" w:color="auto" w:fill="FBE4D5" w:themeFill="accent2" w:themeFillTint="33"/>
            <w:vAlign w:val="center"/>
            <w:hideMark/>
          </w:tcPr>
          <w:p w14:paraId="2364F314" w14:textId="77777777" w:rsidR="00BB603F" w:rsidRPr="005A71F0" w:rsidRDefault="00BB603F" w:rsidP="0068149B">
            <w:pPr>
              <w:rPr>
                <w:b/>
                <w:bCs/>
              </w:rPr>
            </w:pPr>
            <w:r w:rsidRPr="005A71F0">
              <w:rPr>
                <w:b/>
                <w:bCs/>
              </w:rPr>
              <w:t>Subsecretaría de las Juventudes</w:t>
            </w:r>
          </w:p>
        </w:tc>
      </w:tr>
      <w:tr w:rsidR="00BB603F" w:rsidRPr="005A71F0" w14:paraId="75AE2DB7" w14:textId="77777777" w:rsidTr="00BB603F">
        <w:trPr>
          <w:trHeight w:val="20"/>
          <w:jc w:val="center"/>
        </w:trPr>
        <w:tc>
          <w:tcPr>
            <w:tcW w:w="9209" w:type="dxa"/>
            <w:vAlign w:val="center"/>
            <w:hideMark/>
          </w:tcPr>
          <w:p w14:paraId="65F7FCE8" w14:textId="77777777" w:rsidR="00BB603F" w:rsidRPr="005A71F0" w:rsidRDefault="00BB603F" w:rsidP="0068149B">
            <w:r w:rsidRPr="005A71F0">
              <w:t>Las juventudes colimenses se verán beneficiadas con servicios y apoyos para su desarrollo emprendedor y la participación juvenil.</w:t>
            </w:r>
          </w:p>
        </w:tc>
      </w:tr>
      <w:tr w:rsidR="00BB603F" w:rsidRPr="005A71F0" w14:paraId="06015D1F" w14:textId="77777777" w:rsidTr="00BB603F">
        <w:trPr>
          <w:trHeight w:val="20"/>
          <w:jc w:val="center"/>
        </w:trPr>
        <w:tc>
          <w:tcPr>
            <w:tcW w:w="9209" w:type="dxa"/>
            <w:shd w:val="clear" w:color="auto" w:fill="FBE4D5" w:themeFill="accent2" w:themeFillTint="33"/>
            <w:vAlign w:val="center"/>
            <w:hideMark/>
          </w:tcPr>
          <w:p w14:paraId="361CB2BA" w14:textId="77777777" w:rsidR="00BB603F" w:rsidRPr="005A71F0" w:rsidRDefault="00BB603F" w:rsidP="0068149B">
            <w:pPr>
              <w:rPr>
                <w:b/>
                <w:bCs/>
              </w:rPr>
            </w:pPr>
            <w:r w:rsidRPr="005A71F0">
              <w:rPr>
                <w:b/>
                <w:bCs/>
              </w:rPr>
              <w:t>Secretaría de Infraestructura, Desarrollo Urbano y Movilidad</w:t>
            </w:r>
          </w:p>
        </w:tc>
      </w:tr>
      <w:tr w:rsidR="00BB603F" w:rsidRPr="005A71F0" w14:paraId="1C8C6081" w14:textId="77777777" w:rsidTr="00BB603F">
        <w:trPr>
          <w:trHeight w:val="20"/>
          <w:jc w:val="center"/>
        </w:trPr>
        <w:tc>
          <w:tcPr>
            <w:tcW w:w="9209" w:type="dxa"/>
            <w:vAlign w:val="center"/>
            <w:hideMark/>
          </w:tcPr>
          <w:p w14:paraId="7D5E0FAD" w14:textId="77777777" w:rsidR="00BB603F" w:rsidRPr="005A71F0" w:rsidRDefault="00BB603F" w:rsidP="0068149B">
            <w:r w:rsidRPr="005A71F0">
              <w:t>La entidad estatal cuenta con los instrumentos de planeación y ordenamiento territorial para un desarrollo urbano sostenible, congruente con las estrategias nacionales en la materia.</w:t>
            </w:r>
          </w:p>
        </w:tc>
      </w:tr>
      <w:tr w:rsidR="00BB603F" w:rsidRPr="005A71F0" w14:paraId="6351EB4B" w14:textId="77777777" w:rsidTr="00BB603F">
        <w:trPr>
          <w:trHeight w:val="20"/>
          <w:jc w:val="center"/>
        </w:trPr>
        <w:tc>
          <w:tcPr>
            <w:tcW w:w="9209" w:type="dxa"/>
            <w:vAlign w:val="center"/>
            <w:hideMark/>
          </w:tcPr>
          <w:p w14:paraId="505EE3B1" w14:textId="77777777" w:rsidR="00BB603F" w:rsidRPr="005A71F0" w:rsidRDefault="00BB603F" w:rsidP="0068149B">
            <w:r w:rsidRPr="005A71F0">
              <w:t>La infraestructura carretera a cargo del Gobierno del Estado es eficiente.</w:t>
            </w:r>
          </w:p>
        </w:tc>
      </w:tr>
      <w:tr w:rsidR="00BB603F" w:rsidRPr="005A71F0" w14:paraId="54C550BA" w14:textId="77777777" w:rsidTr="00BB603F">
        <w:trPr>
          <w:trHeight w:val="20"/>
          <w:jc w:val="center"/>
        </w:trPr>
        <w:tc>
          <w:tcPr>
            <w:tcW w:w="9209" w:type="dxa"/>
            <w:vAlign w:val="center"/>
            <w:hideMark/>
          </w:tcPr>
          <w:p w14:paraId="58BC8EF6" w14:textId="77777777" w:rsidR="00BB603F" w:rsidRPr="005A71F0" w:rsidRDefault="00BB603F" w:rsidP="0068149B">
            <w:r w:rsidRPr="005A71F0">
              <w:t>La población con mayor rezago social cuenta con mayor y mejor infraestructura necesaria para el desarrollo social del estado.</w:t>
            </w:r>
          </w:p>
        </w:tc>
      </w:tr>
      <w:tr w:rsidR="00BB603F" w:rsidRPr="005A71F0" w14:paraId="7136BD58" w14:textId="77777777" w:rsidTr="00BB603F">
        <w:trPr>
          <w:trHeight w:val="20"/>
          <w:jc w:val="center"/>
        </w:trPr>
        <w:tc>
          <w:tcPr>
            <w:tcW w:w="9209" w:type="dxa"/>
            <w:vAlign w:val="center"/>
            <w:hideMark/>
          </w:tcPr>
          <w:p w14:paraId="30B6D5D9" w14:textId="77777777" w:rsidR="00BB603F" w:rsidRPr="005A71F0" w:rsidRDefault="00BB603F" w:rsidP="0068149B">
            <w:r w:rsidRPr="005A71F0">
              <w:t>La población del Estado de Colima cuenta con mayor y mejor infraestructura económica para impulsar el desarrollo integral de la entidad.</w:t>
            </w:r>
          </w:p>
        </w:tc>
      </w:tr>
      <w:tr w:rsidR="00BB603F" w:rsidRPr="005A71F0" w14:paraId="28203463" w14:textId="77777777" w:rsidTr="00BB603F">
        <w:trPr>
          <w:trHeight w:val="20"/>
          <w:jc w:val="center"/>
        </w:trPr>
        <w:tc>
          <w:tcPr>
            <w:tcW w:w="9209" w:type="dxa"/>
            <w:vAlign w:val="center"/>
            <w:hideMark/>
          </w:tcPr>
          <w:p w14:paraId="5C0ADF2A" w14:textId="77777777" w:rsidR="00BB603F" w:rsidRPr="005A71F0" w:rsidRDefault="00BB603F" w:rsidP="0068149B">
            <w:r w:rsidRPr="005A71F0">
              <w:lastRenderedPageBreak/>
              <w:t>La población del Estado de Colima cuenta con la infraestructura necesaria para la gestión integral de los Residuos Sólidos.</w:t>
            </w:r>
          </w:p>
        </w:tc>
      </w:tr>
      <w:tr w:rsidR="00BB603F" w:rsidRPr="005A71F0" w14:paraId="21715393" w14:textId="77777777" w:rsidTr="00BB603F">
        <w:trPr>
          <w:trHeight w:val="20"/>
          <w:jc w:val="center"/>
        </w:trPr>
        <w:tc>
          <w:tcPr>
            <w:tcW w:w="9209" w:type="dxa"/>
            <w:shd w:val="clear" w:color="auto" w:fill="FBE4D5" w:themeFill="accent2" w:themeFillTint="33"/>
            <w:vAlign w:val="center"/>
            <w:hideMark/>
          </w:tcPr>
          <w:p w14:paraId="7686838B" w14:textId="77777777" w:rsidR="00BB603F" w:rsidRPr="005A71F0" w:rsidRDefault="00BB603F" w:rsidP="0068149B">
            <w:pPr>
              <w:rPr>
                <w:b/>
                <w:bCs/>
              </w:rPr>
            </w:pPr>
            <w:r w:rsidRPr="005A71F0">
              <w:rPr>
                <w:b/>
                <w:bCs/>
              </w:rPr>
              <w:t>Subsecretaría de Movilidad</w:t>
            </w:r>
          </w:p>
        </w:tc>
      </w:tr>
      <w:tr w:rsidR="00BB603F" w:rsidRPr="005A71F0" w14:paraId="7963F27E" w14:textId="77777777" w:rsidTr="00BB603F">
        <w:trPr>
          <w:trHeight w:val="20"/>
          <w:jc w:val="center"/>
        </w:trPr>
        <w:tc>
          <w:tcPr>
            <w:tcW w:w="9209" w:type="dxa"/>
            <w:vAlign w:val="center"/>
            <w:hideMark/>
          </w:tcPr>
          <w:p w14:paraId="139FED6C" w14:textId="77777777" w:rsidR="00BB603F" w:rsidRPr="005A71F0" w:rsidRDefault="00BB603F" w:rsidP="0068149B">
            <w:r w:rsidRPr="005A71F0">
              <w:t>Los habitantes y visitantes del Estado de Colima se muevan libremente en diferentes modos de transporte y de forma segura.</w:t>
            </w:r>
          </w:p>
        </w:tc>
      </w:tr>
      <w:tr w:rsidR="00BB603F" w:rsidRPr="005A71F0" w14:paraId="551FAC4B" w14:textId="77777777" w:rsidTr="00BB603F">
        <w:trPr>
          <w:trHeight w:val="20"/>
          <w:jc w:val="center"/>
        </w:trPr>
        <w:tc>
          <w:tcPr>
            <w:tcW w:w="9209" w:type="dxa"/>
            <w:shd w:val="clear" w:color="auto" w:fill="FBE4D5" w:themeFill="accent2" w:themeFillTint="33"/>
            <w:vAlign w:val="center"/>
            <w:hideMark/>
          </w:tcPr>
          <w:p w14:paraId="0A5AB6B3" w14:textId="77777777" w:rsidR="00BB603F" w:rsidRPr="005A71F0" w:rsidRDefault="00BB603F" w:rsidP="0068149B">
            <w:pPr>
              <w:rPr>
                <w:b/>
                <w:bCs/>
              </w:rPr>
            </w:pPr>
            <w:r w:rsidRPr="005A71F0">
              <w:rPr>
                <w:b/>
                <w:bCs/>
              </w:rPr>
              <w:t>Secretaría de Educación y Cultura</w:t>
            </w:r>
          </w:p>
        </w:tc>
      </w:tr>
      <w:tr w:rsidR="00BB603F" w:rsidRPr="005A71F0" w14:paraId="15F9F7CA" w14:textId="77777777" w:rsidTr="00BB603F">
        <w:trPr>
          <w:trHeight w:val="20"/>
          <w:jc w:val="center"/>
        </w:trPr>
        <w:tc>
          <w:tcPr>
            <w:tcW w:w="9209" w:type="dxa"/>
            <w:vAlign w:val="center"/>
            <w:hideMark/>
          </w:tcPr>
          <w:p w14:paraId="3B21AD16" w14:textId="77777777" w:rsidR="00BB603F" w:rsidRPr="005A71F0" w:rsidRDefault="00BB603F" w:rsidP="0068149B">
            <w:r w:rsidRPr="005A71F0">
              <w:t>Alumnos del Estado de Colima inscritos en Educación Básica cuentan con un servicio educativo eficiente y de calidad.</w:t>
            </w:r>
          </w:p>
        </w:tc>
      </w:tr>
      <w:tr w:rsidR="00BB603F" w:rsidRPr="005A71F0" w14:paraId="74510163" w14:textId="77777777" w:rsidTr="00BB603F">
        <w:trPr>
          <w:trHeight w:val="20"/>
          <w:jc w:val="center"/>
        </w:trPr>
        <w:tc>
          <w:tcPr>
            <w:tcW w:w="9209" w:type="dxa"/>
            <w:vAlign w:val="center"/>
            <w:hideMark/>
          </w:tcPr>
          <w:p w14:paraId="31A3CF35" w14:textId="77777777" w:rsidR="00BB603F" w:rsidRPr="005A71F0" w:rsidRDefault="00BB603F" w:rsidP="0068149B">
            <w:r w:rsidRPr="005A71F0">
              <w:t>Los alumnos del Estado de Colima cuentan con un servicio de Educación Superior acreditado.</w:t>
            </w:r>
          </w:p>
        </w:tc>
      </w:tr>
      <w:tr w:rsidR="00BB603F" w:rsidRPr="005A71F0" w14:paraId="7505F90E" w14:textId="77777777" w:rsidTr="00BB603F">
        <w:trPr>
          <w:trHeight w:val="20"/>
          <w:jc w:val="center"/>
        </w:trPr>
        <w:tc>
          <w:tcPr>
            <w:tcW w:w="9209" w:type="dxa"/>
            <w:vAlign w:val="center"/>
            <w:hideMark/>
          </w:tcPr>
          <w:p w14:paraId="62AF2AB3" w14:textId="77777777" w:rsidR="00BB603F" w:rsidRPr="005A71F0" w:rsidRDefault="00BB603F" w:rsidP="0068149B">
            <w:r w:rsidRPr="005A71F0">
              <w:t>Los alumnos del estado de Colima cuentan con un servicio educativo del nivel Medio Superior acreditado.</w:t>
            </w:r>
          </w:p>
        </w:tc>
      </w:tr>
      <w:tr w:rsidR="00BB603F" w:rsidRPr="005A71F0" w14:paraId="3BE14076" w14:textId="77777777" w:rsidTr="00BB603F">
        <w:trPr>
          <w:trHeight w:val="20"/>
          <w:jc w:val="center"/>
        </w:trPr>
        <w:tc>
          <w:tcPr>
            <w:tcW w:w="9209" w:type="dxa"/>
            <w:vAlign w:val="center"/>
            <w:hideMark/>
          </w:tcPr>
          <w:p w14:paraId="01307ABC" w14:textId="77777777" w:rsidR="00BB603F" w:rsidRPr="005A71F0" w:rsidRDefault="00BB603F" w:rsidP="0068149B">
            <w:r w:rsidRPr="005A71F0">
              <w:t>Los padres de familia solicitan el ingreso de sus hijos con discapacidad a escuelas de educación básica con instalaciones adaptadas.</w:t>
            </w:r>
          </w:p>
        </w:tc>
      </w:tr>
      <w:tr w:rsidR="00BB603F" w:rsidRPr="005A71F0" w14:paraId="0A06ED5F" w14:textId="77777777" w:rsidTr="00BB603F">
        <w:trPr>
          <w:trHeight w:val="20"/>
          <w:jc w:val="center"/>
        </w:trPr>
        <w:tc>
          <w:tcPr>
            <w:tcW w:w="9209" w:type="dxa"/>
            <w:shd w:val="clear" w:color="auto" w:fill="FBE4D5" w:themeFill="accent2" w:themeFillTint="33"/>
            <w:vAlign w:val="center"/>
            <w:hideMark/>
          </w:tcPr>
          <w:p w14:paraId="4B72B141" w14:textId="77777777" w:rsidR="00BB603F" w:rsidRPr="005A71F0" w:rsidRDefault="00BB603F" w:rsidP="0068149B">
            <w:pPr>
              <w:rPr>
                <w:b/>
                <w:bCs/>
              </w:rPr>
            </w:pPr>
            <w:r w:rsidRPr="005A71F0">
              <w:rPr>
                <w:b/>
                <w:bCs/>
              </w:rPr>
              <w:t>Subsecretaria de Cultura</w:t>
            </w:r>
          </w:p>
        </w:tc>
      </w:tr>
      <w:tr w:rsidR="00BB603F" w:rsidRPr="005A71F0" w14:paraId="452EC8F1" w14:textId="77777777" w:rsidTr="00BB603F">
        <w:trPr>
          <w:trHeight w:val="20"/>
          <w:jc w:val="center"/>
        </w:trPr>
        <w:tc>
          <w:tcPr>
            <w:tcW w:w="9209" w:type="dxa"/>
            <w:vAlign w:val="center"/>
            <w:hideMark/>
          </w:tcPr>
          <w:p w14:paraId="46CD186C" w14:textId="77777777" w:rsidR="00BB603F" w:rsidRPr="005A71F0" w:rsidRDefault="00BB603F" w:rsidP="0068149B">
            <w:r w:rsidRPr="005A71F0">
              <w:t>La población del Estado de Colima accede a una mayor oferta cultural a través de la difusión, promoción, creación y mejora del patrimonio cultural.</w:t>
            </w:r>
          </w:p>
        </w:tc>
      </w:tr>
      <w:tr w:rsidR="00BB603F" w:rsidRPr="005A71F0" w14:paraId="53239A50" w14:textId="77777777" w:rsidTr="00BB603F">
        <w:trPr>
          <w:trHeight w:val="20"/>
          <w:jc w:val="center"/>
        </w:trPr>
        <w:tc>
          <w:tcPr>
            <w:tcW w:w="9209" w:type="dxa"/>
            <w:shd w:val="clear" w:color="auto" w:fill="FBE4D5" w:themeFill="accent2" w:themeFillTint="33"/>
            <w:vAlign w:val="center"/>
            <w:hideMark/>
          </w:tcPr>
          <w:p w14:paraId="2EDF99FF" w14:textId="77777777" w:rsidR="00BB603F" w:rsidRPr="005A71F0" w:rsidRDefault="00BB603F" w:rsidP="0068149B">
            <w:pPr>
              <w:rPr>
                <w:b/>
                <w:bCs/>
              </w:rPr>
            </w:pPr>
            <w:r w:rsidRPr="005A71F0">
              <w:rPr>
                <w:b/>
                <w:bCs/>
              </w:rPr>
              <w:t>Secretaría de Salud</w:t>
            </w:r>
          </w:p>
        </w:tc>
      </w:tr>
      <w:tr w:rsidR="00BB603F" w:rsidRPr="005A71F0" w14:paraId="1706E9F5" w14:textId="77777777" w:rsidTr="00BB603F">
        <w:trPr>
          <w:trHeight w:val="20"/>
          <w:jc w:val="center"/>
        </w:trPr>
        <w:tc>
          <w:tcPr>
            <w:tcW w:w="9209" w:type="dxa"/>
            <w:vAlign w:val="center"/>
            <w:hideMark/>
          </w:tcPr>
          <w:p w14:paraId="17E3BE44" w14:textId="77777777" w:rsidR="00BB603F" w:rsidRPr="005A71F0" w:rsidRDefault="00BB603F" w:rsidP="0068149B">
            <w:r w:rsidRPr="005A71F0">
              <w:t>La población de colima recibe servicios de salud adecuados, accesibles, oportunos y suficientes.</w:t>
            </w:r>
          </w:p>
        </w:tc>
      </w:tr>
      <w:tr w:rsidR="00BB603F" w:rsidRPr="005A71F0" w14:paraId="58A52351" w14:textId="77777777" w:rsidTr="00BB603F">
        <w:trPr>
          <w:trHeight w:val="20"/>
          <w:jc w:val="center"/>
        </w:trPr>
        <w:tc>
          <w:tcPr>
            <w:tcW w:w="9209" w:type="dxa"/>
            <w:shd w:val="clear" w:color="auto" w:fill="FBE4D5" w:themeFill="accent2" w:themeFillTint="33"/>
            <w:vAlign w:val="center"/>
            <w:hideMark/>
          </w:tcPr>
          <w:p w14:paraId="7F4A18C4" w14:textId="77777777" w:rsidR="00BB603F" w:rsidRPr="005A71F0" w:rsidRDefault="00BB603F" w:rsidP="0068149B">
            <w:pPr>
              <w:rPr>
                <w:b/>
                <w:bCs/>
              </w:rPr>
            </w:pPr>
            <w:r w:rsidRPr="005A71F0">
              <w:rPr>
                <w:b/>
                <w:bCs/>
              </w:rPr>
              <w:t>Secretaría de Desarrollo Económico</w:t>
            </w:r>
          </w:p>
        </w:tc>
      </w:tr>
      <w:tr w:rsidR="00BB603F" w:rsidRPr="005A71F0" w14:paraId="4E1539E3" w14:textId="77777777" w:rsidTr="00BB603F">
        <w:trPr>
          <w:trHeight w:val="20"/>
          <w:jc w:val="center"/>
        </w:trPr>
        <w:tc>
          <w:tcPr>
            <w:tcW w:w="9209" w:type="dxa"/>
            <w:vAlign w:val="center"/>
            <w:hideMark/>
          </w:tcPr>
          <w:p w14:paraId="5248CE0A" w14:textId="77777777" w:rsidR="00BB603F" w:rsidRPr="005A71F0" w:rsidRDefault="00BB603F" w:rsidP="0068149B">
            <w:r w:rsidRPr="005A71F0">
              <w:t>La economía de Colima cuenta con un ambiente propicio para fortalecer las inversiones, la competitividad y la innovación en los tres sectores económicos.</w:t>
            </w:r>
          </w:p>
        </w:tc>
      </w:tr>
      <w:tr w:rsidR="00BB603F" w:rsidRPr="005A71F0" w14:paraId="7105A6AD" w14:textId="77777777" w:rsidTr="00BB603F">
        <w:trPr>
          <w:trHeight w:val="20"/>
          <w:jc w:val="center"/>
        </w:trPr>
        <w:tc>
          <w:tcPr>
            <w:tcW w:w="9209" w:type="dxa"/>
            <w:shd w:val="clear" w:color="auto" w:fill="FBE4D5" w:themeFill="accent2" w:themeFillTint="33"/>
            <w:vAlign w:val="center"/>
            <w:hideMark/>
          </w:tcPr>
          <w:p w14:paraId="1F5A94A8" w14:textId="77777777" w:rsidR="00BB603F" w:rsidRPr="005A71F0" w:rsidRDefault="00BB603F" w:rsidP="0068149B">
            <w:pPr>
              <w:rPr>
                <w:b/>
                <w:bCs/>
              </w:rPr>
            </w:pPr>
            <w:r w:rsidRPr="005A71F0">
              <w:rPr>
                <w:b/>
                <w:bCs/>
              </w:rPr>
              <w:t>Subsecretaría de Desarrollo Rural</w:t>
            </w:r>
          </w:p>
        </w:tc>
      </w:tr>
      <w:tr w:rsidR="00BB603F" w:rsidRPr="005A71F0" w14:paraId="02AEAFDA" w14:textId="77777777" w:rsidTr="00BB603F">
        <w:trPr>
          <w:trHeight w:val="20"/>
          <w:jc w:val="center"/>
        </w:trPr>
        <w:tc>
          <w:tcPr>
            <w:tcW w:w="9209" w:type="dxa"/>
            <w:vAlign w:val="center"/>
            <w:hideMark/>
          </w:tcPr>
          <w:p w14:paraId="00D83D27" w14:textId="77777777" w:rsidR="00BB603F" w:rsidRPr="005A71F0" w:rsidRDefault="00BB603F" w:rsidP="0068149B">
            <w:r w:rsidRPr="005A71F0">
              <w:t>El desarrollo de la economía del Sector Rural en el Estado cuenta con una alta competitividad en la producción agropecuaria, acuícola, forestal y pesquera.</w:t>
            </w:r>
          </w:p>
        </w:tc>
      </w:tr>
      <w:tr w:rsidR="00BB603F" w:rsidRPr="005A71F0" w14:paraId="5ADEC5EC" w14:textId="77777777" w:rsidTr="00BB603F">
        <w:trPr>
          <w:trHeight w:val="20"/>
          <w:jc w:val="center"/>
        </w:trPr>
        <w:tc>
          <w:tcPr>
            <w:tcW w:w="9209" w:type="dxa"/>
            <w:shd w:val="clear" w:color="auto" w:fill="FBE4D5" w:themeFill="accent2" w:themeFillTint="33"/>
            <w:vAlign w:val="center"/>
            <w:hideMark/>
          </w:tcPr>
          <w:p w14:paraId="029CF7E5" w14:textId="77777777" w:rsidR="00BB603F" w:rsidRPr="005A71F0" w:rsidRDefault="00BB603F" w:rsidP="0068149B">
            <w:pPr>
              <w:rPr>
                <w:b/>
                <w:bCs/>
              </w:rPr>
            </w:pPr>
            <w:r w:rsidRPr="005A71F0">
              <w:rPr>
                <w:b/>
                <w:bCs/>
              </w:rPr>
              <w:t>Subsecretaría de Turismo</w:t>
            </w:r>
          </w:p>
        </w:tc>
      </w:tr>
      <w:tr w:rsidR="00BB603F" w:rsidRPr="005A71F0" w14:paraId="6E54B6AE" w14:textId="77777777" w:rsidTr="00BB603F">
        <w:trPr>
          <w:trHeight w:val="20"/>
          <w:jc w:val="center"/>
        </w:trPr>
        <w:tc>
          <w:tcPr>
            <w:tcW w:w="9209" w:type="dxa"/>
            <w:vAlign w:val="center"/>
            <w:hideMark/>
          </w:tcPr>
          <w:p w14:paraId="2F5BC300" w14:textId="77777777" w:rsidR="00BB603F" w:rsidRPr="005A71F0" w:rsidRDefault="00BB603F" w:rsidP="0068149B">
            <w:r w:rsidRPr="005A71F0">
              <w:t>El sector turístico del Estado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 aprovechen el potencial turístico.</w:t>
            </w:r>
          </w:p>
        </w:tc>
      </w:tr>
      <w:tr w:rsidR="00BB603F" w:rsidRPr="005A71F0" w14:paraId="39BF6428" w14:textId="77777777" w:rsidTr="00BB603F">
        <w:trPr>
          <w:trHeight w:val="20"/>
          <w:jc w:val="center"/>
        </w:trPr>
        <w:tc>
          <w:tcPr>
            <w:tcW w:w="9209" w:type="dxa"/>
            <w:shd w:val="clear" w:color="auto" w:fill="FBE4D5" w:themeFill="accent2" w:themeFillTint="33"/>
            <w:vAlign w:val="center"/>
            <w:hideMark/>
          </w:tcPr>
          <w:p w14:paraId="42F12FB1" w14:textId="77777777" w:rsidR="00BB603F" w:rsidRPr="005A71F0" w:rsidRDefault="00BB603F" w:rsidP="0068149B">
            <w:pPr>
              <w:rPr>
                <w:b/>
                <w:bCs/>
              </w:rPr>
            </w:pPr>
            <w:r w:rsidRPr="005A71F0">
              <w:rPr>
                <w:b/>
                <w:bCs/>
              </w:rPr>
              <w:t>Subsecretaría del Trabajo</w:t>
            </w:r>
          </w:p>
        </w:tc>
      </w:tr>
      <w:tr w:rsidR="00BB603F" w:rsidRPr="005A71F0" w14:paraId="7A00CE01" w14:textId="77777777" w:rsidTr="00BB603F">
        <w:trPr>
          <w:trHeight w:val="20"/>
          <w:jc w:val="center"/>
        </w:trPr>
        <w:tc>
          <w:tcPr>
            <w:tcW w:w="9209" w:type="dxa"/>
            <w:vAlign w:val="center"/>
            <w:hideMark/>
          </w:tcPr>
          <w:p w14:paraId="7E72179D" w14:textId="77777777" w:rsidR="00BB603F" w:rsidRPr="005A71F0" w:rsidRDefault="00BB603F" w:rsidP="0068149B">
            <w:r w:rsidRPr="005A71F0">
              <w:t>Los trabajadores se mantienen motivados, productivos, gozan de prestaciones de ley, tienen condiciones adecuadas de seguridad y salud; los empleadores respetan los derechos de los trabajadores, promueven la capacitación y promoción de sus colaboradores, generan empleos formales, y cumplen las normas y leyes vigentes.</w:t>
            </w:r>
          </w:p>
        </w:tc>
      </w:tr>
      <w:tr w:rsidR="00BB603F" w:rsidRPr="005A71F0" w14:paraId="75CF693B" w14:textId="77777777" w:rsidTr="00BB603F">
        <w:trPr>
          <w:trHeight w:val="20"/>
          <w:jc w:val="center"/>
        </w:trPr>
        <w:tc>
          <w:tcPr>
            <w:tcW w:w="9209" w:type="dxa"/>
            <w:shd w:val="clear" w:color="auto" w:fill="FBE4D5" w:themeFill="accent2" w:themeFillTint="33"/>
            <w:vAlign w:val="center"/>
            <w:hideMark/>
          </w:tcPr>
          <w:p w14:paraId="0BEBF2D4" w14:textId="77777777" w:rsidR="00BB603F" w:rsidRPr="005A71F0" w:rsidRDefault="00BB603F" w:rsidP="0068149B">
            <w:pPr>
              <w:rPr>
                <w:b/>
                <w:bCs/>
              </w:rPr>
            </w:pPr>
            <w:r w:rsidRPr="005A71F0">
              <w:rPr>
                <w:b/>
                <w:bCs/>
              </w:rPr>
              <w:t>Contraloría General del Estado</w:t>
            </w:r>
          </w:p>
        </w:tc>
      </w:tr>
      <w:tr w:rsidR="00BB603F" w:rsidRPr="005A71F0" w14:paraId="282321F7" w14:textId="77777777" w:rsidTr="00BB603F">
        <w:trPr>
          <w:trHeight w:val="20"/>
          <w:jc w:val="center"/>
        </w:trPr>
        <w:tc>
          <w:tcPr>
            <w:tcW w:w="9209" w:type="dxa"/>
            <w:vAlign w:val="center"/>
            <w:hideMark/>
          </w:tcPr>
          <w:p w14:paraId="310501CF" w14:textId="77777777" w:rsidR="00BB603F" w:rsidRPr="00993312" w:rsidRDefault="00BB603F" w:rsidP="0068149B">
            <w:pPr>
              <w:rPr>
                <w:sz w:val="20"/>
              </w:rPr>
            </w:pPr>
            <w:r w:rsidRPr="00993312">
              <w:rPr>
                <w:sz w:val="20"/>
              </w:rPr>
              <w:t>Ser un organismo que, a través de un enfoque preventivo y garantista en derechos humanos, vigila el uso y la distribución de los recursos públicos y promueve la trasparencia y la rendición de cuentas en la administración pública estatal.</w:t>
            </w:r>
          </w:p>
        </w:tc>
      </w:tr>
      <w:tr w:rsidR="00BB603F" w:rsidRPr="005A71F0" w14:paraId="729020C6" w14:textId="77777777" w:rsidTr="00BB603F">
        <w:trPr>
          <w:trHeight w:val="20"/>
          <w:jc w:val="center"/>
        </w:trPr>
        <w:tc>
          <w:tcPr>
            <w:tcW w:w="9209" w:type="dxa"/>
            <w:shd w:val="clear" w:color="auto" w:fill="FBE4D5" w:themeFill="accent2" w:themeFillTint="33"/>
            <w:vAlign w:val="center"/>
            <w:hideMark/>
          </w:tcPr>
          <w:p w14:paraId="66DACA4F" w14:textId="77777777" w:rsidR="00BB603F" w:rsidRPr="005A71F0" w:rsidRDefault="00BB603F" w:rsidP="0068149B">
            <w:pPr>
              <w:rPr>
                <w:b/>
                <w:bCs/>
              </w:rPr>
            </w:pPr>
            <w:r w:rsidRPr="005A71F0">
              <w:rPr>
                <w:b/>
                <w:bCs/>
              </w:rPr>
              <w:lastRenderedPageBreak/>
              <w:t>Secretaría de Seguridad Pública</w:t>
            </w:r>
          </w:p>
        </w:tc>
      </w:tr>
      <w:tr w:rsidR="00BB603F" w:rsidRPr="005A71F0" w14:paraId="05DB9475" w14:textId="77777777" w:rsidTr="00BB603F">
        <w:trPr>
          <w:trHeight w:val="20"/>
          <w:jc w:val="center"/>
        </w:trPr>
        <w:tc>
          <w:tcPr>
            <w:tcW w:w="9209" w:type="dxa"/>
            <w:vAlign w:val="center"/>
            <w:hideMark/>
          </w:tcPr>
          <w:p w14:paraId="1E46313C" w14:textId="77777777" w:rsidR="00BB603F" w:rsidRPr="005A71F0" w:rsidRDefault="00BB603F" w:rsidP="0068149B">
            <w:r w:rsidRPr="005A71F0">
              <w:t>La población del estado de Colima goza de seguridad pública.</w:t>
            </w:r>
          </w:p>
        </w:tc>
      </w:tr>
      <w:tr w:rsidR="00BB603F" w:rsidRPr="005A71F0" w14:paraId="1108CF79" w14:textId="77777777" w:rsidTr="00BB603F">
        <w:trPr>
          <w:trHeight w:val="20"/>
          <w:jc w:val="center"/>
        </w:trPr>
        <w:tc>
          <w:tcPr>
            <w:tcW w:w="9209" w:type="dxa"/>
            <w:shd w:val="clear" w:color="auto" w:fill="FBE4D5" w:themeFill="accent2" w:themeFillTint="33"/>
            <w:vAlign w:val="center"/>
            <w:hideMark/>
          </w:tcPr>
          <w:p w14:paraId="53DAEED2" w14:textId="77777777" w:rsidR="00BB603F" w:rsidRPr="005A71F0" w:rsidRDefault="00BB603F" w:rsidP="0068149B">
            <w:pPr>
              <w:rPr>
                <w:b/>
                <w:bCs/>
              </w:rPr>
            </w:pPr>
            <w:r w:rsidRPr="005A71F0">
              <w:rPr>
                <w:b/>
                <w:bCs/>
              </w:rPr>
              <w:t>Consejería Jurídica del Poder Ejecutivo</w:t>
            </w:r>
          </w:p>
        </w:tc>
      </w:tr>
      <w:tr w:rsidR="00BB603F" w:rsidRPr="005A71F0" w14:paraId="5E0D9511" w14:textId="77777777" w:rsidTr="00BB603F">
        <w:trPr>
          <w:trHeight w:val="20"/>
          <w:jc w:val="center"/>
        </w:trPr>
        <w:tc>
          <w:tcPr>
            <w:tcW w:w="9209" w:type="dxa"/>
            <w:vAlign w:val="center"/>
            <w:hideMark/>
          </w:tcPr>
          <w:p w14:paraId="1A0C1EFD" w14:textId="77777777" w:rsidR="00BB603F" w:rsidRPr="005A71F0" w:rsidRDefault="00BB603F" w:rsidP="0068149B">
            <w:r w:rsidRPr="005A71F0">
              <w:t>El ejecutivo estatal en Colima cuenta con las labores de la consejería jurídica para la consecución de sus labores.</w:t>
            </w:r>
          </w:p>
        </w:tc>
      </w:tr>
      <w:tr w:rsidR="00BB603F" w:rsidRPr="005A71F0" w14:paraId="5B5FF29B" w14:textId="77777777" w:rsidTr="00BB603F">
        <w:trPr>
          <w:trHeight w:val="20"/>
          <w:jc w:val="center"/>
        </w:trPr>
        <w:tc>
          <w:tcPr>
            <w:tcW w:w="9209" w:type="dxa"/>
            <w:shd w:val="clear" w:color="auto" w:fill="FBE4D5" w:themeFill="accent2" w:themeFillTint="33"/>
            <w:vAlign w:val="center"/>
            <w:hideMark/>
          </w:tcPr>
          <w:p w14:paraId="34091463" w14:textId="77777777" w:rsidR="00BB603F" w:rsidRPr="005A71F0" w:rsidRDefault="00BB603F" w:rsidP="0068149B">
            <w:pPr>
              <w:rPr>
                <w:b/>
                <w:bCs/>
              </w:rPr>
            </w:pPr>
            <w:r w:rsidRPr="005A71F0">
              <w:rPr>
                <w:b/>
                <w:bCs/>
              </w:rPr>
              <w:t>Sistema para el Desarrollo Integral de la Familia del Estado de Colima</w:t>
            </w:r>
          </w:p>
        </w:tc>
      </w:tr>
      <w:tr w:rsidR="00BB603F" w:rsidRPr="005A71F0" w14:paraId="7375715D" w14:textId="77777777" w:rsidTr="00BB603F">
        <w:trPr>
          <w:trHeight w:val="20"/>
          <w:jc w:val="center"/>
        </w:trPr>
        <w:tc>
          <w:tcPr>
            <w:tcW w:w="9209" w:type="dxa"/>
            <w:vAlign w:val="center"/>
            <w:hideMark/>
          </w:tcPr>
          <w:p w14:paraId="0AEAF995" w14:textId="77777777" w:rsidR="00BB603F" w:rsidRPr="005A71F0" w:rsidRDefault="00BB603F" w:rsidP="0068149B">
            <w:r w:rsidRPr="005A71F0">
              <w:t>La población en estado de vulnerabilidad del Estado de Colima, que cuenta con los medios suficientes para superar tal condición.</w:t>
            </w:r>
          </w:p>
        </w:tc>
      </w:tr>
      <w:tr w:rsidR="00BB603F" w:rsidRPr="005A71F0" w14:paraId="1B74C5FA" w14:textId="77777777" w:rsidTr="00BB603F">
        <w:trPr>
          <w:trHeight w:val="20"/>
          <w:jc w:val="center"/>
        </w:trPr>
        <w:tc>
          <w:tcPr>
            <w:tcW w:w="9209" w:type="dxa"/>
            <w:shd w:val="clear" w:color="auto" w:fill="FBE4D5" w:themeFill="accent2" w:themeFillTint="33"/>
            <w:vAlign w:val="center"/>
            <w:hideMark/>
          </w:tcPr>
          <w:p w14:paraId="7B8AEB60" w14:textId="77777777" w:rsidR="00BB603F" w:rsidRPr="005A71F0" w:rsidRDefault="00BB603F" w:rsidP="0068149B">
            <w:pPr>
              <w:rPr>
                <w:b/>
                <w:bCs/>
              </w:rPr>
            </w:pPr>
            <w:r w:rsidRPr="005A71F0">
              <w:rPr>
                <w:b/>
                <w:bCs/>
              </w:rPr>
              <w:t>Instituto Colimense del Deporte</w:t>
            </w:r>
          </w:p>
        </w:tc>
      </w:tr>
      <w:tr w:rsidR="00BB603F" w:rsidRPr="005A71F0" w14:paraId="2F0614C3" w14:textId="77777777" w:rsidTr="00BB603F">
        <w:trPr>
          <w:trHeight w:val="20"/>
          <w:jc w:val="center"/>
        </w:trPr>
        <w:tc>
          <w:tcPr>
            <w:tcW w:w="9209" w:type="dxa"/>
            <w:vAlign w:val="center"/>
            <w:hideMark/>
          </w:tcPr>
          <w:p w14:paraId="69DBC449" w14:textId="77777777" w:rsidR="00BB603F" w:rsidRPr="005A71F0" w:rsidRDefault="00BB603F" w:rsidP="0068149B">
            <w:r w:rsidRPr="005A71F0">
              <w:t>La población accede a la práctica del deporte y la cultura física para contribuir a la reconstrucción del tejido social de los colimenses.</w:t>
            </w:r>
          </w:p>
        </w:tc>
      </w:tr>
      <w:tr w:rsidR="00BB603F" w:rsidRPr="005A71F0" w14:paraId="0D34DC6B" w14:textId="77777777" w:rsidTr="00BB603F">
        <w:trPr>
          <w:trHeight w:val="20"/>
          <w:jc w:val="center"/>
        </w:trPr>
        <w:tc>
          <w:tcPr>
            <w:tcW w:w="9209" w:type="dxa"/>
            <w:shd w:val="clear" w:color="auto" w:fill="FBE4D5" w:themeFill="accent2" w:themeFillTint="33"/>
            <w:vAlign w:val="center"/>
            <w:hideMark/>
          </w:tcPr>
          <w:p w14:paraId="17575A6E" w14:textId="77777777" w:rsidR="00BB603F" w:rsidRPr="005A71F0" w:rsidRDefault="00BB603F" w:rsidP="0068149B">
            <w:pPr>
              <w:rPr>
                <w:b/>
                <w:bCs/>
              </w:rPr>
            </w:pPr>
            <w:r w:rsidRPr="005A71F0">
              <w:rPr>
                <w:b/>
                <w:bCs/>
              </w:rPr>
              <w:t>Junta de Asistencia Privada</w:t>
            </w:r>
          </w:p>
        </w:tc>
      </w:tr>
      <w:tr w:rsidR="00BB603F" w:rsidRPr="005A71F0" w14:paraId="44EB8723" w14:textId="77777777" w:rsidTr="00BB603F">
        <w:trPr>
          <w:trHeight w:val="20"/>
          <w:jc w:val="center"/>
        </w:trPr>
        <w:tc>
          <w:tcPr>
            <w:tcW w:w="9209" w:type="dxa"/>
            <w:vAlign w:val="center"/>
            <w:hideMark/>
          </w:tcPr>
          <w:p w14:paraId="3FF8C006" w14:textId="77777777" w:rsidR="00BB603F" w:rsidRPr="005A71F0" w:rsidRDefault="00BB603F" w:rsidP="0068149B">
            <w:r w:rsidRPr="005A71F0">
              <w:t>Las Instituciones de Asistencia Privada (IAPS) reciben asistencia y asesoría técnica para el manejo eficaz y eficiente de los recursos para beneficio de la población vulnerable</w:t>
            </w:r>
          </w:p>
        </w:tc>
      </w:tr>
      <w:tr w:rsidR="00BB603F" w:rsidRPr="005A71F0" w14:paraId="591C0D69" w14:textId="77777777" w:rsidTr="00BB603F">
        <w:trPr>
          <w:trHeight w:val="20"/>
          <w:jc w:val="center"/>
        </w:trPr>
        <w:tc>
          <w:tcPr>
            <w:tcW w:w="9209" w:type="dxa"/>
            <w:shd w:val="clear" w:color="auto" w:fill="FBE4D5" w:themeFill="accent2" w:themeFillTint="33"/>
            <w:vAlign w:val="center"/>
            <w:hideMark/>
          </w:tcPr>
          <w:p w14:paraId="1AAC2534" w14:textId="77777777" w:rsidR="00BB603F" w:rsidRPr="005A71F0" w:rsidRDefault="00BB603F" w:rsidP="0068149B">
            <w:pPr>
              <w:rPr>
                <w:b/>
                <w:bCs/>
              </w:rPr>
            </w:pPr>
            <w:r w:rsidRPr="005A71F0">
              <w:rPr>
                <w:b/>
                <w:bCs/>
              </w:rPr>
              <w:t>Instituto Colimense para la Discapacidad</w:t>
            </w:r>
          </w:p>
        </w:tc>
      </w:tr>
      <w:tr w:rsidR="00BB603F" w:rsidRPr="005A71F0" w14:paraId="15E9C1D6" w14:textId="77777777" w:rsidTr="00BB603F">
        <w:trPr>
          <w:trHeight w:val="20"/>
          <w:jc w:val="center"/>
        </w:trPr>
        <w:tc>
          <w:tcPr>
            <w:tcW w:w="9209" w:type="dxa"/>
            <w:vAlign w:val="center"/>
            <w:hideMark/>
          </w:tcPr>
          <w:p w14:paraId="243B66F6" w14:textId="77777777" w:rsidR="00BB603F" w:rsidRPr="005A71F0" w:rsidRDefault="00BB603F" w:rsidP="0068149B">
            <w:r w:rsidRPr="005A71F0">
              <w:t>Las personas con discapacidad reciben servicios que los permiten la inclusión social y el respeto a sus derechos.</w:t>
            </w:r>
          </w:p>
        </w:tc>
      </w:tr>
      <w:tr w:rsidR="00BB603F" w:rsidRPr="005A71F0" w14:paraId="6A22E768" w14:textId="77777777" w:rsidTr="00BB603F">
        <w:trPr>
          <w:trHeight w:val="20"/>
          <w:jc w:val="center"/>
        </w:trPr>
        <w:tc>
          <w:tcPr>
            <w:tcW w:w="9209" w:type="dxa"/>
            <w:shd w:val="clear" w:color="auto" w:fill="FBE4D5" w:themeFill="accent2" w:themeFillTint="33"/>
            <w:vAlign w:val="center"/>
            <w:hideMark/>
          </w:tcPr>
          <w:p w14:paraId="43BDF9BF" w14:textId="77777777" w:rsidR="00BB603F" w:rsidRPr="005A71F0" w:rsidRDefault="00BB603F" w:rsidP="0068149B">
            <w:pPr>
              <w:rPr>
                <w:b/>
                <w:bCs/>
              </w:rPr>
            </w:pPr>
            <w:r w:rsidRPr="005A71F0">
              <w:rPr>
                <w:b/>
                <w:bCs/>
              </w:rPr>
              <w:t>Comisión Estatal del Agua de Colima</w:t>
            </w:r>
          </w:p>
        </w:tc>
      </w:tr>
      <w:tr w:rsidR="00BB603F" w:rsidRPr="005A71F0" w14:paraId="2160C65D" w14:textId="77777777" w:rsidTr="00BB603F">
        <w:trPr>
          <w:trHeight w:val="20"/>
          <w:jc w:val="center"/>
        </w:trPr>
        <w:tc>
          <w:tcPr>
            <w:tcW w:w="9209" w:type="dxa"/>
            <w:vAlign w:val="center"/>
            <w:hideMark/>
          </w:tcPr>
          <w:p w14:paraId="58146482" w14:textId="77777777" w:rsidR="00BB603F" w:rsidRPr="005A71F0" w:rsidRDefault="00BB603F" w:rsidP="0068149B">
            <w:r w:rsidRPr="005A71F0">
              <w:t>La población del Estado de Colima recibe con eficiencia y calidad los servicios de agua potable, drenaje y saneamiento.</w:t>
            </w:r>
          </w:p>
        </w:tc>
      </w:tr>
      <w:tr w:rsidR="00BB603F" w:rsidRPr="005A71F0" w14:paraId="4DC59378" w14:textId="77777777" w:rsidTr="00BB603F">
        <w:trPr>
          <w:trHeight w:val="20"/>
          <w:jc w:val="center"/>
        </w:trPr>
        <w:tc>
          <w:tcPr>
            <w:tcW w:w="9209" w:type="dxa"/>
            <w:shd w:val="clear" w:color="auto" w:fill="FBE4D5" w:themeFill="accent2" w:themeFillTint="33"/>
            <w:vAlign w:val="center"/>
            <w:hideMark/>
          </w:tcPr>
          <w:p w14:paraId="18A6B049" w14:textId="77777777" w:rsidR="00BB603F" w:rsidRPr="005A71F0" w:rsidRDefault="00BB603F" w:rsidP="0068149B">
            <w:pPr>
              <w:rPr>
                <w:b/>
                <w:bCs/>
              </w:rPr>
            </w:pPr>
            <w:r w:rsidRPr="005A71F0">
              <w:rPr>
                <w:b/>
                <w:bCs/>
              </w:rPr>
              <w:t>Instituto Colimense de las Mujeres</w:t>
            </w:r>
          </w:p>
        </w:tc>
      </w:tr>
      <w:tr w:rsidR="00BB603F" w:rsidRPr="005A71F0" w14:paraId="268D1DDB" w14:textId="77777777" w:rsidTr="00BB603F">
        <w:trPr>
          <w:trHeight w:val="20"/>
          <w:jc w:val="center"/>
        </w:trPr>
        <w:tc>
          <w:tcPr>
            <w:tcW w:w="9209" w:type="dxa"/>
            <w:vAlign w:val="center"/>
            <w:hideMark/>
          </w:tcPr>
          <w:p w14:paraId="2FB75037" w14:textId="77777777" w:rsidR="00BB603F" w:rsidRPr="00993312" w:rsidRDefault="00BB603F" w:rsidP="0068149B">
            <w:pPr>
              <w:rPr>
                <w:sz w:val="20"/>
              </w:rPr>
            </w:pPr>
            <w:r w:rsidRPr="00993312">
              <w:rPr>
                <w:sz w:val="20"/>
              </w:rPr>
              <w:t>Las mujeres del Estado de Colima ejercen plenamente sus derechos y cuentan con condiciones igualitarias respecto a los hombres en los ámbitos social, educativo, económico, político, cultural y de salud, así como con un ambiente libre de violencia de género.</w:t>
            </w:r>
          </w:p>
        </w:tc>
      </w:tr>
      <w:tr w:rsidR="00BB603F" w:rsidRPr="005A71F0" w14:paraId="5627D74C" w14:textId="77777777" w:rsidTr="00BB603F">
        <w:trPr>
          <w:trHeight w:val="20"/>
          <w:jc w:val="center"/>
        </w:trPr>
        <w:tc>
          <w:tcPr>
            <w:tcW w:w="9209" w:type="dxa"/>
            <w:shd w:val="clear" w:color="auto" w:fill="FBE4D5" w:themeFill="accent2" w:themeFillTint="33"/>
            <w:vAlign w:val="center"/>
            <w:hideMark/>
          </w:tcPr>
          <w:p w14:paraId="0EBF262A" w14:textId="77777777" w:rsidR="00BB603F" w:rsidRPr="005A71F0" w:rsidRDefault="00BB603F" w:rsidP="0068149B">
            <w:pPr>
              <w:rPr>
                <w:b/>
                <w:bCs/>
              </w:rPr>
            </w:pPr>
            <w:r w:rsidRPr="005A71F0">
              <w:rPr>
                <w:b/>
                <w:bCs/>
              </w:rPr>
              <w:t>Instituto para el Medio Ambiente y Desarrollo Sustentable</w:t>
            </w:r>
          </w:p>
        </w:tc>
      </w:tr>
      <w:tr w:rsidR="00BB603F" w:rsidRPr="005A71F0" w14:paraId="06476B12" w14:textId="77777777" w:rsidTr="00BB603F">
        <w:trPr>
          <w:trHeight w:val="20"/>
          <w:jc w:val="center"/>
        </w:trPr>
        <w:tc>
          <w:tcPr>
            <w:tcW w:w="9209" w:type="dxa"/>
            <w:vAlign w:val="center"/>
            <w:hideMark/>
          </w:tcPr>
          <w:p w14:paraId="517B67BC" w14:textId="77777777" w:rsidR="00BB603F" w:rsidRPr="005A71F0" w:rsidRDefault="00BB603F" w:rsidP="0068149B">
            <w:r w:rsidRPr="005A71F0">
              <w:t>Las dependencias y sociedad colimense trabajan conjuntamente en el fortalecimiento de acciones de conservación, protección, restauración y aprovechamiento sustentable de los recursos naturales del Estado de Colima.</w:t>
            </w:r>
          </w:p>
        </w:tc>
      </w:tr>
      <w:tr w:rsidR="00BB603F" w:rsidRPr="005A71F0" w14:paraId="3648B736" w14:textId="77777777" w:rsidTr="00BB603F">
        <w:trPr>
          <w:trHeight w:val="20"/>
          <w:jc w:val="center"/>
        </w:trPr>
        <w:tc>
          <w:tcPr>
            <w:tcW w:w="9209" w:type="dxa"/>
            <w:shd w:val="clear" w:color="auto" w:fill="FBE4D5" w:themeFill="accent2" w:themeFillTint="33"/>
            <w:vAlign w:val="center"/>
            <w:hideMark/>
          </w:tcPr>
          <w:p w14:paraId="7CE347DC" w14:textId="77777777" w:rsidR="00BB603F" w:rsidRPr="005A71F0" w:rsidRDefault="00BB603F" w:rsidP="0068149B">
            <w:pPr>
              <w:rPr>
                <w:b/>
                <w:bCs/>
              </w:rPr>
            </w:pPr>
            <w:r w:rsidRPr="005A71F0">
              <w:rPr>
                <w:b/>
                <w:bCs/>
              </w:rPr>
              <w:t>Instituto para el Registro del Territorio del Estado de Colima</w:t>
            </w:r>
          </w:p>
        </w:tc>
      </w:tr>
      <w:tr w:rsidR="00BB603F" w:rsidRPr="005A71F0" w14:paraId="64289C62" w14:textId="77777777" w:rsidTr="00BB603F">
        <w:trPr>
          <w:trHeight w:val="20"/>
          <w:jc w:val="center"/>
        </w:trPr>
        <w:tc>
          <w:tcPr>
            <w:tcW w:w="9209" w:type="dxa"/>
            <w:vAlign w:val="center"/>
            <w:hideMark/>
          </w:tcPr>
          <w:p w14:paraId="1EA968DD" w14:textId="77777777" w:rsidR="00BB603F" w:rsidRPr="005A71F0" w:rsidRDefault="00BB603F" w:rsidP="0068149B">
            <w:r w:rsidRPr="005A71F0">
              <w:t>Los usuarios de los servicios registrales, catastrales y territoriales del Estado de Colima, reciben de manera oportuna y eficiente la certeza y seguridad jurídica de sus propiedades.</w:t>
            </w:r>
          </w:p>
        </w:tc>
      </w:tr>
      <w:tr w:rsidR="00BB603F" w:rsidRPr="005A71F0" w14:paraId="0E57B828" w14:textId="77777777" w:rsidTr="00993312">
        <w:trPr>
          <w:trHeight w:val="20"/>
          <w:jc w:val="center"/>
        </w:trPr>
        <w:tc>
          <w:tcPr>
            <w:tcW w:w="9209" w:type="dxa"/>
            <w:tcBorders>
              <w:bottom w:val="single" w:sz="4" w:space="0" w:color="auto"/>
            </w:tcBorders>
            <w:shd w:val="clear" w:color="auto" w:fill="FBE4D5" w:themeFill="accent2" w:themeFillTint="33"/>
            <w:vAlign w:val="center"/>
            <w:hideMark/>
          </w:tcPr>
          <w:p w14:paraId="05043AFD" w14:textId="77777777" w:rsidR="00BB603F" w:rsidRPr="005A71F0" w:rsidRDefault="00BB603F" w:rsidP="0068149B">
            <w:pPr>
              <w:rPr>
                <w:b/>
                <w:bCs/>
              </w:rPr>
            </w:pPr>
            <w:r w:rsidRPr="005A71F0">
              <w:rPr>
                <w:b/>
                <w:bCs/>
              </w:rPr>
              <w:t>Secretaría Ejecutiva del Sistema Anticorrupción del Estado de Colima</w:t>
            </w:r>
          </w:p>
        </w:tc>
      </w:tr>
      <w:tr w:rsidR="00BB603F" w:rsidRPr="005A71F0" w14:paraId="0534BDD1" w14:textId="77777777" w:rsidTr="00993312">
        <w:trPr>
          <w:trHeight w:val="20"/>
          <w:jc w:val="center"/>
        </w:trPr>
        <w:tc>
          <w:tcPr>
            <w:tcW w:w="9209" w:type="dxa"/>
            <w:tcBorders>
              <w:bottom w:val="single" w:sz="4" w:space="0" w:color="auto"/>
            </w:tcBorders>
            <w:vAlign w:val="center"/>
            <w:hideMark/>
          </w:tcPr>
          <w:p w14:paraId="56408B81" w14:textId="77777777" w:rsidR="00BB603F" w:rsidRPr="005A71F0" w:rsidRDefault="00BB603F" w:rsidP="0068149B">
            <w:r w:rsidRPr="00993312">
              <w:rPr>
                <w:sz w:val="20"/>
              </w:rPr>
              <w:t>La población en el Estado de Colima cuenta con un Sistema Estatal Anticorrupción que garantiza la prevención, investigación y sanción de las faltas administrativas y los hechos de corrupción, así como la fiscalización y control de los recursos públicos.</w:t>
            </w:r>
          </w:p>
        </w:tc>
      </w:tr>
      <w:tr w:rsidR="00993312" w:rsidRPr="005A71F0" w14:paraId="625351DF" w14:textId="77777777" w:rsidTr="00993312">
        <w:trPr>
          <w:trHeight w:val="20"/>
          <w:jc w:val="center"/>
        </w:trPr>
        <w:tc>
          <w:tcPr>
            <w:tcW w:w="9209" w:type="dxa"/>
            <w:tcBorders>
              <w:top w:val="single" w:sz="4" w:space="0" w:color="auto"/>
              <w:left w:val="nil"/>
              <w:bottom w:val="nil"/>
              <w:right w:val="nil"/>
            </w:tcBorders>
            <w:vAlign w:val="center"/>
          </w:tcPr>
          <w:p w14:paraId="5F79E501" w14:textId="6D0C5A1E" w:rsidR="00993312" w:rsidRPr="00993312" w:rsidRDefault="00993312" w:rsidP="0068149B">
            <w:r w:rsidRPr="00993312">
              <w:rPr>
                <w:sz w:val="14"/>
                <w:vertAlign w:val="superscript"/>
              </w:rPr>
              <w:t xml:space="preserve">1/ </w:t>
            </w:r>
            <w:r w:rsidRPr="00993312">
              <w:rPr>
                <w:sz w:val="14"/>
              </w:rPr>
              <w:t xml:space="preserve">Los Objetivos se encuentran redactados al nivel propósito de acuerdo a la Metodología del Marco Lógico, las estrategias y meta se pueden consultar en las Matrices de Indicadores para Resultados y las </w:t>
            </w:r>
            <w:r w:rsidR="00481662">
              <w:rPr>
                <w:sz w:val="14"/>
              </w:rPr>
              <w:t xml:space="preserve">Fichas Técnicas de Indicadores anexas. </w:t>
            </w:r>
          </w:p>
        </w:tc>
      </w:tr>
    </w:tbl>
    <w:p w14:paraId="67EE85A9" w14:textId="77777777" w:rsidR="00481662" w:rsidRDefault="00481662" w:rsidP="0045406C">
      <w:pPr>
        <w:pStyle w:val="Ttulo2"/>
      </w:pPr>
    </w:p>
    <w:p w14:paraId="4AC633F8" w14:textId="09B7B6DA" w:rsidR="00F40C0F" w:rsidRDefault="00AA639D" w:rsidP="0045406C">
      <w:pPr>
        <w:pStyle w:val="Ttulo2"/>
      </w:pPr>
      <w:r>
        <w:t>2.</w:t>
      </w:r>
      <w:r w:rsidR="00F40C0F" w:rsidRPr="00A55906">
        <w:t>II. Proyecciones de finanzas públicas, considerando las premisas empleadas en los Criterios Generales de Política Económica.</w:t>
      </w:r>
    </w:p>
    <w:p w14:paraId="29A1DBCE" w14:textId="77777777" w:rsidR="00461184" w:rsidRPr="00A55906" w:rsidRDefault="00461184" w:rsidP="0045406C"/>
    <w:p w14:paraId="30C49892" w14:textId="0B326CC9" w:rsidR="00F40C0F" w:rsidRDefault="00F40C0F" w:rsidP="00A3747F">
      <w:pPr>
        <w:rPr>
          <w:rFonts w:cs="Arial"/>
          <w:b/>
          <w:bCs/>
        </w:rPr>
      </w:pPr>
      <w:r w:rsidRPr="00A55906">
        <w:rPr>
          <w:rFonts w:cs="Arial"/>
          <w:b/>
          <w:bCs/>
        </w:rPr>
        <w:t>Metodología para la proyección de ingresos y egresos</w:t>
      </w:r>
    </w:p>
    <w:p w14:paraId="28841145" w14:textId="77777777" w:rsidR="00461184" w:rsidRPr="00A55906" w:rsidRDefault="00461184" w:rsidP="00A3747F">
      <w:pPr>
        <w:rPr>
          <w:rFonts w:cs="Arial"/>
          <w:b/>
          <w:bCs/>
        </w:rPr>
      </w:pPr>
    </w:p>
    <w:p w14:paraId="011DECF7" w14:textId="18F8CF74" w:rsidR="00F40C0F" w:rsidRDefault="00F40C0F" w:rsidP="00A3747F">
      <w:pPr>
        <w:rPr>
          <w:rFonts w:cs="Arial"/>
        </w:rPr>
      </w:pPr>
      <w:r w:rsidRPr="00A55906">
        <w:rPr>
          <w:rFonts w:cs="Arial"/>
        </w:rPr>
        <w:t>La metodología de proyección de ingresos y egresos del estado de Colima, de conformidad con el Artículo 5 fracción II de la Ley de Disciplina Financiera de las Entidades Federativas y los Municipios, con fundamento en los Criterios Generales de Política Económica 202</w:t>
      </w:r>
      <w:r w:rsidR="00D5361C" w:rsidRPr="00A55906">
        <w:rPr>
          <w:rFonts w:cs="Arial"/>
        </w:rPr>
        <w:t>3</w:t>
      </w:r>
      <w:r w:rsidRPr="00A55906">
        <w:rPr>
          <w:rFonts w:cs="Arial"/>
        </w:rPr>
        <w:t>.</w:t>
      </w:r>
    </w:p>
    <w:p w14:paraId="1C3B43F9" w14:textId="77777777" w:rsidR="005A4449" w:rsidRPr="00A55906" w:rsidRDefault="005A4449" w:rsidP="00A3747F">
      <w:pPr>
        <w:rPr>
          <w:rFonts w:cs="Arial"/>
        </w:rPr>
      </w:pPr>
    </w:p>
    <w:p w14:paraId="74185DA0" w14:textId="797CF8BF" w:rsidR="00F40C0F" w:rsidRDefault="00F40C0F" w:rsidP="00A3747F">
      <w:pPr>
        <w:rPr>
          <w:rFonts w:cs="Arial"/>
        </w:rPr>
      </w:pPr>
      <w:r w:rsidRPr="000D48E0">
        <w:rPr>
          <w:rFonts w:cs="Arial"/>
        </w:rPr>
        <w:t>La proyección de ingresos y egresos se realiza con base en los siguientes lineamientos generales:</w:t>
      </w:r>
    </w:p>
    <w:p w14:paraId="4A5FA801" w14:textId="7F8D5BE1" w:rsidR="00713754" w:rsidRDefault="00713754" w:rsidP="00A3747F">
      <w:pPr>
        <w:rPr>
          <w:rFonts w:cs="Arial"/>
        </w:rPr>
      </w:pPr>
    </w:p>
    <w:p w14:paraId="2A24AC1D" w14:textId="3337FE93" w:rsidR="000D48E0" w:rsidRDefault="000D48E0" w:rsidP="00BB603F">
      <w:pPr>
        <w:pStyle w:val="Prrafodelista"/>
        <w:numPr>
          <w:ilvl w:val="0"/>
          <w:numId w:val="34"/>
        </w:numPr>
        <w:rPr>
          <w:rFonts w:cs="Arial"/>
        </w:rPr>
      </w:pPr>
      <w:r>
        <w:rPr>
          <w:rFonts w:cs="Arial"/>
        </w:rPr>
        <w:t xml:space="preserve">Para 2023 se estima incrementar la recaudación de impuestos en un porcentaje similar al crecimiento del Producto Interno Bruto Nacional.  </w:t>
      </w:r>
    </w:p>
    <w:p w14:paraId="4B81FBCA" w14:textId="06D4BB5E" w:rsidR="000D48E0" w:rsidRDefault="000D48E0" w:rsidP="00BB603F">
      <w:pPr>
        <w:pStyle w:val="Prrafodelista"/>
        <w:numPr>
          <w:ilvl w:val="0"/>
          <w:numId w:val="34"/>
        </w:numPr>
        <w:rPr>
          <w:rFonts w:cs="Arial"/>
        </w:rPr>
      </w:pPr>
      <w:r>
        <w:rPr>
          <w:rFonts w:cs="Arial"/>
        </w:rPr>
        <w:t>Para el cálculo de las proyecciones de ingresos se consideró el crecimiento puntual del PIB y así como la inflación estimada en los CGPE 2023</w:t>
      </w:r>
    </w:p>
    <w:p w14:paraId="02A05BF1" w14:textId="1AD07E17" w:rsidR="00B6220E" w:rsidRDefault="00B6220E" w:rsidP="00BB603F">
      <w:pPr>
        <w:pStyle w:val="Prrafodelista"/>
        <w:numPr>
          <w:ilvl w:val="0"/>
          <w:numId w:val="34"/>
        </w:numPr>
        <w:rPr>
          <w:rFonts w:cs="Arial"/>
        </w:rPr>
      </w:pPr>
      <w:r>
        <w:rPr>
          <w:rFonts w:cs="Arial"/>
        </w:rPr>
        <w:t xml:space="preserve">El gasto no etiquetado solo incrementa en términos del crecimiento nominal del PIB. </w:t>
      </w:r>
    </w:p>
    <w:p w14:paraId="753C3906" w14:textId="0D090041" w:rsidR="00B6220E" w:rsidRDefault="00B6220E" w:rsidP="00BB603F">
      <w:pPr>
        <w:pStyle w:val="Prrafodelista"/>
        <w:numPr>
          <w:ilvl w:val="0"/>
          <w:numId w:val="34"/>
        </w:numPr>
        <w:rPr>
          <w:rFonts w:cs="Arial"/>
        </w:rPr>
      </w:pPr>
      <w:r>
        <w:rPr>
          <w:rFonts w:cs="Arial"/>
        </w:rPr>
        <w:t xml:space="preserve">Los ahorros y economías presupuestarias que se puedan generar durante el Ejercicio Fiscal 2023 serán </w:t>
      </w:r>
      <w:r w:rsidR="00546FA8">
        <w:rPr>
          <w:rFonts w:cs="Arial"/>
        </w:rPr>
        <w:t xml:space="preserve">destinados a las prioridades del Gobierno en términos de la Ley de Disciplina Financiera de las Entidades Federativas y los Municipios. </w:t>
      </w:r>
    </w:p>
    <w:p w14:paraId="6D0ACAFC" w14:textId="1732602D" w:rsidR="00BB603F" w:rsidRPr="00BB603F" w:rsidRDefault="00BB603F" w:rsidP="00BB603F">
      <w:pPr>
        <w:pStyle w:val="Prrafodelista"/>
        <w:numPr>
          <w:ilvl w:val="0"/>
          <w:numId w:val="34"/>
        </w:numPr>
        <w:rPr>
          <w:rFonts w:cs="Arial"/>
        </w:rPr>
      </w:pPr>
      <w:r>
        <w:rPr>
          <w:rFonts w:cs="Arial"/>
        </w:rPr>
        <w:t xml:space="preserve">No se considera endeudamiento de largo plazo, el endeudamiento de corto plazo lo hace en los términos señalados por la Ley y en los casos </w:t>
      </w:r>
      <w:r w:rsidR="00B6220E">
        <w:rPr>
          <w:rFonts w:cs="Arial"/>
        </w:rPr>
        <w:t xml:space="preserve">de insuficiencia de liquidez. </w:t>
      </w:r>
    </w:p>
    <w:p w14:paraId="13BFBBCA" w14:textId="39FB0642" w:rsidR="00F40C0F" w:rsidRDefault="00F40C0F" w:rsidP="00A3747F">
      <w:pPr>
        <w:rPr>
          <w:rFonts w:cs="Arial"/>
        </w:rPr>
      </w:pPr>
    </w:p>
    <w:p w14:paraId="6E2BDF3A" w14:textId="79C3395B" w:rsidR="007A2AA7" w:rsidRDefault="007A2AA7" w:rsidP="00A3747F">
      <w:pPr>
        <w:rPr>
          <w:rFonts w:cs="Arial"/>
        </w:rPr>
      </w:pPr>
    </w:p>
    <w:p w14:paraId="517C483A" w14:textId="2243AB69" w:rsidR="007A2AA7" w:rsidRDefault="007A2AA7" w:rsidP="00A3747F">
      <w:pPr>
        <w:rPr>
          <w:rFonts w:cs="Arial"/>
        </w:rPr>
      </w:pPr>
    </w:p>
    <w:p w14:paraId="191399A3" w14:textId="00DA4A84" w:rsidR="007A2AA7" w:rsidRDefault="007A2AA7" w:rsidP="00A3747F">
      <w:pPr>
        <w:rPr>
          <w:rFonts w:cs="Arial"/>
        </w:rPr>
      </w:pPr>
    </w:p>
    <w:p w14:paraId="516962BF" w14:textId="53C6095B" w:rsidR="007A2AA7" w:rsidRDefault="007A2AA7" w:rsidP="00A3747F">
      <w:pPr>
        <w:rPr>
          <w:rFonts w:cs="Arial"/>
        </w:rPr>
      </w:pPr>
    </w:p>
    <w:p w14:paraId="6F61DBF8" w14:textId="76E67B65" w:rsidR="007A2AA7" w:rsidRDefault="007A2AA7" w:rsidP="00A3747F">
      <w:pPr>
        <w:rPr>
          <w:rFonts w:cs="Arial"/>
        </w:rPr>
      </w:pPr>
    </w:p>
    <w:p w14:paraId="0318BDAB" w14:textId="0F82BAD6" w:rsidR="007A2AA7" w:rsidRDefault="007A2AA7" w:rsidP="00A3747F">
      <w:pPr>
        <w:rPr>
          <w:rFonts w:cs="Arial"/>
        </w:rPr>
      </w:pPr>
    </w:p>
    <w:p w14:paraId="25466AED" w14:textId="6FCAA687" w:rsidR="007A2AA7" w:rsidRDefault="007A2AA7" w:rsidP="00A3747F">
      <w:pPr>
        <w:rPr>
          <w:rFonts w:cs="Arial"/>
        </w:rPr>
      </w:pPr>
    </w:p>
    <w:p w14:paraId="4C6383DA" w14:textId="72B62401" w:rsidR="007A2AA7" w:rsidRDefault="007A2AA7" w:rsidP="00A3747F">
      <w:pPr>
        <w:rPr>
          <w:rFonts w:cs="Arial"/>
        </w:rPr>
      </w:pPr>
    </w:p>
    <w:p w14:paraId="509026B5" w14:textId="3BE569FF" w:rsidR="007A2AA7" w:rsidRDefault="007A2AA7" w:rsidP="00A3747F">
      <w:pPr>
        <w:rPr>
          <w:rFonts w:cs="Arial"/>
        </w:rPr>
      </w:pPr>
    </w:p>
    <w:p w14:paraId="6B2029C9" w14:textId="6CA6E9F3" w:rsidR="007A2AA7" w:rsidRDefault="007A2AA7" w:rsidP="00A3747F">
      <w:pPr>
        <w:rPr>
          <w:rFonts w:cs="Arial"/>
        </w:rPr>
      </w:pPr>
    </w:p>
    <w:p w14:paraId="5A69F7CD" w14:textId="5DEDBEAE" w:rsidR="007A2AA7" w:rsidRDefault="007A2AA7" w:rsidP="00A3747F">
      <w:pPr>
        <w:rPr>
          <w:rFonts w:cs="Arial"/>
        </w:rPr>
      </w:pPr>
    </w:p>
    <w:p w14:paraId="63FC1101" w14:textId="67077443" w:rsidR="007A2AA7" w:rsidRDefault="007A2AA7" w:rsidP="00A3747F">
      <w:pPr>
        <w:rPr>
          <w:rFonts w:cs="Arial"/>
        </w:rPr>
      </w:pPr>
    </w:p>
    <w:p w14:paraId="24042D6C" w14:textId="76E53417" w:rsidR="007A2AA7" w:rsidRDefault="007A2AA7" w:rsidP="00A3747F">
      <w:pPr>
        <w:rPr>
          <w:rFonts w:cs="Arial"/>
        </w:rPr>
      </w:pPr>
    </w:p>
    <w:p w14:paraId="520C4194" w14:textId="6BE3C12E" w:rsidR="007A2AA7" w:rsidRDefault="007A2AA7" w:rsidP="00A3747F">
      <w:pPr>
        <w:rPr>
          <w:rFonts w:cs="Arial"/>
        </w:rPr>
      </w:pPr>
    </w:p>
    <w:p w14:paraId="1B76FB52" w14:textId="0A766A3E" w:rsidR="007A2AA7" w:rsidRDefault="007A2AA7" w:rsidP="00A3747F">
      <w:pPr>
        <w:rPr>
          <w:rFonts w:cs="Arial"/>
        </w:rPr>
      </w:pPr>
    </w:p>
    <w:p w14:paraId="70255D87" w14:textId="776C8BD6" w:rsidR="007A2AA7" w:rsidRPr="00A55906" w:rsidRDefault="007A2AA7" w:rsidP="00A3747F">
      <w:pPr>
        <w:rPr>
          <w:rFonts w:cs="Arial"/>
        </w:rPr>
      </w:pPr>
    </w:p>
    <w:p w14:paraId="3D9401B6" w14:textId="0918570E" w:rsidR="00F40C0F" w:rsidRPr="0052444A" w:rsidRDefault="00F40C0F" w:rsidP="0045406C">
      <w:pPr>
        <w:pStyle w:val="Ttulo3"/>
      </w:pPr>
      <w:r w:rsidRPr="0052444A">
        <w:lastRenderedPageBreak/>
        <w:t xml:space="preserve">a). </w:t>
      </w:r>
      <w:r w:rsidR="00713754" w:rsidRPr="0052444A">
        <w:t xml:space="preserve">Formato 7a) Proyecciones de </w:t>
      </w:r>
      <w:r w:rsidR="00713754" w:rsidRPr="00600223">
        <w:t>Ingresos</w:t>
      </w:r>
      <w:r w:rsidR="00713754" w:rsidRPr="0052444A">
        <w:t xml:space="preserve"> - LDF</w:t>
      </w:r>
    </w:p>
    <w:p w14:paraId="64D41869" w14:textId="77777777" w:rsidR="00E45E2C" w:rsidRDefault="00E45E2C" w:rsidP="00A3747F">
      <w:pPr>
        <w:rPr>
          <w:rFonts w:cs="Arial"/>
          <w:bCs/>
        </w:rPr>
      </w:pPr>
    </w:p>
    <w:p w14:paraId="416A6ED1" w14:textId="522976B0" w:rsidR="00E45E2C" w:rsidRPr="00A55906" w:rsidRDefault="007A2AA7" w:rsidP="00A3747F">
      <w:pPr>
        <w:rPr>
          <w:rFonts w:cs="Arial"/>
          <w:b/>
          <w:bCs/>
        </w:rPr>
      </w:pPr>
      <w:r w:rsidRPr="007A2AA7">
        <w:rPr>
          <w:noProof/>
        </w:rPr>
        <w:drawing>
          <wp:inline distT="0" distB="0" distL="0" distR="0" wp14:anchorId="1376D0F3" wp14:editId="44485F27">
            <wp:extent cx="5612130" cy="3632134"/>
            <wp:effectExtent l="0" t="0" r="7620" b="698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632134"/>
                    </a:xfrm>
                    <a:prstGeom prst="rect">
                      <a:avLst/>
                    </a:prstGeom>
                    <a:noFill/>
                    <a:ln>
                      <a:noFill/>
                    </a:ln>
                  </pic:spPr>
                </pic:pic>
              </a:graphicData>
            </a:graphic>
          </wp:inline>
        </w:drawing>
      </w:r>
    </w:p>
    <w:p w14:paraId="472BB8E3" w14:textId="5ECD8B16" w:rsidR="00F40C0F" w:rsidRDefault="00F40C0F" w:rsidP="00931EA1"/>
    <w:p w14:paraId="0E5DAF79" w14:textId="77777777" w:rsidR="00931EA1" w:rsidRPr="00931EA1" w:rsidRDefault="00931EA1" w:rsidP="00931EA1"/>
    <w:p w14:paraId="7360B900" w14:textId="3736F41E" w:rsidR="001B517C" w:rsidRDefault="001B517C">
      <w:pPr>
        <w:spacing w:after="160" w:line="259" w:lineRule="auto"/>
        <w:rPr>
          <w:rFonts w:cs="Arial"/>
        </w:rPr>
      </w:pPr>
      <w:r>
        <w:rPr>
          <w:rFonts w:cs="Arial"/>
        </w:rPr>
        <w:br w:type="page"/>
      </w:r>
    </w:p>
    <w:p w14:paraId="69FA88E3" w14:textId="6F01005A" w:rsidR="00F40C0F" w:rsidRPr="0052444A" w:rsidRDefault="00F40C0F" w:rsidP="00600223">
      <w:pPr>
        <w:pStyle w:val="Ttulo2"/>
      </w:pPr>
      <w:r w:rsidRPr="0052444A">
        <w:lastRenderedPageBreak/>
        <w:t xml:space="preserve">b) </w:t>
      </w:r>
      <w:r w:rsidR="00481662">
        <w:t xml:space="preserve">Formato 7b) </w:t>
      </w:r>
      <w:r w:rsidRPr="0052444A">
        <w:t>Proyecciones de Egresos – LDF</w:t>
      </w:r>
    </w:p>
    <w:p w14:paraId="51AA80BA" w14:textId="5F486F98" w:rsidR="00F40C0F" w:rsidRPr="00A55906" w:rsidRDefault="00993312" w:rsidP="00A3747F">
      <w:pPr>
        <w:rPr>
          <w:rFonts w:cs="Arial"/>
        </w:rPr>
      </w:pPr>
      <w:r w:rsidRPr="00993312">
        <w:rPr>
          <w:noProof/>
        </w:rPr>
        <w:drawing>
          <wp:inline distT="0" distB="0" distL="0" distR="0" wp14:anchorId="2E93CB35" wp14:editId="2D4CD36F">
            <wp:extent cx="5612130" cy="3256001"/>
            <wp:effectExtent l="0" t="0" r="762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256001"/>
                    </a:xfrm>
                    <a:prstGeom prst="rect">
                      <a:avLst/>
                    </a:prstGeom>
                    <a:noFill/>
                    <a:ln>
                      <a:noFill/>
                    </a:ln>
                  </pic:spPr>
                </pic:pic>
              </a:graphicData>
            </a:graphic>
          </wp:inline>
        </w:drawing>
      </w:r>
    </w:p>
    <w:p w14:paraId="0945F854" w14:textId="77777777" w:rsidR="00F5359E" w:rsidRDefault="00F5359E" w:rsidP="00A3747F">
      <w:pPr>
        <w:rPr>
          <w:rFonts w:cs="Arial"/>
          <w:b/>
          <w:bCs/>
        </w:rPr>
      </w:pPr>
      <w:r>
        <w:rPr>
          <w:rFonts w:cs="Arial"/>
          <w:b/>
          <w:bCs/>
        </w:rPr>
        <w:br w:type="page"/>
      </w:r>
    </w:p>
    <w:p w14:paraId="15194121" w14:textId="5E1B7531" w:rsidR="00F40C0F" w:rsidRPr="00A55906" w:rsidRDefault="00AA639D" w:rsidP="0045406C">
      <w:pPr>
        <w:pStyle w:val="Ttulo2"/>
      </w:pPr>
      <w:r>
        <w:lastRenderedPageBreak/>
        <w:t>2.</w:t>
      </w:r>
      <w:r w:rsidR="00F40C0F" w:rsidRPr="00A55906">
        <w:t>III. Descripción de los riesgos relevantes para las finanzas públicas, incluyendo los montos de Deuda Contingente, acompañados de propuestas de acción para enfrentarlos.</w:t>
      </w:r>
    </w:p>
    <w:p w14:paraId="04E45580" w14:textId="77777777" w:rsidR="00F40C0F" w:rsidRPr="00A55906" w:rsidRDefault="00F40C0F" w:rsidP="00A3747F">
      <w:pPr>
        <w:rPr>
          <w:rFonts w:cs="Arial"/>
          <w:b/>
          <w:bCs/>
        </w:rPr>
      </w:pPr>
    </w:p>
    <w:p w14:paraId="46B0C00E" w14:textId="28FDFCE4" w:rsidR="00F40C0F" w:rsidRPr="00A55906" w:rsidRDefault="00AA639D" w:rsidP="0045406C">
      <w:pPr>
        <w:pStyle w:val="Ttulo3"/>
      </w:pPr>
      <w:r>
        <w:t>2.III.A</w:t>
      </w:r>
      <w:r w:rsidR="00F40C0F" w:rsidRPr="00A55906">
        <w:t>. Riesgos fiscales en el ámbito nacional.</w:t>
      </w:r>
    </w:p>
    <w:p w14:paraId="18EBD215" w14:textId="70349041" w:rsidR="00F5359E" w:rsidRDefault="00F5359E" w:rsidP="00A3747F">
      <w:pPr>
        <w:rPr>
          <w:rFonts w:cs="Arial"/>
        </w:rPr>
      </w:pPr>
    </w:p>
    <w:p w14:paraId="2B8EF76A" w14:textId="506EEF09" w:rsidR="00F5359E" w:rsidRDefault="00F5359E" w:rsidP="00A3747F">
      <w:pPr>
        <w:rPr>
          <w:rFonts w:cs="Arial"/>
        </w:rPr>
      </w:pPr>
      <w:r w:rsidRPr="00F5359E">
        <w:rPr>
          <w:rFonts w:cs="Arial"/>
          <w:b/>
        </w:rPr>
        <w:t>Riesgos de corto plazo</w:t>
      </w:r>
      <w:r w:rsidR="00725BFB">
        <w:rPr>
          <w:rFonts w:cs="Arial"/>
          <w:b/>
        </w:rPr>
        <w:t xml:space="preserve">. </w:t>
      </w:r>
      <w:r w:rsidRPr="00F5359E">
        <w:rPr>
          <w:rFonts w:cs="Arial"/>
        </w:rPr>
        <w:t>Las estimaciones de finanzas públicas para 2023 consideran un marco macroeconómico</w:t>
      </w:r>
      <w:r>
        <w:rPr>
          <w:rFonts w:cs="Arial"/>
        </w:rPr>
        <w:t xml:space="preserve"> </w:t>
      </w:r>
      <w:r w:rsidRPr="00F5359E">
        <w:rPr>
          <w:rFonts w:cs="Arial"/>
        </w:rPr>
        <w:t>prudente que incorpora las perspectivas de crecimiento para el año. No obstante, es importante</w:t>
      </w:r>
      <w:r>
        <w:rPr>
          <w:rFonts w:cs="Arial"/>
        </w:rPr>
        <w:t xml:space="preserve"> </w:t>
      </w:r>
      <w:r w:rsidRPr="00F5359E">
        <w:rPr>
          <w:rFonts w:cs="Arial"/>
        </w:rPr>
        <w:t>considerar que durante el ejercicio fiscal se pueden presentar desviaciones con respecto a lo</w:t>
      </w:r>
      <w:r>
        <w:rPr>
          <w:rFonts w:cs="Arial"/>
        </w:rPr>
        <w:t xml:space="preserve"> </w:t>
      </w:r>
      <w:r w:rsidRPr="00F5359E">
        <w:rPr>
          <w:rFonts w:cs="Arial"/>
        </w:rPr>
        <w:t>esperado en el momento de elaborar y aprobar el Paquete Económico derivado de choques</w:t>
      </w:r>
      <w:r>
        <w:rPr>
          <w:rFonts w:cs="Arial"/>
        </w:rPr>
        <w:t xml:space="preserve"> </w:t>
      </w:r>
      <w:r w:rsidRPr="00F5359E">
        <w:rPr>
          <w:rFonts w:cs="Arial"/>
        </w:rPr>
        <w:t>macroeconómicos no previsibles y otros factores. A continuación, se presenta un análisis de</w:t>
      </w:r>
      <w:r>
        <w:rPr>
          <w:rFonts w:cs="Arial"/>
        </w:rPr>
        <w:t xml:space="preserve"> </w:t>
      </w:r>
      <w:r w:rsidRPr="00F5359E">
        <w:rPr>
          <w:rFonts w:cs="Arial"/>
        </w:rPr>
        <w:t>sensibilidad que estima el impacto que pudieran tener las desviaciones de las principales</w:t>
      </w:r>
      <w:r>
        <w:rPr>
          <w:rFonts w:cs="Arial"/>
        </w:rPr>
        <w:t xml:space="preserve"> </w:t>
      </w:r>
      <w:r w:rsidRPr="00F5359E">
        <w:rPr>
          <w:rFonts w:cs="Arial"/>
        </w:rPr>
        <w:t>variables del marco macroeconómico sobre las estimaciones de ingresos y gasto presentadas</w:t>
      </w:r>
      <w:r>
        <w:rPr>
          <w:rFonts w:cs="Arial"/>
        </w:rPr>
        <w:t xml:space="preserve"> </w:t>
      </w:r>
      <w:r w:rsidRPr="00F5359E">
        <w:rPr>
          <w:rFonts w:cs="Arial"/>
        </w:rPr>
        <w:t>en el Paquete Económico 2023. Es importante destacar que el análisis considera desviaciones</w:t>
      </w:r>
      <w:r>
        <w:rPr>
          <w:rFonts w:cs="Arial"/>
        </w:rPr>
        <w:t xml:space="preserve"> </w:t>
      </w:r>
      <w:r w:rsidRPr="00F5359E">
        <w:rPr>
          <w:rFonts w:cs="Arial"/>
        </w:rPr>
        <w:t>individuales y no estima el impacto de desviaciones simultáneas.</w:t>
      </w:r>
    </w:p>
    <w:p w14:paraId="4F5F71BA" w14:textId="77777777" w:rsidR="008A3C49" w:rsidRDefault="008A3C49" w:rsidP="00A3747F">
      <w:pPr>
        <w:rPr>
          <w:rFonts w:cs="Arial"/>
        </w:rPr>
      </w:pPr>
    </w:p>
    <w:tbl>
      <w:tblPr>
        <w:tblStyle w:val="Tablaconcuadrcula"/>
        <w:tblW w:w="8926" w:type="dxa"/>
        <w:jc w:val="center"/>
        <w:tblLook w:val="04A0" w:firstRow="1" w:lastRow="0" w:firstColumn="1" w:lastColumn="0" w:noHBand="0" w:noVBand="1"/>
      </w:tblPr>
      <w:tblGrid>
        <w:gridCol w:w="2835"/>
        <w:gridCol w:w="990"/>
        <w:gridCol w:w="711"/>
        <w:gridCol w:w="4390"/>
      </w:tblGrid>
      <w:tr w:rsidR="00662733" w:rsidRPr="00662733" w14:paraId="77DF869D" w14:textId="77777777" w:rsidTr="007D2C17">
        <w:trPr>
          <w:jc w:val="center"/>
        </w:trPr>
        <w:tc>
          <w:tcPr>
            <w:tcW w:w="2835" w:type="dxa"/>
            <w:shd w:val="clear" w:color="auto" w:fill="F2F2F2" w:themeFill="background1" w:themeFillShade="F2"/>
            <w:vAlign w:val="center"/>
          </w:tcPr>
          <w:p w14:paraId="270D9138" w14:textId="77777777" w:rsidR="00662733" w:rsidRPr="00662733" w:rsidRDefault="00662733" w:rsidP="00A3747F">
            <w:pPr>
              <w:jc w:val="center"/>
              <w:rPr>
                <w:rFonts w:cs="Arial"/>
                <w:b/>
                <w:sz w:val="16"/>
              </w:rPr>
            </w:pPr>
          </w:p>
        </w:tc>
        <w:tc>
          <w:tcPr>
            <w:tcW w:w="990" w:type="dxa"/>
            <w:shd w:val="clear" w:color="auto" w:fill="F2F2F2" w:themeFill="background1" w:themeFillShade="F2"/>
            <w:vAlign w:val="center"/>
          </w:tcPr>
          <w:p w14:paraId="4E88C5DE" w14:textId="27EE0C7C" w:rsidR="00662733" w:rsidRPr="00662733" w:rsidRDefault="00662733" w:rsidP="00A3747F">
            <w:pPr>
              <w:jc w:val="center"/>
              <w:rPr>
                <w:rFonts w:cs="Arial"/>
                <w:b/>
                <w:sz w:val="16"/>
              </w:rPr>
            </w:pPr>
            <w:r w:rsidRPr="00662733">
              <w:rPr>
                <w:rFonts w:cs="Arial"/>
                <w:b/>
                <w:sz w:val="16"/>
              </w:rPr>
              <w:t>Millones de pesos</w:t>
            </w:r>
          </w:p>
        </w:tc>
        <w:tc>
          <w:tcPr>
            <w:tcW w:w="711" w:type="dxa"/>
            <w:shd w:val="clear" w:color="auto" w:fill="F2F2F2" w:themeFill="background1" w:themeFillShade="F2"/>
            <w:vAlign w:val="center"/>
          </w:tcPr>
          <w:p w14:paraId="701BBC26" w14:textId="0DF586CD" w:rsidR="00662733" w:rsidRPr="00662733" w:rsidRDefault="00662733" w:rsidP="00A3747F">
            <w:pPr>
              <w:jc w:val="center"/>
              <w:rPr>
                <w:rFonts w:cs="Arial"/>
                <w:b/>
                <w:sz w:val="16"/>
              </w:rPr>
            </w:pPr>
            <w:r w:rsidRPr="00662733">
              <w:rPr>
                <w:rFonts w:cs="Arial"/>
                <w:b/>
                <w:sz w:val="16"/>
              </w:rPr>
              <w:t>% del PIB</w:t>
            </w:r>
          </w:p>
        </w:tc>
        <w:tc>
          <w:tcPr>
            <w:tcW w:w="4390" w:type="dxa"/>
            <w:shd w:val="clear" w:color="auto" w:fill="F2F2F2" w:themeFill="background1" w:themeFillShade="F2"/>
            <w:vAlign w:val="center"/>
          </w:tcPr>
          <w:p w14:paraId="730DEA39" w14:textId="24DC0CEE" w:rsidR="00662733" w:rsidRPr="00662733" w:rsidRDefault="00662733" w:rsidP="00A3747F">
            <w:pPr>
              <w:jc w:val="center"/>
              <w:rPr>
                <w:rFonts w:cs="Arial"/>
                <w:b/>
                <w:sz w:val="16"/>
              </w:rPr>
            </w:pPr>
            <w:r w:rsidRPr="00662733">
              <w:rPr>
                <w:rFonts w:cs="Arial"/>
                <w:b/>
                <w:sz w:val="16"/>
              </w:rPr>
              <w:t>Explicación</w:t>
            </w:r>
          </w:p>
        </w:tc>
      </w:tr>
      <w:tr w:rsidR="00662733" w:rsidRPr="00662733" w14:paraId="3A8F77E2" w14:textId="77777777" w:rsidTr="00662733">
        <w:trPr>
          <w:jc w:val="center"/>
        </w:trPr>
        <w:tc>
          <w:tcPr>
            <w:tcW w:w="2835" w:type="dxa"/>
          </w:tcPr>
          <w:p w14:paraId="553C2341" w14:textId="2FD7647D" w:rsidR="00662733" w:rsidRPr="00662733" w:rsidRDefault="00662733" w:rsidP="00A3747F">
            <w:pPr>
              <w:rPr>
                <w:rFonts w:cs="Arial"/>
                <w:sz w:val="16"/>
              </w:rPr>
            </w:pPr>
            <w:r w:rsidRPr="00662733">
              <w:rPr>
                <w:rFonts w:cs="Arial"/>
                <w:sz w:val="16"/>
              </w:rPr>
              <w:t>1. Medio punto real de crecimiento económico (tributarios)</w:t>
            </w:r>
          </w:p>
        </w:tc>
        <w:tc>
          <w:tcPr>
            <w:tcW w:w="990" w:type="dxa"/>
            <w:vAlign w:val="center"/>
          </w:tcPr>
          <w:p w14:paraId="7F2155F1" w14:textId="191FB18A" w:rsidR="00662733" w:rsidRPr="00662733" w:rsidRDefault="00662733" w:rsidP="00A3747F">
            <w:pPr>
              <w:jc w:val="center"/>
              <w:rPr>
                <w:rFonts w:cs="Arial"/>
                <w:sz w:val="16"/>
              </w:rPr>
            </w:pPr>
            <w:r w:rsidRPr="00662733">
              <w:rPr>
                <w:rFonts w:cs="Arial"/>
                <w:sz w:val="16"/>
              </w:rPr>
              <w:t>23,089.9</w:t>
            </w:r>
          </w:p>
        </w:tc>
        <w:tc>
          <w:tcPr>
            <w:tcW w:w="711" w:type="dxa"/>
            <w:vAlign w:val="center"/>
          </w:tcPr>
          <w:p w14:paraId="3CEAFCE1" w14:textId="4AC27CA1" w:rsidR="00662733" w:rsidRPr="00662733" w:rsidRDefault="00662733" w:rsidP="00A3747F">
            <w:pPr>
              <w:jc w:val="center"/>
              <w:rPr>
                <w:rFonts w:cs="Arial"/>
                <w:sz w:val="16"/>
              </w:rPr>
            </w:pPr>
            <w:r w:rsidRPr="00662733">
              <w:rPr>
                <w:rFonts w:cs="Arial"/>
                <w:sz w:val="16"/>
              </w:rPr>
              <w:t>0.08</w:t>
            </w:r>
          </w:p>
        </w:tc>
        <w:tc>
          <w:tcPr>
            <w:tcW w:w="4390" w:type="dxa"/>
          </w:tcPr>
          <w:p w14:paraId="1DF4272C" w14:textId="04BF21A0" w:rsidR="00662733" w:rsidRPr="00662733" w:rsidRDefault="00662733" w:rsidP="00A3747F">
            <w:pPr>
              <w:rPr>
                <w:rFonts w:cs="Arial"/>
                <w:sz w:val="16"/>
              </w:rPr>
            </w:pPr>
            <w:r w:rsidRPr="00662733">
              <w:rPr>
                <w:rFonts w:cs="Arial"/>
                <w:sz w:val="16"/>
              </w:rPr>
              <w:t>Un crecimiento económico mayor al estimado</w:t>
            </w:r>
            <w:r>
              <w:rPr>
                <w:rFonts w:cs="Arial"/>
                <w:sz w:val="16"/>
              </w:rPr>
              <w:t xml:space="preserve"> </w:t>
            </w:r>
            <w:r w:rsidRPr="00662733">
              <w:rPr>
                <w:rFonts w:cs="Arial"/>
                <w:sz w:val="16"/>
              </w:rPr>
              <w:t>incrementa los ingresos públicos debido a una mayor</w:t>
            </w:r>
            <w:r>
              <w:rPr>
                <w:rFonts w:cs="Arial"/>
                <w:sz w:val="16"/>
              </w:rPr>
              <w:t xml:space="preserve"> </w:t>
            </w:r>
            <w:r w:rsidRPr="00662733">
              <w:rPr>
                <w:rFonts w:cs="Arial"/>
                <w:sz w:val="16"/>
              </w:rPr>
              <w:t>recaudación de los impuestos (IVA, ISR y otros).</w:t>
            </w:r>
          </w:p>
        </w:tc>
      </w:tr>
      <w:tr w:rsidR="00662733" w:rsidRPr="00662733" w14:paraId="48F63F9E" w14:textId="77777777" w:rsidTr="00662733">
        <w:trPr>
          <w:jc w:val="center"/>
        </w:trPr>
        <w:tc>
          <w:tcPr>
            <w:tcW w:w="2835" w:type="dxa"/>
          </w:tcPr>
          <w:p w14:paraId="2CF6FC15" w14:textId="7F11F587" w:rsidR="00662733" w:rsidRPr="00662733" w:rsidRDefault="00662733" w:rsidP="00A3747F">
            <w:pPr>
              <w:rPr>
                <w:rFonts w:cs="Arial"/>
                <w:sz w:val="16"/>
              </w:rPr>
            </w:pPr>
            <w:r w:rsidRPr="00662733">
              <w:rPr>
                <w:rFonts w:cs="Arial"/>
                <w:sz w:val="16"/>
              </w:rPr>
              <w:t>2. Un dólar adicional en el</w:t>
            </w:r>
            <w:r>
              <w:rPr>
                <w:rFonts w:cs="Arial"/>
                <w:sz w:val="16"/>
              </w:rPr>
              <w:t xml:space="preserve"> </w:t>
            </w:r>
            <w:r w:rsidRPr="00662733">
              <w:rPr>
                <w:rFonts w:cs="Arial"/>
                <w:sz w:val="16"/>
              </w:rPr>
              <w:t>precio del petróleo (ingresos</w:t>
            </w:r>
            <w:r>
              <w:rPr>
                <w:rFonts w:cs="Arial"/>
                <w:sz w:val="16"/>
              </w:rPr>
              <w:t xml:space="preserve"> petroleros)</w:t>
            </w:r>
          </w:p>
        </w:tc>
        <w:tc>
          <w:tcPr>
            <w:tcW w:w="990" w:type="dxa"/>
            <w:vAlign w:val="center"/>
          </w:tcPr>
          <w:p w14:paraId="1A318973" w14:textId="7171B073" w:rsidR="00662733" w:rsidRPr="00662733" w:rsidRDefault="00662733" w:rsidP="00A3747F">
            <w:pPr>
              <w:jc w:val="center"/>
              <w:rPr>
                <w:rFonts w:cs="Arial"/>
                <w:sz w:val="16"/>
              </w:rPr>
            </w:pPr>
            <w:r w:rsidRPr="00662733">
              <w:rPr>
                <w:rFonts w:cs="Arial"/>
                <w:sz w:val="16"/>
              </w:rPr>
              <w:t>13,116.0</w:t>
            </w:r>
          </w:p>
        </w:tc>
        <w:tc>
          <w:tcPr>
            <w:tcW w:w="711" w:type="dxa"/>
            <w:vAlign w:val="center"/>
          </w:tcPr>
          <w:p w14:paraId="7972AFC1" w14:textId="6CB791E5" w:rsidR="00662733" w:rsidRPr="00662733" w:rsidRDefault="00662733" w:rsidP="00A3747F">
            <w:pPr>
              <w:jc w:val="center"/>
              <w:rPr>
                <w:rFonts w:cs="Arial"/>
                <w:sz w:val="16"/>
              </w:rPr>
            </w:pPr>
            <w:r w:rsidRPr="00662733">
              <w:rPr>
                <w:rFonts w:cs="Arial"/>
                <w:sz w:val="16"/>
              </w:rPr>
              <w:t>0.05</w:t>
            </w:r>
          </w:p>
        </w:tc>
        <w:tc>
          <w:tcPr>
            <w:tcW w:w="4390" w:type="dxa"/>
          </w:tcPr>
          <w:p w14:paraId="3FCD7B0C" w14:textId="3EBE4372" w:rsidR="00662733" w:rsidRPr="00662733" w:rsidRDefault="00662733" w:rsidP="00A3747F">
            <w:pPr>
              <w:rPr>
                <w:rFonts w:cs="Arial"/>
                <w:sz w:val="16"/>
              </w:rPr>
            </w:pPr>
            <w:r w:rsidRPr="00662733">
              <w:rPr>
                <w:rFonts w:cs="Arial"/>
                <w:sz w:val="16"/>
              </w:rPr>
              <w:t>Un aumento en el precio del petróleo incrementa los</w:t>
            </w:r>
            <w:r>
              <w:rPr>
                <w:rFonts w:cs="Arial"/>
                <w:sz w:val="16"/>
              </w:rPr>
              <w:t xml:space="preserve"> </w:t>
            </w:r>
            <w:r w:rsidRPr="00662733">
              <w:rPr>
                <w:rFonts w:cs="Arial"/>
                <w:sz w:val="16"/>
              </w:rPr>
              <w:t>ingresos por exportaciones de petróleo más que el</w:t>
            </w:r>
            <w:r>
              <w:rPr>
                <w:rFonts w:cs="Arial"/>
                <w:sz w:val="16"/>
              </w:rPr>
              <w:t xml:space="preserve"> </w:t>
            </w:r>
            <w:r w:rsidRPr="00662733">
              <w:rPr>
                <w:rFonts w:cs="Arial"/>
                <w:sz w:val="16"/>
              </w:rPr>
              <w:t>incremento de los gastos por importación de</w:t>
            </w:r>
            <w:r>
              <w:rPr>
                <w:rFonts w:cs="Arial"/>
                <w:sz w:val="16"/>
              </w:rPr>
              <w:t xml:space="preserve"> </w:t>
            </w:r>
            <w:r w:rsidRPr="00662733">
              <w:rPr>
                <w:rFonts w:cs="Arial"/>
                <w:sz w:val="16"/>
              </w:rPr>
              <w:t>hidrocarburos para Pemex.</w:t>
            </w:r>
          </w:p>
        </w:tc>
      </w:tr>
      <w:tr w:rsidR="00662733" w:rsidRPr="00662733" w14:paraId="3899042A" w14:textId="77777777" w:rsidTr="00662733">
        <w:trPr>
          <w:jc w:val="center"/>
        </w:trPr>
        <w:tc>
          <w:tcPr>
            <w:tcW w:w="2835" w:type="dxa"/>
          </w:tcPr>
          <w:p w14:paraId="3EAF0C58" w14:textId="77777777" w:rsidR="00662733" w:rsidRDefault="00662733" w:rsidP="00A3747F">
            <w:pPr>
              <w:rPr>
                <w:rFonts w:cs="Arial"/>
                <w:sz w:val="16"/>
              </w:rPr>
            </w:pPr>
            <w:r w:rsidRPr="00662733">
              <w:rPr>
                <w:rFonts w:cs="Arial"/>
                <w:sz w:val="16"/>
              </w:rPr>
              <w:t>3. Apreciación de 10 centavos</w:t>
            </w:r>
            <w:r>
              <w:rPr>
                <w:rFonts w:cs="Arial"/>
                <w:sz w:val="16"/>
              </w:rPr>
              <w:t xml:space="preserve"> </w:t>
            </w:r>
            <w:r w:rsidRPr="00662733">
              <w:rPr>
                <w:rFonts w:cs="Arial"/>
                <w:sz w:val="16"/>
              </w:rPr>
              <w:t>en el tipo de cambio promedio</w:t>
            </w:r>
          </w:p>
          <w:p w14:paraId="513490A4" w14:textId="77777777" w:rsidR="00662733" w:rsidRDefault="00662733" w:rsidP="00A3747F">
            <w:pPr>
              <w:ind w:left="168"/>
              <w:rPr>
                <w:rFonts w:cs="Arial"/>
                <w:sz w:val="16"/>
              </w:rPr>
            </w:pPr>
            <w:r w:rsidRPr="00662733">
              <w:rPr>
                <w:rFonts w:cs="Arial"/>
                <w:sz w:val="16"/>
              </w:rPr>
              <w:t>Ingresos petroleros (-)</w:t>
            </w:r>
          </w:p>
          <w:p w14:paraId="29F37C72" w14:textId="2AD0C6F3" w:rsidR="00662733" w:rsidRPr="00662733" w:rsidRDefault="00662733" w:rsidP="00A3747F">
            <w:pPr>
              <w:ind w:left="168"/>
              <w:rPr>
                <w:rFonts w:cs="Arial"/>
                <w:sz w:val="16"/>
              </w:rPr>
            </w:pPr>
            <w:r w:rsidRPr="00662733">
              <w:rPr>
                <w:rFonts w:cs="Arial"/>
                <w:sz w:val="16"/>
              </w:rPr>
              <w:t>Costo financiero (+) */</w:t>
            </w:r>
          </w:p>
        </w:tc>
        <w:tc>
          <w:tcPr>
            <w:tcW w:w="990" w:type="dxa"/>
            <w:vAlign w:val="center"/>
          </w:tcPr>
          <w:p w14:paraId="7CF9F867" w14:textId="77BB72EE" w:rsidR="00662733" w:rsidRPr="00662733" w:rsidRDefault="00662733" w:rsidP="00A3747F">
            <w:pPr>
              <w:jc w:val="center"/>
              <w:rPr>
                <w:rFonts w:cs="Arial"/>
                <w:sz w:val="16"/>
              </w:rPr>
            </w:pPr>
            <w:r w:rsidRPr="00662733">
              <w:rPr>
                <w:rFonts w:cs="Arial"/>
                <w:sz w:val="16"/>
              </w:rPr>
              <w:t>-4,354.9</w:t>
            </w:r>
          </w:p>
        </w:tc>
        <w:tc>
          <w:tcPr>
            <w:tcW w:w="711" w:type="dxa"/>
            <w:vAlign w:val="center"/>
          </w:tcPr>
          <w:p w14:paraId="1CBB8334" w14:textId="580AA414" w:rsidR="00662733" w:rsidRPr="00662733" w:rsidRDefault="00662733" w:rsidP="00A3747F">
            <w:pPr>
              <w:jc w:val="center"/>
              <w:rPr>
                <w:rFonts w:cs="Arial"/>
                <w:sz w:val="16"/>
              </w:rPr>
            </w:pPr>
            <w:r>
              <w:rPr>
                <w:rFonts w:cs="Arial"/>
                <w:sz w:val="16"/>
              </w:rPr>
              <w:t>-</w:t>
            </w:r>
            <w:r w:rsidRPr="00662733">
              <w:rPr>
                <w:rFonts w:cs="Arial"/>
                <w:sz w:val="16"/>
              </w:rPr>
              <w:t>0.02</w:t>
            </w:r>
          </w:p>
        </w:tc>
        <w:tc>
          <w:tcPr>
            <w:tcW w:w="4390" w:type="dxa"/>
          </w:tcPr>
          <w:p w14:paraId="60A51810" w14:textId="7B11E013" w:rsidR="00662733" w:rsidRPr="00662733" w:rsidRDefault="00662733" w:rsidP="00A3747F">
            <w:pPr>
              <w:rPr>
                <w:rFonts w:cs="Arial"/>
                <w:sz w:val="16"/>
              </w:rPr>
            </w:pPr>
            <w:r w:rsidRPr="00662733">
              <w:rPr>
                <w:rFonts w:cs="Arial"/>
                <w:sz w:val="16"/>
              </w:rPr>
              <w:t>Una apreciación del peso frente al dólar reduce los</w:t>
            </w:r>
            <w:r>
              <w:rPr>
                <w:rFonts w:cs="Arial"/>
                <w:sz w:val="16"/>
              </w:rPr>
              <w:t xml:space="preserve"> </w:t>
            </w:r>
            <w:r w:rsidRPr="00662733">
              <w:rPr>
                <w:rFonts w:cs="Arial"/>
                <w:sz w:val="16"/>
              </w:rPr>
              <w:t>ingresos petroleros debido a que una proporción</w:t>
            </w:r>
            <w:r>
              <w:rPr>
                <w:rFonts w:cs="Arial"/>
                <w:sz w:val="16"/>
              </w:rPr>
              <w:t xml:space="preserve"> </w:t>
            </w:r>
            <w:r w:rsidRPr="00662733">
              <w:rPr>
                <w:rFonts w:cs="Arial"/>
                <w:sz w:val="16"/>
              </w:rPr>
              <w:t>elevada de los mismos está asociada a las exportaciones</w:t>
            </w:r>
            <w:r>
              <w:rPr>
                <w:rFonts w:cs="Arial"/>
                <w:sz w:val="16"/>
              </w:rPr>
              <w:t xml:space="preserve"> </w:t>
            </w:r>
            <w:r w:rsidRPr="00662733">
              <w:rPr>
                <w:rFonts w:cs="Arial"/>
                <w:sz w:val="16"/>
              </w:rPr>
              <w:t>de crudo. Asimismo, reduce el costo por el servicio de la</w:t>
            </w:r>
            <w:r>
              <w:rPr>
                <w:rFonts w:cs="Arial"/>
                <w:sz w:val="16"/>
              </w:rPr>
              <w:t xml:space="preserve"> </w:t>
            </w:r>
            <w:r w:rsidRPr="00662733">
              <w:rPr>
                <w:rFonts w:cs="Arial"/>
                <w:sz w:val="16"/>
              </w:rPr>
              <w:t>deuda denominada en moneda extranjera.</w:t>
            </w:r>
          </w:p>
        </w:tc>
      </w:tr>
      <w:tr w:rsidR="00662733" w:rsidRPr="00662733" w14:paraId="2AE8A88A" w14:textId="77777777" w:rsidTr="00662733">
        <w:trPr>
          <w:jc w:val="center"/>
        </w:trPr>
        <w:tc>
          <w:tcPr>
            <w:tcW w:w="2835" w:type="dxa"/>
          </w:tcPr>
          <w:p w14:paraId="1CE7CC44" w14:textId="42F9D03D" w:rsidR="00662733" w:rsidRPr="00662733" w:rsidRDefault="00662733" w:rsidP="00A3747F">
            <w:pPr>
              <w:rPr>
                <w:rFonts w:cs="Arial"/>
                <w:sz w:val="16"/>
              </w:rPr>
            </w:pPr>
            <w:r w:rsidRPr="00662733">
              <w:rPr>
                <w:rFonts w:cs="Arial"/>
                <w:sz w:val="16"/>
              </w:rPr>
              <w:t>4. Por 50 mbd de extracción de</w:t>
            </w:r>
            <w:r>
              <w:rPr>
                <w:rFonts w:cs="Arial"/>
                <w:sz w:val="16"/>
              </w:rPr>
              <w:t xml:space="preserve"> </w:t>
            </w:r>
            <w:r w:rsidRPr="00662733">
              <w:rPr>
                <w:rFonts w:cs="Arial"/>
                <w:sz w:val="16"/>
              </w:rPr>
              <w:t>crudo (ingresos petroleros)</w:t>
            </w:r>
          </w:p>
        </w:tc>
        <w:tc>
          <w:tcPr>
            <w:tcW w:w="990" w:type="dxa"/>
            <w:vAlign w:val="center"/>
          </w:tcPr>
          <w:p w14:paraId="03941C48" w14:textId="5EEDEF9A" w:rsidR="00662733" w:rsidRPr="00662733" w:rsidRDefault="00662733" w:rsidP="00A3747F">
            <w:pPr>
              <w:jc w:val="center"/>
              <w:rPr>
                <w:rFonts w:cs="Arial"/>
                <w:sz w:val="16"/>
              </w:rPr>
            </w:pPr>
            <w:r w:rsidRPr="00662733">
              <w:rPr>
                <w:rFonts w:cs="Arial"/>
                <w:sz w:val="16"/>
              </w:rPr>
              <w:t>24,583.1</w:t>
            </w:r>
          </w:p>
        </w:tc>
        <w:tc>
          <w:tcPr>
            <w:tcW w:w="711" w:type="dxa"/>
            <w:vAlign w:val="center"/>
          </w:tcPr>
          <w:p w14:paraId="640DA5E2" w14:textId="69818D51" w:rsidR="00662733" w:rsidRDefault="00662733" w:rsidP="00A3747F">
            <w:pPr>
              <w:jc w:val="center"/>
              <w:rPr>
                <w:rFonts w:cs="Arial"/>
                <w:sz w:val="16"/>
              </w:rPr>
            </w:pPr>
            <w:r w:rsidRPr="00662733">
              <w:rPr>
                <w:rFonts w:cs="Arial"/>
                <w:sz w:val="16"/>
              </w:rPr>
              <w:t>0.09</w:t>
            </w:r>
          </w:p>
        </w:tc>
        <w:tc>
          <w:tcPr>
            <w:tcW w:w="4390" w:type="dxa"/>
          </w:tcPr>
          <w:p w14:paraId="7AA1C3FD" w14:textId="3BB70415" w:rsidR="00662733" w:rsidRPr="00662733" w:rsidRDefault="00662733" w:rsidP="00A3747F">
            <w:pPr>
              <w:rPr>
                <w:rFonts w:cs="Arial"/>
                <w:sz w:val="16"/>
              </w:rPr>
            </w:pPr>
            <w:r w:rsidRPr="00662733">
              <w:rPr>
                <w:rFonts w:cs="Arial"/>
                <w:sz w:val="16"/>
              </w:rPr>
              <w:t>Una mayor plataforma de producción de petróleo</w:t>
            </w:r>
            <w:r>
              <w:rPr>
                <w:rFonts w:cs="Arial"/>
                <w:sz w:val="16"/>
              </w:rPr>
              <w:t xml:space="preserve"> </w:t>
            </w:r>
            <w:r w:rsidRPr="00662733">
              <w:rPr>
                <w:rFonts w:cs="Arial"/>
                <w:sz w:val="16"/>
              </w:rPr>
              <w:t>incrementa los ingresos petroleros debido a la mayor</w:t>
            </w:r>
            <w:r>
              <w:rPr>
                <w:rFonts w:cs="Arial"/>
                <w:sz w:val="16"/>
              </w:rPr>
              <w:t xml:space="preserve"> </w:t>
            </w:r>
            <w:r w:rsidRPr="00662733">
              <w:rPr>
                <w:rFonts w:cs="Arial"/>
                <w:sz w:val="16"/>
              </w:rPr>
              <w:t>venta de petróleo.</w:t>
            </w:r>
          </w:p>
        </w:tc>
      </w:tr>
      <w:tr w:rsidR="00662733" w:rsidRPr="00662733" w14:paraId="7F46553C" w14:textId="77777777" w:rsidTr="00662733">
        <w:trPr>
          <w:jc w:val="center"/>
        </w:trPr>
        <w:tc>
          <w:tcPr>
            <w:tcW w:w="2835" w:type="dxa"/>
          </w:tcPr>
          <w:p w14:paraId="6DC3B3D1" w14:textId="23ACE0B7" w:rsidR="00662733" w:rsidRPr="00662733" w:rsidRDefault="00662733" w:rsidP="00A3747F">
            <w:pPr>
              <w:rPr>
                <w:rFonts w:cs="Arial"/>
                <w:sz w:val="16"/>
              </w:rPr>
            </w:pPr>
            <w:r w:rsidRPr="00662733">
              <w:rPr>
                <w:rFonts w:cs="Arial"/>
                <w:sz w:val="16"/>
              </w:rPr>
              <w:t>5. Por 100 puntos base en la</w:t>
            </w:r>
            <w:r>
              <w:rPr>
                <w:rFonts w:cs="Arial"/>
                <w:sz w:val="16"/>
              </w:rPr>
              <w:t xml:space="preserve"> </w:t>
            </w:r>
            <w:r w:rsidRPr="00662733">
              <w:rPr>
                <w:rFonts w:cs="Arial"/>
                <w:sz w:val="16"/>
              </w:rPr>
              <w:t>tasa de interés (costo</w:t>
            </w:r>
            <w:r>
              <w:rPr>
                <w:rFonts w:cs="Arial"/>
                <w:sz w:val="16"/>
              </w:rPr>
              <w:t xml:space="preserve"> </w:t>
            </w:r>
            <w:r w:rsidRPr="00662733">
              <w:rPr>
                <w:rFonts w:cs="Arial"/>
                <w:sz w:val="16"/>
              </w:rPr>
              <w:t>financiero) **/</w:t>
            </w:r>
          </w:p>
        </w:tc>
        <w:tc>
          <w:tcPr>
            <w:tcW w:w="990" w:type="dxa"/>
            <w:vAlign w:val="center"/>
          </w:tcPr>
          <w:p w14:paraId="07D6510A" w14:textId="44AC8420" w:rsidR="00662733" w:rsidRPr="00662733" w:rsidRDefault="00662733" w:rsidP="00A3747F">
            <w:pPr>
              <w:jc w:val="center"/>
              <w:rPr>
                <w:rFonts w:cs="Arial"/>
                <w:sz w:val="16"/>
              </w:rPr>
            </w:pPr>
            <w:r w:rsidRPr="00662733">
              <w:rPr>
                <w:rFonts w:cs="Arial"/>
                <w:sz w:val="16"/>
              </w:rPr>
              <w:t>30,218.0</w:t>
            </w:r>
          </w:p>
        </w:tc>
        <w:tc>
          <w:tcPr>
            <w:tcW w:w="711" w:type="dxa"/>
            <w:vAlign w:val="center"/>
          </w:tcPr>
          <w:p w14:paraId="43EFA6B4" w14:textId="614BFFF4" w:rsidR="00662733" w:rsidRPr="00662733" w:rsidRDefault="00662733" w:rsidP="00A3747F">
            <w:pPr>
              <w:jc w:val="center"/>
              <w:rPr>
                <w:rFonts w:cs="Arial"/>
                <w:sz w:val="16"/>
              </w:rPr>
            </w:pPr>
            <w:r w:rsidRPr="00662733">
              <w:rPr>
                <w:rFonts w:cs="Arial"/>
                <w:sz w:val="16"/>
              </w:rPr>
              <w:t>0.11</w:t>
            </w:r>
          </w:p>
        </w:tc>
        <w:tc>
          <w:tcPr>
            <w:tcW w:w="4390" w:type="dxa"/>
          </w:tcPr>
          <w:p w14:paraId="5BDB1876" w14:textId="019B7593" w:rsidR="00662733" w:rsidRPr="00662733" w:rsidRDefault="00662733" w:rsidP="00A3747F">
            <w:pPr>
              <w:rPr>
                <w:rFonts w:cs="Arial"/>
                <w:sz w:val="16"/>
              </w:rPr>
            </w:pPr>
            <w:r w:rsidRPr="00662733">
              <w:rPr>
                <w:rFonts w:cs="Arial"/>
                <w:sz w:val="16"/>
              </w:rPr>
              <w:t>Un aumento en la tasa de interés incrementa el gasto</w:t>
            </w:r>
            <w:r>
              <w:rPr>
                <w:rFonts w:cs="Arial"/>
                <w:sz w:val="16"/>
              </w:rPr>
              <w:t xml:space="preserve"> </w:t>
            </w:r>
            <w:r w:rsidRPr="00662733">
              <w:rPr>
                <w:rFonts w:cs="Arial"/>
                <w:sz w:val="16"/>
              </w:rPr>
              <w:t>no programable del Sector Público al aumentar el pago</w:t>
            </w:r>
            <w:r>
              <w:rPr>
                <w:rFonts w:cs="Arial"/>
                <w:sz w:val="16"/>
              </w:rPr>
              <w:t xml:space="preserve"> </w:t>
            </w:r>
            <w:r w:rsidRPr="00662733">
              <w:rPr>
                <w:rFonts w:cs="Arial"/>
                <w:sz w:val="16"/>
              </w:rPr>
              <w:t>de intereses de la deuda a tasa variable y los costos de</w:t>
            </w:r>
            <w:r>
              <w:rPr>
                <w:rFonts w:cs="Arial"/>
                <w:sz w:val="16"/>
              </w:rPr>
              <w:t xml:space="preserve"> </w:t>
            </w:r>
            <w:r w:rsidRPr="00662733">
              <w:rPr>
                <w:rFonts w:cs="Arial"/>
                <w:sz w:val="16"/>
              </w:rPr>
              <w:t>refinanciamiento de la deuda que está por vencer.</w:t>
            </w:r>
          </w:p>
        </w:tc>
      </w:tr>
    </w:tbl>
    <w:p w14:paraId="20530763" w14:textId="77777777" w:rsidR="00BC2B13" w:rsidRPr="00BC2B13" w:rsidRDefault="00BC2B13" w:rsidP="00A3747F">
      <w:pPr>
        <w:rPr>
          <w:rFonts w:cs="Arial"/>
          <w:sz w:val="16"/>
        </w:rPr>
      </w:pPr>
      <w:r w:rsidRPr="00BC2B13">
        <w:rPr>
          <w:rFonts w:cs="Arial"/>
          <w:sz w:val="16"/>
        </w:rPr>
        <w:t>*/ Se refiere al aumento del costo externo en pesos de la deuda externa del Gobierno Federal.</w:t>
      </w:r>
    </w:p>
    <w:p w14:paraId="2C4F199D" w14:textId="77777777" w:rsidR="00BC2B13" w:rsidRPr="00BC2B13" w:rsidRDefault="00BC2B13" w:rsidP="00A3747F">
      <w:pPr>
        <w:rPr>
          <w:rFonts w:cs="Arial"/>
          <w:sz w:val="16"/>
        </w:rPr>
      </w:pPr>
      <w:r w:rsidRPr="00BC2B13">
        <w:rPr>
          <w:rFonts w:cs="Arial"/>
          <w:sz w:val="16"/>
        </w:rPr>
        <w:t>**/ Incluye al IPAB.</w:t>
      </w:r>
    </w:p>
    <w:p w14:paraId="052DD441" w14:textId="71965BCC" w:rsidR="008A3C49" w:rsidRPr="00BC2B13" w:rsidRDefault="00BC2B13" w:rsidP="00A3747F">
      <w:pPr>
        <w:rPr>
          <w:rFonts w:cs="Arial"/>
          <w:sz w:val="16"/>
        </w:rPr>
      </w:pPr>
      <w:r w:rsidRPr="00BC2B13">
        <w:rPr>
          <w:rFonts w:cs="Arial"/>
          <w:sz w:val="16"/>
        </w:rPr>
        <w:t>Fuente: SHCP.</w:t>
      </w:r>
    </w:p>
    <w:p w14:paraId="04E257C8" w14:textId="0ADE5139" w:rsidR="008A3C49" w:rsidRDefault="008A3C49" w:rsidP="00A3747F">
      <w:pPr>
        <w:rPr>
          <w:rFonts w:cs="Arial"/>
        </w:rPr>
      </w:pPr>
    </w:p>
    <w:p w14:paraId="0DDEA438" w14:textId="57E78A69" w:rsidR="001E7D80" w:rsidRDefault="001E7D80" w:rsidP="00A3747F">
      <w:pPr>
        <w:rPr>
          <w:rFonts w:cs="Arial"/>
        </w:rPr>
      </w:pPr>
    </w:p>
    <w:p w14:paraId="68B5C88A" w14:textId="4A441BA0" w:rsidR="001E7D80" w:rsidRDefault="001E7D80" w:rsidP="00A3747F">
      <w:pPr>
        <w:rPr>
          <w:rFonts w:cs="Arial"/>
        </w:rPr>
      </w:pPr>
    </w:p>
    <w:p w14:paraId="31E4A1FE" w14:textId="65ECE4EC" w:rsidR="001E7D80" w:rsidRDefault="001E7D80" w:rsidP="00A3747F">
      <w:pPr>
        <w:rPr>
          <w:rFonts w:cs="Arial"/>
        </w:rPr>
      </w:pPr>
    </w:p>
    <w:p w14:paraId="4C172E44" w14:textId="54D6D49F" w:rsidR="001E7D80" w:rsidRDefault="001E7D80" w:rsidP="00A3747F">
      <w:pPr>
        <w:rPr>
          <w:rFonts w:cs="Arial"/>
        </w:rPr>
      </w:pPr>
    </w:p>
    <w:p w14:paraId="50A7C275" w14:textId="77777777" w:rsidR="001E7D80" w:rsidRDefault="001E7D80" w:rsidP="00A3747F">
      <w:pPr>
        <w:rPr>
          <w:rFonts w:cs="Arial"/>
        </w:rPr>
      </w:pPr>
    </w:p>
    <w:p w14:paraId="4E29A79E" w14:textId="77777777" w:rsidR="00AF33E2" w:rsidRPr="00EC2E15" w:rsidRDefault="00AF33E2" w:rsidP="00AF33E2">
      <w:pPr>
        <w:rPr>
          <w:rFonts w:cs="Arial"/>
          <w:b/>
        </w:rPr>
      </w:pPr>
      <w:r w:rsidRPr="00EC2E15">
        <w:rPr>
          <w:rFonts w:cs="Arial"/>
          <w:b/>
        </w:rPr>
        <w:lastRenderedPageBreak/>
        <w:t>Riesgos al pronóstico de crecimiento económico para 2023</w:t>
      </w:r>
    </w:p>
    <w:p w14:paraId="2F103157" w14:textId="77777777" w:rsidR="00AF33E2" w:rsidRDefault="00AF33E2" w:rsidP="00AF33E2">
      <w:pPr>
        <w:rPr>
          <w:rFonts w:cs="Arial"/>
        </w:rPr>
      </w:pPr>
    </w:p>
    <w:tbl>
      <w:tblPr>
        <w:tblStyle w:val="Tablaconcuadrcula"/>
        <w:tblW w:w="0" w:type="auto"/>
        <w:tblLook w:val="04A0" w:firstRow="1" w:lastRow="0" w:firstColumn="1" w:lastColumn="0" w:noHBand="0" w:noVBand="1"/>
      </w:tblPr>
      <w:tblGrid>
        <w:gridCol w:w="4247"/>
        <w:gridCol w:w="4247"/>
      </w:tblGrid>
      <w:tr w:rsidR="00AF33E2" w:rsidRPr="00EC2E15" w14:paraId="05711C5D" w14:textId="77777777" w:rsidTr="00E32539">
        <w:tc>
          <w:tcPr>
            <w:tcW w:w="4247" w:type="dxa"/>
            <w:shd w:val="clear" w:color="auto" w:fill="F2F2F2" w:themeFill="background1" w:themeFillShade="F2"/>
          </w:tcPr>
          <w:p w14:paraId="1B41A163" w14:textId="77777777" w:rsidR="00AF33E2" w:rsidRPr="00EC2E15" w:rsidRDefault="00AF33E2" w:rsidP="00E32539">
            <w:pPr>
              <w:jc w:val="center"/>
              <w:rPr>
                <w:rFonts w:cs="Arial"/>
                <w:b/>
                <w:sz w:val="20"/>
              </w:rPr>
            </w:pPr>
            <w:r w:rsidRPr="00EC2E15">
              <w:rPr>
                <w:rFonts w:cs="Arial"/>
                <w:b/>
                <w:sz w:val="20"/>
              </w:rPr>
              <w:t>Riesgos a la baja</w:t>
            </w:r>
          </w:p>
        </w:tc>
        <w:tc>
          <w:tcPr>
            <w:tcW w:w="4247" w:type="dxa"/>
            <w:shd w:val="clear" w:color="auto" w:fill="F2F2F2" w:themeFill="background1" w:themeFillShade="F2"/>
          </w:tcPr>
          <w:p w14:paraId="3FD91115" w14:textId="77777777" w:rsidR="00AF33E2" w:rsidRPr="000A12AC" w:rsidRDefault="00AF33E2" w:rsidP="00E32539">
            <w:pPr>
              <w:jc w:val="center"/>
              <w:rPr>
                <w:rFonts w:cs="Arial"/>
                <w:b/>
                <w:sz w:val="20"/>
              </w:rPr>
            </w:pPr>
            <w:r w:rsidRPr="000A12AC">
              <w:rPr>
                <w:rFonts w:cs="Arial"/>
                <w:b/>
                <w:sz w:val="20"/>
              </w:rPr>
              <w:t>Riesgos al alza</w:t>
            </w:r>
          </w:p>
        </w:tc>
      </w:tr>
      <w:tr w:rsidR="00AF33E2" w:rsidRPr="000A12AC" w14:paraId="545534AD" w14:textId="77777777" w:rsidTr="00E32539">
        <w:tc>
          <w:tcPr>
            <w:tcW w:w="4247" w:type="dxa"/>
          </w:tcPr>
          <w:p w14:paraId="11EA209A" w14:textId="20FD96EE" w:rsidR="00AF33E2" w:rsidRPr="005A4449" w:rsidRDefault="00AF33E2" w:rsidP="005A4449">
            <w:pPr>
              <w:pStyle w:val="Prrafodelista"/>
              <w:numPr>
                <w:ilvl w:val="0"/>
                <w:numId w:val="21"/>
              </w:numPr>
              <w:ind w:left="168" w:hanging="218"/>
              <w:rPr>
                <w:rFonts w:cs="Arial"/>
                <w:sz w:val="18"/>
              </w:rPr>
            </w:pPr>
            <w:r w:rsidRPr="005A4449">
              <w:rPr>
                <w:rFonts w:cs="Arial"/>
                <w:sz w:val="18"/>
              </w:rPr>
              <w:t>Tensiones geopolíticas, incluido el conflicto</w:t>
            </w:r>
            <w:r w:rsidR="005A4449">
              <w:rPr>
                <w:rFonts w:cs="Arial"/>
                <w:sz w:val="18"/>
              </w:rPr>
              <w:t xml:space="preserve"> </w:t>
            </w:r>
            <w:r w:rsidRPr="005A4449">
              <w:rPr>
                <w:rFonts w:cs="Arial"/>
                <w:sz w:val="18"/>
              </w:rPr>
              <w:t>Rusia-Ucrania, que repercutan vía menor abasto de insumos y por las sanciones económicas impuestas por diversos países a Rusia.</w:t>
            </w:r>
          </w:p>
          <w:p w14:paraId="5DF17E59" w14:textId="77777777" w:rsidR="00AF33E2" w:rsidRPr="000A12AC" w:rsidRDefault="00AF33E2" w:rsidP="00E32539">
            <w:pPr>
              <w:pStyle w:val="Prrafodelista"/>
              <w:numPr>
                <w:ilvl w:val="0"/>
                <w:numId w:val="21"/>
              </w:numPr>
              <w:ind w:left="168" w:hanging="218"/>
              <w:rPr>
                <w:rFonts w:cs="Arial"/>
                <w:sz w:val="18"/>
              </w:rPr>
            </w:pPr>
            <w:r w:rsidRPr="000A12AC">
              <w:rPr>
                <w:rFonts w:cs="Arial"/>
                <w:sz w:val="18"/>
              </w:rPr>
              <w:t>Un débil crecimiento económico global derivado de los fuertes incrementos en la tasa de interés de referencia de los bancos centrales, junto con una alta inflación, explicada principalmente por factores de oferta.</w:t>
            </w:r>
          </w:p>
          <w:p w14:paraId="14890456" w14:textId="77777777" w:rsidR="00AF33E2" w:rsidRPr="000A12AC" w:rsidRDefault="00AF33E2" w:rsidP="00E32539">
            <w:pPr>
              <w:pStyle w:val="Prrafodelista"/>
              <w:numPr>
                <w:ilvl w:val="0"/>
                <w:numId w:val="21"/>
              </w:numPr>
              <w:ind w:left="168" w:hanging="218"/>
              <w:rPr>
                <w:rFonts w:cs="Arial"/>
                <w:sz w:val="18"/>
              </w:rPr>
            </w:pPr>
            <w:r w:rsidRPr="000A12AC">
              <w:rPr>
                <w:rFonts w:cs="Arial"/>
                <w:sz w:val="18"/>
              </w:rPr>
              <w:t>Falta de resolución de discrepancias en materia comercial entre los países del T-MEC que desencadene sanciones relacionadas a aranceles.</w:t>
            </w:r>
          </w:p>
          <w:p w14:paraId="67780F36" w14:textId="77777777" w:rsidR="00AF33E2" w:rsidRPr="000A12AC" w:rsidRDefault="00AF33E2" w:rsidP="00E32539">
            <w:pPr>
              <w:pStyle w:val="Prrafodelista"/>
              <w:numPr>
                <w:ilvl w:val="0"/>
                <w:numId w:val="21"/>
              </w:numPr>
              <w:ind w:left="168" w:hanging="218"/>
              <w:rPr>
                <w:rFonts w:cs="Arial"/>
                <w:sz w:val="18"/>
              </w:rPr>
            </w:pPr>
            <w:r w:rsidRPr="000A12AC">
              <w:rPr>
                <w:rFonts w:cs="Arial"/>
                <w:sz w:val="18"/>
              </w:rPr>
              <w:t>Tensiones sociales y políticas ocasionadas por un ambiente de alta inflación global y/o desabasto de alimentos.</w:t>
            </w:r>
          </w:p>
          <w:p w14:paraId="03EC7EC3" w14:textId="77777777" w:rsidR="00AF33E2" w:rsidRPr="000A12AC" w:rsidRDefault="00AF33E2" w:rsidP="00E32539">
            <w:pPr>
              <w:pStyle w:val="Prrafodelista"/>
              <w:numPr>
                <w:ilvl w:val="0"/>
                <w:numId w:val="21"/>
              </w:numPr>
              <w:ind w:left="168" w:hanging="218"/>
              <w:rPr>
                <w:rFonts w:cs="Arial"/>
                <w:sz w:val="18"/>
              </w:rPr>
            </w:pPr>
            <w:r w:rsidRPr="000A12AC">
              <w:rPr>
                <w:rFonts w:cs="Arial"/>
                <w:sz w:val="18"/>
              </w:rPr>
              <w:t>Las negociaciones en curso para reactivar el acuerdo nuclear de 2015 que se llevan actualmente entre Irán, por un lado, y EE.UU., Reino Unido, Francia y Alemania, por el otro, podría permitir el retorno del crudo iraní, adicionando 1 Mbd al mercado global, lo que podría reducir el precio del petróleo a nivel internacional.</w:t>
            </w:r>
          </w:p>
          <w:p w14:paraId="22C7A0C9" w14:textId="77777777" w:rsidR="00AF33E2" w:rsidRPr="000A12AC" w:rsidRDefault="00AF33E2" w:rsidP="00E32539">
            <w:pPr>
              <w:pStyle w:val="Prrafodelista"/>
              <w:numPr>
                <w:ilvl w:val="0"/>
                <w:numId w:val="21"/>
              </w:numPr>
              <w:ind w:left="168" w:hanging="218"/>
              <w:rPr>
                <w:rFonts w:cs="Arial"/>
                <w:sz w:val="18"/>
              </w:rPr>
            </w:pPr>
            <w:r w:rsidRPr="000A12AC">
              <w:rPr>
                <w:rFonts w:cs="Arial"/>
                <w:sz w:val="18"/>
              </w:rPr>
              <w:t>Incremento en la producción de petróleo de países no pertenecientes a la OPEP+ que podría reducir los precios internacionales, como es el caso de EE.UU. y Noruega. El primero se espera que alcance un récord de 12.7 Mbd en 2023, después del último máximo de 12.3 Mbd establecido en 2019. Mientras que Noruega, con sus nuevos proyectos en marcha, podría aumentar su producción en 200 mbd.</w:t>
            </w:r>
          </w:p>
          <w:p w14:paraId="5F6FFD5C" w14:textId="77777777" w:rsidR="00AF33E2" w:rsidRPr="000A12AC" w:rsidRDefault="00AF33E2" w:rsidP="00E32539">
            <w:pPr>
              <w:pStyle w:val="Prrafodelista"/>
              <w:numPr>
                <w:ilvl w:val="0"/>
                <w:numId w:val="21"/>
              </w:numPr>
              <w:ind w:left="168" w:hanging="218"/>
              <w:rPr>
                <w:rFonts w:cs="Arial"/>
                <w:sz w:val="18"/>
              </w:rPr>
            </w:pPr>
            <w:r w:rsidRPr="000A12AC">
              <w:rPr>
                <w:rFonts w:cs="Arial"/>
                <w:sz w:val="18"/>
              </w:rPr>
              <w:t>Continuación de las políticas de liberación de reservas estratégicas de petróleo por parte de los países de la Agencia Internacional de Energía, una vez que finalice el plan actual en noviembre.</w:t>
            </w:r>
          </w:p>
        </w:tc>
        <w:tc>
          <w:tcPr>
            <w:tcW w:w="4247" w:type="dxa"/>
          </w:tcPr>
          <w:p w14:paraId="6657910E" w14:textId="77777777" w:rsidR="00AF33E2" w:rsidRPr="000A12AC" w:rsidRDefault="00AF33E2" w:rsidP="00E32539">
            <w:pPr>
              <w:pStyle w:val="Prrafodelista"/>
              <w:numPr>
                <w:ilvl w:val="0"/>
                <w:numId w:val="22"/>
              </w:numPr>
              <w:ind w:left="175" w:hanging="218"/>
              <w:rPr>
                <w:rFonts w:cs="Arial"/>
                <w:sz w:val="18"/>
              </w:rPr>
            </w:pPr>
            <w:r w:rsidRPr="000A12AC">
              <w:rPr>
                <w:rFonts w:cs="Arial"/>
                <w:sz w:val="18"/>
              </w:rPr>
              <w:t>Disminución sostenida de los precios de las materias primas que favorezca la disminución de la inflación y su persistencia, lo cual resulte en ajustes a la baja de las expectativas inflacionarias de mediano plazo y tasas de interés.</w:t>
            </w:r>
          </w:p>
          <w:p w14:paraId="4864AFBC" w14:textId="77777777" w:rsidR="00AF33E2" w:rsidRPr="000A12AC" w:rsidRDefault="00AF33E2" w:rsidP="00E32539">
            <w:pPr>
              <w:pStyle w:val="Prrafodelista"/>
              <w:numPr>
                <w:ilvl w:val="0"/>
                <w:numId w:val="22"/>
              </w:numPr>
              <w:ind w:left="175" w:hanging="218"/>
              <w:rPr>
                <w:rFonts w:cs="Arial"/>
                <w:sz w:val="18"/>
              </w:rPr>
            </w:pPr>
            <w:r w:rsidRPr="000A12AC">
              <w:rPr>
                <w:rFonts w:cs="Arial"/>
                <w:sz w:val="18"/>
              </w:rPr>
              <w:t>Resolución de conflictos geopolíticos y tensiones comerciales, particularmente entre Rusia y Ucrania, así como la eliminación de las sanciones económicas y las restricciones de exportación con una menor incertidumbre y volatilidad en los precios de activos y materias primas.</w:t>
            </w:r>
          </w:p>
          <w:p w14:paraId="59B69D7B" w14:textId="77777777" w:rsidR="00AF33E2" w:rsidRPr="000A12AC" w:rsidRDefault="00AF33E2" w:rsidP="00E32539">
            <w:pPr>
              <w:pStyle w:val="Prrafodelista"/>
              <w:numPr>
                <w:ilvl w:val="0"/>
                <w:numId w:val="22"/>
              </w:numPr>
              <w:ind w:left="175" w:hanging="218"/>
              <w:rPr>
                <w:rFonts w:cs="Arial"/>
                <w:sz w:val="18"/>
              </w:rPr>
            </w:pPr>
            <w:r w:rsidRPr="000A12AC">
              <w:rPr>
                <w:rFonts w:cs="Arial"/>
                <w:sz w:val="18"/>
              </w:rPr>
              <w:t>Aceleración del nearshoring y las oportunidades de inversión en México a lo largo de la frontera norte y de la región central por el aprovechamiento de la mano de obra mexicana, la geolocalización, los tratados comerciales y la coyuntura económica.</w:t>
            </w:r>
          </w:p>
          <w:p w14:paraId="4DC45DE3" w14:textId="77777777" w:rsidR="00AF33E2" w:rsidRPr="000A12AC" w:rsidRDefault="00AF33E2" w:rsidP="00E32539">
            <w:pPr>
              <w:pStyle w:val="Prrafodelista"/>
              <w:numPr>
                <w:ilvl w:val="0"/>
                <w:numId w:val="22"/>
              </w:numPr>
              <w:ind w:left="175" w:hanging="218"/>
              <w:rPr>
                <w:rFonts w:cs="Arial"/>
                <w:sz w:val="18"/>
              </w:rPr>
            </w:pPr>
            <w:r w:rsidRPr="000A12AC">
              <w:rPr>
                <w:rFonts w:cs="Arial"/>
                <w:sz w:val="18"/>
              </w:rPr>
              <w:t>En el marco de cambios legislativos en EE.UU. y de cambios en los patrones de consumo, podría acelerarse la recomposición de plantas automotrices hacia vehículos eléctricos, lo cual beneficiaría en mayor medida a la IED y a las exportaciones mexicanas. Adicionalmente, una mayor producción de energías renovables que se refleje inicialmente en la IED.</w:t>
            </w:r>
          </w:p>
          <w:p w14:paraId="01529E04" w14:textId="77777777" w:rsidR="00AF33E2" w:rsidRPr="000A12AC" w:rsidRDefault="00AF33E2" w:rsidP="00E32539">
            <w:pPr>
              <w:pStyle w:val="Prrafodelista"/>
              <w:numPr>
                <w:ilvl w:val="0"/>
                <w:numId w:val="22"/>
              </w:numPr>
              <w:ind w:left="175" w:hanging="218"/>
              <w:rPr>
                <w:rFonts w:cs="Arial"/>
                <w:sz w:val="18"/>
              </w:rPr>
            </w:pPr>
            <w:r w:rsidRPr="000A12AC">
              <w:rPr>
                <w:rFonts w:cs="Arial"/>
                <w:sz w:val="18"/>
              </w:rPr>
              <w:t>Aceleración de los efectos de las inversiones públicas y privadas realizadas a lo largo de la presente administración en los puertos marítimos de México, lo cual incrementaría la eficiencia y productividad del transporte de mercancías, así como una mayor integración regional, principalmente en el continente americano, con beneficios puntuales en el sector manufacturero de exportación, en la inflación y en mayores inversiones.</w:t>
            </w:r>
          </w:p>
          <w:p w14:paraId="5984BD0B" w14:textId="77777777" w:rsidR="00AF33E2" w:rsidRPr="000A12AC" w:rsidRDefault="00AF33E2" w:rsidP="00E32539">
            <w:pPr>
              <w:pStyle w:val="Prrafodelista"/>
              <w:numPr>
                <w:ilvl w:val="0"/>
                <w:numId w:val="22"/>
              </w:numPr>
              <w:ind w:left="175" w:hanging="218"/>
              <w:rPr>
                <w:rFonts w:cs="Arial"/>
                <w:sz w:val="18"/>
              </w:rPr>
            </w:pPr>
            <w:r w:rsidRPr="000A12AC">
              <w:rPr>
                <w:rFonts w:cs="Arial"/>
                <w:sz w:val="18"/>
              </w:rPr>
              <w:t>Mejores condiciones climatológicas junto con la aparición de nueva tecnología que permita una mayor estabilidad en la producción agrícola e impactos limitados en otras industrias como las intensivas en agua, en el marco de una rápida contención de los efectos del cambio climático en la actividad económica mundial.</w:t>
            </w:r>
          </w:p>
        </w:tc>
      </w:tr>
    </w:tbl>
    <w:p w14:paraId="63D2A271" w14:textId="77777777" w:rsidR="00AF33E2" w:rsidRDefault="00AF33E2" w:rsidP="00AF33E2">
      <w:pPr>
        <w:rPr>
          <w:rFonts w:cs="Arial"/>
        </w:rPr>
      </w:pPr>
    </w:p>
    <w:p w14:paraId="75BA3409" w14:textId="59E68DA5" w:rsidR="00AF33E2" w:rsidRPr="00E45ECD" w:rsidRDefault="00AF33E2" w:rsidP="00A65C89">
      <w:pPr>
        <w:pStyle w:val="Ttulo2"/>
      </w:pPr>
      <w:r w:rsidRPr="00E45ECD">
        <w:lastRenderedPageBreak/>
        <w:t>2</w:t>
      </w:r>
      <w:r w:rsidR="00AA639D">
        <w:t>.III</w:t>
      </w:r>
      <w:r w:rsidRPr="00E45ECD">
        <w:t>.</w:t>
      </w:r>
      <w:r w:rsidR="00AA639D">
        <w:t>B</w:t>
      </w:r>
      <w:r w:rsidRPr="00E45ECD">
        <w:t xml:space="preserve"> Riesgos macroeconómicos de largo plazo y pasivos contingentes</w:t>
      </w:r>
    </w:p>
    <w:p w14:paraId="1E170883" w14:textId="77777777" w:rsidR="00AF33E2" w:rsidRPr="00E45ECD" w:rsidRDefault="00AF33E2" w:rsidP="00A3747F">
      <w:pPr>
        <w:rPr>
          <w:rFonts w:cs="Arial"/>
        </w:rPr>
      </w:pPr>
    </w:p>
    <w:p w14:paraId="22D82229" w14:textId="77A67311" w:rsidR="008A3C49" w:rsidRPr="00E45ECD" w:rsidRDefault="00D82178" w:rsidP="00725BFB">
      <w:pPr>
        <w:rPr>
          <w:rFonts w:cs="Arial"/>
        </w:rPr>
      </w:pPr>
      <w:r w:rsidRPr="00793342">
        <w:rPr>
          <w:rFonts w:cs="Arial"/>
        </w:rPr>
        <w:t>Riesgos de largo plazo y pasivos contingentes</w:t>
      </w:r>
      <w:r w:rsidR="00725BFB" w:rsidRPr="00793342">
        <w:rPr>
          <w:rFonts w:cs="Arial"/>
        </w:rPr>
        <w:t>.</w:t>
      </w:r>
      <w:r w:rsidR="00725BFB">
        <w:rPr>
          <w:rFonts w:cs="Arial"/>
          <w:b/>
        </w:rPr>
        <w:t xml:space="preserve"> </w:t>
      </w:r>
      <w:r w:rsidR="005A4449" w:rsidRPr="00E45ECD">
        <w:rPr>
          <w:rFonts w:cs="Arial"/>
        </w:rPr>
        <w:t xml:space="preserve">De acuerdo a los Criterios Generales de Política Económica </w:t>
      </w:r>
      <w:r w:rsidR="008A0527" w:rsidRPr="00E45ECD">
        <w:rPr>
          <w:rFonts w:cs="Arial"/>
        </w:rPr>
        <w:t>2023, entre los r</w:t>
      </w:r>
      <w:r w:rsidRPr="00E45ECD">
        <w:rPr>
          <w:rFonts w:cs="Arial"/>
        </w:rPr>
        <w:t>iesgos</w:t>
      </w:r>
      <w:r w:rsidR="008A0527" w:rsidRPr="00E45ECD">
        <w:rPr>
          <w:rFonts w:cs="Arial"/>
        </w:rPr>
        <w:t xml:space="preserve"> de largo plazo</w:t>
      </w:r>
      <w:r w:rsidRPr="00E45ECD">
        <w:rPr>
          <w:rFonts w:cs="Arial"/>
        </w:rPr>
        <w:t xml:space="preserve"> se encuentran</w:t>
      </w:r>
      <w:r w:rsidR="008A0527" w:rsidRPr="00E45ECD">
        <w:rPr>
          <w:rFonts w:cs="Arial"/>
        </w:rPr>
        <w:t>,</w:t>
      </w:r>
      <w:r w:rsidRPr="00E45ECD">
        <w:rPr>
          <w:rFonts w:cs="Arial"/>
        </w:rPr>
        <w:t xml:space="preserve"> las presiones de gasto asociadas a cambios demográficos de la población que impactan los sistemas de salud y el sistema pensionario de México, así como la materialización de desastres naturales y la transición a una economía con menores emisiones de carbono. Dichos factores tienen el potencial de generar desajustes fiscales en un año determinado y podrían requerir cambios de política o medidas para enfrentarlos.</w:t>
      </w:r>
    </w:p>
    <w:p w14:paraId="0C362611" w14:textId="77777777" w:rsidR="007D2C17" w:rsidRPr="00E45ECD" w:rsidRDefault="007D2C17" w:rsidP="00A3747F">
      <w:pPr>
        <w:rPr>
          <w:rFonts w:cs="Arial"/>
        </w:rPr>
      </w:pPr>
    </w:p>
    <w:p w14:paraId="6F2EBC3D" w14:textId="3B65FA0C" w:rsidR="00D82178" w:rsidRPr="00E45ECD" w:rsidRDefault="00D82178" w:rsidP="00A3747F">
      <w:pPr>
        <w:rPr>
          <w:rFonts w:cs="Arial"/>
        </w:rPr>
      </w:pPr>
      <w:r w:rsidRPr="00793342">
        <w:rPr>
          <w:rFonts w:cs="Arial"/>
        </w:rPr>
        <w:t>Pirámide poblacional y pensiones</w:t>
      </w:r>
      <w:r w:rsidR="00725BFB" w:rsidRPr="00793342">
        <w:rPr>
          <w:rFonts w:cs="Arial"/>
        </w:rPr>
        <w:t xml:space="preserve">. </w:t>
      </w:r>
      <w:r w:rsidRPr="00793342">
        <w:rPr>
          <w:rFonts w:cs="Arial"/>
        </w:rPr>
        <w:t>De</w:t>
      </w:r>
      <w:r w:rsidRPr="00E45ECD">
        <w:rPr>
          <w:rFonts w:cs="Arial"/>
        </w:rPr>
        <w:t xml:space="preserve"> acuerdo con las cifras más recientes de la CONAPO, la población mayor a 65 años, que representa en 2022 el 8.0</w:t>
      </w:r>
      <w:r w:rsidR="001E7D80">
        <w:rPr>
          <w:rFonts w:cs="Arial"/>
        </w:rPr>
        <w:t xml:space="preserve"> por ciento</w:t>
      </w:r>
      <w:r w:rsidRPr="00E45ECD">
        <w:rPr>
          <w:rFonts w:cs="Arial"/>
        </w:rPr>
        <w:t xml:space="preserve"> de la población total, ascenderá en 2051 a 17</w:t>
      </w:r>
      <w:r w:rsidR="001E7D80">
        <w:rPr>
          <w:rFonts w:cs="Arial"/>
        </w:rPr>
        <w:t xml:space="preserve"> por ciento</w:t>
      </w:r>
      <w:r w:rsidRPr="00E45ECD">
        <w:rPr>
          <w:rFonts w:cs="Arial"/>
        </w:rPr>
        <w:t xml:space="preserve"> del total, lo que implica que en menos de tres décadas habrá 14.8 millones de personas más en edad de pensionarse. Lo anterior, se traduce en presiones sobre las finanzas públicas por medio de dos vías. La primera está relacionada con el aumento de los costos del sistema de salud público y la segunda al incremento de las aportaciones del gobierno a los sistemas de pensiones, así como del gasto en programas asistenciales de pensión para adultos mayores.</w:t>
      </w:r>
    </w:p>
    <w:p w14:paraId="4C864CB1" w14:textId="13410A08" w:rsidR="007D2C17" w:rsidRPr="00E45ECD" w:rsidRDefault="007D2C17" w:rsidP="00A3747F">
      <w:pPr>
        <w:rPr>
          <w:rFonts w:cs="Arial"/>
        </w:rPr>
      </w:pPr>
    </w:p>
    <w:p w14:paraId="412A8B87" w14:textId="33048033" w:rsidR="007D2C17" w:rsidRPr="00E45ECD" w:rsidRDefault="007D2C17" w:rsidP="007D2C17">
      <w:pPr>
        <w:rPr>
          <w:rFonts w:cs="Arial"/>
        </w:rPr>
      </w:pPr>
      <w:r w:rsidRPr="00E45ECD">
        <w:rPr>
          <w:rFonts w:cs="Arial"/>
        </w:rPr>
        <w:t>Al cierre de 2021, el pasivo pensionario fue de 11.5 billones de pesos, lo que representa el 43.6</w:t>
      </w:r>
      <w:r w:rsidR="001E7D80">
        <w:rPr>
          <w:rFonts w:cs="Arial"/>
        </w:rPr>
        <w:t xml:space="preserve"> por ciento</w:t>
      </w:r>
      <w:r w:rsidRPr="00E45ECD">
        <w:rPr>
          <w:rFonts w:cs="Arial"/>
        </w:rPr>
        <w:t xml:space="preserve"> del PIB. En la comparación anual, la cifra observada fue menor en 8.5 pp del PIB respecto a lo registrado en 2020 (52.1</w:t>
      </w:r>
      <w:r w:rsidR="001E7D80">
        <w:rPr>
          <w:rFonts w:cs="Arial"/>
        </w:rPr>
        <w:t xml:space="preserve"> por ciento</w:t>
      </w:r>
      <w:r w:rsidRPr="00E45ECD">
        <w:rPr>
          <w:rFonts w:cs="Arial"/>
        </w:rPr>
        <w:t>). Por su parte, los activos netos de las AFORE han aumentado año con año hasta alcanzar en junio de 2022 un nivel de 5.0 billones de pesos, equivalente al 18.0</w:t>
      </w:r>
      <w:r w:rsidR="001E7D80">
        <w:rPr>
          <w:rFonts w:cs="Arial"/>
        </w:rPr>
        <w:t xml:space="preserve"> por ciento</w:t>
      </w:r>
      <w:r w:rsidRPr="00E45ECD">
        <w:rPr>
          <w:rFonts w:cs="Arial"/>
        </w:rPr>
        <w:t xml:space="preserve"> de PIB.</w:t>
      </w:r>
    </w:p>
    <w:p w14:paraId="0FBE75B4" w14:textId="32E77865" w:rsidR="00701B49" w:rsidRPr="00E45ECD" w:rsidRDefault="00701B49" w:rsidP="007D2C17">
      <w:pPr>
        <w:rPr>
          <w:rFonts w:cs="Arial"/>
        </w:rPr>
      </w:pPr>
    </w:p>
    <w:p w14:paraId="4F8AAFF8" w14:textId="70EA2B83" w:rsidR="00701B49" w:rsidRPr="00E45ECD" w:rsidRDefault="00701B49" w:rsidP="00701B49">
      <w:pPr>
        <w:rPr>
          <w:rFonts w:cs="Arial"/>
        </w:rPr>
      </w:pPr>
      <w:r w:rsidRPr="00793342">
        <w:rPr>
          <w:rFonts w:cs="Arial"/>
        </w:rPr>
        <w:t>Banca de desarrollo</w:t>
      </w:r>
      <w:r w:rsidR="00725BFB" w:rsidRPr="00793342">
        <w:rPr>
          <w:rFonts w:cs="Arial"/>
        </w:rPr>
        <w:t xml:space="preserve">. </w:t>
      </w:r>
      <w:r w:rsidRPr="00793342">
        <w:rPr>
          <w:rFonts w:cs="Arial"/>
        </w:rPr>
        <w:t>Al</w:t>
      </w:r>
      <w:r w:rsidRPr="00E45ECD">
        <w:rPr>
          <w:rFonts w:cs="Arial"/>
        </w:rPr>
        <w:t xml:space="preserve"> interior del sector, los principales riesgos se concentran en la posibilidad de incumplimiento de los créditos directos o en el ejercicio de las garantías otorgadas. Al cierre de junio de 2022, el saldo de la cartera de crédito directo e impulsado al sector privado ascendió a 1.7 billones de pesos. De este saldo, 1.2 billones de pesos (68.1</w:t>
      </w:r>
      <w:r w:rsidR="001E7D80">
        <w:rPr>
          <w:rFonts w:cs="Arial"/>
        </w:rPr>
        <w:t xml:space="preserve"> por ciento</w:t>
      </w:r>
      <w:r w:rsidRPr="00E45ECD">
        <w:rPr>
          <w:rFonts w:cs="Arial"/>
        </w:rPr>
        <w:t xml:space="preserve"> del total) corresponden a la cartera de crédito directo y 179.3 mil millones de pesos (10.6</w:t>
      </w:r>
      <w:r w:rsidR="001E7D80">
        <w:rPr>
          <w:rFonts w:cs="Arial"/>
        </w:rPr>
        <w:t xml:space="preserve"> por ciento</w:t>
      </w:r>
      <w:r w:rsidRPr="00E45ECD">
        <w:rPr>
          <w:rFonts w:cs="Arial"/>
        </w:rPr>
        <w:t>) corresponden a la cartera garantizada, excluyendo el saldo expuesto de los intermediarios, las bursatilizaciones hipotecarias y el capital de riesgo ascendió a 361.7 mil millones de pesos (21.3</w:t>
      </w:r>
      <w:r w:rsidR="001E7D80">
        <w:rPr>
          <w:rFonts w:cs="Arial"/>
        </w:rPr>
        <w:t xml:space="preserve"> por ciento</w:t>
      </w:r>
      <w:r w:rsidRPr="00E45ECD">
        <w:rPr>
          <w:rFonts w:cs="Arial"/>
        </w:rPr>
        <w:t>).</w:t>
      </w:r>
    </w:p>
    <w:p w14:paraId="409ABC4E" w14:textId="77777777" w:rsidR="00701B49" w:rsidRPr="00E45ECD" w:rsidRDefault="00701B49" w:rsidP="00701B49">
      <w:pPr>
        <w:rPr>
          <w:rFonts w:cs="Arial"/>
        </w:rPr>
      </w:pPr>
    </w:p>
    <w:p w14:paraId="750290C8" w14:textId="118BD5A0" w:rsidR="00701B49" w:rsidRPr="00E45ECD" w:rsidRDefault="00701B49" w:rsidP="00701B49">
      <w:pPr>
        <w:rPr>
          <w:rFonts w:cs="Arial"/>
        </w:rPr>
      </w:pPr>
      <w:r w:rsidRPr="00E45ECD">
        <w:rPr>
          <w:rFonts w:cs="Arial"/>
        </w:rPr>
        <w:t>No obstante, el riesgo asociado a la formación de un pasivo financiero de gran magnitud es bajo, considerando que el otorgamiento de créditos sigue estándares rigurosos y que estos se encuentran respaldados.</w:t>
      </w:r>
    </w:p>
    <w:p w14:paraId="3C8F0CBA" w14:textId="0E4AEDFD" w:rsidR="007A4A69" w:rsidRPr="00E45ECD" w:rsidRDefault="007A4A69" w:rsidP="00701B49">
      <w:pPr>
        <w:rPr>
          <w:rFonts w:cs="Arial"/>
        </w:rPr>
      </w:pPr>
    </w:p>
    <w:p w14:paraId="6F5A7323" w14:textId="11EF241E" w:rsidR="007A4A69" w:rsidRPr="00E45ECD" w:rsidRDefault="007A4A69" w:rsidP="007A4A69">
      <w:pPr>
        <w:rPr>
          <w:rFonts w:cs="Arial"/>
        </w:rPr>
      </w:pPr>
      <w:r w:rsidRPr="00793342">
        <w:rPr>
          <w:rFonts w:cs="Arial"/>
        </w:rPr>
        <w:t>Seguro de depósitos</w:t>
      </w:r>
      <w:r w:rsidR="00725BFB" w:rsidRPr="00793342">
        <w:rPr>
          <w:rFonts w:cs="Arial"/>
        </w:rPr>
        <w:t xml:space="preserve">. </w:t>
      </w:r>
      <w:r w:rsidRPr="00793342">
        <w:rPr>
          <w:rFonts w:cs="Arial"/>
        </w:rPr>
        <w:t>En</w:t>
      </w:r>
      <w:r w:rsidRPr="00E45ECD">
        <w:rPr>
          <w:rFonts w:cs="Arial"/>
        </w:rPr>
        <w:t xml:space="preserve"> caso de una contingencia en la que se establezca la liquidación o concurso mercantil de una institución de banca múltiple, el Gobierno Federal tiene el </w:t>
      </w:r>
      <w:r w:rsidRPr="00E45ECD">
        <w:rPr>
          <w:rFonts w:cs="Arial"/>
        </w:rPr>
        <w:lastRenderedPageBreak/>
        <w:t>compromiso de cubrir con un monto garantizado los depósitos. Lo anterior, puede ser considerado como un potencial riesgo para para las finanzas públicas.</w:t>
      </w:r>
    </w:p>
    <w:p w14:paraId="69406344" w14:textId="77777777" w:rsidR="007A4A69" w:rsidRPr="00E45ECD" w:rsidRDefault="007A4A69" w:rsidP="007A4A69">
      <w:pPr>
        <w:rPr>
          <w:rFonts w:cs="Arial"/>
        </w:rPr>
      </w:pPr>
    </w:p>
    <w:p w14:paraId="6B98C4D8" w14:textId="1D368135" w:rsidR="007A4A69" w:rsidRPr="00E45ECD" w:rsidRDefault="007A4A69" w:rsidP="007A4A69">
      <w:pPr>
        <w:rPr>
          <w:rFonts w:cs="Arial"/>
        </w:rPr>
      </w:pPr>
      <w:r w:rsidRPr="00E45ECD">
        <w:rPr>
          <w:rFonts w:cs="Arial"/>
        </w:rPr>
        <w:t>Al cierre de marzo de 2022, el monto total de depósitos a la vista y a plazo en el sistema fue de 6.43 billones de pesos, equivalente al 23.3</w:t>
      </w:r>
      <w:r w:rsidR="001E7D80">
        <w:rPr>
          <w:rFonts w:cs="Arial"/>
        </w:rPr>
        <w:t xml:space="preserve"> por ciento</w:t>
      </w:r>
      <w:r w:rsidRPr="00E45ECD">
        <w:rPr>
          <w:rFonts w:cs="Arial"/>
        </w:rPr>
        <w:t xml:space="preserve"> del PIB. Por su parte, el IPAB tiene la obligación de cubrir, con fondos aportados por las instituciones bancarias, hasta un monto máximo de 400 mil UDIs, es decir 2 millones 944 mil 607 pesos por persona física o moral por institución.</w:t>
      </w:r>
    </w:p>
    <w:p w14:paraId="2DBE0A0E" w14:textId="104A8C75" w:rsidR="007A4A69" w:rsidRPr="00E45ECD" w:rsidRDefault="007A4A69" w:rsidP="007A4A69">
      <w:pPr>
        <w:rPr>
          <w:rFonts w:cs="Arial"/>
        </w:rPr>
      </w:pPr>
    </w:p>
    <w:p w14:paraId="0DD2F3EF" w14:textId="128C6433" w:rsidR="007A4A69" w:rsidRPr="00E45ECD" w:rsidRDefault="007A4A69" w:rsidP="007A4A69">
      <w:pPr>
        <w:rPr>
          <w:rFonts w:cs="Arial"/>
        </w:rPr>
      </w:pPr>
      <w:r w:rsidRPr="00793342">
        <w:rPr>
          <w:rFonts w:cs="Arial"/>
        </w:rPr>
        <w:t>Proyectos de Infraestructura de Largo Plazo (</w:t>
      </w:r>
      <w:r w:rsidR="001B517C" w:rsidRPr="00793342">
        <w:rPr>
          <w:rFonts w:cs="Arial"/>
        </w:rPr>
        <w:t>PIDIREGAS</w:t>
      </w:r>
      <w:r w:rsidRPr="00793342">
        <w:rPr>
          <w:rFonts w:cs="Arial"/>
        </w:rPr>
        <w:t>)</w:t>
      </w:r>
      <w:r w:rsidR="00725BFB" w:rsidRPr="00793342">
        <w:rPr>
          <w:rFonts w:cs="Arial"/>
        </w:rPr>
        <w:t xml:space="preserve">. </w:t>
      </w:r>
      <w:r w:rsidRPr="00793342">
        <w:rPr>
          <w:rFonts w:cs="Arial"/>
        </w:rPr>
        <w:t>El esquema de inversión de Proyectos de Infraestructura de Largo Plazo (</w:t>
      </w:r>
      <w:r w:rsidR="001B517C" w:rsidRPr="00793342">
        <w:rPr>
          <w:rFonts w:cs="Arial"/>
        </w:rPr>
        <w:t>PIDIREGAS</w:t>
      </w:r>
      <w:r w:rsidRPr="00793342">
        <w:rPr>
          <w:rFonts w:cs="Arial"/>
        </w:rPr>
        <w:t>) dejó de ser utilizado por PEMEX a partir de enero de 2009, y pasó a ser únicamente la CFE la entidad</w:t>
      </w:r>
      <w:r w:rsidRPr="00E45ECD">
        <w:rPr>
          <w:rFonts w:cs="Arial"/>
        </w:rPr>
        <w:t xml:space="preserve"> que utiliza actualmente este esquema de inversión condicionada. Por lo anterior, la deuda que se encuentra asociada a ese concepto se convirtió en deuda pública, de esta manera los pasivos que derivan de dichos esquemas para ambas entidades se encuentran incluidos en el SHRFSP, representando una obligación de pago por parte de la entidad que los contrae.</w:t>
      </w:r>
    </w:p>
    <w:p w14:paraId="67403BFD" w14:textId="77777777" w:rsidR="007A4A69" w:rsidRPr="00E45ECD" w:rsidRDefault="007A4A69" w:rsidP="007A4A69">
      <w:pPr>
        <w:rPr>
          <w:rFonts w:cs="Arial"/>
        </w:rPr>
      </w:pPr>
    </w:p>
    <w:p w14:paraId="16FB2672" w14:textId="735F425A" w:rsidR="007A4A69" w:rsidRPr="00E45ECD" w:rsidRDefault="007A4A69" w:rsidP="007A4A69">
      <w:pPr>
        <w:rPr>
          <w:rFonts w:cs="Arial"/>
        </w:rPr>
      </w:pPr>
      <w:r w:rsidRPr="00E45ECD">
        <w:rPr>
          <w:rFonts w:cs="Arial"/>
        </w:rPr>
        <w:t>Bajo el esquema de inversión condicionada no se cuenta con un compromiso firme e inmediato de inversión, más bien es una obligación contractual para comprar los bienes y servicios elaborados con los activos de las empresas considerando las especificaciones técnicas acordadas. Dadas ciertas condiciones de contrato, como incumplimiento de pago o a causas de fuerza mayor, la CFE se encuentra obligada a comprar los activos de las empresas con las que tiene contrato. La exposición máxima por el monto contingente es de alrededor de 183.2 mil millones de pesos distribuida en un plazo de aproximadamente 30 años, bajo el caso extremo de que los bienes y activos adquiridos registraran un valor nulo. Por lo anterior, el riesgo se ve reducido en la medida que los activos registran un valor positivo. Debido a que la evaluación de rentabilidad de los proyectos cuenta con criterios estrictos, el riesgo de estos proyectos se minimiza.</w:t>
      </w:r>
    </w:p>
    <w:p w14:paraId="23FC4E5C" w14:textId="77777777" w:rsidR="007D2C17" w:rsidRPr="00E45ECD" w:rsidRDefault="007D2C17" w:rsidP="00A3747F">
      <w:pPr>
        <w:rPr>
          <w:rFonts w:cs="Arial"/>
        </w:rPr>
      </w:pPr>
    </w:p>
    <w:p w14:paraId="42D662D4" w14:textId="1DDBDE3C" w:rsidR="00A3747F" w:rsidRDefault="00A3747F" w:rsidP="00A3747F">
      <w:pPr>
        <w:rPr>
          <w:rFonts w:cs="Arial"/>
        </w:rPr>
      </w:pPr>
      <w:r w:rsidRPr="00793342">
        <w:rPr>
          <w:rFonts w:cs="Arial"/>
        </w:rPr>
        <w:t>Desastres naturales</w:t>
      </w:r>
      <w:r w:rsidR="00725BFB" w:rsidRPr="00793342">
        <w:rPr>
          <w:rFonts w:cs="Arial"/>
        </w:rPr>
        <w:t xml:space="preserve">. </w:t>
      </w:r>
      <w:r w:rsidRPr="00793342">
        <w:rPr>
          <w:rFonts w:cs="Arial"/>
        </w:rPr>
        <w:t>Durante los últimos 20 años, México ha desarrollado una estrategia para gestionar el impacto potencial de los desastres naturales sobre las finanzas públicas y con ello reducir las</w:t>
      </w:r>
      <w:r w:rsidRPr="00E45ECD">
        <w:rPr>
          <w:rFonts w:cs="Arial"/>
        </w:rPr>
        <w:t xml:space="preserve"> posibles afectaciones en las trayectorias de deuda y de crecimiento económico del país, al tiempo que se busca proteger el bienestar de las personas, en particular el de los grupos más vulnerables. En este contexto, mediante un sistema de evaluación de pérdidas se estima la frecuencia, la intensidad y las potenciales pérdidas económicas de los desastres naturales como sismos, tormentas tropicales y huracanes.</w:t>
      </w:r>
    </w:p>
    <w:p w14:paraId="16E974A6" w14:textId="77777777" w:rsidR="00725BFB" w:rsidRPr="00E45ECD" w:rsidRDefault="00725BFB" w:rsidP="00A3747F">
      <w:pPr>
        <w:rPr>
          <w:rFonts w:cs="Arial"/>
        </w:rPr>
      </w:pPr>
    </w:p>
    <w:p w14:paraId="427C7851" w14:textId="7C8572FF" w:rsidR="00914703" w:rsidRDefault="00A3747F" w:rsidP="00A3747F">
      <w:pPr>
        <w:rPr>
          <w:rFonts w:cs="Arial"/>
        </w:rPr>
      </w:pPr>
      <w:r w:rsidRPr="00E45ECD">
        <w:rPr>
          <w:rFonts w:cs="Arial"/>
        </w:rPr>
        <w:t xml:space="preserve">De acuerdo con las últimas estimaciones realizadas, las pérdidas esperadas para los sectores prioritarios de recibir el apoyo de mecanismos de financiamiento aprobado en el Ramo General 23 son las siguientes: </w:t>
      </w:r>
    </w:p>
    <w:p w14:paraId="269988CA" w14:textId="77777777" w:rsidR="00F6015D" w:rsidRDefault="00F6015D" w:rsidP="00A3747F">
      <w:pPr>
        <w:rPr>
          <w:rFonts w:cs="Arial"/>
        </w:rPr>
      </w:pPr>
    </w:p>
    <w:p w14:paraId="732617A5" w14:textId="0A69BE49" w:rsidR="00914703" w:rsidRPr="009F39B2" w:rsidRDefault="009F39B2" w:rsidP="009F39B2">
      <w:pPr>
        <w:pStyle w:val="Prrafodelista"/>
        <w:numPr>
          <w:ilvl w:val="0"/>
          <w:numId w:val="39"/>
        </w:numPr>
        <w:tabs>
          <w:tab w:val="left" w:pos="567"/>
        </w:tabs>
        <w:rPr>
          <w:rFonts w:cs="Arial"/>
        </w:rPr>
      </w:pPr>
      <w:r>
        <w:rPr>
          <w:rFonts w:cs="Arial"/>
        </w:rPr>
        <w:t>P</w:t>
      </w:r>
      <w:r w:rsidR="00A3747F" w:rsidRPr="009F39B2">
        <w:rPr>
          <w:rFonts w:cs="Arial"/>
        </w:rPr>
        <w:t xml:space="preserve">ara eventos de alta frecuencia y baja intensidad, la pérdida estimada anual asciende a 10.2 mil millones de pesos; </w:t>
      </w:r>
    </w:p>
    <w:p w14:paraId="17849E4B" w14:textId="5ACDD898" w:rsidR="00914703" w:rsidRPr="009F39B2" w:rsidRDefault="009F39B2" w:rsidP="009F39B2">
      <w:pPr>
        <w:pStyle w:val="Prrafodelista"/>
        <w:numPr>
          <w:ilvl w:val="0"/>
          <w:numId w:val="39"/>
        </w:numPr>
        <w:tabs>
          <w:tab w:val="left" w:pos="567"/>
        </w:tabs>
        <w:rPr>
          <w:rFonts w:cs="Arial"/>
        </w:rPr>
      </w:pPr>
      <w:r>
        <w:rPr>
          <w:rFonts w:cs="Arial"/>
        </w:rPr>
        <w:t>L</w:t>
      </w:r>
      <w:r w:rsidR="00A3747F" w:rsidRPr="009F39B2">
        <w:rPr>
          <w:rFonts w:cs="Arial"/>
        </w:rPr>
        <w:t>a estimación de pérdid</w:t>
      </w:r>
      <w:r>
        <w:rPr>
          <w:rFonts w:cs="Arial"/>
        </w:rPr>
        <w:t>as para eventos que tienen un 5 por ciento</w:t>
      </w:r>
      <w:r w:rsidR="00A3747F" w:rsidRPr="009F39B2">
        <w:rPr>
          <w:rFonts w:cs="Arial"/>
        </w:rPr>
        <w:t xml:space="preserve"> de probabilidad por año de ocurrencia equivale a 11.3 mil millones de pesos; y </w:t>
      </w:r>
    </w:p>
    <w:p w14:paraId="49C12864" w14:textId="68E52592" w:rsidR="00A3747F" w:rsidRPr="009F39B2" w:rsidRDefault="009F39B2" w:rsidP="009F39B2">
      <w:pPr>
        <w:pStyle w:val="Prrafodelista"/>
        <w:numPr>
          <w:ilvl w:val="0"/>
          <w:numId w:val="39"/>
        </w:numPr>
        <w:tabs>
          <w:tab w:val="left" w:pos="567"/>
        </w:tabs>
        <w:rPr>
          <w:rFonts w:cs="Arial"/>
        </w:rPr>
      </w:pPr>
      <w:r>
        <w:rPr>
          <w:rFonts w:cs="Arial"/>
        </w:rPr>
        <w:t>Mientras que para eventos con 1 por ciento</w:t>
      </w:r>
      <w:r w:rsidR="00A3747F" w:rsidRPr="009F39B2">
        <w:rPr>
          <w:rFonts w:cs="Arial"/>
        </w:rPr>
        <w:t xml:space="preserve"> de probabilidad de ocurrencia por año, la pérdida esperada asciende a 34.3 mil millones de pesos.</w:t>
      </w:r>
    </w:p>
    <w:p w14:paraId="22121BCD" w14:textId="3A60F6CD" w:rsidR="007D2C17" w:rsidRPr="00E45ECD" w:rsidRDefault="007D2C17" w:rsidP="00A3747F">
      <w:pPr>
        <w:rPr>
          <w:rFonts w:cs="Arial"/>
        </w:rPr>
      </w:pPr>
    </w:p>
    <w:p w14:paraId="7494528D" w14:textId="0065DF7C" w:rsidR="00F40C0F" w:rsidRPr="00E45ECD" w:rsidRDefault="00AA639D" w:rsidP="0045406C">
      <w:pPr>
        <w:pStyle w:val="Ttulo3"/>
      </w:pPr>
      <w:r>
        <w:t>2.III.C</w:t>
      </w:r>
      <w:r w:rsidR="00F40C0F" w:rsidRPr="00E45ECD">
        <w:t>. Ries</w:t>
      </w:r>
      <w:r w:rsidR="00E45ECD">
        <w:t xml:space="preserve">gos fiscales en el ámbito local </w:t>
      </w:r>
      <w:r w:rsidR="00E45ECD" w:rsidRPr="00E45ECD">
        <w:t>y pasivos contingentes</w:t>
      </w:r>
      <w:r w:rsidR="00E45ECD">
        <w:t>.</w:t>
      </w:r>
    </w:p>
    <w:p w14:paraId="5B518B19" w14:textId="77777777" w:rsidR="00AF33E2" w:rsidRPr="00793342" w:rsidRDefault="00AF33E2" w:rsidP="00A3747F">
      <w:pPr>
        <w:rPr>
          <w:rFonts w:cs="Arial"/>
        </w:rPr>
      </w:pPr>
    </w:p>
    <w:p w14:paraId="76931EC1" w14:textId="67593930" w:rsidR="00212613" w:rsidRPr="00793342" w:rsidRDefault="00212613" w:rsidP="00212613">
      <w:pPr>
        <w:spacing w:after="120"/>
        <w:rPr>
          <w:rFonts w:cs="Arial"/>
        </w:rPr>
      </w:pPr>
      <w:r w:rsidRPr="00793342">
        <w:rPr>
          <w:rFonts w:cs="Arial"/>
          <w:bCs/>
        </w:rPr>
        <w:t>Dependencia de recursos fiscales federales</w:t>
      </w:r>
      <w:r w:rsidR="00725BFB" w:rsidRPr="00793342">
        <w:rPr>
          <w:rFonts w:cs="Arial"/>
          <w:bCs/>
        </w:rPr>
        <w:t>.</w:t>
      </w:r>
      <w:r w:rsidR="00725BFB">
        <w:rPr>
          <w:rFonts w:cs="Arial"/>
          <w:b/>
          <w:bCs/>
        </w:rPr>
        <w:t xml:space="preserve"> </w:t>
      </w:r>
      <w:r w:rsidR="00793342">
        <w:rPr>
          <w:rFonts w:cs="Arial"/>
        </w:rPr>
        <w:t>Durante el periodo de 2017</w:t>
      </w:r>
      <w:r w:rsidRPr="00E45ECD">
        <w:rPr>
          <w:rFonts w:cs="Arial"/>
        </w:rPr>
        <w:t xml:space="preserve"> a 2022 los recursos de las Partici</w:t>
      </w:r>
      <w:r w:rsidR="00F6015D">
        <w:rPr>
          <w:rFonts w:cs="Arial"/>
        </w:rPr>
        <w:t xml:space="preserve">paciones Federales a Entidades Federativas y Municipios (Ramo 28) </w:t>
      </w:r>
      <w:r w:rsidRPr="00E45ECD">
        <w:rPr>
          <w:rFonts w:cs="Arial"/>
        </w:rPr>
        <w:t xml:space="preserve">registran una tasa de </w:t>
      </w:r>
      <w:r w:rsidR="00793342">
        <w:rPr>
          <w:rFonts w:cs="Arial"/>
        </w:rPr>
        <w:t>c</w:t>
      </w:r>
      <w:r w:rsidRPr="00E45ECD">
        <w:rPr>
          <w:rFonts w:cs="Arial"/>
        </w:rPr>
        <w:t xml:space="preserve">recimiento </w:t>
      </w:r>
      <w:r w:rsidR="00793342">
        <w:rPr>
          <w:rFonts w:cs="Arial"/>
        </w:rPr>
        <w:t>nominal de 25.5 por ciento</w:t>
      </w:r>
      <w:r w:rsidRPr="00E45ECD">
        <w:rPr>
          <w:rFonts w:cs="Arial"/>
        </w:rPr>
        <w:t>. Con excepción del</w:t>
      </w:r>
      <w:r w:rsidR="00793342">
        <w:rPr>
          <w:rFonts w:cs="Arial"/>
        </w:rPr>
        <w:t xml:space="preserve"> 2020 y</w:t>
      </w:r>
      <w:r w:rsidRPr="00E45ECD">
        <w:rPr>
          <w:rFonts w:cs="Arial"/>
        </w:rPr>
        <w:t xml:space="preserve"> 2021, en todos los años del periodo referido, las Participaciones </w:t>
      </w:r>
      <w:r w:rsidR="00F6015D">
        <w:rPr>
          <w:rFonts w:cs="Arial"/>
        </w:rPr>
        <w:t xml:space="preserve">Federales </w:t>
      </w:r>
      <w:r w:rsidRPr="00E45ECD">
        <w:rPr>
          <w:rFonts w:cs="Arial"/>
        </w:rPr>
        <w:t>han mostr</w:t>
      </w:r>
      <w:r w:rsidR="00793342">
        <w:rPr>
          <w:rFonts w:cs="Arial"/>
        </w:rPr>
        <w:t xml:space="preserve">ado </w:t>
      </w:r>
      <w:r w:rsidR="00793342" w:rsidRPr="00793342">
        <w:rPr>
          <w:rFonts w:cs="Arial"/>
        </w:rPr>
        <w:t xml:space="preserve">aumentos en términos reales. </w:t>
      </w:r>
    </w:p>
    <w:p w14:paraId="050FCF19" w14:textId="0275050F" w:rsidR="00212613" w:rsidRDefault="00212613" w:rsidP="0045406C">
      <w:r w:rsidRPr="00793342">
        <w:t>Los montos comprendidos en el Proyecto de Presupuesto de Egresos de la Federación (</w:t>
      </w:r>
      <w:r w:rsidRPr="00313571">
        <w:t xml:space="preserve">PPEF) 2023 para las Participaciones a Entidades Federativas y Municipios </w:t>
      </w:r>
      <w:r w:rsidR="00793342" w:rsidRPr="00313571">
        <w:t xml:space="preserve">y en </w:t>
      </w:r>
      <w:r w:rsidR="00313571" w:rsidRPr="00313571">
        <w:t>específico</w:t>
      </w:r>
      <w:r w:rsidR="00793342" w:rsidRPr="00313571">
        <w:t xml:space="preserve"> al Estado de Colima muestran una variación absoluta de 1,324.2 millones de pesos, en términos reales 14.7</w:t>
      </w:r>
      <w:r w:rsidR="00793342">
        <w:t xml:space="preserve"> por ciento adicional a lo autorizado</w:t>
      </w:r>
      <w:r w:rsidR="009F39B2">
        <w:t xml:space="preserve"> para el Ejercicio Fiscal 2022.</w:t>
      </w:r>
    </w:p>
    <w:p w14:paraId="64971B6B" w14:textId="77777777" w:rsidR="0045406C" w:rsidRDefault="0045406C" w:rsidP="0045406C"/>
    <w:p w14:paraId="081B4360" w14:textId="3BC19C1E" w:rsidR="000C246B" w:rsidRDefault="000C246B" w:rsidP="0045406C">
      <w:r w:rsidRPr="000C246B">
        <w:t xml:space="preserve">En el PPEF para el </w:t>
      </w:r>
      <w:r w:rsidR="009F39B2">
        <w:t>Ejercicio F</w:t>
      </w:r>
      <w:r w:rsidRPr="000C246B">
        <w:t>iscal 2023, se plantea para las Participaciones</w:t>
      </w:r>
      <w:r w:rsidR="00313571">
        <w:t xml:space="preserve"> Federales a entidades federativas y municipios</w:t>
      </w:r>
      <w:r w:rsidRPr="000C246B">
        <w:t xml:space="preserve"> una cifra de 1,220 mil 271.1 m</w:t>
      </w:r>
      <w:r w:rsidR="001B517C">
        <w:t xml:space="preserve">illones </w:t>
      </w:r>
      <w:r w:rsidRPr="000C246B">
        <w:t>d</w:t>
      </w:r>
      <w:r w:rsidR="001B517C">
        <w:t xml:space="preserve">e </w:t>
      </w:r>
      <w:r w:rsidRPr="000C246B">
        <w:t>p</w:t>
      </w:r>
      <w:r w:rsidR="001B517C">
        <w:t>esos (mdp)</w:t>
      </w:r>
      <w:r w:rsidRPr="000C246B">
        <w:t>, la cual es mayor en 200 mil 781</w:t>
      </w:r>
      <w:r w:rsidR="00313571">
        <w:t>.1</w:t>
      </w:r>
      <w:r w:rsidRPr="000C246B">
        <w:t xml:space="preserve"> mdp</w:t>
      </w:r>
      <w:r w:rsidR="00313571">
        <w:t xml:space="preserve"> respecto al presupuesto del aprobado para el año</w:t>
      </w:r>
      <w:r w:rsidRPr="000C246B">
        <w:t xml:space="preserve"> 202</w:t>
      </w:r>
      <w:r>
        <w:t>2</w:t>
      </w:r>
      <w:r w:rsidRPr="000C246B">
        <w:t>, lo cual representa un crecimiento real de 14.0 por ciento.</w:t>
      </w:r>
    </w:p>
    <w:p w14:paraId="3C49AD77" w14:textId="77777777" w:rsidR="00313571" w:rsidRPr="000C246B" w:rsidRDefault="00313571" w:rsidP="0045406C"/>
    <w:p w14:paraId="4A88A4A9" w14:textId="79EE8054" w:rsidR="00212613" w:rsidRPr="000C246B" w:rsidRDefault="000C246B" w:rsidP="00212613">
      <w:pPr>
        <w:spacing w:after="120"/>
        <w:rPr>
          <w:rFonts w:cs="Arial"/>
        </w:rPr>
      </w:pPr>
      <w:r w:rsidRPr="000C246B">
        <w:rPr>
          <w:rFonts w:cs="Arial"/>
        </w:rPr>
        <w:t xml:space="preserve">De las anteriores estimaciones, destacan por sus incrementos significativos los recursos para el </w:t>
      </w:r>
      <w:r w:rsidR="00212613" w:rsidRPr="000C246B">
        <w:rPr>
          <w:rFonts w:cs="Arial"/>
        </w:rPr>
        <w:t xml:space="preserve">Fondo General de Participaciones y de Fomento Municipal </w:t>
      </w:r>
      <w:r w:rsidR="00313571">
        <w:rPr>
          <w:rFonts w:cs="Arial"/>
        </w:rPr>
        <w:t xml:space="preserve">al Estado que </w:t>
      </w:r>
      <w:r w:rsidR="00212613" w:rsidRPr="000C246B">
        <w:rPr>
          <w:rFonts w:cs="Arial"/>
        </w:rPr>
        <w:t>presenta</w:t>
      </w:r>
      <w:r w:rsidRPr="000C246B">
        <w:rPr>
          <w:rFonts w:cs="Arial"/>
        </w:rPr>
        <w:t>n</w:t>
      </w:r>
      <w:r w:rsidR="00212613" w:rsidRPr="000C246B">
        <w:rPr>
          <w:rFonts w:cs="Arial"/>
        </w:rPr>
        <w:t xml:space="preserve"> </w:t>
      </w:r>
      <w:r w:rsidR="00313571">
        <w:rPr>
          <w:rFonts w:cs="Arial"/>
        </w:rPr>
        <w:t xml:space="preserve">en conjunto </w:t>
      </w:r>
      <w:r w:rsidR="00212613" w:rsidRPr="000C246B">
        <w:rPr>
          <w:rFonts w:cs="Arial"/>
        </w:rPr>
        <w:t xml:space="preserve">un crecimiento </w:t>
      </w:r>
      <w:r w:rsidR="00313571">
        <w:rPr>
          <w:rFonts w:cs="Arial"/>
        </w:rPr>
        <w:t xml:space="preserve">nominal de 15.8 </w:t>
      </w:r>
      <w:r w:rsidR="00212613" w:rsidRPr="000C246B">
        <w:rPr>
          <w:rFonts w:cs="Arial"/>
        </w:rPr>
        <w:t xml:space="preserve">por ciento con respecto al año anterior. </w:t>
      </w:r>
    </w:p>
    <w:p w14:paraId="62BD2676" w14:textId="593580FF" w:rsidR="00212613" w:rsidRDefault="00212613" w:rsidP="0045406C">
      <w:r w:rsidRPr="00E45ECD">
        <w:t xml:space="preserve">El incremento sostenido de las participaciones federales a la Entidad Federativa ha impulsado una política de bajo esfuerzo recaudatorio por parte las administraciones estatales anteriores. </w:t>
      </w:r>
      <w:r w:rsidR="005D2932">
        <w:t xml:space="preserve">A partir de 2022 se ha trabajado en </w:t>
      </w:r>
      <w:r w:rsidRPr="00E45ECD">
        <w:t>una reingeniería de la política recaudatoria estatal para elevar el porcenta</w:t>
      </w:r>
      <w:r w:rsidR="005D2932">
        <w:t xml:space="preserve">je de recursos propios sin la creación de nuevos impuestos, pero si mejorando la eficiencia en la recaudación. </w:t>
      </w:r>
    </w:p>
    <w:p w14:paraId="03AAA199" w14:textId="77777777" w:rsidR="00725BFB" w:rsidRPr="00E45ECD" w:rsidRDefault="00725BFB" w:rsidP="00725BFB">
      <w:pPr>
        <w:rPr>
          <w:rFonts w:cs="Arial"/>
        </w:rPr>
      </w:pPr>
    </w:p>
    <w:p w14:paraId="0658C8E4" w14:textId="6BE4F8D0" w:rsidR="00212613" w:rsidRPr="00E45ECD" w:rsidRDefault="00212613" w:rsidP="00212613">
      <w:pPr>
        <w:spacing w:after="120"/>
        <w:rPr>
          <w:rFonts w:cs="Arial"/>
        </w:rPr>
      </w:pPr>
      <w:r w:rsidRPr="005D2932">
        <w:rPr>
          <w:rFonts w:cs="Arial"/>
          <w:bCs/>
        </w:rPr>
        <w:t>Impactos en la recaudación local por los ciclos de la pandemia del COVID 2019</w:t>
      </w:r>
      <w:r w:rsidR="00725BFB" w:rsidRPr="005D2932">
        <w:rPr>
          <w:rFonts w:cs="Arial"/>
          <w:bCs/>
        </w:rPr>
        <w:t xml:space="preserve">. </w:t>
      </w:r>
      <w:r w:rsidRPr="005D2932">
        <w:rPr>
          <w:rFonts w:cs="Arial"/>
        </w:rPr>
        <w:t>Los</w:t>
      </w:r>
      <w:r w:rsidRPr="00E45ECD">
        <w:rPr>
          <w:rFonts w:cs="Arial"/>
        </w:rPr>
        <w:t xml:space="preserve"> retos que ya enfrentaba Colima, aunado a los que han surgido producto de la pandemia del COVID-19, requieren que el gobierno tenga la capacidad financiera para atender los principales problemas públicos, en este sentido, uno de los mayores desafíos que se enfrentan para el pleno cumplimiento de los objetivos de la administración estatal 2021-</w:t>
      </w:r>
      <w:r w:rsidRPr="00E45ECD">
        <w:rPr>
          <w:rFonts w:cs="Arial"/>
        </w:rPr>
        <w:lastRenderedPageBreak/>
        <w:t>2027, es el de contar con los recursos necesarios para financiar, de manera responsable, los programas y políticas delineadas, sin comprometer la viabilidad de la hacienda pública estatal.</w:t>
      </w:r>
    </w:p>
    <w:p w14:paraId="52A19F6D" w14:textId="2D14829C" w:rsidR="00212613" w:rsidRDefault="00212613" w:rsidP="00212613">
      <w:pPr>
        <w:spacing w:after="120"/>
        <w:rPr>
          <w:rFonts w:cs="Arial"/>
        </w:rPr>
      </w:pPr>
      <w:r w:rsidRPr="009F39B2">
        <w:rPr>
          <w:rFonts w:cs="Arial"/>
          <w:bCs/>
        </w:rPr>
        <w:t>Desequilibrio en las Finanzas Públicas del Estado.</w:t>
      </w:r>
      <w:r w:rsidR="00203564" w:rsidRPr="009F39B2">
        <w:rPr>
          <w:rFonts w:cs="Arial"/>
          <w:bCs/>
        </w:rPr>
        <w:t xml:space="preserve"> </w:t>
      </w:r>
      <w:r w:rsidR="005D2932" w:rsidRPr="009F39B2">
        <w:rPr>
          <w:rFonts w:cs="Arial"/>
          <w:bCs/>
        </w:rPr>
        <w:t xml:space="preserve">Después del </w:t>
      </w:r>
      <w:r w:rsidR="004B3988" w:rsidRPr="009F39B2">
        <w:rPr>
          <w:rFonts w:cs="Arial"/>
          <w:bCs/>
        </w:rPr>
        <w:t>q</w:t>
      </w:r>
      <w:r w:rsidR="00337245">
        <w:rPr>
          <w:rFonts w:cs="Arial"/>
          <w:bCs/>
        </w:rPr>
        <w:t>uebrando financiero que culminó,</w:t>
      </w:r>
      <w:r w:rsidR="004B3988" w:rsidRPr="009F39B2">
        <w:rPr>
          <w:rFonts w:cs="Arial"/>
          <w:bCs/>
        </w:rPr>
        <w:t xml:space="preserve"> </w:t>
      </w:r>
      <w:r w:rsidR="005D2932" w:rsidRPr="009F39B2">
        <w:rPr>
          <w:rFonts w:cs="Arial"/>
          <w:bCs/>
        </w:rPr>
        <w:t>en el año 2021</w:t>
      </w:r>
      <w:r w:rsidR="004B3988" w:rsidRPr="009F39B2">
        <w:rPr>
          <w:rFonts w:cs="Arial"/>
          <w:bCs/>
        </w:rPr>
        <w:t>,</w:t>
      </w:r>
      <w:r w:rsidR="005D2932" w:rsidRPr="009F39B2">
        <w:rPr>
          <w:rFonts w:cs="Arial"/>
          <w:bCs/>
        </w:rPr>
        <w:t xml:space="preserve"> con el extremo </w:t>
      </w:r>
      <w:r w:rsidR="00D868AB" w:rsidRPr="009F39B2">
        <w:rPr>
          <w:rFonts w:cs="Arial"/>
          <w:bCs/>
        </w:rPr>
        <w:t>del impago</w:t>
      </w:r>
      <w:r w:rsidR="005D2932" w:rsidRPr="009F39B2">
        <w:rPr>
          <w:rFonts w:cs="Arial"/>
          <w:bCs/>
        </w:rPr>
        <w:t xml:space="preserve"> de los sueldos de las y los trabajadores al servicio del Gobierno del Estado, u</w:t>
      </w:r>
      <w:r w:rsidRPr="009F39B2">
        <w:rPr>
          <w:rFonts w:cs="Arial"/>
        </w:rPr>
        <w:t>no</w:t>
      </w:r>
      <w:r w:rsidRPr="00E45ECD">
        <w:rPr>
          <w:rFonts w:cs="Arial"/>
        </w:rPr>
        <w:t xml:space="preserve"> de l</w:t>
      </w:r>
      <w:r w:rsidR="005D2932">
        <w:rPr>
          <w:rFonts w:cs="Arial"/>
        </w:rPr>
        <w:t>os principales retos que enfrenta</w:t>
      </w:r>
      <w:r w:rsidR="009340CD">
        <w:rPr>
          <w:rFonts w:cs="Arial"/>
        </w:rPr>
        <w:t xml:space="preserve"> esta administración es el pago del</w:t>
      </w:r>
      <w:r w:rsidRPr="00E45ECD">
        <w:rPr>
          <w:rFonts w:cs="Arial"/>
        </w:rPr>
        <w:t xml:space="preserve"> saldo de la Deuda públic</w:t>
      </w:r>
      <w:r w:rsidR="009F39B2">
        <w:rPr>
          <w:rFonts w:cs="Arial"/>
        </w:rPr>
        <w:t>a de Largo Plazo y adeudos con p</w:t>
      </w:r>
      <w:r w:rsidRPr="00E45ECD">
        <w:rPr>
          <w:rFonts w:cs="Arial"/>
        </w:rPr>
        <w:t>roveedores heredadas de la administración estatal 2016-2021, por un monto cercano a los 11 mil mill</w:t>
      </w:r>
      <w:r w:rsidR="005D2932">
        <w:rPr>
          <w:rFonts w:cs="Arial"/>
        </w:rPr>
        <w:t>ones de pesos. Esta herencia ha</w:t>
      </w:r>
      <w:r w:rsidRPr="00E45ECD">
        <w:rPr>
          <w:rFonts w:cs="Arial"/>
        </w:rPr>
        <w:t xml:space="preserve"> deja</w:t>
      </w:r>
      <w:r w:rsidR="005D2932">
        <w:rPr>
          <w:rFonts w:cs="Arial"/>
        </w:rPr>
        <w:t>do</w:t>
      </w:r>
      <w:r w:rsidRPr="00E45ECD">
        <w:rPr>
          <w:rFonts w:cs="Arial"/>
        </w:rPr>
        <w:t xml:space="preserve"> en una difícil situación de las finanzas públicas estatales. Para lo cual se </w:t>
      </w:r>
      <w:r w:rsidR="005D2932">
        <w:rPr>
          <w:rFonts w:cs="Arial"/>
        </w:rPr>
        <w:t xml:space="preserve">seguirá impulsando una política de austeridad, </w:t>
      </w:r>
      <w:r w:rsidRPr="00E45ECD">
        <w:rPr>
          <w:rFonts w:cs="Arial"/>
        </w:rPr>
        <w:t>para disminuir el costo de operación de</w:t>
      </w:r>
      <w:r w:rsidR="009340CD">
        <w:rPr>
          <w:rFonts w:cs="Arial"/>
        </w:rPr>
        <w:t xml:space="preserve">l aparato gubernamental estatal y con ello poder canalizar recursos al pago de adeudos fiscales anteriores. </w:t>
      </w:r>
    </w:p>
    <w:p w14:paraId="21503DF4" w14:textId="2985B80A" w:rsidR="00212613" w:rsidRDefault="00212613" w:rsidP="00212613">
      <w:pPr>
        <w:spacing w:after="120"/>
        <w:rPr>
          <w:rFonts w:cs="Arial"/>
        </w:rPr>
      </w:pPr>
      <w:r w:rsidRPr="00E45ECD">
        <w:rPr>
          <w:rFonts w:cs="Arial"/>
        </w:rPr>
        <w:t>Es importante considerar que duran</w:t>
      </w:r>
      <w:r w:rsidR="009F39B2">
        <w:rPr>
          <w:rFonts w:cs="Arial"/>
        </w:rPr>
        <w:t>te el ejercicio fiscal pudieran suscitarse</w:t>
      </w:r>
      <w:r w:rsidRPr="00E45ECD">
        <w:rPr>
          <w:rFonts w:cs="Arial"/>
        </w:rPr>
        <w:t xml:space="preserve"> desviaciones con respecto a lo esperado en el momento de elaborar y aprobar el Paquete Económico 202</w:t>
      </w:r>
      <w:r w:rsidR="00A63A40" w:rsidRPr="00E45ECD">
        <w:rPr>
          <w:rFonts w:cs="Arial"/>
        </w:rPr>
        <w:t>3</w:t>
      </w:r>
      <w:r w:rsidRPr="00E45ECD">
        <w:rPr>
          <w:rFonts w:cs="Arial"/>
        </w:rPr>
        <w:t xml:space="preserve"> debido a choques macroeconómicos externos </w:t>
      </w:r>
      <w:r w:rsidR="00C12CF4">
        <w:rPr>
          <w:rFonts w:cs="Arial"/>
        </w:rPr>
        <w:t xml:space="preserve">y otros factores no previsibles que pueden incidir directamente sobre la hacienda pública estatal. </w:t>
      </w:r>
    </w:p>
    <w:p w14:paraId="12414AE8" w14:textId="4DCAFE60" w:rsidR="00546FA8" w:rsidRDefault="00546FA8" w:rsidP="00212613">
      <w:pPr>
        <w:spacing w:after="120"/>
        <w:rPr>
          <w:rFonts w:cs="Arial"/>
        </w:rPr>
      </w:pPr>
    </w:p>
    <w:p w14:paraId="7F8D8FF9" w14:textId="00522BDF" w:rsidR="00546FA8" w:rsidRDefault="00546FA8" w:rsidP="00212613">
      <w:pPr>
        <w:spacing w:after="120"/>
        <w:rPr>
          <w:rFonts w:cs="Arial"/>
        </w:rPr>
      </w:pPr>
    </w:p>
    <w:p w14:paraId="6B69A968" w14:textId="2B8C49BC" w:rsidR="00546FA8" w:rsidRDefault="00546FA8" w:rsidP="00212613">
      <w:pPr>
        <w:spacing w:after="120"/>
        <w:rPr>
          <w:rFonts w:cs="Arial"/>
        </w:rPr>
      </w:pPr>
    </w:p>
    <w:p w14:paraId="3FF576E8" w14:textId="0F55FF9D" w:rsidR="00546FA8" w:rsidRDefault="00546FA8" w:rsidP="00212613">
      <w:pPr>
        <w:spacing w:after="120"/>
        <w:rPr>
          <w:rFonts w:cs="Arial"/>
        </w:rPr>
      </w:pPr>
    </w:p>
    <w:p w14:paraId="713BE9F2" w14:textId="46065391" w:rsidR="00546FA8" w:rsidRDefault="00546FA8" w:rsidP="00212613">
      <w:pPr>
        <w:spacing w:after="120"/>
        <w:rPr>
          <w:rFonts w:cs="Arial"/>
        </w:rPr>
      </w:pPr>
    </w:p>
    <w:p w14:paraId="7BC0BA63" w14:textId="516AF5EC" w:rsidR="00546FA8" w:rsidRDefault="00546FA8" w:rsidP="00212613">
      <w:pPr>
        <w:spacing w:after="120"/>
        <w:rPr>
          <w:rFonts w:cs="Arial"/>
        </w:rPr>
      </w:pPr>
    </w:p>
    <w:p w14:paraId="0F692EB0" w14:textId="1C8C98E2" w:rsidR="00546FA8" w:rsidRDefault="00546FA8" w:rsidP="00212613">
      <w:pPr>
        <w:spacing w:after="120"/>
        <w:rPr>
          <w:rFonts w:cs="Arial"/>
        </w:rPr>
      </w:pPr>
    </w:p>
    <w:p w14:paraId="58D1D557" w14:textId="69B81886" w:rsidR="00546FA8" w:rsidRDefault="00546FA8" w:rsidP="00212613">
      <w:pPr>
        <w:spacing w:after="120"/>
        <w:rPr>
          <w:rFonts w:cs="Arial"/>
        </w:rPr>
      </w:pPr>
    </w:p>
    <w:p w14:paraId="5691B5A7" w14:textId="6201F3A6" w:rsidR="00546FA8" w:rsidRDefault="00546FA8" w:rsidP="00212613">
      <w:pPr>
        <w:spacing w:after="120"/>
        <w:rPr>
          <w:rFonts w:cs="Arial"/>
        </w:rPr>
      </w:pPr>
    </w:p>
    <w:p w14:paraId="7FED11A0" w14:textId="433D5015" w:rsidR="00546FA8" w:rsidRDefault="00546FA8" w:rsidP="00212613">
      <w:pPr>
        <w:spacing w:after="120"/>
        <w:rPr>
          <w:rFonts w:cs="Arial"/>
        </w:rPr>
      </w:pPr>
    </w:p>
    <w:p w14:paraId="22361C95" w14:textId="363C23BA" w:rsidR="00546FA8" w:rsidRDefault="00546FA8" w:rsidP="00212613">
      <w:pPr>
        <w:spacing w:after="120"/>
        <w:rPr>
          <w:rFonts w:cs="Arial"/>
        </w:rPr>
      </w:pPr>
    </w:p>
    <w:p w14:paraId="3C3365FF" w14:textId="2D31DA24" w:rsidR="00546FA8" w:rsidRDefault="00546FA8" w:rsidP="00212613">
      <w:pPr>
        <w:spacing w:after="120"/>
        <w:rPr>
          <w:rFonts w:cs="Arial"/>
        </w:rPr>
      </w:pPr>
    </w:p>
    <w:p w14:paraId="6C8A7449" w14:textId="679B238D" w:rsidR="00546FA8" w:rsidRDefault="00546FA8" w:rsidP="00212613">
      <w:pPr>
        <w:spacing w:after="120"/>
        <w:rPr>
          <w:rFonts w:cs="Arial"/>
        </w:rPr>
      </w:pPr>
    </w:p>
    <w:p w14:paraId="45AFB79B" w14:textId="55CA40BE" w:rsidR="00546FA8" w:rsidRDefault="00546FA8" w:rsidP="00212613">
      <w:pPr>
        <w:spacing w:after="120"/>
        <w:rPr>
          <w:rFonts w:cs="Arial"/>
        </w:rPr>
      </w:pPr>
    </w:p>
    <w:p w14:paraId="4B22A598" w14:textId="77777777" w:rsidR="00546FA8" w:rsidRPr="00E45ECD" w:rsidRDefault="00546FA8" w:rsidP="00212613">
      <w:pPr>
        <w:spacing w:after="120"/>
        <w:rPr>
          <w:rFonts w:cs="Arial"/>
        </w:rPr>
      </w:pPr>
    </w:p>
    <w:p w14:paraId="6DF31C0F" w14:textId="4A9F01B3" w:rsidR="00F40C0F" w:rsidRPr="00A55906" w:rsidRDefault="00A52157" w:rsidP="0045406C">
      <w:pPr>
        <w:pStyle w:val="Ttulo2"/>
      </w:pPr>
      <w:r>
        <w:lastRenderedPageBreak/>
        <w:t>2.</w:t>
      </w:r>
      <w:r w:rsidR="00F40C0F" w:rsidRPr="00A55906">
        <w:t>IV. Los resultados de las finanzas públicas que abarquen un periodo de los cinco últimos años y el ejercicio fiscal en cuestión, de acuerdo con los formatos que emita el Consejo Nacional de Armonización Contable para este fin.</w:t>
      </w:r>
    </w:p>
    <w:p w14:paraId="6E325CAE" w14:textId="77777777" w:rsidR="00C10988" w:rsidRDefault="00C10988" w:rsidP="00A3747F">
      <w:pPr>
        <w:rPr>
          <w:rFonts w:cs="Arial"/>
          <w:b/>
          <w:bCs/>
        </w:rPr>
      </w:pPr>
    </w:p>
    <w:p w14:paraId="7B79E681" w14:textId="0335F147" w:rsidR="009F39B2" w:rsidRPr="002B51DF" w:rsidRDefault="00A52157" w:rsidP="009F39B2">
      <w:pPr>
        <w:rPr>
          <w:rFonts w:cs="Arial"/>
          <w:bCs/>
        </w:rPr>
      </w:pPr>
      <w:r w:rsidRPr="00065E18">
        <w:rPr>
          <w:b/>
        </w:rPr>
        <w:t>2.IV.A</w:t>
      </w:r>
      <w:r w:rsidR="00F40C0F" w:rsidRPr="00A55906">
        <w:t xml:space="preserve"> </w:t>
      </w:r>
      <w:r w:rsidR="009F39B2" w:rsidRPr="009F39B2">
        <w:rPr>
          <w:rFonts w:cs="Arial"/>
          <w:b/>
          <w:bCs/>
        </w:rPr>
        <w:t>Formato</w:t>
      </w:r>
      <w:r w:rsidR="009F39B2">
        <w:rPr>
          <w:rFonts w:cs="Arial"/>
          <w:b/>
          <w:bCs/>
        </w:rPr>
        <w:t xml:space="preserve"> 7</w:t>
      </w:r>
      <w:r w:rsidR="009F39B2" w:rsidRPr="009F39B2">
        <w:rPr>
          <w:rFonts w:cs="Arial"/>
          <w:b/>
          <w:bCs/>
        </w:rPr>
        <w:t>c)   Resultados de Ingresos – LDF</w:t>
      </w:r>
    </w:p>
    <w:p w14:paraId="746E1F41" w14:textId="7DF6ADE3" w:rsidR="00F40C0F" w:rsidRPr="00A55906" w:rsidRDefault="00F40C0F" w:rsidP="009F39B2">
      <w:pPr>
        <w:pStyle w:val="Ttulo3"/>
        <w:rPr>
          <w:rFonts w:cs="Arial"/>
          <w:color w:val="000000"/>
          <w:vertAlign w:val="superscript"/>
        </w:rPr>
      </w:pPr>
    </w:p>
    <w:p w14:paraId="1BBF1A9F" w14:textId="236D7040" w:rsidR="002B51DF" w:rsidRDefault="00C12CF4" w:rsidP="00A3747F">
      <w:pPr>
        <w:rPr>
          <w:rFonts w:cs="Arial"/>
          <w:b/>
          <w:bCs/>
        </w:rPr>
      </w:pPr>
      <w:r w:rsidRPr="00C12CF4">
        <w:rPr>
          <w:noProof/>
        </w:rPr>
        <w:drawing>
          <wp:inline distT="0" distB="0" distL="0" distR="0" wp14:anchorId="3BDE43BB" wp14:editId="3AF60B4D">
            <wp:extent cx="5612130" cy="4643681"/>
            <wp:effectExtent l="0" t="0" r="762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4643681"/>
                    </a:xfrm>
                    <a:prstGeom prst="rect">
                      <a:avLst/>
                    </a:prstGeom>
                    <a:noFill/>
                    <a:ln>
                      <a:noFill/>
                    </a:ln>
                  </pic:spPr>
                </pic:pic>
              </a:graphicData>
            </a:graphic>
          </wp:inline>
        </w:drawing>
      </w:r>
    </w:p>
    <w:p w14:paraId="1ED1B11B" w14:textId="49CDE7E1" w:rsidR="002B51DF" w:rsidRPr="00C12CF4" w:rsidRDefault="002B51DF" w:rsidP="002B51DF">
      <w:pPr>
        <w:ind w:left="284" w:hanging="284"/>
        <w:rPr>
          <w:rFonts w:cs="Arial"/>
          <w:sz w:val="14"/>
        </w:rPr>
      </w:pPr>
      <w:r w:rsidRPr="00C12CF4">
        <w:rPr>
          <w:rFonts w:cs="Arial"/>
          <w:sz w:val="14"/>
        </w:rPr>
        <w:t>1.</w:t>
      </w:r>
      <w:r w:rsidRPr="00C12CF4">
        <w:rPr>
          <w:rFonts w:cs="Arial"/>
          <w:sz w:val="14"/>
        </w:rPr>
        <w:tab/>
        <w:t>Los importes corresponden al momento contable de los ingresos devengados.</w:t>
      </w:r>
    </w:p>
    <w:p w14:paraId="6D842010" w14:textId="2FF0D732" w:rsidR="002B51DF" w:rsidRPr="00C12CF4" w:rsidRDefault="002B51DF" w:rsidP="002B51DF">
      <w:pPr>
        <w:ind w:left="284" w:hanging="284"/>
        <w:rPr>
          <w:rFonts w:cs="Arial"/>
          <w:sz w:val="14"/>
        </w:rPr>
      </w:pPr>
      <w:r w:rsidRPr="00C12CF4">
        <w:rPr>
          <w:rFonts w:cs="Arial"/>
          <w:sz w:val="14"/>
        </w:rPr>
        <w:t>2.</w:t>
      </w:r>
      <w:r w:rsidRPr="00C12CF4">
        <w:rPr>
          <w:rFonts w:cs="Arial"/>
          <w:sz w:val="14"/>
        </w:rPr>
        <w:tab/>
        <w:t xml:space="preserve">Los importes corresponden a los ingresos devengados al cierre del tercer trimestre de 2022 y estimados para el resto del ejercicio. </w:t>
      </w:r>
    </w:p>
    <w:p w14:paraId="105F9371" w14:textId="6653003C" w:rsidR="002B51DF" w:rsidRPr="00C12CF4" w:rsidRDefault="002B51DF" w:rsidP="002B51DF">
      <w:pPr>
        <w:rPr>
          <w:rFonts w:cs="Arial"/>
          <w:sz w:val="14"/>
        </w:rPr>
      </w:pPr>
      <w:r w:rsidRPr="00C12CF4">
        <w:rPr>
          <w:rFonts w:cs="Arial"/>
          <w:b/>
          <w:sz w:val="14"/>
        </w:rPr>
        <w:t>Fuente</w:t>
      </w:r>
      <w:r w:rsidRPr="00C12CF4">
        <w:rPr>
          <w:rFonts w:cs="Arial"/>
          <w:sz w:val="14"/>
        </w:rPr>
        <w:t>: Cuentas públicas anuales</w:t>
      </w:r>
    </w:p>
    <w:p w14:paraId="0F658E36" w14:textId="1544EDB2" w:rsidR="0061497B" w:rsidRPr="00C12CF4" w:rsidRDefault="0061497B">
      <w:pPr>
        <w:spacing w:after="160" w:line="259" w:lineRule="auto"/>
        <w:rPr>
          <w:rFonts w:cs="Arial"/>
          <w:b/>
          <w:bCs/>
          <w:sz w:val="18"/>
        </w:rPr>
      </w:pPr>
      <w:r w:rsidRPr="00C12CF4">
        <w:rPr>
          <w:rFonts w:cs="Arial"/>
          <w:b/>
          <w:bCs/>
          <w:sz w:val="18"/>
        </w:rPr>
        <w:br w:type="page"/>
      </w:r>
    </w:p>
    <w:p w14:paraId="3FB20310" w14:textId="307640F8" w:rsidR="00F40C0F" w:rsidRPr="00A55906" w:rsidRDefault="00A52157" w:rsidP="00A65C89">
      <w:pPr>
        <w:pStyle w:val="Ttulo2"/>
      </w:pPr>
      <w:r>
        <w:lastRenderedPageBreak/>
        <w:t xml:space="preserve">2.IV.B </w:t>
      </w:r>
      <w:r w:rsidR="009F39B2">
        <w:t xml:space="preserve">Formato 7d) </w:t>
      </w:r>
      <w:r w:rsidR="00F40C0F" w:rsidRPr="00A55906">
        <w:t>Resultados de Egresos – LDF</w:t>
      </w:r>
    </w:p>
    <w:p w14:paraId="52025E6F" w14:textId="77777777" w:rsidR="00F40C0F" w:rsidRPr="00A55906" w:rsidRDefault="00F40C0F" w:rsidP="00A3747F">
      <w:pPr>
        <w:rPr>
          <w:rFonts w:cs="Arial"/>
          <w:b/>
          <w:bCs/>
        </w:rPr>
      </w:pPr>
    </w:p>
    <w:p w14:paraId="3FED9769" w14:textId="1A3DF6C5" w:rsidR="00F40C0F" w:rsidRPr="00A55906" w:rsidRDefault="00812417" w:rsidP="009F39B2">
      <w:pPr>
        <w:rPr>
          <w:rFonts w:cs="Arial"/>
          <w:b/>
          <w:bCs/>
        </w:rPr>
      </w:pPr>
      <w:r w:rsidRPr="00812417">
        <w:rPr>
          <w:noProof/>
        </w:rPr>
        <w:drawing>
          <wp:inline distT="0" distB="0" distL="0" distR="0" wp14:anchorId="1DC4C052" wp14:editId="12BE1928">
            <wp:extent cx="6074797" cy="3337447"/>
            <wp:effectExtent l="0" t="0" r="254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0764" cy="3346219"/>
                    </a:xfrm>
                    <a:prstGeom prst="rect">
                      <a:avLst/>
                    </a:prstGeom>
                    <a:noFill/>
                    <a:ln>
                      <a:noFill/>
                    </a:ln>
                  </pic:spPr>
                </pic:pic>
              </a:graphicData>
            </a:graphic>
          </wp:inline>
        </w:drawing>
      </w:r>
    </w:p>
    <w:p w14:paraId="2AEE47F2" w14:textId="77777777" w:rsidR="005A5546" w:rsidRDefault="005A5546" w:rsidP="00A3747F">
      <w:pPr>
        <w:rPr>
          <w:rFonts w:cs="Arial"/>
          <w:b/>
          <w:bCs/>
        </w:rPr>
      </w:pPr>
      <w:r>
        <w:rPr>
          <w:rFonts w:cs="Arial"/>
          <w:b/>
          <w:bCs/>
        </w:rPr>
        <w:br w:type="page"/>
      </w:r>
    </w:p>
    <w:p w14:paraId="18D67974" w14:textId="272B5DE9" w:rsidR="00F40C0F" w:rsidRPr="00A55906" w:rsidRDefault="00A52157" w:rsidP="0045406C">
      <w:pPr>
        <w:pStyle w:val="Ttulo2"/>
      </w:pPr>
      <w:r>
        <w:lastRenderedPageBreak/>
        <w:t>2.</w:t>
      </w:r>
      <w:r w:rsidR="00F40C0F" w:rsidRPr="00A55906">
        <w:t>V. Un estudio actuarial de las pensiones de sus trabajadores, el cual como mínimo deberá actualizarse cada tres años. El estudio deberá incluir la población afiliada, la edad promedio, las características de las prestaciones otorgadas por la ley aplicable, el monto de reservas de pensiones, así como el periodo de suficiencia y el balance actuarial en valor presente.</w:t>
      </w:r>
    </w:p>
    <w:p w14:paraId="76FE169A" w14:textId="77777777" w:rsidR="00F40C0F" w:rsidRPr="00A55906" w:rsidRDefault="00F40C0F" w:rsidP="00A3747F">
      <w:pPr>
        <w:rPr>
          <w:rFonts w:cs="Arial"/>
          <w:b/>
          <w:bCs/>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8"/>
        <w:gridCol w:w="1402"/>
        <w:gridCol w:w="522"/>
        <w:gridCol w:w="1230"/>
        <w:gridCol w:w="1324"/>
        <w:gridCol w:w="1466"/>
        <w:gridCol w:w="1418"/>
      </w:tblGrid>
      <w:tr w:rsidR="00BC7ABF" w:rsidRPr="00790D90" w14:paraId="19B0A64A" w14:textId="77777777" w:rsidTr="00B6123B">
        <w:trPr>
          <w:trHeight w:val="221"/>
          <w:tblHeader/>
          <w:jc w:val="center"/>
        </w:trPr>
        <w:tc>
          <w:tcPr>
            <w:tcW w:w="9640" w:type="dxa"/>
            <w:gridSpan w:val="7"/>
            <w:tcBorders>
              <w:top w:val="nil"/>
              <w:left w:val="nil"/>
              <w:bottom w:val="nil"/>
              <w:right w:val="nil"/>
            </w:tcBorders>
            <w:shd w:val="clear" w:color="auto" w:fill="auto"/>
            <w:noWrap/>
            <w:vAlign w:val="center"/>
            <w:hideMark/>
          </w:tcPr>
          <w:p w14:paraId="2599D5ED" w14:textId="77777777" w:rsidR="00BC7ABF" w:rsidRPr="00790D90" w:rsidRDefault="00BC7ABF" w:rsidP="00867DD0">
            <w:pPr>
              <w:jc w:val="center"/>
              <w:rPr>
                <w:rFonts w:eastAsia="Times New Roman" w:cs="Arial"/>
                <w:b/>
                <w:bCs/>
                <w:sz w:val="20"/>
                <w:szCs w:val="20"/>
              </w:rPr>
            </w:pPr>
            <w:r w:rsidRPr="00790D90">
              <w:rPr>
                <w:rFonts w:eastAsia="Times New Roman" w:cs="Arial"/>
                <w:b/>
                <w:bCs/>
                <w:sz w:val="20"/>
                <w:szCs w:val="20"/>
              </w:rPr>
              <w:t>Instituto de Pensiones de los Servidores Públicos del Estado de Colima</w:t>
            </w:r>
          </w:p>
        </w:tc>
      </w:tr>
      <w:tr w:rsidR="00BC7ABF" w:rsidRPr="00790D90" w14:paraId="6B239148" w14:textId="77777777" w:rsidTr="00B6123B">
        <w:trPr>
          <w:trHeight w:val="281"/>
          <w:tblHeader/>
          <w:jc w:val="center"/>
        </w:trPr>
        <w:tc>
          <w:tcPr>
            <w:tcW w:w="9640" w:type="dxa"/>
            <w:gridSpan w:val="7"/>
            <w:tcBorders>
              <w:top w:val="nil"/>
              <w:left w:val="nil"/>
              <w:bottom w:val="single" w:sz="4" w:space="0" w:color="auto"/>
              <w:right w:val="nil"/>
            </w:tcBorders>
            <w:shd w:val="clear" w:color="auto" w:fill="auto"/>
            <w:noWrap/>
            <w:vAlign w:val="center"/>
            <w:hideMark/>
          </w:tcPr>
          <w:p w14:paraId="28E81969" w14:textId="77777777" w:rsidR="00BC7ABF" w:rsidRPr="00790D90" w:rsidRDefault="00BC7ABF" w:rsidP="00867DD0">
            <w:pPr>
              <w:jc w:val="center"/>
              <w:rPr>
                <w:rFonts w:eastAsia="Times New Roman" w:cs="Arial"/>
                <w:b/>
                <w:bCs/>
                <w:sz w:val="20"/>
                <w:szCs w:val="20"/>
              </w:rPr>
            </w:pPr>
            <w:r w:rsidRPr="00790D90">
              <w:rPr>
                <w:rFonts w:eastAsia="Times New Roman" w:cs="Arial"/>
                <w:b/>
                <w:bCs/>
                <w:sz w:val="20"/>
                <w:szCs w:val="20"/>
              </w:rPr>
              <w:t>Informe sobre Estudios Actuariales - LDF</w:t>
            </w:r>
          </w:p>
        </w:tc>
      </w:tr>
      <w:tr w:rsidR="00BC7ABF" w:rsidRPr="00790D90" w14:paraId="33F9A848" w14:textId="77777777" w:rsidTr="00812417">
        <w:trPr>
          <w:trHeight w:val="560"/>
          <w:tblHeader/>
          <w:jc w:val="center"/>
        </w:trPr>
        <w:tc>
          <w:tcPr>
            <w:tcW w:w="227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4E896394" w14:textId="77777777" w:rsidR="00BC7ABF" w:rsidRPr="00790D90" w:rsidRDefault="00BC7ABF" w:rsidP="00867DD0">
            <w:pPr>
              <w:jc w:val="center"/>
              <w:rPr>
                <w:rFonts w:eastAsia="Times New Roman" w:cs="Arial"/>
                <w:b/>
                <w:bCs/>
                <w:sz w:val="16"/>
                <w:szCs w:val="16"/>
              </w:rPr>
            </w:pPr>
            <w:r w:rsidRPr="00790D90">
              <w:rPr>
                <w:rFonts w:eastAsia="Times New Roman" w:cs="Arial"/>
                <w:b/>
                <w:bCs/>
                <w:sz w:val="16"/>
                <w:szCs w:val="16"/>
              </w:rPr>
              <w:t> </w:t>
            </w:r>
          </w:p>
        </w:tc>
        <w:tc>
          <w:tcPr>
            <w:tcW w:w="140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07BDF850" w14:textId="77777777" w:rsidR="00BC7ABF" w:rsidRPr="00790D90" w:rsidRDefault="00BC7ABF" w:rsidP="00867DD0">
            <w:pPr>
              <w:jc w:val="center"/>
              <w:rPr>
                <w:rFonts w:eastAsia="Times New Roman" w:cs="Arial"/>
                <w:b/>
                <w:bCs/>
                <w:sz w:val="16"/>
                <w:szCs w:val="16"/>
              </w:rPr>
            </w:pPr>
            <w:r w:rsidRPr="00790D90">
              <w:rPr>
                <w:rFonts w:eastAsia="Times New Roman" w:cs="Arial"/>
                <w:b/>
                <w:bCs/>
                <w:sz w:val="16"/>
                <w:szCs w:val="16"/>
              </w:rPr>
              <w:t>Pensiones y jubilaciones</w:t>
            </w:r>
          </w:p>
        </w:tc>
        <w:tc>
          <w:tcPr>
            <w:tcW w:w="522"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1DEBDCD9" w14:textId="77777777" w:rsidR="00BC7ABF" w:rsidRPr="00790D90" w:rsidRDefault="00BC7ABF" w:rsidP="00867DD0">
            <w:pPr>
              <w:jc w:val="center"/>
              <w:rPr>
                <w:rFonts w:eastAsia="Times New Roman" w:cs="Arial"/>
                <w:b/>
                <w:bCs/>
                <w:sz w:val="16"/>
                <w:szCs w:val="16"/>
              </w:rPr>
            </w:pPr>
            <w:r w:rsidRPr="00790D90">
              <w:rPr>
                <w:rFonts w:eastAsia="Times New Roman" w:cs="Arial"/>
                <w:b/>
                <w:bCs/>
                <w:sz w:val="14"/>
                <w:szCs w:val="14"/>
              </w:rPr>
              <w:t>Salud</w:t>
            </w:r>
          </w:p>
        </w:tc>
        <w:tc>
          <w:tcPr>
            <w:tcW w:w="1230"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C8424C1" w14:textId="77777777" w:rsidR="00BC7ABF" w:rsidRPr="00790D90" w:rsidRDefault="00BC7ABF" w:rsidP="00867DD0">
            <w:pPr>
              <w:jc w:val="center"/>
              <w:rPr>
                <w:rFonts w:eastAsia="Times New Roman" w:cs="Arial"/>
                <w:b/>
                <w:bCs/>
                <w:sz w:val="16"/>
                <w:szCs w:val="16"/>
              </w:rPr>
            </w:pPr>
            <w:r w:rsidRPr="00790D90">
              <w:rPr>
                <w:rFonts w:eastAsia="Times New Roman" w:cs="Arial"/>
                <w:b/>
                <w:bCs/>
                <w:sz w:val="16"/>
                <w:szCs w:val="16"/>
              </w:rPr>
              <w:t>Riesgos de trabajo</w:t>
            </w:r>
          </w:p>
        </w:tc>
        <w:tc>
          <w:tcPr>
            <w:tcW w:w="1324"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482FB98" w14:textId="77777777" w:rsidR="00BC7ABF" w:rsidRPr="00790D90" w:rsidRDefault="00BC7ABF" w:rsidP="00867DD0">
            <w:pPr>
              <w:jc w:val="center"/>
              <w:rPr>
                <w:rFonts w:eastAsia="Times New Roman" w:cs="Arial"/>
                <w:b/>
                <w:bCs/>
                <w:sz w:val="16"/>
                <w:szCs w:val="16"/>
              </w:rPr>
            </w:pPr>
            <w:r w:rsidRPr="00790D90">
              <w:rPr>
                <w:rFonts w:eastAsia="Times New Roman" w:cs="Arial"/>
                <w:b/>
                <w:bCs/>
                <w:sz w:val="16"/>
                <w:szCs w:val="16"/>
              </w:rPr>
              <w:t>Invalidez y vida</w:t>
            </w:r>
          </w:p>
        </w:tc>
        <w:tc>
          <w:tcPr>
            <w:tcW w:w="146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5FFADD3E" w14:textId="77777777" w:rsidR="00BC7ABF" w:rsidRPr="00790D90" w:rsidRDefault="00BC7ABF" w:rsidP="00867DD0">
            <w:pPr>
              <w:jc w:val="center"/>
              <w:rPr>
                <w:rFonts w:eastAsia="Times New Roman" w:cs="Arial"/>
                <w:b/>
                <w:bCs/>
                <w:sz w:val="16"/>
                <w:szCs w:val="16"/>
              </w:rPr>
            </w:pPr>
            <w:r w:rsidRPr="00790D90">
              <w:rPr>
                <w:rFonts w:eastAsia="Times New Roman" w:cs="Arial"/>
                <w:b/>
                <w:bCs/>
                <w:sz w:val="16"/>
                <w:szCs w:val="16"/>
              </w:rPr>
              <w:t>Otras prestaciones sociales</w:t>
            </w:r>
          </w:p>
        </w:tc>
        <w:tc>
          <w:tcPr>
            <w:tcW w:w="1418"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36068A70" w14:textId="77777777" w:rsidR="00BC7ABF" w:rsidRPr="00790D90" w:rsidRDefault="00BC7ABF" w:rsidP="00867DD0">
            <w:pPr>
              <w:jc w:val="center"/>
              <w:rPr>
                <w:rFonts w:eastAsia="Times New Roman" w:cs="Arial"/>
                <w:b/>
                <w:bCs/>
                <w:sz w:val="16"/>
                <w:szCs w:val="16"/>
              </w:rPr>
            </w:pPr>
            <w:r w:rsidRPr="00790D90">
              <w:rPr>
                <w:rFonts w:eastAsia="Times New Roman" w:cs="Arial"/>
                <w:b/>
                <w:bCs/>
                <w:sz w:val="16"/>
                <w:szCs w:val="16"/>
              </w:rPr>
              <w:t>Total</w:t>
            </w:r>
          </w:p>
        </w:tc>
      </w:tr>
      <w:tr w:rsidR="00BC7ABF" w:rsidRPr="00790D90" w14:paraId="2DAA7BF4" w14:textId="77777777" w:rsidTr="00B6123B">
        <w:trPr>
          <w:trHeight w:val="280"/>
          <w:jc w:val="center"/>
        </w:trPr>
        <w:tc>
          <w:tcPr>
            <w:tcW w:w="2278" w:type="dxa"/>
            <w:tcBorders>
              <w:top w:val="single" w:sz="4" w:space="0" w:color="auto"/>
            </w:tcBorders>
            <w:shd w:val="clear" w:color="auto" w:fill="auto"/>
            <w:noWrap/>
            <w:vAlign w:val="center"/>
            <w:hideMark/>
          </w:tcPr>
          <w:p w14:paraId="0BB99179" w14:textId="77777777" w:rsidR="00BC7ABF" w:rsidRPr="00790D90" w:rsidRDefault="00BC7ABF" w:rsidP="00867DD0">
            <w:pPr>
              <w:rPr>
                <w:rFonts w:eastAsia="Times New Roman" w:cs="Arial"/>
                <w:b/>
                <w:bCs/>
                <w:color w:val="000000"/>
                <w:sz w:val="14"/>
                <w:szCs w:val="14"/>
              </w:rPr>
            </w:pPr>
            <w:r w:rsidRPr="00790D90">
              <w:rPr>
                <w:rFonts w:eastAsia="Times New Roman" w:cs="Arial"/>
                <w:b/>
                <w:bCs/>
                <w:color w:val="000000"/>
                <w:sz w:val="14"/>
                <w:szCs w:val="14"/>
              </w:rPr>
              <w:t>Tipo de Sistema</w:t>
            </w:r>
          </w:p>
        </w:tc>
        <w:tc>
          <w:tcPr>
            <w:tcW w:w="1402" w:type="dxa"/>
            <w:tcBorders>
              <w:top w:val="single" w:sz="4" w:space="0" w:color="auto"/>
            </w:tcBorders>
            <w:shd w:val="clear" w:color="auto" w:fill="auto"/>
            <w:noWrap/>
            <w:vAlign w:val="center"/>
            <w:hideMark/>
          </w:tcPr>
          <w:p w14:paraId="690E9516" w14:textId="77777777" w:rsidR="00BC7ABF" w:rsidRPr="00790D90" w:rsidRDefault="00BC7ABF" w:rsidP="00867DD0">
            <w:pPr>
              <w:jc w:val="right"/>
              <w:rPr>
                <w:rFonts w:eastAsia="Times New Roman" w:cs="Arial"/>
                <w:b/>
                <w:bCs/>
                <w:color w:val="000000"/>
                <w:sz w:val="14"/>
                <w:szCs w:val="14"/>
              </w:rPr>
            </w:pPr>
            <w:r w:rsidRPr="00790D90">
              <w:rPr>
                <w:rFonts w:eastAsia="Times New Roman" w:cs="Arial"/>
                <w:b/>
                <w:bCs/>
                <w:color w:val="000000"/>
                <w:sz w:val="14"/>
                <w:szCs w:val="14"/>
              </w:rPr>
              <w:t> </w:t>
            </w:r>
          </w:p>
        </w:tc>
        <w:tc>
          <w:tcPr>
            <w:tcW w:w="522" w:type="dxa"/>
            <w:tcBorders>
              <w:top w:val="single" w:sz="4" w:space="0" w:color="auto"/>
            </w:tcBorders>
            <w:shd w:val="clear" w:color="auto" w:fill="auto"/>
            <w:noWrap/>
            <w:vAlign w:val="center"/>
            <w:hideMark/>
          </w:tcPr>
          <w:p w14:paraId="6F7A6DCB" w14:textId="77777777" w:rsidR="00BC7ABF" w:rsidRPr="00790D90" w:rsidRDefault="00BC7ABF" w:rsidP="00867DD0">
            <w:pPr>
              <w:jc w:val="right"/>
              <w:rPr>
                <w:rFonts w:eastAsia="Times New Roman" w:cs="Arial"/>
                <w:b/>
                <w:bCs/>
                <w:color w:val="000000"/>
                <w:sz w:val="14"/>
                <w:szCs w:val="14"/>
              </w:rPr>
            </w:pPr>
            <w:r w:rsidRPr="00790D90">
              <w:rPr>
                <w:rFonts w:eastAsia="Times New Roman" w:cs="Arial"/>
                <w:b/>
                <w:bCs/>
                <w:color w:val="000000"/>
                <w:sz w:val="14"/>
                <w:szCs w:val="14"/>
              </w:rPr>
              <w:t> </w:t>
            </w:r>
          </w:p>
        </w:tc>
        <w:tc>
          <w:tcPr>
            <w:tcW w:w="1230" w:type="dxa"/>
            <w:tcBorders>
              <w:top w:val="single" w:sz="4" w:space="0" w:color="auto"/>
            </w:tcBorders>
            <w:shd w:val="clear" w:color="auto" w:fill="auto"/>
            <w:noWrap/>
            <w:vAlign w:val="center"/>
            <w:hideMark/>
          </w:tcPr>
          <w:p w14:paraId="46D2E7CD" w14:textId="77777777" w:rsidR="00BC7ABF" w:rsidRPr="00790D90" w:rsidRDefault="00BC7ABF" w:rsidP="00867DD0">
            <w:pPr>
              <w:jc w:val="right"/>
              <w:rPr>
                <w:rFonts w:eastAsia="Times New Roman" w:cs="Arial"/>
                <w:b/>
                <w:bCs/>
                <w:color w:val="000000"/>
                <w:sz w:val="14"/>
                <w:szCs w:val="14"/>
              </w:rPr>
            </w:pPr>
            <w:r w:rsidRPr="00790D90">
              <w:rPr>
                <w:rFonts w:eastAsia="Times New Roman" w:cs="Arial"/>
                <w:b/>
                <w:bCs/>
                <w:color w:val="000000"/>
                <w:sz w:val="14"/>
                <w:szCs w:val="14"/>
              </w:rPr>
              <w:t> </w:t>
            </w:r>
          </w:p>
        </w:tc>
        <w:tc>
          <w:tcPr>
            <w:tcW w:w="1324" w:type="dxa"/>
            <w:tcBorders>
              <w:top w:val="single" w:sz="4" w:space="0" w:color="auto"/>
            </w:tcBorders>
            <w:shd w:val="clear" w:color="auto" w:fill="auto"/>
            <w:noWrap/>
            <w:vAlign w:val="center"/>
            <w:hideMark/>
          </w:tcPr>
          <w:p w14:paraId="24138269" w14:textId="77777777" w:rsidR="00BC7ABF" w:rsidRPr="00790D90" w:rsidRDefault="00BC7ABF" w:rsidP="00867DD0">
            <w:pPr>
              <w:jc w:val="right"/>
              <w:rPr>
                <w:rFonts w:eastAsia="Times New Roman" w:cs="Arial"/>
                <w:b/>
                <w:bCs/>
                <w:color w:val="000000"/>
                <w:sz w:val="14"/>
                <w:szCs w:val="14"/>
              </w:rPr>
            </w:pPr>
            <w:r w:rsidRPr="00790D90">
              <w:rPr>
                <w:rFonts w:eastAsia="Times New Roman" w:cs="Arial"/>
                <w:b/>
                <w:bCs/>
                <w:color w:val="000000"/>
                <w:sz w:val="14"/>
                <w:szCs w:val="14"/>
              </w:rPr>
              <w:t> </w:t>
            </w:r>
          </w:p>
        </w:tc>
        <w:tc>
          <w:tcPr>
            <w:tcW w:w="1466" w:type="dxa"/>
            <w:tcBorders>
              <w:top w:val="single" w:sz="4" w:space="0" w:color="auto"/>
            </w:tcBorders>
            <w:shd w:val="clear" w:color="auto" w:fill="auto"/>
            <w:noWrap/>
            <w:vAlign w:val="center"/>
            <w:hideMark/>
          </w:tcPr>
          <w:p w14:paraId="1B7EAEF1" w14:textId="77777777" w:rsidR="00BC7ABF" w:rsidRPr="00790D90" w:rsidRDefault="00BC7ABF" w:rsidP="00867DD0">
            <w:pPr>
              <w:jc w:val="right"/>
              <w:rPr>
                <w:rFonts w:eastAsia="Times New Roman" w:cs="Arial"/>
                <w:b/>
                <w:bCs/>
                <w:color w:val="000000"/>
                <w:sz w:val="14"/>
                <w:szCs w:val="14"/>
              </w:rPr>
            </w:pPr>
            <w:r w:rsidRPr="00790D90">
              <w:rPr>
                <w:rFonts w:eastAsia="Times New Roman" w:cs="Arial"/>
                <w:b/>
                <w:bCs/>
                <w:color w:val="000000"/>
                <w:sz w:val="14"/>
                <w:szCs w:val="14"/>
              </w:rPr>
              <w:t> </w:t>
            </w:r>
          </w:p>
        </w:tc>
        <w:tc>
          <w:tcPr>
            <w:tcW w:w="1418" w:type="dxa"/>
            <w:tcBorders>
              <w:top w:val="single" w:sz="4" w:space="0" w:color="auto"/>
            </w:tcBorders>
            <w:shd w:val="clear" w:color="auto" w:fill="auto"/>
            <w:noWrap/>
            <w:vAlign w:val="center"/>
            <w:hideMark/>
          </w:tcPr>
          <w:p w14:paraId="660A2140" w14:textId="77777777" w:rsidR="00BC7ABF" w:rsidRPr="00790D90" w:rsidRDefault="00BC7ABF" w:rsidP="00867DD0">
            <w:pPr>
              <w:jc w:val="right"/>
              <w:rPr>
                <w:rFonts w:eastAsia="Times New Roman" w:cs="Arial"/>
                <w:b/>
                <w:bCs/>
                <w:color w:val="000000"/>
                <w:sz w:val="14"/>
                <w:szCs w:val="14"/>
              </w:rPr>
            </w:pPr>
            <w:r w:rsidRPr="00790D90">
              <w:rPr>
                <w:rFonts w:eastAsia="Times New Roman" w:cs="Arial"/>
                <w:b/>
                <w:bCs/>
                <w:color w:val="000000"/>
                <w:sz w:val="14"/>
                <w:szCs w:val="14"/>
              </w:rPr>
              <w:t> </w:t>
            </w:r>
          </w:p>
        </w:tc>
      </w:tr>
      <w:tr w:rsidR="00BC7ABF" w:rsidRPr="00790D90" w14:paraId="15E00056" w14:textId="77777777" w:rsidTr="00B6123B">
        <w:trPr>
          <w:trHeight w:val="280"/>
          <w:jc w:val="center"/>
        </w:trPr>
        <w:tc>
          <w:tcPr>
            <w:tcW w:w="2278" w:type="dxa"/>
            <w:shd w:val="clear" w:color="auto" w:fill="auto"/>
            <w:noWrap/>
            <w:vAlign w:val="center"/>
            <w:hideMark/>
          </w:tcPr>
          <w:p w14:paraId="0062021B" w14:textId="77777777" w:rsidR="00BC7ABF" w:rsidRPr="00790D90" w:rsidRDefault="00BC7ABF" w:rsidP="00867DD0">
            <w:pPr>
              <w:rPr>
                <w:rFonts w:eastAsia="Times New Roman" w:cs="Arial"/>
                <w:sz w:val="14"/>
                <w:szCs w:val="14"/>
              </w:rPr>
            </w:pPr>
            <w:r w:rsidRPr="00790D90">
              <w:rPr>
                <w:rFonts w:eastAsia="Times New Roman" w:cs="Arial"/>
                <w:sz w:val="14"/>
                <w:szCs w:val="14"/>
              </w:rPr>
              <w:t>Prestación laboral o Fondo general para trabajadores del estado o municipio</w:t>
            </w:r>
          </w:p>
        </w:tc>
        <w:tc>
          <w:tcPr>
            <w:tcW w:w="1402" w:type="dxa"/>
            <w:shd w:val="clear" w:color="auto" w:fill="auto"/>
            <w:noWrap/>
            <w:vAlign w:val="center"/>
            <w:hideMark/>
          </w:tcPr>
          <w:p w14:paraId="4AF77DB4"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Prestación Laboral</w:t>
            </w:r>
          </w:p>
        </w:tc>
        <w:tc>
          <w:tcPr>
            <w:tcW w:w="522" w:type="dxa"/>
            <w:shd w:val="clear" w:color="auto" w:fill="auto"/>
            <w:noWrap/>
            <w:vAlign w:val="center"/>
            <w:hideMark/>
          </w:tcPr>
          <w:p w14:paraId="139E4F91"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3B5F222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Prestación Laboral</w:t>
            </w:r>
          </w:p>
        </w:tc>
        <w:tc>
          <w:tcPr>
            <w:tcW w:w="1324" w:type="dxa"/>
            <w:shd w:val="clear" w:color="auto" w:fill="auto"/>
            <w:noWrap/>
            <w:vAlign w:val="center"/>
            <w:hideMark/>
          </w:tcPr>
          <w:p w14:paraId="4BAD052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Prestación Laboral</w:t>
            </w:r>
          </w:p>
        </w:tc>
        <w:tc>
          <w:tcPr>
            <w:tcW w:w="1466" w:type="dxa"/>
            <w:shd w:val="clear" w:color="auto" w:fill="auto"/>
            <w:noWrap/>
            <w:vAlign w:val="center"/>
            <w:hideMark/>
          </w:tcPr>
          <w:p w14:paraId="47ABC013"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Prestación Laboral</w:t>
            </w:r>
          </w:p>
        </w:tc>
        <w:tc>
          <w:tcPr>
            <w:tcW w:w="1418" w:type="dxa"/>
            <w:shd w:val="clear" w:color="auto" w:fill="auto"/>
            <w:noWrap/>
            <w:vAlign w:val="center"/>
            <w:hideMark/>
          </w:tcPr>
          <w:p w14:paraId="22F46C0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Prestación Laboral</w:t>
            </w:r>
          </w:p>
        </w:tc>
      </w:tr>
      <w:tr w:rsidR="00BC7ABF" w:rsidRPr="00790D90" w14:paraId="13050868" w14:textId="77777777" w:rsidTr="00B6123B">
        <w:trPr>
          <w:trHeight w:val="280"/>
          <w:jc w:val="center"/>
        </w:trPr>
        <w:tc>
          <w:tcPr>
            <w:tcW w:w="2278" w:type="dxa"/>
            <w:shd w:val="clear" w:color="auto" w:fill="auto"/>
            <w:noWrap/>
            <w:vAlign w:val="center"/>
            <w:hideMark/>
          </w:tcPr>
          <w:p w14:paraId="4D79AFE5" w14:textId="77777777" w:rsidR="00BC7ABF" w:rsidRPr="00790D90" w:rsidRDefault="00BC7ABF" w:rsidP="00867DD0">
            <w:pPr>
              <w:rPr>
                <w:rFonts w:eastAsia="Times New Roman" w:cs="Arial"/>
                <w:sz w:val="14"/>
                <w:szCs w:val="14"/>
              </w:rPr>
            </w:pPr>
            <w:r w:rsidRPr="00790D90">
              <w:rPr>
                <w:rFonts w:eastAsia="Times New Roman" w:cs="Arial"/>
                <w:sz w:val="14"/>
                <w:szCs w:val="14"/>
              </w:rPr>
              <w:t>Beneficio definido, Contribución definida o Mixto</w:t>
            </w:r>
          </w:p>
        </w:tc>
        <w:tc>
          <w:tcPr>
            <w:tcW w:w="1402" w:type="dxa"/>
            <w:shd w:val="clear" w:color="auto" w:fill="auto"/>
            <w:vAlign w:val="center"/>
            <w:hideMark/>
          </w:tcPr>
          <w:p w14:paraId="505DB71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Beneficio Definido</w:t>
            </w:r>
          </w:p>
        </w:tc>
        <w:tc>
          <w:tcPr>
            <w:tcW w:w="522" w:type="dxa"/>
            <w:shd w:val="clear" w:color="auto" w:fill="auto"/>
            <w:noWrap/>
            <w:vAlign w:val="center"/>
            <w:hideMark/>
          </w:tcPr>
          <w:p w14:paraId="3644B69B"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vAlign w:val="center"/>
            <w:hideMark/>
          </w:tcPr>
          <w:p w14:paraId="051E3154"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Beneficio Definido</w:t>
            </w:r>
          </w:p>
        </w:tc>
        <w:tc>
          <w:tcPr>
            <w:tcW w:w="1324" w:type="dxa"/>
            <w:shd w:val="clear" w:color="auto" w:fill="auto"/>
            <w:vAlign w:val="center"/>
            <w:hideMark/>
          </w:tcPr>
          <w:p w14:paraId="72570EE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Beneficio Definido</w:t>
            </w:r>
          </w:p>
        </w:tc>
        <w:tc>
          <w:tcPr>
            <w:tcW w:w="1466" w:type="dxa"/>
            <w:shd w:val="clear" w:color="auto" w:fill="auto"/>
            <w:vAlign w:val="center"/>
            <w:hideMark/>
          </w:tcPr>
          <w:p w14:paraId="10E36DEA"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Beneficio Definido</w:t>
            </w:r>
          </w:p>
        </w:tc>
        <w:tc>
          <w:tcPr>
            <w:tcW w:w="1418" w:type="dxa"/>
            <w:shd w:val="clear" w:color="auto" w:fill="auto"/>
            <w:vAlign w:val="center"/>
            <w:hideMark/>
          </w:tcPr>
          <w:p w14:paraId="7FFC744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Beneficio Definido</w:t>
            </w:r>
          </w:p>
        </w:tc>
      </w:tr>
      <w:tr w:rsidR="00BC7ABF" w:rsidRPr="00790D90" w14:paraId="6C4FC497" w14:textId="77777777" w:rsidTr="00B6123B">
        <w:trPr>
          <w:trHeight w:val="280"/>
          <w:jc w:val="center"/>
        </w:trPr>
        <w:tc>
          <w:tcPr>
            <w:tcW w:w="2278" w:type="dxa"/>
            <w:shd w:val="clear" w:color="auto" w:fill="auto"/>
            <w:noWrap/>
            <w:vAlign w:val="center"/>
            <w:hideMark/>
          </w:tcPr>
          <w:p w14:paraId="43203E25" w14:textId="77777777" w:rsidR="00BC7ABF" w:rsidRPr="00790D90" w:rsidRDefault="00BC7ABF" w:rsidP="00867DD0">
            <w:pPr>
              <w:rPr>
                <w:rFonts w:eastAsia="Times New Roman" w:cs="Arial"/>
                <w:b/>
                <w:bCs/>
                <w:color w:val="000000"/>
                <w:sz w:val="14"/>
                <w:szCs w:val="14"/>
              </w:rPr>
            </w:pPr>
            <w:r w:rsidRPr="00790D90">
              <w:rPr>
                <w:rFonts w:eastAsia="Times New Roman" w:cs="Arial"/>
                <w:b/>
                <w:bCs/>
                <w:color w:val="000000"/>
                <w:sz w:val="14"/>
                <w:szCs w:val="14"/>
              </w:rPr>
              <w:t>Población afiliada</w:t>
            </w:r>
          </w:p>
        </w:tc>
        <w:tc>
          <w:tcPr>
            <w:tcW w:w="1402" w:type="dxa"/>
            <w:shd w:val="clear" w:color="auto" w:fill="auto"/>
            <w:noWrap/>
            <w:vAlign w:val="center"/>
            <w:hideMark/>
          </w:tcPr>
          <w:p w14:paraId="46FCEC67"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700618E3"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34F5A4C4"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4EBEC70C"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07E6FB05"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43389242" w14:textId="77777777" w:rsidR="00BC7ABF" w:rsidRPr="00790D90" w:rsidRDefault="00BC7ABF" w:rsidP="00867DD0">
            <w:pPr>
              <w:jc w:val="center"/>
              <w:rPr>
                <w:rFonts w:eastAsia="Times New Roman" w:cs="Arial"/>
                <w:color w:val="000000"/>
                <w:sz w:val="14"/>
                <w:szCs w:val="14"/>
              </w:rPr>
            </w:pPr>
          </w:p>
        </w:tc>
      </w:tr>
      <w:tr w:rsidR="00BC7ABF" w:rsidRPr="00790D90" w14:paraId="70C4501A" w14:textId="77777777" w:rsidTr="00B6123B">
        <w:trPr>
          <w:trHeight w:val="280"/>
          <w:jc w:val="center"/>
        </w:trPr>
        <w:tc>
          <w:tcPr>
            <w:tcW w:w="2278" w:type="dxa"/>
            <w:shd w:val="clear" w:color="auto" w:fill="auto"/>
            <w:noWrap/>
            <w:vAlign w:val="center"/>
            <w:hideMark/>
          </w:tcPr>
          <w:p w14:paraId="4B35D429" w14:textId="77777777" w:rsidR="00BC7ABF" w:rsidRPr="00790D90" w:rsidRDefault="00BC7ABF" w:rsidP="00867DD0">
            <w:pPr>
              <w:rPr>
                <w:rFonts w:eastAsia="Times New Roman" w:cs="Arial"/>
                <w:sz w:val="14"/>
                <w:szCs w:val="14"/>
              </w:rPr>
            </w:pPr>
            <w:r w:rsidRPr="00790D90">
              <w:rPr>
                <w:rFonts w:eastAsia="Times New Roman" w:cs="Arial"/>
                <w:sz w:val="14"/>
                <w:szCs w:val="14"/>
              </w:rPr>
              <w:t>Activos</w:t>
            </w:r>
          </w:p>
        </w:tc>
        <w:tc>
          <w:tcPr>
            <w:tcW w:w="1402" w:type="dxa"/>
            <w:shd w:val="clear" w:color="auto" w:fill="auto"/>
            <w:noWrap/>
            <w:vAlign w:val="center"/>
            <w:hideMark/>
          </w:tcPr>
          <w:p w14:paraId="6B18F3B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7,633</w:t>
            </w:r>
          </w:p>
        </w:tc>
        <w:tc>
          <w:tcPr>
            <w:tcW w:w="522" w:type="dxa"/>
            <w:shd w:val="clear" w:color="auto" w:fill="auto"/>
            <w:noWrap/>
            <w:vAlign w:val="center"/>
            <w:hideMark/>
          </w:tcPr>
          <w:p w14:paraId="374BD1D6"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72BDC47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7,633</w:t>
            </w:r>
          </w:p>
        </w:tc>
        <w:tc>
          <w:tcPr>
            <w:tcW w:w="1324" w:type="dxa"/>
            <w:shd w:val="clear" w:color="auto" w:fill="auto"/>
            <w:noWrap/>
            <w:vAlign w:val="center"/>
            <w:hideMark/>
          </w:tcPr>
          <w:p w14:paraId="7528407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7,633</w:t>
            </w:r>
          </w:p>
        </w:tc>
        <w:tc>
          <w:tcPr>
            <w:tcW w:w="1466" w:type="dxa"/>
            <w:shd w:val="clear" w:color="auto" w:fill="auto"/>
            <w:noWrap/>
            <w:vAlign w:val="center"/>
            <w:hideMark/>
          </w:tcPr>
          <w:p w14:paraId="243DC05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7,633</w:t>
            </w:r>
          </w:p>
        </w:tc>
        <w:tc>
          <w:tcPr>
            <w:tcW w:w="1418" w:type="dxa"/>
            <w:shd w:val="clear" w:color="auto" w:fill="auto"/>
            <w:noWrap/>
            <w:vAlign w:val="center"/>
            <w:hideMark/>
          </w:tcPr>
          <w:p w14:paraId="7007A7F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7,633</w:t>
            </w:r>
          </w:p>
        </w:tc>
      </w:tr>
      <w:tr w:rsidR="00BC7ABF" w:rsidRPr="00790D90" w14:paraId="7C9241BB" w14:textId="77777777" w:rsidTr="00B6123B">
        <w:trPr>
          <w:trHeight w:val="280"/>
          <w:jc w:val="center"/>
        </w:trPr>
        <w:tc>
          <w:tcPr>
            <w:tcW w:w="2278" w:type="dxa"/>
            <w:shd w:val="clear" w:color="auto" w:fill="auto"/>
            <w:noWrap/>
            <w:vAlign w:val="center"/>
            <w:hideMark/>
          </w:tcPr>
          <w:p w14:paraId="3641E278" w14:textId="77777777" w:rsidR="00BC7ABF" w:rsidRPr="00790D90" w:rsidRDefault="00BC7ABF" w:rsidP="00867DD0">
            <w:pPr>
              <w:ind w:firstLineChars="100" w:firstLine="140"/>
              <w:rPr>
                <w:rFonts w:eastAsia="Times New Roman" w:cs="Arial"/>
                <w:sz w:val="14"/>
                <w:szCs w:val="14"/>
              </w:rPr>
            </w:pPr>
            <w:r w:rsidRPr="00790D90">
              <w:rPr>
                <w:rFonts w:eastAsia="Times New Roman" w:cs="Arial"/>
                <w:sz w:val="14"/>
                <w:szCs w:val="14"/>
              </w:rPr>
              <w:t>Edad máxima</w:t>
            </w:r>
          </w:p>
        </w:tc>
        <w:tc>
          <w:tcPr>
            <w:tcW w:w="1402" w:type="dxa"/>
            <w:shd w:val="clear" w:color="auto" w:fill="auto"/>
            <w:noWrap/>
            <w:vAlign w:val="center"/>
            <w:hideMark/>
          </w:tcPr>
          <w:p w14:paraId="1899D42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90</w:t>
            </w:r>
          </w:p>
        </w:tc>
        <w:tc>
          <w:tcPr>
            <w:tcW w:w="522" w:type="dxa"/>
            <w:shd w:val="clear" w:color="auto" w:fill="auto"/>
            <w:noWrap/>
            <w:vAlign w:val="center"/>
            <w:hideMark/>
          </w:tcPr>
          <w:p w14:paraId="606CF612"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4F28EDD3"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90</w:t>
            </w:r>
          </w:p>
        </w:tc>
        <w:tc>
          <w:tcPr>
            <w:tcW w:w="1324" w:type="dxa"/>
            <w:shd w:val="clear" w:color="auto" w:fill="auto"/>
            <w:noWrap/>
            <w:vAlign w:val="center"/>
            <w:hideMark/>
          </w:tcPr>
          <w:p w14:paraId="703896F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90</w:t>
            </w:r>
          </w:p>
        </w:tc>
        <w:tc>
          <w:tcPr>
            <w:tcW w:w="1466" w:type="dxa"/>
            <w:shd w:val="clear" w:color="auto" w:fill="auto"/>
            <w:noWrap/>
            <w:vAlign w:val="center"/>
            <w:hideMark/>
          </w:tcPr>
          <w:p w14:paraId="4604370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90</w:t>
            </w:r>
          </w:p>
        </w:tc>
        <w:tc>
          <w:tcPr>
            <w:tcW w:w="1418" w:type="dxa"/>
            <w:shd w:val="clear" w:color="auto" w:fill="auto"/>
            <w:noWrap/>
            <w:vAlign w:val="center"/>
            <w:hideMark/>
          </w:tcPr>
          <w:p w14:paraId="2ABF00E6"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90</w:t>
            </w:r>
          </w:p>
        </w:tc>
      </w:tr>
      <w:tr w:rsidR="00BC7ABF" w:rsidRPr="00790D90" w14:paraId="5917515A" w14:textId="77777777" w:rsidTr="00B6123B">
        <w:trPr>
          <w:trHeight w:val="280"/>
          <w:jc w:val="center"/>
        </w:trPr>
        <w:tc>
          <w:tcPr>
            <w:tcW w:w="2278" w:type="dxa"/>
            <w:shd w:val="clear" w:color="auto" w:fill="auto"/>
            <w:noWrap/>
            <w:vAlign w:val="center"/>
            <w:hideMark/>
          </w:tcPr>
          <w:p w14:paraId="11F09C65" w14:textId="77777777" w:rsidR="00BC7ABF" w:rsidRPr="00790D90" w:rsidRDefault="00BC7ABF" w:rsidP="00867DD0">
            <w:pPr>
              <w:ind w:firstLineChars="100" w:firstLine="140"/>
              <w:rPr>
                <w:rFonts w:eastAsia="Times New Roman" w:cs="Arial"/>
                <w:sz w:val="14"/>
                <w:szCs w:val="14"/>
              </w:rPr>
            </w:pPr>
            <w:r w:rsidRPr="00790D90">
              <w:rPr>
                <w:rFonts w:eastAsia="Times New Roman" w:cs="Arial"/>
                <w:sz w:val="14"/>
                <w:szCs w:val="14"/>
              </w:rPr>
              <w:t>Edad mínima</w:t>
            </w:r>
          </w:p>
        </w:tc>
        <w:tc>
          <w:tcPr>
            <w:tcW w:w="1402" w:type="dxa"/>
            <w:shd w:val="clear" w:color="auto" w:fill="auto"/>
            <w:noWrap/>
            <w:vAlign w:val="center"/>
            <w:hideMark/>
          </w:tcPr>
          <w:p w14:paraId="56AC931A"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19</w:t>
            </w:r>
          </w:p>
        </w:tc>
        <w:tc>
          <w:tcPr>
            <w:tcW w:w="522" w:type="dxa"/>
            <w:shd w:val="clear" w:color="auto" w:fill="auto"/>
            <w:noWrap/>
            <w:vAlign w:val="center"/>
            <w:hideMark/>
          </w:tcPr>
          <w:p w14:paraId="35942011"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0E9EFAE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19</w:t>
            </w:r>
          </w:p>
        </w:tc>
        <w:tc>
          <w:tcPr>
            <w:tcW w:w="1324" w:type="dxa"/>
            <w:shd w:val="clear" w:color="auto" w:fill="auto"/>
            <w:noWrap/>
            <w:vAlign w:val="center"/>
            <w:hideMark/>
          </w:tcPr>
          <w:p w14:paraId="040D2C4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19</w:t>
            </w:r>
          </w:p>
        </w:tc>
        <w:tc>
          <w:tcPr>
            <w:tcW w:w="1466" w:type="dxa"/>
            <w:shd w:val="clear" w:color="auto" w:fill="auto"/>
            <w:noWrap/>
            <w:vAlign w:val="center"/>
            <w:hideMark/>
          </w:tcPr>
          <w:p w14:paraId="08680233"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19</w:t>
            </w:r>
          </w:p>
        </w:tc>
        <w:tc>
          <w:tcPr>
            <w:tcW w:w="1418" w:type="dxa"/>
            <w:shd w:val="clear" w:color="auto" w:fill="auto"/>
            <w:noWrap/>
            <w:vAlign w:val="center"/>
            <w:hideMark/>
          </w:tcPr>
          <w:p w14:paraId="19291BA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19</w:t>
            </w:r>
          </w:p>
        </w:tc>
      </w:tr>
      <w:tr w:rsidR="00BC7ABF" w:rsidRPr="00790D90" w14:paraId="3A70DAC5" w14:textId="77777777" w:rsidTr="00B6123B">
        <w:trPr>
          <w:trHeight w:val="280"/>
          <w:jc w:val="center"/>
        </w:trPr>
        <w:tc>
          <w:tcPr>
            <w:tcW w:w="2278" w:type="dxa"/>
            <w:shd w:val="clear" w:color="auto" w:fill="auto"/>
            <w:noWrap/>
            <w:vAlign w:val="center"/>
            <w:hideMark/>
          </w:tcPr>
          <w:p w14:paraId="6E98C88D" w14:textId="77777777" w:rsidR="00BC7ABF" w:rsidRPr="00790D90" w:rsidRDefault="00BC7ABF" w:rsidP="00867DD0">
            <w:pPr>
              <w:ind w:firstLineChars="100" w:firstLine="140"/>
              <w:rPr>
                <w:rFonts w:eastAsia="Times New Roman" w:cs="Arial"/>
                <w:sz w:val="14"/>
                <w:szCs w:val="14"/>
              </w:rPr>
            </w:pPr>
            <w:r w:rsidRPr="00790D90">
              <w:rPr>
                <w:rFonts w:eastAsia="Times New Roman" w:cs="Arial"/>
                <w:sz w:val="14"/>
                <w:szCs w:val="14"/>
              </w:rPr>
              <w:t>Edad promedio</w:t>
            </w:r>
          </w:p>
        </w:tc>
        <w:tc>
          <w:tcPr>
            <w:tcW w:w="1402" w:type="dxa"/>
            <w:shd w:val="clear" w:color="auto" w:fill="auto"/>
            <w:noWrap/>
            <w:vAlign w:val="center"/>
            <w:hideMark/>
          </w:tcPr>
          <w:p w14:paraId="7652C7C6"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42</w:t>
            </w:r>
          </w:p>
        </w:tc>
        <w:tc>
          <w:tcPr>
            <w:tcW w:w="522" w:type="dxa"/>
            <w:shd w:val="clear" w:color="auto" w:fill="auto"/>
            <w:noWrap/>
            <w:vAlign w:val="center"/>
            <w:hideMark/>
          </w:tcPr>
          <w:p w14:paraId="60C6EF30"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4AD2F2C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42</w:t>
            </w:r>
          </w:p>
        </w:tc>
        <w:tc>
          <w:tcPr>
            <w:tcW w:w="1324" w:type="dxa"/>
            <w:shd w:val="clear" w:color="auto" w:fill="auto"/>
            <w:noWrap/>
            <w:vAlign w:val="center"/>
            <w:hideMark/>
          </w:tcPr>
          <w:p w14:paraId="19B9B80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42</w:t>
            </w:r>
          </w:p>
        </w:tc>
        <w:tc>
          <w:tcPr>
            <w:tcW w:w="1466" w:type="dxa"/>
            <w:shd w:val="clear" w:color="auto" w:fill="auto"/>
            <w:noWrap/>
            <w:vAlign w:val="center"/>
            <w:hideMark/>
          </w:tcPr>
          <w:p w14:paraId="04D5D3AA"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42</w:t>
            </w:r>
          </w:p>
        </w:tc>
        <w:tc>
          <w:tcPr>
            <w:tcW w:w="1418" w:type="dxa"/>
            <w:shd w:val="clear" w:color="auto" w:fill="auto"/>
            <w:noWrap/>
            <w:vAlign w:val="center"/>
            <w:hideMark/>
          </w:tcPr>
          <w:p w14:paraId="1A25E28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42</w:t>
            </w:r>
          </w:p>
        </w:tc>
      </w:tr>
      <w:tr w:rsidR="00BC7ABF" w:rsidRPr="00790D90" w14:paraId="512C24C6" w14:textId="77777777" w:rsidTr="00B6123B">
        <w:trPr>
          <w:trHeight w:val="280"/>
          <w:jc w:val="center"/>
        </w:trPr>
        <w:tc>
          <w:tcPr>
            <w:tcW w:w="2278" w:type="dxa"/>
            <w:shd w:val="clear" w:color="auto" w:fill="auto"/>
            <w:noWrap/>
            <w:vAlign w:val="center"/>
            <w:hideMark/>
          </w:tcPr>
          <w:p w14:paraId="16857D1A" w14:textId="77777777" w:rsidR="00BC7ABF" w:rsidRPr="00790D90" w:rsidRDefault="00BC7ABF" w:rsidP="00867DD0">
            <w:pPr>
              <w:rPr>
                <w:rFonts w:eastAsia="Times New Roman" w:cs="Arial"/>
                <w:sz w:val="14"/>
                <w:szCs w:val="14"/>
              </w:rPr>
            </w:pPr>
            <w:r w:rsidRPr="00790D90">
              <w:rPr>
                <w:rFonts w:eastAsia="Times New Roman" w:cs="Arial"/>
                <w:sz w:val="14"/>
                <w:szCs w:val="14"/>
              </w:rPr>
              <w:t>Pensionados y Jubilados</w:t>
            </w:r>
          </w:p>
        </w:tc>
        <w:tc>
          <w:tcPr>
            <w:tcW w:w="1402" w:type="dxa"/>
            <w:shd w:val="clear" w:color="auto" w:fill="auto"/>
            <w:noWrap/>
            <w:vAlign w:val="center"/>
            <w:hideMark/>
          </w:tcPr>
          <w:p w14:paraId="1A1D178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142</w:t>
            </w:r>
          </w:p>
        </w:tc>
        <w:tc>
          <w:tcPr>
            <w:tcW w:w="522" w:type="dxa"/>
            <w:shd w:val="clear" w:color="auto" w:fill="auto"/>
            <w:noWrap/>
            <w:vAlign w:val="center"/>
            <w:hideMark/>
          </w:tcPr>
          <w:p w14:paraId="691B6728"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5B516BA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5</w:t>
            </w:r>
          </w:p>
        </w:tc>
        <w:tc>
          <w:tcPr>
            <w:tcW w:w="1324" w:type="dxa"/>
            <w:shd w:val="clear" w:color="auto" w:fill="auto"/>
            <w:noWrap/>
            <w:vAlign w:val="center"/>
            <w:hideMark/>
          </w:tcPr>
          <w:p w14:paraId="5D9CDF9B"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52</w:t>
            </w:r>
          </w:p>
        </w:tc>
        <w:tc>
          <w:tcPr>
            <w:tcW w:w="1466" w:type="dxa"/>
            <w:shd w:val="clear" w:color="auto" w:fill="auto"/>
            <w:noWrap/>
            <w:vAlign w:val="center"/>
            <w:hideMark/>
          </w:tcPr>
          <w:p w14:paraId="663B1EA3"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w:t>
            </w:r>
          </w:p>
        </w:tc>
        <w:tc>
          <w:tcPr>
            <w:tcW w:w="1418" w:type="dxa"/>
            <w:shd w:val="clear" w:color="auto" w:fill="auto"/>
            <w:noWrap/>
            <w:vAlign w:val="center"/>
            <w:hideMark/>
          </w:tcPr>
          <w:p w14:paraId="0513518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199</w:t>
            </w:r>
          </w:p>
        </w:tc>
      </w:tr>
      <w:tr w:rsidR="00BC7ABF" w:rsidRPr="00790D90" w14:paraId="27BC2EA6" w14:textId="77777777" w:rsidTr="00B6123B">
        <w:trPr>
          <w:trHeight w:val="280"/>
          <w:jc w:val="center"/>
        </w:trPr>
        <w:tc>
          <w:tcPr>
            <w:tcW w:w="2278" w:type="dxa"/>
            <w:shd w:val="clear" w:color="auto" w:fill="auto"/>
            <w:noWrap/>
            <w:vAlign w:val="center"/>
            <w:hideMark/>
          </w:tcPr>
          <w:p w14:paraId="258BB39F" w14:textId="77777777" w:rsidR="00BC7ABF" w:rsidRPr="00790D90" w:rsidRDefault="00BC7ABF" w:rsidP="00867DD0">
            <w:pPr>
              <w:ind w:firstLineChars="100" w:firstLine="140"/>
              <w:rPr>
                <w:rFonts w:eastAsia="Times New Roman" w:cs="Arial"/>
                <w:sz w:val="14"/>
                <w:szCs w:val="14"/>
              </w:rPr>
            </w:pPr>
            <w:r w:rsidRPr="00790D90">
              <w:rPr>
                <w:rFonts w:eastAsia="Times New Roman" w:cs="Arial"/>
                <w:sz w:val="14"/>
                <w:szCs w:val="14"/>
              </w:rPr>
              <w:t>Edad máxima</w:t>
            </w:r>
          </w:p>
        </w:tc>
        <w:tc>
          <w:tcPr>
            <w:tcW w:w="1402" w:type="dxa"/>
            <w:shd w:val="clear" w:color="auto" w:fill="auto"/>
            <w:noWrap/>
            <w:vAlign w:val="center"/>
            <w:hideMark/>
          </w:tcPr>
          <w:p w14:paraId="7B769F9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84</w:t>
            </w:r>
          </w:p>
        </w:tc>
        <w:tc>
          <w:tcPr>
            <w:tcW w:w="522" w:type="dxa"/>
            <w:shd w:val="clear" w:color="auto" w:fill="auto"/>
            <w:noWrap/>
            <w:vAlign w:val="center"/>
            <w:hideMark/>
          </w:tcPr>
          <w:p w14:paraId="10D66DD5"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0D403A8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72</w:t>
            </w:r>
          </w:p>
        </w:tc>
        <w:tc>
          <w:tcPr>
            <w:tcW w:w="1324" w:type="dxa"/>
            <w:shd w:val="clear" w:color="auto" w:fill="auto"/>
            <w:noWrap/>
            <w:vAlign w:val="center"/>
            <w:hideMark/>
          </w:tcPr>
          <w:p w14:paraId="7413199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71</w:t>
            </w:r>
          </w:p>
        </w:tc>
        <w:tc>
          <w:tcPr>
            <w:tcW w:w="1466" w:type="dxa"/>
            <w:shd w:val="clear" w:color="auto" w:fill="auto"/>
            <w:noWrap/>
            <w:vAlign w:val="center"/>
            <w:hideMark/>
          </w:tcPr>
          <w:p w14:paraId="1BC8FAE4"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w:t>
            </w:r>
          </w:p>
        </w:tc>
        <w:tc>
          <w:tcPr>
            <w:tcW w:w="1418" w:type="dxa"/>
            <w:shd w:val="clear" w:color="auto" w:fill="auto"/>
            <w:noWrap/>
            <w:vAlign w:val="center"/>
            <w:hideMark/>
          </w:tcPr>
          <w:p w14:paraId="084DB24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84</w:t>
            </w:r>
          </w:p>
        </w:tc>
      </w:tr>
      <w:tr w:rsidR="00BC7ABF" w:rsidRPr="00790D90" w14:paraId="4455DC4E" w14:textId="77777777" w:rsidTr="00B6123B">
        <w:trPr>
          <w:trHeight w:val="280"/>
          <w:jc w:val="center"/>
        </w:trPr>
        <w:tc>
          <w:tcPr>
            <w:tcW w:w="2278" w:type="dxa"/>
            <w:shd w:val="clear" w:color="auto" w:fill="auto"/>
            <w:noWrap/>
            <w:vAlign w:val="center"/>
            <w:hideMark/>
          </w:tcPr>
          <w:p w14:paraId="79565145" w14:textId="77777777" w:rsidR="00BC7ABF" w:rsidRPr="00790D90" w:rsidRDefault="00BC7ABF" w:rsidP="00867DD0">
            <w:pPr>
              <w:ind w:firstLineChars="100" w:firstLine="140"/>
              <w:rPr>
                <w:rFonts w:eastAsia="Times New Roman" w:cs="Arial"/>
                <w:sz w:val="14"/>
                <w:szCs w:val="14"/>
              </w:rPr>
            </w:pPr>
            <w:r w:rsidRPr="00790D90">
              <w:rPr>
                <w:rFonts w:eastAsia="Times New Roman" w:cs="Arial"/>
                <w:sz w:val="14"/>
                <w:szCs w:val="14"/>
              </w:rPr>
              <w:t>Edad mínima</w:t>
            </w:r>
          </w:p>
        </w:tc>
        <w:tc>
          <w:tcPr>
            <w:tcW w:w="1402" w:type="dxa"/>
            <w:shd w:val="clear" w:color="auto" w:fill="auto"/>
            <w:noWrap/>
            <w:vAlign w:val="center"/>
            <w:hideMark/>
          </w:tcPr>
          <w:p w14:paraId="7F78C264"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46</w:t>
            </w:r>
          </w:p>
        </w:tc>
        <w:tc>
          <w:tcPr>
            <w:tcW w:w="522" w:type="dxa"/>
            <w:shd w:val="clear" w:color="auto" w:fill="auto"/>
            <w:noWrap/>
            <w:vAlign w:val="center"/>
            <w:hideMark/>
          </w:tcPr>
          <w:p w14:paraId="56C6801F"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182E009A"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46</w:t>
            </w:r>
          </w:p>
        </w:tc>
        <w:tc>
          <w:tcPr>
            <w:tcW w:w="1324" w:type="dxa"/>
            <w:shd w:val="clear" w:color="auto" w:fill="auto"/>
            <w:noWrap/>
            <w:vAlign w:val="center"/>
            <w:hideMark/>
          </w:tcPr>
          <w:p w14:paraId="37D9D78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26</w:t>
            </w:r>
          </w:p>
        </w:tc>
        <w:tc>
          <w:tcPr>
            <w:tcW w:w="1466" w:type="dxa"/>
            <w:shd w:val="clear" w:color="auto" w:fill="auto"/>
            <w:noWrap/>
            <w:vAlign w:val="center"/>
            <w:hideMark/>
          </w:tcPr>
          <w:p w14:paraId="3B2E501A"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w:t>
            </w:r>
          </w:p>
        </w:tc>
        <w:tc>
          <w:tcPr>
            <w:tcW w:w="1418" w:type="dxa"/>
            <w:shd w:val="clear" w:color="auto" w:fill="auto"/>
            <w:noWrap/>
            <w:vAlign w:val="center"/>
            <w:hideMark/>
          </w:tcPr>
          <w:p w14:paraId="7AC3CB2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26</w:t>
            </w:r>
          </w:p>
        </w:tc>
      </w:tr>
      <w:tr w:rsidR="00BC7ABF" w:rsidRPr="00790D90" w14:paraId="1987A219" w14:textId="77777777" w:rsidTr="00B6123B">
        <w:trPr>
          <w:trHeight w:val="280"/>
          <w:jc w:val="center"/>
        </w:trPr>
        <w:tc>
          <w:tcPr>
            <w:tcW w:w="2278" w:type="dxa"/>
            <w:shd w:val="clear" w:color="auto" w:fill="auto"/>
            <w:noWrap/>
            <w:vAlign w:val="center"/>
            <w:hideMark/>
          </w:tcPr>
          <w:p w14:paraId="2CF17248" w14:textId="77777777" w:rsidR="00BC7ABF" w:rsidRPr="00790D90" w:rsidRDefault="00BC7ABF" w:rsidP="00867DD0">
            <w:pPr>
              <w:ind w:firstLineChars="100" w:firstLine="140"/>
              <w:rPr>
                <w:rFonts w:eastAsia="Times New Roman" w:cs="Arial"/>
                <w:sz w:val="14"/>
                <w:szCs w:val="14"/>
              </w:rPr>
            </w:pPr>
            <w:r w:rsidRPr="00790D90">
              <w:rPr>
                <w:rFonts w:eastAsia="Times New Roman" w:cs="Arial"/>
                <w:sz w:val="14"/>
                <w:szCs w:val="14"/>
              </w:rPr>
              <w:t>Edad promedio</w:t>
            </w:r>
          </w:p>
        </w:tc>
        <w:tc>
          <w:tcPr>
            <w:tcW w:w="1402" w:type="dxa"/>
            <w:shd w:val="clear" w:color="auto" w:fill="auto"/>
            <w:noWrap/>
            <w:vAlign w:val="center"/>
            <w:hideMark/>
          </w:tcPr>
          <w:p w14:paraId="45B9F4B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55</w:t>
            </w:r>
          </w:p>
        </w:tc>
        <w:tc>
          <w:tcPr>
            <w:tcW w:w="522" w:type="dxa"/>
            <w:shd w:val="clear" w:color="auto" w:fill="auto"/>
            <w:noWrap/>
            <w:vAlign w:val="center"/>
            <w:hideMark/>
          </w:tcPr>
          <w:p w14:paraId="09EF0CE5"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32CE67F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1,075</w:t>
            </w:r>
          </w:p>
        </w:tc>
        <w:tc>
          <w:tcPr>
            <w:tcW w:w="1324" w:type="dxa"/>
            <w:shd w:val="clear" w:color="auto" w:fill="auto"/>
            <w:noWrap/>
            <w:vAlign w:val="center"/>
            <w:hideMark/>
          </w:tcPr>
          <w:p w14:paraId="3376254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134</w:t>
            </w:r>
          </w:p>
        </w:tc>
        <w:tc>
          <w:tcPr>
            <w:tcW w:w="1466" w:type="dxa"/>
            <w:shd w:val="clear" w:color="auto" w:fill="auto"/>
            <w:noWrap/>
            <w:vAlign w:val="center"/>
            <w:hideMark/>
          </w:tcPr>
          <w:p w14:paraId="567FD18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w:t>
            </w:r>
          </w:p>
        </w:tc>
        <w:tc>
          <w:tcPr>
            <w:tcW w:w="1418" w:type="dxa"/>
            <w:shd w:val="clear" w:color="auto" w:fill="auto"/>
            <w:noWrap/>
            <w:vAlign w:val="center"/>
            <w:hideMark/>
          </w:tcPr>
          <w:p w14:paraId="00961A9D"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101</w:t>
            </w:r>
          </w:p>
        </w:tc>
      </w:tr>
      <w:tr w:rsidR="00BC7ABF" w:rsidRPr="00790D90" w14:paraId="68E97FAC" w14:textId="77777777" w:rsidTr="00B6123B">
        <w:trPr>
          <w:trHeight w:val="280"/>
          <w:jc w:val="center"/>
        </w:trPr>
        <w:tc>
          <w:tcPr>
            <w:tcW w:w="2278" w:type="dxa"/>
            <w:shd w:val="clear" w:color="auto" w:fill="auto"/>
            <w:noWrap/>
            <w:vAlign w:val="center"/>
            <w:hideMark/>
          </w:tcPr>
          <w:p w14:paraId="0362613E" w14:textId="77777777" w:rsidR="00BC7ABF" w:rsidRPr="00790D90" w:rsidRDefault="00BC7ABF" w:rsidP="00867DD0">
            <w:pPr>
              <w:rPr>
                <w:rFonts w:eastAsia="Times New Roman" w:cs="Arial"/>
                <w:sz w:val="14"/>
                <w:szCs w:val="14"/>
              </w:rPr>
            </w:pPr>
            <w:r w:rsidRPr="00790D90">
              <w:rPr>
                <w:rFonts w:eastAsia="Times New Roman" w:cs="Arial"/>
                <w:sz w:val="14"/>
                <w:szCs w:val="14"/>
              </w:rPr>
              <w:t>Beneficiarios</w:t>
            </w:r>
          </w:p>
        </w:tc>
        <w:tc>
          <w:tcPr>
            <w:tcW w:w="1402" w:type="dxa"/>
            <w:shd w:val="clear" w:color="auto" w:fill="auto"/>
            <w:noWrap/>
            <w:vAlign w:val="center"/>
            <w:hideMark/>
          </w:tcPr>
          <w:p w14:paraId="7039436D"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5FDCA21F"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2E4468B0"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1170F138"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34E2BD8C"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798E7348" w14:textId="77777777" w:rsidR="00BC7ABF" w:rsidRPr="00790D90" w:rsidRDefault="00BC7ABF" w:rsidP="00867DD0">
            <w:pPr>
              <w:jc w:val="center"/>
              <w:rPr>
                <w:rFonts w:eastAsia="Times New Roman" w:cs="Arial"/>
                <w:color w:val="000000"/>
                <w:sz w:val="14"/>
                <w:szCs w:val="14"/>
              </w:rPr>
            </w:pPr>
          </w:p>
        </w:tc>
      </w:tr>
      <w:tr w:rsidR="00BC7ABF" w:rsidRPr="00790D90" w14:paraId="7E0263A8" w14:textId="77777777" w:rsidTr="00B6123B">
        <w:trPr>
          <w:trHeight w:val="280"/>
          <w:jc w:val="center"/>
        </w:trPr>
        <w:tc>
          <w:tcPr>
            <w:tcW w:w="2278" w:type="dxa"/>
            <w:shd w:val="clear" w:color="auto" w:fill="auto"/>
            <w:noWrap/>
            <w:vAlign w:val="center"/>
            <w:hideMark/>
          </w:tcPr>
          <w:p w14:paraId="60D3E6B0" w14:textId="77777777" w:rsidR="00BC7ABF" w:rsidRPr="00790D90" w:rsidRDefault="00BC7ABF" w:rsidP="00867DD0">
            <w:pPr>
              <w:rPr>
                <w:rFonts w:eastAsia="Times New Roman" w:cs="Arial"/>
                <w:sz w:val="14"/>
                <w:szCs w:val="14"/>
              </w:rPr>
            </w:pPr>
            <w:r w:rsidRPr="00790D90">
              <w:rPr>
                <w:rFonts w:eastAsia="Times New Roman" w:cs="Arial"/>
                <w:sz w:val="14"/>
                <w:szCs w:val="14"/>
              </w:rPr>
              <w:t>Promedio de años de servicio (trabajadores activos)</w:t>
            </w:r>
          </w:p>
        </w:tc>
        <w:tc>
          <w:tcPr>
            <w:tcW w:w="1402" w:type="dxa"/>
            <w:shd w:val="clear" w:color="auto" w:fill="auto"/>
            <w:noWrap/>
            <w:vAlign w:val="center"/>
            <w:hideMark/>
          </w:tcPr>
          <w:p w14:paraId="3C45DBC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11.35</w:t>
            </w:r>
          </w:p>
        </w:tc>
        <w:tc>
          <w:tcPr>
            <w:tcW w:w="522" w:type="dxa"/>
            <w:shd w:val="clear" w:color="auto" w:fill="auto"/>
            <w:noWrap/>
            <w:vAlign w:val="center"/>
            <w:hideMark/>
          </w:tcPr>
          <w:p w14:paraId="5F0D6C6F"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2105C3E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11.35</w:t>
            </w:r>
          </w:p>
        </w:tc>
        <w:tc>
          <w:tcPr>
            <w:tcW w:w="1324" w:type="dxa"/>
            <w:shd w:val="clear" w:color="auto" w:fill="auto"/>
            <w:noWrap/>
            <w:vAlign w:val="center"/>
            <w:hideMark/>
          </w:tcPr>
          <w:p w14:paraId="753A409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11.35</w:t>
            </w:r>
          </w:p>
        </w:tc>
        <w:tc>
          <w:tcPr>
            <w:tcW w:w="1466" w:type="dxa"/>
            <w:shd w:val="clear" w:color="auto" w:fill="auto"/>
            <w:noWrap/>
            <w:vAlign w:val="center"/>
            <w:hideMark/>
          </w:tcPr>
          <w:p w14:paraId="56CE18A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11.35</w:t>
            </w:r>
          </w:p>
        </w:tc>
        <w:tc>
          <w:tcPr>
            <w:tcW w:w="1418" w:type="dxa"/>
            <w:shd w:val="clear" w:color="auto" w:fill="auto"/>
            <w:noWrap/>
            <w:vAlign w:val="center"/>
            <w:hideMark/>
          </w:tcPr>
          <w:p w14:paraId="3B95D46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11.35</w:t>
            </w:r>
          </w:p>
        </w:tc>
      </w:tr>
      <w:tr w:rsidR="00BC7ABF" w:rsidRPr="00790D90" w14:paraId="683430A3" w14:textId="77777777" w:rsidTr="00B6123B">
        <w:trPr>
          <w:trHeight w:val="567"/>
          <w:jc w:val="center"/>
        </w:trPr>
        <w:tc>
          <w:tcPr>
            <w:tcW w:w="2278" w:type="dxa"/>
            <w:shd w:val="clear" w:color="auto" w:fill="auto"/>
            <w:noWrap/>
            <w:vAlign w:val="center"/>
            <w:hideMark/>
          </w:tcPr>
          <w:p w14:paraId="3CB627FB" w14:textId="77777777" w:rsidR="00BC7ABF" w:rsidRPr="00790D90" w:rsidRDefault="00BC7ABF" w:rsidP="00867DD0">
            <w:pPr>
              <w:rPr>
                <w:rFonts w:eastAsia="Times New Roman" w:cs="Arial"/>
                <w:sz w:val="14"/>
                <w:szCs w:val="14"/>
              </w:rPr>
            </w:pPr>
            <w:r w:rsidRPr="00790D90">
              <w:rPr>
                <w:rFonts w:eastAsia="Times New Roman" w:cs="Arial"/>
                <w:sz w:val="14"/>
                <w:szCs w:val="14"/>
              </w:rPr>
              <w:t>Aportación individual al plan de pensión como % del salario *</w:t>
            </w:r>
          </w:p>
        </w:tc>
        <w:tc>
          <w:tcPr>
            <w:tcW w:w="1402" w:type="dxa"/>
            <w:shd w:val="clear" w:color="auto" w:fill="auto"/>
            <w:vAlign w:val="center"/>
            <w:hideMark/>
          </w:tcPr>
          <w:p w14:paraId="33289D14"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522" w:type="dxa"/>
            <w:shd w:val="clear" w:color="auto" w:fill="auto"/>
            <w:noWrap/>
            <w:vAlign w:val="center"/>
            <w:hideMark/>
          </w:tcPr>
          <w:p w14:paraId="381EDA63"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vAlign w:val="center"/>
            <w:hideMark/>
          </w:tcPr>
          <w:p w14:paraId="12ACE4C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324" w:type="dxa"/>
            <w:shd w:val="clear" w:color="auto" w:fill="auto"/>
            <w:vAlign w:val="center"/>
            <w:hideMark/>
          </w:tcPr>
          <w:p w14:paraId="0DD2685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66" w:type="dxa"/>
            <w:shd w:val="clear" w:color="auto" w:fill="auto"/>
            <w:vAlign w:val="center"/>
            <w:hideMark/>
          </w:tcPr>
          <w:p w14:paraId="5BF9793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18" w:type="dxa"/>
            <w:shd w:val="clear" w:color="auto" w:fill="auto"/>
            <w:vAlign w:val="center"/>
            <w:hideMark/>
          </w:tcPr>
          <w:p w14:paraId="0CAD1CBD" w14:textId="77777777" w:rsidR="00BC7ABF" w:rsidRPr="00790D90" w:rsidRDefault="00BC7ABF" w:rsidP="00867DD0">
            <w:pPr>
              <w:jc w:val="center"/>
              <w:rPr>
                <w:rFonts w:eastAsia="Times New Roman" w:cs="Arial"/>
                <w:sz w:val="14"/>
                <w:szCs w:val="14"/>
              </w:rPr>
            </w:pPr>
          </w:p>
        </w:tc>
      </w:tr>
      <w:tr w:rsidR="00BC7ABF" w:rsidRPr="00790D90" w14:paraId="4517C05A" w14:textId="77777777" w:rsidTr="00B6123B">
        <w:trPr>
          <w:trHeight w:val="280"/>
          <w:jc w:val="center"/>
        </w:trPr>
        <w:tc>
          <w:tcPr>
            <w:tcW w:w="2278" w:type="dxa"/>
            <w:shd w:val="clear" w:color="auto" w:fill="auto"/>
            <w:noWrap/>
            <w:vAlign w:val="center"/>
            <w:hideMark/>
          </w:tcPr>
          <w:p w14:paraId="353ABCF9" w14:textId="77777777" w:rsidR="00BC7ABF" w:rsidRPr="00790D90" w:rsidRDefault="00BC7ABF" w:rsidP="00867DD0">
            <w:pPr>
              <w:rPr>
                <w:rFonts w:eastAsia="Times New Roman" w:cs="Arial"/>
                <w:sz w:val="14"/>
                <w:szCs w:val="14"/>
              </w:rPr>
            </w:pPr>
            <w:r w:rsidRPr="00790D90">
              <w:rPr>
                <w:rFonts w:eastAsia="Times New Roman" w:cs="Arial"/>
                <w:sz w:val="14"/>
                <w:szCs w:val="14"/>
              </w:rPr>
              <w:t>Aportación del ente público al plan de pensión como % del salario *</w:t>
            </w:r>
          </w:p>
        </w:tc>
        <w:tc>
          <w:tcPr>
            <w:tcW w:w="1402" w:type="dxa"/>
            <w:shd w:val="clear" w:color="auto" w:fill="auto"/>
            <w:vAlign w:val="center"/>
            <w:hideMark/>
          </w:tcPr>
          <w:p w14:paraId="29707B8B"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522" w:type="dxa"/>
            <w:shd w:val="clear" w:color="auto" w:fill="auto"/>
            <w:noWrap/>
            <w:vAlign w:val="center"/>
            <w:hideMark/>
          </w:tcPr>
          <w:p w14:paraId="5B404A3A"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vAlign w:val="center"/>
            <w:hideMark/>
          </w:tcPr>
          <w:p w14:paraId="4C6C7EE4"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324" w:type="dxa"/>
            <w:shd w:val="clear" w:color="auto" w:fill="auto"/>
            <w:vAlign w:val="center"/>
            <w:hideMark/>
          </w:tcPr>
          <w:p w14:paraId="794CD946"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66" w:type="dxa"/>
            <w:shd w:val="clear" w:color="auto" w:fill="auto"/>
            <w:vAlign w:val="center"/>
            <w:hideMark/>
          </w:tcPr>
          <w:p w14:paraId="14385A94"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18" w:type="dxa"/>
            <w:shd w:val="clear" w:color="auto" w:fill="auto"/>
            <w:vAlign w:val="center"/>
            <w:hideMark/>
          </w:tcPr>
          <w:p w14:paraId="50F794E4" w14:textId="77777777" w:rsidR="00BC7ABF" w:rsidRPr="00790D90" w:rsidRDefault="00BC7ABF" w:rsidP="00867DD0">
            <w:pPr>
              <w:jc w:val="center"/>
              <w:rPr>
                <w:rFonts w:eastAsia="Times New Roman" w:cs="Arial"/>
                <w:sz w:val="14"/>
                <w:szCs w:val="14"/>
              </w:rPr>
            </w:pPr>
          </w:p>
        </w:tc>
      </w:tr>
      <w:tr w:rsidR="00BC7ABF" w:rsidRPr="00790D90" w14:paraId="5B7B9C68" w14:textId="77777777" w:rsidTr="00B6123B">
        <w:trPr>
          <w:trHeight w:val="280"/>
          <w:jc w:val="center"/>
        </w:trPr>
        <w:tc>
          <w:tcPr>
            <w:tcW w:w="2278" w:type="dxa"/>
            <w:shd w:val="clear" w:color="auto" w:fill="auto"/>
            <w:noWrap/>
            <w:vAlign w:val="center"/>
            <w:hideMark/>
          </w:tcPr>
          <w:p w14:paraId="3B3B0826" w14:textId="77777777" w:rsidR="00BC7ABF" w:rsidRPr="00790D90" w:rsidRDefault="00BC7ABF" w:rsidP="00867DD0">
            <w:pPr>
              <w:rPr>
                <w:rFonts w:eastAsia="Times New Roman" w:cs="Arial"/>
                <w:sz w:val="14"/>
                <w:szCs w:val="14"/>
              </w:rPr>
            </w:pPr>
            <w:r w:rsidRPr="00790D90">
              <w:rPr>
                <w:rFonts w:eastAsia="Times New Roman" w:cs="Arial"/>
                <w:sz w:val="14"/>
                <w:szCs w:val="14"/>
              </w:rPr>
              <w:t>Crecimiento esperado de los pensionados y jubilados (como %)</w:t>
            </w:r>
          </w:p>
        </w:tc>
        <w:tc>
          <w:tcPr>
            <w:tcW w:w="1402" w:type="dxa"/>
            <w:shd w:val="clear" w:color="auto" w:fill="auto"/>
            <w:noWrap/>
            <w:vAlign w:val="center"/>
            <w:hideMark/>
          </w:tcPr>
          <w:p w14:paraId="62B4704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90.42%</w:t>
            </w:r>
          </w:p>
        </w:tc>
        <w:tc>
          <w:tcPr>
            <w:tcW w:w="522" w:type="dxa"/>
            <w:shd w:val="clear" w:color="auto" w:fill="auto"/>
            <w:noWrap/>
            <w:vAlign w:val="center"/>
            <w:hideMark/>
          </w:tcPr>
          <w:p w14:paraId="3F43F86F"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2D9E8D5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168.98%</w:t>
            </w:r>
          </w:p>
        </w:tc>
        <w:tc>
          <w:tcPr>
            <w:tcW w:w="1324" w:type="dxa"/>
            <w:shd w:val="clear" w:color="auto" w:fill="auto"/>
            <w:noWrap/>
            <w:vAlign w:val="center"/>
            <w:hideMark/>
          </w:tcPr>
          <w:p w14:paraId="36A14CB3"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48.59%</w:t>
            </w:r>
          </w:p>
        </w:tc>
        <w:tc>
          <w:tcPr>
            <w:tcW w:w="1466" w:type="dxa"/>
            <w:shd w:val="clear" w:color="auto" w:fill="auto"/>
            <w:noWrap/>
            <w:vAlign w:val="center"/>
            <w:hideMark/>
          </w:tcPr>
          <w:p w14:paraId="65083FC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NA</w:t>
            </w:r>
          </w:p>
        </w:tc>
        <w:tc>
          <w:tcPr>
            <w:tcW w:w="1418" w:type="dxa"/>
            <w:shd w:val="clear" w:color="auto" w:fill="auto"/>
            <w:noWrap/>
            <w:vAlign w:val="center"/>
            <w:hideMark/>
          </w:tcPr>
          <w:p w14:paraId="08846DF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78.54%</w:t>
            </w:r>
          </w:p>
        </w:tc>
      </w:tr>
      <w:tr w:rsidR="00BC7ABF" w:rsidRPr="00790D90" w14:paraId="18BED627" w14:textId="77777777" w:rsidTr="00B6123B">
        <w:trPr>
          <w:trHeight w:val="280"/>
          <w:jc w:val="center"/>
        </w:trPr>
        <w:tc>
          <w:tcPr>
            <w:tcW w:w="2278" w:type="dxa"/>
            <w:shd w:val="clear" w:color="auto" w:fill="auto"/>
            <w:noWrap/>
            <w:vAlign w:val="center"/>
            <w:hideMark/>
          </w:tcPr>
          <w:p w14:paraId="302C2F67" w14:textId="77777777" w:rsidR="00BC7ABF" w:rsidRPr="00790D90" w:rsidRDefault="00BC7ABF" w:rsidP="00867DD0">
            <w:pPr>
              <w:rPr>
                <w:rFonts w:eastAsia="Times New Roman" w:cs="Arial"/>
                <w:sz w:val="14"/>
                <w:szCs w:val="14"/>
              </w:rPr>
            </w:pPr>
            <w:r w:rsidRPr="00790D90">
              <w:rPr>
                <w:rFonts w:eastAsia="Times New Roman" w:cs="Arial"/>
                <w:sz w:val="14"/>
                <w:szCs w:val="14"/>
              </w:rPr>
              <w:t>Crecimiento esperado de los activos (como %)</w:t>
            </w:r>
          </w:p>
        </w:tc>
        <w:tc>
          <w:tcPr>
            <w:tcW w:w="1402" w:type="dxa"/>
            <w:shd w:val="clear" w:color="auto" w:fill="auto"/>
            <w:noWrap/>
            <w:vAlign w:val="center"/>
            <w:hideMark/>
          </w:tcPr>
          <w:p w14:paraId="2A23524B"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1.0061%</w:t>
            </w:r>
          </w:p>
        </w:tc>
        <w:tc>
          <w:tcPr>
            <w:tcW w:w="522" w:type="dxa"/>
            <w:shd w:val="clear" w:color="auto" w:fill="auto"/>
            <w:noWrap/>
            <w:vAlign w:val="center"/>
            <w:hideMark/>
          </w:tcPr>
          <w:p w14:paraId="2818D2DA"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5B5DB33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1.0061%</w:t>
            </w:r>
          </w:p>
        </w:tc>
        <w:tc>
          <w:tcPr>
            <w:tcW w:w="1324" w:type="dxa"/>
            <w:shd w:val="clear" w:color="auto" w:fill="auto"/>
            <w:noWrap/>
            <w:vAlign w:val="center"/>
            <w:hideMark/>
          </w:tcPr>
          <w:p w14:paraId="34B1EDE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1.0061%</w:t>
            </w:r>
          </w:p>
        </w:tc>
        <w:tc>
          <w:tcPr>
            <w:tcW w:w="1466" w:type="dxa"/>
            <w:shd w:val="clear" w:color="auto" w:fill="auto"/>
            <w:noWrap/>
            <w:vAlign w:val="center"/>
            <w:hideMark/>
          </w:tcPr>
          <w:p w14:paraId="29014A8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1.0061%</w:t>
            </w:r>
          </w:p>
        </w:tc>
        <w:tc>
          <w:tcPr>
            <w:tcW w:w="1418" w:type="dxa"/>
            <w:shd w:val="clear" w:color="auto" w:fill="auto"/>
            <w:noWrap/>
            <w:vAlign w:val="center"/>
            <w:hideMark/>
          </w:tcPr>
          <w:p w14:paraId="3194138D"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1.0061%</w:t>
            </w:r>
          </w:p>
        </w:tc>
      </w:tr>
      <w:tr w:rsidR="00BC7ABF" w:rsidRPr="00790D90" w14:paraId="0A16DCEE" w14:textId="77777777" w:rsidTr="00B6123B">
        <w:trPr>
          <w:trHeight w:val="280"/>
          <w:jc w:val="center"/>
        </w:trPr>
        <w:tc>
          <w:tcPr>
            <w:tcW w:w="2278" w:type="dxa"/>
            <w:shd w:val="clear" w:color="auto" w:fill="auto"/>
            <w:noWrap/>
            <w:vAlign w:val="center"/>
            <w:hideMark/>
          </w:tcPr>
          <w:p w14:paraId="6C2A460B" w14:textId="77777777" w:rsidR="00BC7ABF" w:rsidRPr="00790D90" w:rsidRDefault="00BC7ABF" w:rsidP="00867DD0">
            <w:pPr>
              <w:rPr>
                <w:rFonts w:eastAsia="Times New Roman" w:cs="Arial"/>
                <w:sz w:val="14"/>
                <w:szCs w:val="14"/>
              </w:rPr>
            </w:pPr>
            <w:r w:rsidRPr="00790D90">
              <w:rPr>
                <w:rFonts w:eastAsia="Times New Roman" w:cs="Arial"/>
                <w:sz w:val="14"/>
                <w:szCs w:val="14"/>
              </w:rPr>
              <w:t>Edad de Jubilación o Pensión</w:t>
            </w:r>
          </w:p>
        </w:tc>
        <w:tc>
          <w:tcPr>
            <w:tcW w:w="1402" w:type="dxa"/>
            <w:shd w:val="clear" w:color="auto" w:fill="auto"/>
            <w:noWrap/>
            <w:vAlign w:val="center"/>
            <w:hideMark/>
          </w:tcPr>
          <w:p w14:paraId="2CCE16D3"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794E55D2"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4D3F49D5"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100043A1"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752F2365"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2C6DC477" w14:textId="77777777" w:rsidR="00BC7ABF" w:rsidRPr="00790D90" w:rsidRDefault="00BC7ABF" w:rsidP="00867DD0">
            <w:pPr>
              <w:jc w:val="center"/>
              <w:rPr>
                <w:rFonts w:eastAsia="Times New Roman" w:cs="Arial"/>
                <w:color w:val="000000"/>
                <w:sz w:val="14"/>
                <w:szCs w:val="14"/>
              </w:rPr>
            </w:pPr>
          </w:p>
        </w:tc>
      </w:tr>
      <w:tr w:rsidR="00BC7ABF" w:rsidRPr="00790D90" w14:paraId="67872752" w14:textId="77777777" w:rsidTr="00B6123B">
        <w:trPr>
          <w:trHeight w:val="280"/>
          <w:jc w:val="center"/>
        </w:trPr>
        <w:tc>
          <w:tcPr>
            <w:tcW w:w="2278" w:type="dxa"/>
            <w:shd w:val="clear" w:color="auto" w:fill="auto"/>
            <w:noWrap/>
            <w:vAlign w:val="center"/>
            <w:hideMark/>
          </w:tcPr>
          <w:p w14:paraId="2A2645D1" w14:textId="77777777" w:rsidR="00BC7ABF" w:rsidRPr="00790D90" w:rsidRDefault="00BC7ABF" w:rsidP="00867DD0">
            <w:pPr>
              <w:rPr>
                <w:rFonts w:eastAsia="Times New Roman" w:cs="Arial"/>
                <w:sz w:val="14"/>
                <w:szCs w:val="14"/>
              </w:rPr>
            </w:pPr>
            <w:r w:rsidRPr="00790D90">
              <w:rPr>
                <w:rFonts w:eastAsia="Times New Roman" w:cs="Arial"/>
                <w:sz w:val="14"/>
                <w:szCs w:val="14"/>
              </w:rPr>
              <w:t>Esperanza de vida</w:t>
            </w:r>
          </w:p>
        </w:tc>
        <w:tc>
          <w:tcPr>
            <w:tcW w:w="1402" w:type="dxa"/>
            <w:shd w:val="clear" w:color="auto" w:fill="auto"/>
            <w:noWrap/>
            <w:vAlign w:val="center"/>
            <w:hideMark/>
          </w:tcPr>
          <w:p w14:paraId="195134FA"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63.10</w:t>
            </w:r>
          </w:p>
        </w:tc>
        <w:tc>
          <w:tcPr>
            <w:tcW w:w="522" w:type="dxa"/>
            <w:shd w:val="clear" w:color="auto" w:fill="auto"/>
            <w:noWrap/>
            <w:vAlign w:val="center"/>
            <w:hideMark/>
          </w:tcPr>
          <w:p w14:paraId="5B6A0A53"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0E1AF224"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63.10</w:t>
            </w:r>
          </w:p>
        </w:tc>
        <w:tc>
          <w:tcPr>
            <w:tcW w:w="1324" w:type="dxa"/>
            <w:shd w:val="clear" w:color="auto" w:fill="auto"/>
            <w:noWrap/>
            <w:vAlign w:val="center"/>
            <w:hideMark/>
          </w:tcPr>
          <w:p w14:paraId="3AC7F65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63.10</w:t>
            </w:r>
          </w:p>
        </w:tc>
        <w:tc>
          <w:tcPr>
            <w:tcW w:w="1466" w:type="dxa"/>
            <w:shd w:val="clear" w:color="auto" w:fill="auto"/>
            <w:noWrap/>
            <w:vAlign w:val="center"/>
            <w:hideMark/>
          </w:tcPr>
          <w:p w14:paraId="2442485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18" w:type="dxa"/>
            <w:shd w:val="clear" w:color="auto" w:fill="auto"/>
            <w:noWrap/>
            <w:vAlign w:val="center"/>
            <w:hideMark/>
          </w:tcPr>
          <w:p w14:paraId="1DDDF83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63.10</w:t>
            </w:r>
          </w:p>
        </w:tc>
      </w:tr>
      <w:tr w:rsidR="00BC7ABF" w:rsidRPr="00790D90" w14:paraId="10135550" w14:textId="77777777" w:rsidTr="00B6123B">
        <w:trPr>
          <w:trHeight w:val="280"/>
          <w:jc w:val="center"/>
        </w:trPr>
        <w:tc>
          <w:tcPr>
            <w:tcW w:w="2278" w:type="dxa"/>
            <w:shd w:val="clear" w:color="auto" w:fill="auto"/>
            <w:noWrap/>
            <w:vAlign w:val="center"/>
            <w:hideMark/>
          </w:tcPr>
          <w:p w14:paraId="46FC657B" w14:textId="77777777" w:rsidR="00BC7ABF" w:rsidRPr="00790D90" w:rsidRDefault="00BC7ABF" w:rsidP="00867DD0">
            <w:pPr>
              <w:rPr>
                <w:rFonts w:eastAsia="Times New Roman" w:cs="Arial"/>
                <w:b/>
                <w:bCs/>
                <w:sz w:val="14"/>
                <w:szCs w:val="14"/>
              </w:rPr>
            </w:pPr>
            <w:r w:rsidRPr="00790D90">
              <w:rPr>
                <w:rFonts w:eastAsia="Times New Roman" w:cs="Arial"/>
                <w:b/>
                <w:bCs/>
                <w:sz w:val="14"/>
                <w:szCs w:val="14"/>
              </w:rPr>
              <w:t>Ingresos del Fondo</w:t>
            </w:r>
          </w:p>
        </w:tc>
        <w:tc>
          <w:tcPr>
            <w:tcW w:w="1402" w:type="dxa"/>
            <w:shd w:val="clear" w:color="auto" w:fill="auto"/>
            <w:noWrap/>
            <w:vAlign w:val="center"/>
            <w:hideMark/>
          </w:tcPr>
          <w:p w14:paraId="5BCE00B7"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08FE4EF1"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1F271A97"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3A33DEAF"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72F2B284"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63B77513" w14:textId="77777777" w:rsidR="00BC7ABF" w:rsidRPr="00790D90" w:rsidRDefault="00BC7ABF" w:rsidP="00867DD0">
            <w:pPr>
              <w:jc w:val="center"/>
              <w:rPr>
                <w:rFonts w:eastAsia="Times New Roman" w:cs="Arial"/>
                <w:color w:val="000000"/>
                <w:sz w:val="14"/>
                <w:szCs w:val="14"/>
              </w:rPr>
            </w:pPr>
          </w:p>
        </w:tc>
      </w:tr>
      <w:tr w:rsidR="00BC7ABF" w:rsidRPr="00790D90" w14:paraId="62B8D449" w14:textId="77777777" w:rsidTr="00B6123B">
        <w:trPr>
          <w:trHeight w:val="280"/>
          <w:jc w:val="center"/>
        </w:trPr>
        <w:tc>
          <w:tcPr>
            <w:tcW w:w="2278" w:type="dxa"/>
            <w:shd w:val="clear" w:color="auto" w:fill="auto"/>
            <w:noWrap/>
            <w:vAlign w:val="center"/>
            <w:hideMark/>
          </w:tcPr>
          <w:p w14:paraId="50BC97C2" w14:textId="77777777" w:rsidR="00BC7ABF" w:rsidRPr="00790D90" w:rsidRDefault="00BC7ABF" w:rsidP="00867DD0">
            <w:pPr>
              <w:rPr>
                <w:rFonts w:eastAsia="Times New Roman" w:cs="Arial"/>
                <w:sz w:val="14"/>
                <w:szCs w:val="14"/>
              </w:rPr>
            </w:pPr>
            <w:r w:rsidRPr="00790D90">
              <w:rPr>
                <w:rFonts w:eastAsia="Times New Roman" w:cs="Arial"/>
                <w:sz w:val="14"/>
                <w:szCs w:val="14"/>
              </w:rPr>
              <w:t>Ingresos Anuales al Fondo de Pensiones</w:t>
            </w:r>
          </w:p>
        </w:tc>
        <w:tc>
          <w:tcPr>
            <w:tcW w:w="1402" w:type="dxa"/>
            <w:shd w:val="clear" w:color="auto" w:fill="auto"/>
            <w:noWrap/>
            <w:vAlign w:val="center"/>
            <w:hideMark/>
          </w:tcPr>
          <w:p w14:paraId="6E16C21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257,433,709.68</w:t>
            </w:r>
          </w:p>
        </w:tc>
        <w:tc>
          <w:tcPr>
            <w:tcW w:w="522" w:type="dxa"/>
            <w:shd w:val="clear" w:color="auto" w:fill="auto"/>
            <w:noWrap/>
            <w:vAlign w:val="center"/>
            <w:hideMark/>
          </w:tcPr>
          <w:p w14:paraId="7A200926"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3A0BE42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257,433,709.68</w:t>
            </w:r>
          </w:p>
        </w:tc>
        <w:tc>
          <w:tcPr>
            <w:tcW w:w="1324" w:type="dxa"/>
            <w:shd w:val="clear" w:color="auto" w:fill="auto"/>
            <w:noWrap/>
            <w:vAlign w:val="center"/>
            <w:hideMark/>
          </w:tcPr>
          <w:p w14:paraId="753B7A0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257,433,709.68</w:t>
            </w:r>
          </w:p>
        </w:tc>
        <w:tc>
          <w:tcPr>
            <w:tcW w:w="1466" w:type="dxa"/>
            <w:shd w:val="clear" w:color="auto" w:fill="auto"/>
            <w:noWrap/>
            <w:vAlign w:val="center"/>
            <w:hideMark/>
          </w:tcPr>
          <w:p w14:paraId="05C69AD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257,433,709.68</w:t>
            </w:r>
          </w:p>
        </w:tc>
        <w:tc>
          <w:tcPr>
            <w:tcW w:w="1418" w:type="dxa"/>
            <w:shd w:val="clear" w:color="auto" w:fill="auto"/>
            <w:noWrap/>
            <w:vAlign w:val="center"/>
            <w:hideMark/>
          </w:tcPr>
          <w:p w14:paraId="2F30159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257,433,709.68</w:t>
            </w:r>
          </w:p>
        </w:tc>
      </w:tr>
      <w:tr w:rsidR="00BC7ABF" w:rsidRPr="00790D90" w14:paraId="30E1EA0A" w14:textId="77777777" w:rsidTr="00B6123B">
        <w:trPr>
          <w:trHeight w:val="280"/>
          <w:jc w:val="center"/>
        </w:trPr>
        <w:tc>
          <w:tcPr>
            <w:tcW w:w="2278" w:type="dxa"/>
            <w:shd w:val="clear" w:color="auto" w:fill="auto"/>
            <w:noWrap/>
            <w:vAlign w:val="center"/>
            <w:hideMark/>
          </w:tcPr>
          <w:p w14:paraId="67B4E895" w14:textId="77777777" w:rsidR="00BC7ABF" w:rsidRPr="00790D90" w:rsidRDefault="00BC7ABF" w:rsidP="00867DD0">
            <w:pPr>
              <w:rPr>
                <w:rFonts w:eastAsia="Times New Roman" w:cs="Arial"/>
                <w:b/>
                <w:bCs/>
                <w:sz w:val="14"/>
                <w:szCs w:val="14"/>
              </w:rPr>
            </w:pPr>
            <w:r w:rsidRPr="00790D90">
              <w:rPr>
                <w:rFonts w:eastAsia="Times New Roman" w:cs="Arial"/>
                <w:b/>
                <w:bCs/>
                <w:sz w:val="14"/>
                <w:szCs w:val="14"/>
              </w:rPr>
              <w:t>Nómina anual</w:t>
            </w:r>
          </w:p>
        </w:tc>
        <w:tc>
          <w:tcPr>
            <w:tcW w:w="1402" w:type="dxa"/>
            <w:shd w:val="clear" w:color="auto" w:fill="auto"/>
            <w:noWrap/>
            <w:vAlign w:val="center"/>
            <w:hideMark/>
          </w:tcPr>
          <w:p w14:paraId="224B83D5"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460D44D7"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0616CA5E"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335E3EF5"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41A2096E"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0050A54B" w14:textId="77777777" w:rsidR="00BC7ABF" w:rsidRPr="00790D90" w:rsidRDefault="00BC7ABF" w:rsidP="00867DD0">
            <w:pPr>
              <w:jc w:val="center"/>
              <w:rPr>
                <w:rFonts w:eastAsia="Times New Roman" w:cs="Arial"/>
                <w:color w:val="000000"/>
                <w:sz w:val="14"/>
                <w:szCs w:val="14"/>
              </w:rPr>
            </w:pPr>
          </w:p>
        </w:tc>
      </w:tr>
      <w:tr w:rsidR="00BC7ABF" w:rsidRPr="00790D90" w14:paraId="02B692FE" w14:textId="77777777" w:rsidTr="00B6123B">
        <w:trPr>
          <w:trHeight w:val="280"/>
          <w:jc w:val="center"/>
        </w:trPr>
        <w:tc>
          <w:tcPr>
            <w:tcW w:w="2278" w:type="dxa"/>
            <w:shd w:val="clear" w:color="auto" w:fill="auto"/>
            <w:noWrap/>
            <w:vAlign w:val="center"/>
            <w:hideMark/>
          </w:tcPr>
          <w:p w14:paraId="65DC5986" w14:textId="77777777" w:rsidR="00BC7ABF" w:rsidRPr="00790D90" w:rsidRDefault="00BC7ABF" w:rsidP="00867DD0">
            <w:pPr>
              <w:rPr>
                <w:rFonts w:eastAsia="Times New Roman" w:cs="Arial"/>
                <w:sz w:val="14"/>
                <w:szCs w:val="14"/>
              </w:rPr>
            </w:pPr>
            <w:r w:rsidRPr="00790D90">
              <w:rPr>
                <w:rFonts w:eastAsia="Times New Roman" w:cs="Arial"/>
                <w:sz w:val="14"/>
                <w:szCs w:val="14"/>
              </w:rPr>
              <w:t>Activos</w:t>
            </w:r>
          </w:p>
        </w:tc>
        <w:tc>
          <w:tcPr>
            <w:tcW w:w="1402" w:type="dxa"/>
            <w:shd w:val="clear" w:color="auto" w:fill="auto"/>
            <w:noWrap/>
            <w:vAlign w:val="center"/>
            <w:hideMark/>
          </w:tcPr>
          <w:p w14:paraId="5163546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2,239,761,889.02</w:t>
            </w:r>
          </w:p>
        </w:tc>
        <w:tc>
          <w:tcPr>
            <w:tcW w:w="522" w:type="dxa"/>
            <w:shd w:val="clear" w:color="auto" w:fill="auto"/>
            <w:noWrap/>
            <w:vAlign w:val="center"/>
            <w:hideMark/>
          </w:tcPr>
          <w:p w14:paraId="6AA8D9E3"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6ABBD2B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2,239,761,889.02</w:t>
            </w:r>
          </w:p>
        </w:tc>
        <w:tc>
          <w:tcPr>
            <w:tcW w:w="1324" w:type="dxa"/>
            <w:shd w:val="clear" w:color="auto" w:fill="auto"/>
            <w:noWrap/>
            <w:vAlign w:val="center"/>
            <w:hideMark/>
          </w:tcPr>
          <w:p w14:paraId="428EF2D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2,239,761,889.02</w:t>
            </w:r>
          </w:p>
        </w:tc>
        <w:tc>
          <w:tcPr>
            <w:tcW w:w="1466" w:type="dxa"/>
            <w:shd w:val="clear" w:color="auto" w:fill="auto"/>
            <w:noWrap/>
            <w:vAlign w:val="center"/>
            <w:hideMark/>
          </w:tcPr>
          <w:p w14:paraId="01063B4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2,239,761,889.02</w:t>
            </w:r>
          </w:p>
        </w:tc>
        <w:tc>
          <w:tcPr>
            <w:tcW w:w="1418" w:type="dxa"/>
            <w:shd w:val="clear" w:color="auto" w:fill="auto"/>
            <w:noWrap/>
            <w:vAlign w:val="center"/>
            <w:hideMark/>
          </w:tcPr>
          <w:p w14:paraId="671DF11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2,239,761,889.02</w:t>
            </w:r>
          </w:p>
        </w:tc>
      </w:tr>
      <w:tr w:rsidR="00BC7ABF" w:rsidRPr="00790D90" w14:paraId="0441AA3A" w14:textId="77777777" w:rsidTr="00B6123B">
        <w:trPr>
          <w:trHeight w:val="280"/>
          <w:jc w:val="center"/>
        </w:trPr>
        <w:tc>
          <w:tcPr>
            <w:tcW w:w="2278" w:type="dxa"/>
            <w:shd w:val="clear" w:color="auto" w:fill="auto"/>
            <w:noWrap/>
            <w:vAlign w:val="center"/>
            <w:hideMark/>
          </w:tcPr>
          <w:p w14:paraId="3131C97B" w14:textId="77777777" w:rsidR="00BC7ABF" w:rsidRPr="00790D90" w:rsidRDefault="00BC7ABF" w:rsidP="00867DD0">
            <w:pPr>
              <w:rPr>
                <w:rFonts w:eastAsia="Times New Roman" w:cs="Arial"/>
                <w:sz w:val="14"/>
                <w:szCs w:val="14"/>
              </w:rPr>
            </w:pPr>
            <w:r w:rsidRPr="00790D90">
              <w:rPr>
                <w:rFonts w:eastAsia="Times New Roman" w:cs="Arial"/>
                <w:sz w:val="14"/>
                <w:szCs w:val="14"/>
              </w:rPr>
              <w:lastRenderedPageBreak/>
              <w:t>Pensionados y Jubilados</w:t>
            </w:r>
          </w:p>
        </w:tc>
        <w:tc>
          <w:tcPr>
            <w:tcW w:w="1402" w:type="dxa"/>
            <w:shd w:val="clear" w:color="auto" w:fill="auto"/>
            <w:noWrap/>
            <w:vAlign w:val="center"/>
            <w:hideMark/>
          </w:tcPr>
          <w:p w14:paraId="5E0B37CB"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63,873,246.61</w:t>
            </w:r>
          </w:p>
        </w:tc>
        <w:tc>
          <w:tcPr>
            <w:tcW w:w="522" w:type="dxa"/>
            <w:shd w:val="clear" w:color="auto" w:fill="auto"/>
            <w:noWrap/>
            <w:vAlign w:val="center"/>
            <w:hideMark/>
          </w:tcPr>
          <w:p w14:paraId="6F685BDB"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1198DD1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866,042.28</w:t>
            </w:r>
          </w:p>
        </w:tc>
        <w:tc>
          <w:tcPr>
            <w:tcW w:w="1324" w:type="dxa"/>
            <w:shd w:val="clear" w:color="auto" w:fill="auto"/>
            <w:noWrap/>
            <w:vAlign w:val="center"/>
            <w:hideMark/>
          </w:tcPr>
          <w:p w14:paraId="3066910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7,799,330.68</w:t>
            </w:r>
          </w:p>
        </w:tc>
        <w:tc>
          <w:tcPr>
            <w:tcW w:w="1466" w:type="dxa"/>
            <w:shd w:val="clear" w:color="auto" w:fill="auto"/>
            <w:noWrap/>
            <w:vAlign w:val="center"/>
            <w:hideMark/>
          </w:tcPr>
          <w:p w14:paraId="69D57813"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18" w:type="dxa"/>
            <w:shd w:val="clear" w:color="auto" w:fill="auto"/>
            <w:noWrap/>
            <w:vAlign w:val="center"/>
            <w:hideMark/>
          </w:tcPr>
          <w:p w14:paraId="3D6C714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72,538,619.57</w:t>
            </w:r>
          </w:p>
        </w:tc>
      </w:tr>
      <w:tr w:rsidR="00BC7ABF" w:rsidRPr="00790D90" w14:paraId="0A5A2FD0" w14:textId="77777777" w:rsidTr="00B6123B">
        <w:trPr>
          <w:trHeight w:val="280"/>
          <w:jc w:val="center"/>
        </w:trPr>
        <w:tc>
          <w:tcPr>
            <w:tcW w:w="2278" w:type="dxa"/>
            <w:shd w:val="clear" w:color="auto" w:fill="auto"/>
            <w:noWrap/>
            <w:vAlign w:val="center"/>
            <w:hideMark/>
          </w:tcPr>
          <w:p w14:paraId="662C1DDA" w14:textId="77777777" w:rsidR="00BC7ABF" w:rsidRPr="00790D90" w:rsidRDefault="00BC7ABF" w:rsidP="00867DD0">
            <w:pPr>
              <w:rPr>
                <w:rFonts w:eastAsia="Times New Roman" w:cs="Arial"/>
                <w:sz w:val="14"/>
                <w:szCs w:val="14"/>
              </w:rPr>
            </w:pPr>
            <w:r w:rsidRPr="00790D90">
              <w:rPr>
                <w:rFonts w:eastAsia="Times New Roman" w:cs="Arial"/>
                <w:sz w:val="14"/>
                <w:szCs w:val="14"/>
              </w:rPr>
              <w:t>Beneficiarios de Pensionados y Jubilados</w:t>
            </w:r>
          </w:p>
        </w:tc>
        <w:tc>
          <w:tcPr>
            <w:tcW w:w="1402" w:type="dxa"/>
            <w:shd w:val="clear" w:color="auto" w:fill="auto"/>
            <w:noWrap/>
            <w:vAlign w:val="center"/>
            <w:hideMark/>
          </w:tcPr>
          <w:p w14:paraId="4582298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522" w:type="dxa"/>
            <w:shd w:val="clear" w:color="auto" w:fill="auto"/>
            <w:noWrap/>
            <w:vAlign w:val="center"/>
            <w:hideMark/>
          </w:tcPr>
          <w:p w14:paraId="2D80317B"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29F704D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324" w:type="dxa"/>
            <w:shd w:val="clear" w:color="auto" w:fill="auto"/>
            <w:noWrap/>
            <w:vAlign w:val="center"/>
            <w:hideMark/>
          </w:tcPr>
          <w:p w14:paraId="0480843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1,180,779.95</w:t>
            </w:r>
          </w:p>
        </w:tc>
        <w:tc>
          <w:tcPr>
            <w:tcW w:w="1466" w:type="dxa"/>
            <w:shd w:val="clear" w:color="auto" w:fill="auto"/>
            <w:noWrap/>
            <w:vAlign w:val="center"/>
            <w:hideMark/>
          </w:tcPr>
          <w:p w14:paraId="515C237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18" w:type="dxa"/>
            <w:shd w:val="clear" w:color="auto" w:fill="auto"/>
            <w:noWrap/>
            <w:vAlign w:val="center"/>
            <w:hideMark/>
          </w:tcPr>
          <w:p w14:paraId="56C97A0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1,180,779.95</w:t>
            </w:r>
          </w:p>
        </w:tc>
      </w:tr>
      <w:tr w:rsidR="00BC7ABF" w:rsidRPr="00790D90" w14:paraId="57B851EC" w14:textId="77777777" w:rsidTr="00B6123B">
        <w:trPr>
          <w:trHeight w:val="280"/>
          <w:jc w:val="center"/>
        </w:trPr>
        <w:tc>
          <w:tcPr>
            <w:tcW w:w="2278" w:type="dxa"/>
            <w:shd w:val="clear" w:color="auto" w:fill="auto"/>
            <w:noWrap/>
            <w:vAlign w:val="center"/>
            <w:hideMark/>
          </w:tcPr>
          <w:p w14:paraId="40E901EC" w14:textId="77777777" w:rsidR="00BC7ABF" w:rsidRPr="00790D90" w:rsidRDefault="00BC7ABF" w:rsidP="00867DD0">
            <w:pPr>
              <w:rPr>
                <w:rFonts w:eastAsia="Times New Roman" w:cs="Arial"/>
                <w:b/>
                <w:bCs/>
                <w:sz w:val="14"/>
                <w:szCs w:val="14"/>
              </w:rPr>
            </w:pPr>
            <w:r w:rsidRPr="00790D90">
              <w:rPr>
                <w:rFonts w:eastAsia="Times New Roman" w:cs="Arial"/>
                <w:b/>
                <w:bCs/>
                <w:sz w:val="14"/>
                <w:szCs w:val="14"/>
              </w:rPr>
              <w:t>Monto mensual por pensión</w:t>
            </w:r>
          </w:p>
        </w:tc>
        <w:tc>
          <w:tcPr>
            <w:tcW w:w="1402" w:type="dxa"/>
            <w:shd w:val="clear" w:color="auto" w:fill="auto"/>
            <w:noWrap/>
            <w:vAlign w:val="center"/>
            <w:hideMark/>
          </w:tcPr>
          <w:p w14:paraId="45FB9FE3"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6131A98B"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494230C8"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0B564918"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083EC86E"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6B9BEBF7" w14:textId="77777777" w:rsidR="00BC7ABF" w:rsidRPr="00790D90" w:rsidRDefault="00BC7ABF" w:rsidP="00867DD0">
            <w:pPr>
              <w:jc w:val="center"/>
              <w:rPr>
                <w:rFonts w:eastAsia="Times New Roman" w:cs="Arial"/>
                <w:color w:val="000000"/>
                <w:sz w:val="14"/>
                <w:szCs w:val="14"/>
              </w:rPr>
            </w:pPr>
          </w:p>
        </w:tc>
      </w:tr>
      <w:tr w:rsidR="00BC7ABF" w:rsidRPr="00790D90" w14:paraId="6831E0A0" w14:textId="77777777" w:rsidTr="00B6123B">
        <w:trPr>
          <w:trHeight w:val="280"/>
          <w:jc w:val="center"/>
        </w:trPr>
        <w:tc>
          <w:tcPr>
            <w:tcW w:w="2278" w:type="dxa"/>
            <w:shd w:val="clear" w:color="auto" w:fill="auto"/>
            <w:noWrap/>
            <w:vAlign w:val="center"/>
            <w:hideMark/>
          </w:tcPr>
          <w:p w14:paraId="552BB9DA" w14:textId="77777777" w:rsidR="00BC7ABF" w:rsidRPr="00790D90" w:rsidRDefault="00BC7ABF" w:rsidP="00867DD0">
            <w:pPr>
              <w:rPr>
                <w:rFonts w:eastAsia="Times New Roman" w:cs="Arial"/>
                <w:sz w:val="14"/>
                <w:szCs w:val="14"/>
              </w:rPr>
            </w:pPr>
            <w:r w:rsidRPr="00790D90">
              <w:rPr>
                <w:rFonts w:eastAsia="Times New Roman" w:cs="Arial"/>
                <w:sz w:val="14"/>
                <w:szCs w:val="14"/>
              </w:rPr>
              <w:t>Máximo</w:t>
            </w:r>
          </w:p>
        </w:tc>
        <w:tc>
          <w:tcPr>
            <w:tcW w:w="1402" w:type="dxa"/>
            <w:shd w:val="clear" w:color="auto" w:fill="auto"/>
            <w:noWrap/>
            <w:vAlign w:val="center"/>
            <w:hideMark/>
          </w:tcPr>
          <w:p w14:paraId="0985C85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74,841.19</w:t>
            </w:r>
          </w:p>
        </w:tc>
        <w:tc>
          <w:tcPr>
            <w:tcW w:w="522" w:type="dxa"/>
            <w:shd w:val="clear" w:color="auto" w:fill="auto"/>
            <w:noWrap/>
            <w:vAlign w:val="center"/>
            <w:hideMark/>
          </w:tcPr>
          <w:p w14:paraId="6C63C43D"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4A6C440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23,729.47</w:t>
            </w:r>
          </w:p>
        </w:tc>
        <w:tc>
          <w:tcPr>
            <w:tcW w:w="1324" w:type="dxa"/>
            <w:shd w:val="clear" w:color="auto" w:fill="auto"/>
            <w:noWrap/>
            <w:vAlign w:val="center"/>
            <w:hideMark/>
          </w:tcPr>
          <w:p w14:paraId="367BBC8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49,417.08</w:t>
            </w:r>
          </w:p>
        </w:tc>
        <w:tc>
          <w:tcPr>
            <w:tcW w:w="1466" w:type="dxa"/>
            <w:shd w:val="clear" w:color="auto" w:fill="auto"/>
            <w:noWrap/>
            <w:vAlign w:val="center"/>
            <w:hideMark/>
          </w:tcPr>
          <w:p w14:paraId="43FB7E86"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18" w:type="dxa"/>
            <w:shd w:val="clear" w:color="auto" w:fill="auto"/>
            <w:noWrap/>
            <w:vAlign w:val="center"/>
            <w:hideMark/>
          </w:tcPr>
          <w:p w14:paraId="2231B67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74,841.19</w:t>
            </w:r>
          </w:p>
        </w:tc>
      </w:tr>
      <w:tr w:rsidR="00BC7ABF" w:rsidRPr="00790D90" w14:paraId="08CD326A" w14:textId="77777777" w:rsidTr="00B6123B">
        <w:trPr>
          <w:trHeight w:val="280"/>
          <w:jc w:val="center"/>
        </w:trPr>
        <w:tc>
          <w:tcPr>
            <w:tcW w:w="2278" w:type="dxa"/>
            <w:shd w:val="clear" w:color="auto" w:fill="auto"/>
            <w:noWrap/>
            <w:vAlign w:val="center"/>
            <w:hideMark/>
          </w:tcPr>
          <w:p w14:paraId="5C833B75" w14:textId="77777777" w:rsidR="00BC7ABF" w:rsidRPr="00790D90" w:rsidRDefault="00BC7ABF" w:rsidP="00867DD0">
            <w:pPr>
              <w:rPr>
                <w:rFonts w:eastAsia="Times New Roman" w:cs="Arial"/>
                <w:sz w:val="14"/>
                <w:szCs w:val="14"/>
              </w:rPr>
            </w:pPr>
            <w:r w:rsidRPr="00790D90">
              <w:rPr>
                <w:rFonts w:eastAsia="Times New Roman" w:cs="Arial"/>
                <w:sz w:val="14"/>
                <w:szCs w:val="14"/>
              </w:rPr>
              <w:t>Mínimo</w:t>
            </w:r>
          </w:p>
        </w:tc>
        <w:tc>
          <w:tcPr>
            <w:tcW w:w="1402" w:type="dxa"/>
            <w:shd w:val="clear" w:color="auto" w:fill="auto"/>
            <w:noWrap/>
            <w:vAlign w:val="center"/>
            <w:hideMark/>
          </w:tcPr>
          <w:p w14:paraId="318CCF7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12,489.25</w:t>
            </w:r>
          </w:p>
        </w:tc>
        <w:tc>
          <w:tcPr>
            <w:tcW w:w="522" w:type="dxa"/>
            <w:shd w:val="clear" w:color="auto" w:fill="auto"/>
            <w:noWrap/>
            <w:vAlign w:val="center"/>
            <w:hideMark/>
          </w:tcPr>
          <w:p w14:paraId="020011E1"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57BA8BB3"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7,358.00</w:t>
            </w:r>
          </w:p>
        </w:tc>
        <w:tc>
          <w:tcPr>
            <w:tcW w:w="1324" w:type="dxa"/>
            <w:shd w:val="clear" w:color="auto" w:fill="auto"/>
            <w:noWrap/>
            <w:vAlign w:val="center"/>
            <w:hideMark/>
          </w:tcPr>
          <w:p w14:paraId="2A8E3D4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4,988.00</w:t>
            </w:r>
          </w:p>
        </w:tc>
        <w:tc>
          <w:tcPr>
            <w:tcW w:w="1466" w:type="dxa"/>
            <w:shd w:val="clear" w:color="auto" w:fill="auto"/>
            <w:noWrap/>
            <w:vAlign w:val="center"/>
            <w:hideMark/>
          </w:tcPr>
          <w:p w14:paraId="2DD0AE5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18" w:type="dxa"/>
            <w:shd w:val="clear" w:color="auto" w:fill="auto"/>
            <w:noWrap/>
            <w:vAlign w:val="center"/>
            <w:hideMark/>
          </w:tcPr>
          <w:p w14:paraId="39BC531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4,988.00</w:t>
            </w:r>
          </w:p>
        </w:tc>
      </w:tr>
      <w:tr w:rsidR="00BC7ABF" w:rsidRPr="00790D90" w14:paraId="704632ED" w14:textId="77777777" w:rsidTr="00B6123B">
        <w:trPr>
          <w:trHeight w:val="280"/>
          <w:jc w:val="center"/>
        </w:trPr>
        <w:tc>
          <w:tcPr>
            <w:tcW w:w="2278" w:type="dxa"/>
            <w:shd w:val="clear" w:color="auto" w:fill="auto"/>
            <w:noWrap/>
            <w:vAlign w:val="center"/>
            <w:hideMark/>
          </w:tcPr>
          <w:p w14:paraId="4313CCCC" w14:textId="77777777" w:rsidR="00BC7ABF" w:rsidRPr="00790D90" w:rsidRDefault="00BC7ABF" w:rsidP="00867DD0">
            <w:pPr>
              <w:rPr>
                <w:rFonts w:eastAsia="Times New Roman" w:cs="Arial"/>
                <w:sz w:val="14"/>
                <w:szCs w:val="14"/>
              </w:rPr>
            </w:pPr>
            <w:r w:rsidRPr="00790D90">
              <w:rPr>
                <w:rFonts w:eastAsia="Times New Roman" w:cs="Arial"/>
                <w:sz w:val="14"/>
                <w:szCs w:val="14"/>
              </w:rPr>
              <w:t>Promedio</w:t>
            </w:r>
          </w:p>
        </w:tc>
        <w:tc>
          <w:tcPr>
            <w:tcW w:w="1402" w:type="dxa"/>
            <w:shd w:val="clear" w:color="auto" w:fill="auto"/>
            <w:noWrap/>
            <w:vAlign w:val="center"/>
            <w:hideMark/>
          </w:tcPr>
          <w:p w14:paraId="69A4821A"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37,484.30</w:t>
            </w:r>
          </w:p>
        </w:tc>
        <w:tc>
          <w:tcPr>
            <w:tcW w:w="522" w:type="dxa"/>
            <w:shd w:val="clear" w:color="auto" w:fill="auto"/>
            <w:noWrap/>
            <w:vAlign w:val="center"/>
            <w:hideMark/>
          </w:tcPr>
          <w:p w14:paraId="67201109"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543A6E3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14,434.04</w:t>
            </w:r>
          </w:p>
        </w:tc>
        <w:tc>
          <w:tcPr>
            <w:tcW w:w="1324" w:type="dxa"/>
            <w:shd w:val="clear" w:color="auto" w:fill="auto"/>
            <w:noWrap/>
            <w:vAlign w:val="center"/>
            <w:hideMark/>
          </w:tcPr>
          <w:p w14:paraId="60A24B8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14,391.20</w:t>
            </w:r>
          </w:p>
        </w:tc>
        <w:tc>
          <w:tcPr>
            <w:tcW w:w="1466" w:type="dxa"/>
            <w:shd w:val="clear" w:color="auto" w:fill="auto"/>
            <w:noWrap/>
            <w:vAlign w:val="center"/>
            <w:hideMark/>
          </w:tcPr>
          <w:p w14:paraId="4D38724D"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18" w:type="dxa"/>
            <w:shd w:val="clear" w:color="auto" w:fill="auto"/>
            <w:noWrap/>
            <w:vAlign w:val="center"/>
            <w:hideMark/>
          </w:tcPr>
          <w:p w14:paraId="0985E24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30,870.77</w:t>
            </w:r>
          </w:p>
        </w:tc>
      </w:tr>
      <w:tr w:rsidR="00BC7ABF" w:rsidRPr="00790D90" w14:paraId="0EB3E047" w14:textId="77777777" w:rsidTr="00B6123B">
        <w:trPr>
          <w:trHeight w:val="280"/>
          <w:jc w:val="center"/>
        </w:trPr>
        <w:tc>
          <w:tcPr>
            <w:tcW w:w="2278" w:type="dxa"/>
            <w:shd w:val="clear" w:color="auto" w:fill="auto"/>
            <w:noWrap/>
            <w:vAlign w:val="center"/>
            <w:hideMark/>
          </w:tcPr>
          <w:p w14:paraId="501CA156" w14:textId="77777777" w:rsidR="00BC7ABF" w:rsidRPr="00790D90" w:rsidRDefault="00BC7ABF" w:rsidP="00867DD0">
            <w:pPr>
              <w:rPr>
                <w:rFonts w:eastAsia="Times New Roman" w:cs="Arial"/>
                <w:b/>
                <w:bCs/>
                <w:color w:val="000000"/>
                <w:sz w:val="14"/>
                <w:szCs w:val="14"/>
              </w:rPr>
            </w:pPr>
            <w:r w:rsidRPr="00790D90">
              <w:rPr>
                <w:rFonts w:eastAsia="Times New Roman" w:cs="Arial"/>
                <w:b/>
                <w:bCs/>
                <w:color w:val="000000"/>
                <w:sz w:val="14"/>
                <w:szCs w:val="14"/>
              </w:rPr>
              <w:t>Monto de la reserva</w:t>
            </w:r>
          </w:p>
        </w:tc>
        <w:tc>
          <w:tcPr>
            <w:tcW w:w="1402" w:type="dxa"/>
            <w:shd w:val="clear" w:color="auto" w:fill="auto"/>
            <w:noWrap/>
            <w:vAlign w:val="center"/>
            <w:hideMark/>
          </w:tcPr>
          <w:p w14:paraId="7566482A"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1,319,901,670.52</w:t>
            </w:r>
          </w:p>
        </w:tc>
        <w:tc>
          <w:tcPr>
            <w:tcW w:w="522" w:type="dxa"/>
            <w:shd w:val="clear" w:color="auto" w:fill="auto"/>
            <w:noWrap/>
            <w:vAlign w:val="center"/>
            <w:hideMark/>
          </w:tcPr>
          <w:p w14:paraId="6FEB70FC"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365A6BF5"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45EC6BF2"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19F609DE"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0EE5532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1,319,901,670.52</w:t>
            </w:r>
          </w:p>
        </w:tc>
      </w:tr>
      <w:tr w:rsidR="00BC7ABF" w:rsidRPr="00790D90" w14:paraId="572AC0D0" w14:textId="77777777" w:rsidTr="00B6123B">
        <w:trPr>
          <w:trHeight w:val="280"/>
          <w:jc w:val="center"/>
        </w:trPr>
        <w:tc>
          <w:tcPr>
            <w:tcW w:w="2278" w:type="dxa"/>
            <w:shd w:val="clear" w:color="auto" w:fill="auto"/>
            <w:noWrap/>
            <w:vAlign w:val="center"/>
            <w:hideMark/>
          </w:tcPr>
          <w:p w14:paraId="25AFC6DB" w14:textId="77777777" w:rsidR="00BC7ABF" w:rsidRPr="00790D90" w:rsidRDefault="00BC7ABF" w:rsidP="00867DD0">
            <w:pPr>
              <w:rPr>
                <w:rFonts w:eastAsia="Times New Roman" w:cs="Arial"/>
                <w:b/>
                <w:bCs/>
                <w:color w:val="000000"/>
                <w:sz w:val="14"/>
                <w:szCs w:val="14"/>
              </w:rPr>
            </w:pPr>
            <w:r w:rsidRPr="00790D90">
              <w:rPr>
                <w:rFonts w:eastAsia="Times New Roman" w:cs="Arial"/>
                <w:b/>
                <w:bCs/>
                <w:color w:val="000000"/>
                <w:sz w:val="14"/>
                <w:szCs w:val="14"/>
              </w:rPr>
              <w:t>Valor presente de las obligaciones</w:t>
            </w:r>
          </w:p>
        </w:tc>
        <w:tc>
          <w:tcPr>
            <w:tcW w:w="1402" w:type="dxa"/>
            <w:shd w:val="clear" w:color="auto" w:fill="auto"/>
            <w:noWrap/>
            <w:vAlign w:val="center"/>
            <w:hideMark/>
          </w:tcPr>
          <w:p w14:paraId="636C88D6"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55CA6C4E"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51A9E21F"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7D54ADC7"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349BA86D"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52991E43" w14:textId="77777777" w:rsidR="00BC7ABF" w:rsidRPr="00790D90" w:rsidRDefault="00BC7ABF" w:rsidP="00867DD0">
            <w:pPr>
              <w:jc w:val="center"/>
              <w:rPr>
                <w:rFonts w:eastAsia="Times New Roman" w:cs="Arial"/>
                <w:color w:val="000000"/>
                <w:sz w:val="14"/>
                <w:szCs w:val="14"/>
              </w:rPr>
            </w:pPr>
          </w:p>
        </w:tc>
      </w:tr>
      <w:tr w:rsidR="00BC7ABF" w:rsidRPr="00790D90" w14:paraId="3F72F084" w14:textId="77777777" w:rsidTr="00B6123B">
        <w:trPr>
          <w:trHeight w:val="280"/>
          <w:jc w:val="center"/>
        </w:trPr>
        <w:tc>
          <w:tcPr>
            <w:tcW w:w="2278" w:type="dxa"/>
            <w:shd w:val="clear" w:color="auto" w:fill="auto"/>
            <w:noWrap/>
            <w:vAlign w:val="center"/>
            <w:hideMark/>
          </w:tcPr>
          <w:p w14:paraId="1E33C88D" w14:textId="77777777" w:rsidR="00BC7ABF" w:rsidRPr="00790D90" w:rsidRDefault="00BC7ABF" w:rsidP="00867DD0">
            <w:pPr>
              <w:rPr>
                <w:rFonts w:eastAsia="Times New Roman" w:cs="Arial"/>
                <w:sz w:val="14"/>
                <w:szCs w:val="14"/>
              </w:rPr>
            </w:pPr>
            <w:r w:rsidRPr="00790D90">
              <w:rPr>
                <w:rFonts w:eastAsia="Times New Roman" w:cs="Arial"/>
                <w:sz w:val="14"/>
                <w:szCs w:val="14"/>
              </w:rPr>
              <w:t>Pensiones y Jubilaciones en curso de pago</w:t>
            </w:r>
          </w:p>
        </w:tc>
        <w:tc>
          <w:tcPr>
            <w:tcW w:w="1402" w:type="dxa"/>
            <w:shd w:val="clear" w:color="auto" w:fill="auto"/>
            <w:noWrap/>
            <w:vAlign w:val="center"/>
            <w:hideMark/>
          </w:tcPr>
          <w:p w14:paraId="43A18CA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1,345,769,527.15</w:t>
            </w:r>
          </w:p>
        </w:tc>
        <w:tc>
          <w:tcPr>
            <w:tcW w:w="522" w:type="dxa"/>
            <w:shd w:val="clear" w:color="auto" w:fill="auto"/>
            <w:noWrap/>
            <w:vAlign w:val="center"/>
            <w:hideMark/>
          </w:tcPr>
          <w:p w14:paraId="279DF528"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71D2B72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13,725,063.11</w:t>
            </w:r>
          </w:p>
        </w:tc>
        <w:tc>
          <w:tcPr>
            <w:tcW w:w="1324" w:type="dxa"/>
            <w:shd w:val="clear" w:color="auto" w:fill="auto"/>
            <w:noWrap/>
            <w:vAlign w:val="center"/>
            <w:hideMark/>
          </w:tcPr>
          <w:p w14:paraId="3BC83E4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121,411,197.34</w:t>
            </w:r>
          </w:p>
        </w:tc>
        <w:tc>
          <w:tcPr>
            <w:tcW w:w="1466" w:type="dxa"/>
            <w:shd w:val="clear" w:color="auto" w:fill="auto"/>
            <w:noWrap/>
            <w:vAlign w:val="center"/>
            <w:hideMark/>
          </w:tcPr>
          <w:p w14:paraId="0C0A538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30,472,157.94</w:t>
            </w:r>
          </w:p>
        </w:tc>
        <w:tc>
          <w:tcPr>
            <w:tcW w:w="1418" w:type="dxa"/>
            <w:shd w:val="clear" w:color="auto" w:fill="auto"/>
            <w:noWrap/>
            <w:vAlign w:val="center"/>
            <w:hideMark/>
          </w:tcPr>
          <w:p w14:paraId="033265AB"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1,511,377,945.54</w:t>
            </w:r>
          </w:p>
        </w:tc>
      </w:tr>
      <w:tr w:rsidR="00BC7ABF" w:rsidRPr="00790D90" w14:paraId="20AD3EA8" w14:textId="77777777" w:rsidTr="00B6123B">
        <w:trPr>
          <w:trHeight w:val="280"/>
          <w:jc w:val="center"/>
        </w:trPr>
        <w:tc>
          <w:tcPr>
            <w:tcW w:w="2278" w:type="dxa"/>
            <w:shd w:val="clear" w:color="auto" w:fill="auto"/>
            <w:noWrap/>
            <w:vAlign w:val="center"/>
            <w:hideMark/>
          </w:tcPr>
          <w:p w14:paraId="3781D5EB" w14:textId="77777777" w:rsidR="00BC7ABF" w:rsidRPr="00790D90" w:rsidRDefault="00BC7ABF" w:rsidP="00867DD0">
            <w:pPr>
              <w:rPr>
                <w:rFonts w:eastAsia="Times New Roman" w:cs="Arial"/>
                <w:sz w:val="14"/>
                <w:szCs w:val="14"/>
              </w:rPr>
            </w:pPr>
            <w:r w:rsidRPr="00790D90">
              <w:rPr>
                <w:rFonts w:eastAsia="Times New Roman" w:cs="Arial"/>
                <w:sz w:val="14"/>
                <w:szCs w:val="14"/>
              </w:rPr>
              <w:t>Generación actual</w:t>
            </w:r>
          </w:p>
        </w:tc>
        <w:tc>
          <w:tcPr>
            <w:tcW w:w="1402" w:type="dxa"/>
            <w:shd w:val="clear" w:color="auto" w:fill="auto"/>
            <w:noWrap/>
            <w:vAlign w:val="center"/>
            <w:hideMark/>
          </w:tcPr>
          <w:p w14:paraId="0AF85A5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19,475,051,227.50</w:t>
            </w:r>
          </w:p>
        </w:tc>
        <w:tc>
          <w:tcPr>
            <w:tcW w:w="522" w:type="dxa"/>
            <w:shd w:val="clear" w:color="auto" w:fill="auto"/>
            <w:noWrap/>
            <w:vAlign w:val="center"/>
            <w:hideMark/>
          </w:tcPr>
          <w:p w14:paraId="74AD5C8B"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39C4242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612,852,542.54</w:t>
            </w:r>
          </w:p>
        </w:tc>
        <w:tc>
          <w:tcPr>
            <w:tcW w:w="1324" w:type="dxa"/>
            <w:shd w:val="clear" w:color="auto" w:fill="auto"/>
            <w:noWrap/>
            <w:vAlign w:val="center"/>
            <w:hideMark/>
          </w:tcPr>
          <w:p w14:paraId="34ABB62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1,547,151,518.57</w:t>
            </w:r>
          </w:p>
        </w:tc>
        <w:tc>
          <w:tcPr>
            <w:tcW w:w="1466" w:type="dxa"/>
            <w:shd w:val="clear" w:color="auto" w:fill="auto"/>
            <w:noWrap/>
            <w:vAlign w:val="center"/>
            <w:hideMark/>
          </w:tcPr>
          <w:p w14:paraId="3A76A7D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1,695,795,750.74</w:t>
            </w:r>
          </w:p>
        </w:tc>
        <w:tc>
          <w:tcPr>
            <w:tcW w:w="1418" w:type="dxa"/>
            <w:shd w:val="clear" w:color="auto" w:fill="auto"/>
            <w:noWrap/>
            <w:vAlign w:val="center"/>
            <w:hideMark/>
          </w:tcPr>
          <w:p w14:paraId="7510CD9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23,330,851,039.36</w:t>
            </w:r>
          </w:p>
        </w:tc>
      </w:tr>
      <w:tr w:rsidR="00BC7ABF" w:rsidRPr="00790D90" w14:paraId="31882061" w14:textId="77777777" w:rsidTr="00B6123B">
        <w:trPr>
          <w:trHeight w:val="280"/>
          <w:jc w:val="center"/>
        </w:trPr>
        <w:tc>
          <w:tcPr>
            <w:tcW w:w="2278" w:type="dxa"/>
            <w:shd w:val="clear" w:color="auto" w:fill="auto"/>
            <w:noWrap/>
            <w:vAlign w:val="center"/>
            <w:hideMark/>
          </w:tcPr>
          <w:p w14:paraId="31496A1B" w14:textId="77777777" w:rsidR="00BC7ABF" w:rsidRPr="00790D90" w:rsidRDefault="00BC7ABF" w:rsidP="00867DD0">
            <w:pPr>
              <w:rPr>
                <w:rFonts w:eastAsia="Times New Roman" w:cs="Arial"/>
                <w:sz w:val="14"/>
                <w:szCs w:val="14"/>
              </w:rPr>
            </w:pPr>
            <w:r w:rsidRPr="00790D90">
              <w:rPr>
                <w:rFonts w:eastAsia="Times New Roman" w:cs="Arial"/>
                <w:sz w:val="14"/>
                <w:szCs w:val="14"/>
              </w:rPr>
              <w:t>Generaciones futuras</w:t>
            </w:r>
          </w:p>
        </w:tc>
        <w:tc>
          <w:tcPr>
            <w:tcW w:w="1402" w:type="dxa"/>
            <w:shd w:val="clear" w:color="auto" w:fill="auto"/>
            <w:noWrap/>
            <w:vAlign w:val="center"/>
            <w:hideMark/>
          </w:tcPr>
          <w:p w14:paraId="687854B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10,327,625,085.87</w:t>
            </w:r>
          </w:p>
        </w:tc>
        <w:tc>
          <w:tcPr>
            <w:tcW w:w="522" w:type="dxa"/>
            <w:shd w:val="clear" w:color="auto" w:fill="auto"/>
            <w:noWrap/>
            <w:vAlign w:val="center"/>
            <w:hideMark/>
          </w:tcPr>
          <w:p w14:paraId="6B55DDB2"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5826D5D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2,296,749,828.38</w:t>
            </w:r>
          </w:p>
        </w:tc>
        <w:tc>
          <w:tcPr>
            <w:tcW w:w="1324" w:type="dxa"/>
            <w:shd w:val="clear" w:color="auto" w:fill="auto"/>
            <w:noWrap/>
            <w:vAlign w:val="center"/>
            <w:hideMark/>
          </w:tcPr>
          <w:p w14:paraId="64E7AE8A"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3,328,568,196.82</w:t>
            </w:r>
          </w:p>
        </w:tc>
        <w:tc>
          <w:tcPr>
            <w:tcW w:w="1466" w:type="dxa"/>
            <w:shd w:val="clear" w:color="auto" w:fill="auto"/>
            <w:noWrap/>
            <w:vAlign w:val="center"/>
            <w:hideMark/>
          </w:tcPr>
          <w:p w14:paraId="271FDED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4,355,739,949.98</w:t>
            </w:r>
          </w:p>
        </w:tc>
        <w:tc>
          <w:tcPr>
            <w:tcW w:w="1418" w:type="dxa"/>
            <w:shd w:val="clear" w:color="auto" w:fill="auto"/>
            <w:noWrap/>
            <w:vAlign w:val="center"/>
            <w:hideMark/>
          </w:tcPr>
          <w:p w14:paraId="0CB5B25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20,308,683,061.05</w:t>
            </w:r>
          </w:p>
        </w:tc>
      </w:tr>
      <w:tr w:rsidR="00BC7ABF" w:rsidRPr="00790D90" w14:paraId="7C2A7C6B" w14:textId="77777777" w:rsidTr="00B6123B">
        <w:trPr>
          <w:trHeight w:val="560"/>
          <w:jc w:val="center"/>
        </w:trPr>
        <w:tc>
          <w:tcPr>
            <w:tcW w:w="2278" w:type="dxa"/>
            <w:shd w:val="clear" w:color="auto" w:fill="auto"/>
            <w:vAlign w:val="center"/>
            <w:hideMark/>
          </w:tcPr>
          <w:p w14:paraId="4E4F027A" w14:textId="77777777" w:rsidR="00BC7ABF" w:rsidRPr="00790D90" w:rsidRDefault="00BC7ABF" w:rsidP="00867DD0">
            <w:pPr>
              <w:rPr>
                <w:rFonts w:eastAsia="Times New Roman" w:cs="Arial"/>
                <w:b/>
                <w:bCs/>
                <w:color w:val="000000"/>
                <w:sz w:val="14"/>
                <w:szCs w:val="14"/>
              </w:rPr>
            </w:pPr>
            <w:r w:rsidRPr="00790D90">
              <w:rPr>
                <w:rFonts w:eastAsia="Times New Roman" w:cs="Arial"/>
                <w:b/>
                <w:bCs/>
                <w:color w:val="000000"/>
                <w:sz w:val="14"/>
                <w:szCs w:val="14"/>
              </w:rPr>
              <w:t>Valor presente de las contribuciones asociadas a los sueldos futuros de cotización 2.00%</w:t>
            </w:r>
          </w:p>
        </w:tc>
        <w:tc>
          <w:tcPr>
            <w:tcW w:w="1402" w:type="dxa"/>
            <w:shd w:val="clear" w:color="auto" w:fill="auto"/>
            <w:noWrap/>
            <w:vAlign w:val="center"/>
            <w:hideMark/>
          </w:tcPr>
          <w:p w14:paraId="481EE8F9"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64DC6C73"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7739695E"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708C2312"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4B2A6758"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34CB73E9" w14:textId="77777777" w:rsidR="00BC7ABF" w:rsidRPr="00790D90" w:rsidRDefault="00BC7ABF" w:rsidP="00867DD0">
            <w:pPr>
              <w:jc w:val="center"/>
              <w:rPr>
                <w:rFonts w:eastAsia="Times New Roman" w:cs="Arial"/>
                <w:color w:val="000000"/>
                <w:sz w:val="14"/>
                <w:szCs w:val="14"/>
              </w:rPr>
            </w:pPr>
          </w:p>
        </w:tc>
      </w:tr>
      <w:tr w:rsidR="00BC7ABF" w:rsidRPr="00790D90" w14:paraId="46BD7033" w14:textId="77777777" w:rsidTr="00B6123B">
        <w:trPr>
          <w:trHeight w:val="280"/>
          <w:jc w:val="center"/>
        </w:trPr>
        <w:tc>
          <w:tcPr>
            <w:tcW w:w="2278" w:type="dxa"/>
            <w:shd w:val="clear" w:color="auto" w:fill="auto"/>
            <w:noWrap/>
            <w:vAlign w:val="center"/>
            <w:hideMark/>
          </w:tcPr>
          <w:p w14:paraId="04F41FB8" w14:textId="77777777" w:rsidR="00BC7ABF" w:rsidRPr="00790D90" w:rsidRDefault="00BC7ABF" w:rsidP="00867DD0">
            <w:pPr>
              <w:rPr>
                <w:rFonts w:eastAsia="Times New Roman" w:cs="Arial"/>
                <w:sz w:val="14"/>
                <w:szCs w:val="14"/>
              </w:rPr>
            </w:pPr>
            <w:r w:rsidRPr="00790D90">
              <w:rPr>
                <w:rFonts w:eastAsia="Times New Roman" w:cs="Arial"/>
                <w:sz w:val="14"/>
                <w:szCs w:val="14"/>
              </w:rPr>
              <w:t>Generación actual</w:t>
            </w:r>
          </w:p>
        </w:tc>
        <w:tc>
          <w:tcPr>
            <w:tcW w:w="1402" w:type="dxa"/>
            <w:shd w:val="clear" w:color="auto" w:fill="auto"/>
            <w:noWrap/>
            <w:vAlign w:val="center"/>
            <w:hideMark/>
          </w:tcPr>
          <w:p w14:paraId="2471794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1,331,032,067.16</w:t>
            </w:r>
          </w:p>
        </w:tc>
        <w:tc>
          <w:tcPr>
            <w:tcW w:w="522" w:type="dxa"/>
            <w:shd w:val="clear" w:color="auto" w:fill="auto"/>
            <w:noWrap/>
            <w:vAlign w:val="center"/>
            <w:hideMark/>
          </w:tcPr>
          <w:p w14:paraId="3046BC23"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24AC63A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40,055,812.19</w:t>
            </w:r>
          </w:p>
        </w:tc>
        <w:tc>
          <w:tcPr>
            <w:tcW w:w="1324" w:type="dxa"/>
            <w:shd w:val="clear" w:color="auto" w:fill="auto"/>
            <w:noWrap/>
            <w:vAlign w:val="center"/>
            <w:hideMark/>
          </w:tcPr>
          <w:p w14:paraId="0477EED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106,667,768.15</w:t>
            </w:r>
          </w:p>
        </w:tc>
        <w:tc>
          <w:tcPr>
            <w:tcW w:w="1466" w:type="dxa"/>
            <w:shd w:val="clear" w:color="auto" w:fill="auto"/>
            <w:noWrap/>
            <w:vAlign w:val="center"/>
            <w:hideMark/>
          </w:tcPr>
          <w:p w14:paraId="08115FA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110,356,741.94</w:t>
            </w:r>
          </w:p>
        </w:tc>
        <w:tc>
          <w:tcPr>
            <w:tcW w:w="1418" w:type="dxa"/>
            <w:shd w:val="clear" w:color="auto" w:fill="auto"/>
            <w:noWrap/>
            <w:vAlign w:val="center"/>
            <w:hideMark/>
          </w:tcPr>
          <w:p w14:paraId="1D905FF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1,588,112,389.43</w:t>
            </w:r>
          </w:p>
        </w:tc>
      </w:tr>
      <w:tr w:rsidR="00BC7ABF" w:rsidRPr="00790D90" w14:paraId="50EA2316" w14:textId="77777777" w:rsidTr="00B6123B">
        <w:trPr>
          <w:trHeight w:val="280"/>
          <w:jc w:val="center"/>
        </w:trPr>
        <w:tc>
          <w:tcPr>
            <w:tcW w:w="2278" w:type="dxa"/>
            <w:shd w:val="clear" w:color="auto" w:fill="auto"/>
            <w:noWrap/>
            <w:vAlign w:val="center"/>
            <w:hideMark/>
          </w:tcPr>
          <w:p w14:paraId="6C863196" w14:textId="77777777" w:rsidR="00BC7ABF" w:rsidRPr="00790D90" w:rsidRDefault="00BC7ABF" w:rsidP="00867DD0">
            <w:pPr>
              <w:rPr>
                <w:rFonts w:eastAsia="Times New Roman" w:cs="Arial"/>
                <w:sz w:val="14"/>
                <w:szCs w:val="14"/>
              </w:rPr>
            </w:pPr>
            <w:r w:rsidRPr="00790D90">
              <w:rPr>
                <w:rFonts w:eastAsia="Times New Roman" w:cs="Arial"/>
                <w:sz w:val="14"/>
                <w:szCs w:val="14"/>
              </w:rPr>
              <w:t>Generaciones futuras</w:t>
            </w:r>
          </w:p>
        </w:tc>
        <w:tc>
          <w:tcPr>
            <w:tcW w:w="1402" w:type="dxa"/>
            <w:shd w:val="clear" w:color="auto" w:fill="auto"/>
            <w:noWrap/>
            <w:vAlign w:val="center"/>
            <w:hideMark/>
          </w:tcPr>
          <w:p w14:paraId="7329384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3,374,785,113.22</w:t>
            </w:r>
          </w:p>
        </w:tc>
        <w:tc>
          <w:tcPr>
            <w:tcW w:w="522" w:type="dxa"/>
            <w:shd w:val="clear" w:color="auto" w:fill="auto"/>
            <w:noWrap/>
            <w:vAlign w:val="center"/>
            <w:hideMark/>
          </w:tcPr>
          <w:p w14:paraId="0F60240E"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7653EC1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750,514,960.13</w:t>
            </w:r>
          </w:p>
        </w:tc>
        <w:tc>
          <w:tcPr>
            <w:tcW w:w="1324" w:type="dxa"/>
            <w:shd w:val="clear" w:color="auto" w:fill="auto"/>
            <w:noWrap/>
            <w:vAlign w:val="center"/>
            <w:hideMark/>
          </w:tcPr>
          <w:p w14:paraId="0C95721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1,087,684,952.31</w:t>
            </w:r>
          </w:p>
        </w:tc>
        <w:tc>
          <w:tcPr>
            <w:tcW w:w="1466" w:type="dxa"/>
            <w:shd w:val="clear" w:color="auto" w:fill="auto"/>
            <w:noWrap/>
            <w:vAlign w:val="center"/>
            <w:hideMark/>
          </w:tcPr>
          <w:p w14:paraId="5C45E11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1,423,336,557.82</w:t>
            </w:r>
          </w:p>
        </w:tc>
        <w:tc>
          <w:tcPr>
            <w:tcW w:w="1418" w:type="dxa"/>
            <w:shd w:val="clear" w:color="auto" w:fill="auto"/>
            <w:noWrap/>
            <w:vAlign w:val="center"/>
            <w:hideMark/>
          </w:tcPr>
          <w:p w14:paraId="7FD95DA3"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6,636,321,583.48</w:t>
            </w:r>
          </w:p>
        </w:tc>
      </w:tr>
      <w:tr w:rsidR="00BC7ABF" w:rsidRPr="00790D90" w14:paraId="0CE45ACE" w14:textId="77777777" w:rsidTr="00B6123B">
        <w:trPr>
          <w:trHeight w:val="280"/>
          <w:jc w:val="center"/>
        </w:trPr>
        <w:tc>
          <w:tcPr>
            <w:tcW w:w="2278" w:type="dxa"/>
            <w:shd w:val="clear" w:color="auto" w:fill="auto"/>
            <w:noWrap/>
            <w:vAlign w:val="center"/>
            <w:hideMark/>
          </w:tcPr>
          <w:p w14:paraId="4150D9FC" w14:textId="77777777" w:rsidR="00BC7ABF" w:rsidRPr="00790D90" w:rsidRDefault="00BC7ABF" w:rsidP="00867DD0">
            <w:pPr>
              <w:rPr>
                <w:rFonts w:eastAsia="Times New Roman" w:cs="Arial"/>
                <w:b/>
                <w:bCs/>
                <w:color w:val="000000"/>
                <w:sz w:val="14"/>
                <w:szCs w:val="14"/>
              </w:rPr>
            </w:pPr>
            <w:r w:rsidRPr="00790D90">
              <w:rPr>
                <w:rFonts w:eastAsia="Times New Roman" w:cs="Arial"/>
                <w:b/>
                <w:bCs/>
                <w:color w:val="000000"/>
                <w:sz w:val="14"/>
                <w:szCs w:val="14"/>
              </w:rPr>
              <w:t>Valor presente de aportaciones futuras</w:t>
            </w:r>
          </w:p>
        </w:tc>
        <w:tc>
          <w:tcPr>
            <w:tcW w:w="1402" w:type="dxa"/>
            <w:shd w:val="clear" w:color="auto" w:fill="auto"/>
            <w:noWrap/>
            <w:vAlign w:val="center"/>
            <w:hideMark/>
          </w:tcPr>
          <w:p w14:paraId="55C76DF7"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5ED27944"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4B830C0E"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7D725391"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25FCE3C1"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71BA232D" w14:textId="77777777" w:rsidR="00BC7ABF" w:rsidRPr="00790D90" w:rsidRDefault="00BC7ABF" w:rsidP="00867DD0">
            <w:pPr>
              <w:jc w:val="center"/>
              <w:rPr>
                <w:rFonts w:eastAsia="Times New Roman" w:cs="Arial"/>
                <w:color w:val="000000"/>
                <w:sz w:val="14"/>
                <w:szCs w:val="14"/>
              </w:rPr>
            </w:pPr>
          </w:p>
        </w:tc>
      </w:tr>
      <w:tr w:rsidR="00BC7ABF" w:rsidRPr="00790D90" w14:paraId="5A7F8E1F" w14:textId="77777777" w:rsidTr="00B6123B">
        <w:trPr>
          <w:trHeight w:val="280"/>
          <w:jc w:val="center"/>
        </w:trPr>
        <w:tc>
          <w:tcPr>
            <w:tcW w:w="2278" w:type="dxa"/>
            <w:shd w:val="clear" w:color="auto" w:fill="auto"/>
            <w:noWrap/>
            <w:vAlign w:val="center"/>
            <w:hideMark/>
          </w:tcPr>
          <w:p w14:paraId="2F7C4237" w14:textId="77777777" w:rsidR="00BC7ABF" w:rsidRPr="00790D90" w:rsidRDefault="00BC7ABF" w:rsidP="00867DD0">
            <w:pPr>
              <w:rPr>
                <w:rFonts w:eastAsia="Times New Roman" w:cs="Arial"/>
                <w:sz w:val="14"/>
                <w:szCs w:val="14"/>
              </w:rPr>
            </w:pPr>
            <w:r w:rsidRPr="00790D90">
              <w:rPr>
                <w:rFonts w:eastAsia="Times New Roman" w:cs="Arial"/>
                <w:sz w:val="14"/>
                <w:szCs w:val="14"/>
              </w:rPr>
              <w:t>Generación actual</w:t>
            </w:r>
          </w:p>
        </w:tc>
        <w:tc>
          <w:tcPr>
            <w:tcW w:w="1402" w:type="dxa"/>
            <w:shd w:val="clear" w:color="auto" w:fill="auto"/>
            <w:noWrap/>
            <w:vAlign w:val="center"/>
            <w:hideMark/>
          </w:tcPr>
          <w:p w14:paraId="4D05065B"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4,727,551,458.21</w:t>
            </w:r>
          </w:p>
        </w:tc>
        <w:tc>
          <w:tcPr>
            <w:tcW w:w="522" w:type="dxa"/>
            <w:shd w:val="clear" w:color="auto" w:fill="auto"/>
            <w:noWrap/>
            <w:vAlign w:val="center"/>
            <w:hideMark/>
          </w:tcPr>
          <w:p w14:paraId="54D1AABF"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0A904B7D"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142,269,985.81</w:t>
            </w:r>
          </w:p>
        </w:tc>
        <w:tc>
          <w:tcPr>
            <w:tcW w:w="1324" w:type="dxa"/>
            <w:shd w:val="clear" w:color="auto" w:fill="auto"/>
            <w:noWrap/>
            <w:vAlign w:val="center"/>
            <w:hideMark/>
          </w:tcPr>
          <w:p w14:paraId="5CACB5AD"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378,861,918.73</w:t>
            </w:r>
          </w:p>
        </w:tc>
        <w:tc>
          <w:tcPr>
            <w:tcW w:w="1466" w:type="dxa"/>
            <w:shd w:val="clear" w:color="auto" w:fill="auto"/>
            <w:noWrap/>
            <w:vAlign w:val="center"/>
            <w:hideMark/>
          </w:tcPr>
          <w:p w14:paraId="68C2A1A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391,964,393.00</w:t>
            </w:r>
          </w:p>
        </w:tc>
        <w:tc>
          <w:tcPr>
            <w:tcW w:w="1418" w:type="dxa"/>
            <w:shd w:val="clear" w:color="auto" w:fill="auto"/>
            <w:noWrap/>
            <w:vAlign w:val="center"/>
            <w:hideMark/>
          </w:tcPr>
          <w:p w14:paraId="0DC1AFBD"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5,640,647,755.75</w:t>
            </w:r>
          </w:p>
        </w:tc>
      </w:tr>
      <w:tr w:rsidR="00BC7ABF" w:rsidRPr="00790D90" w14:paraId="7E52A73A" w14:textId="77777777" w:rsidTr="00B6123B">
        <w:trPr>
          <w:trHeight w:val="280"/>
          <w:jc w:val="center"/>
        </w:trPr>
        <w:tc>
          <w:tcPr>
            <w:tcW w:w="2278" w:type="dxa"/>
            <w:shd w:val="clear" w:color="auto" w:fill="auto"/>
            <w:noWrap/>
            <w:vAlign w:val="center"/>
            <w:hideMark/>
          </w:tcPr>
          <w:p w14:paraId="6A7C1865" w14:textId="77777777" w:rsidR="00BC7ABF" w:rsidRPr="00790D90" w:rsidRDefault="00BC7ABF" w:rsidP="00867DD0">
            <w:pPr>
              <w:rPr>
                <w:rFonts w:eastAsia="Times New Roman" w:cs="Arial"/>
                <w:sz w:val="14"/>
                <w:szCs w:val="14"/>
              </w:rPr>
            </w:pPr>
            <w:r w:rsidRPr="00790D90">
              <w:rPr>
                <w:rFonts w:eastAsia="Times New Roman" w:cs="Arial"/>
                <w:sz w:val="14"/>
                <w:szCs w:val="14"/>
              </w:rPr>
              <w:t>Generaciones futuras</w:t>
            </w:r>
          </w:p>
        </w:tc>
        <w:tc>
          <w:tcPr>
            <w:tcW w:w="1402" w:type="dxa"/>
            <w:shd w:val="clear" w:color="auto" w:fill="auto"/>
            <w:noWrap/>
            <w:vAlign w:val="center"/>
            <w:hideMark/>
          </w:tcPr>
          <w:p w14:paraId="35C0D26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13,726,082,039.54</w:t>
            </w:r>
          </w:p>
        </w:tc>
        <w:tc>
          <w:tcPr>
            <w:tcW w:w="522" w:type="dxa"/>
            <w:shd w:val="clear" w:color="auto" w:fill="auto"/>
            <w:noWrap/>
            <w:vAlign w:val="center"/>
            <w:hideMark/>
          </w:tcPr>
          <w:p w14:paraId="4155837A"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08A1BE0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3,052,529,144.55</w:t>
            </w:r>
          </w:p>
        </w:tc>
        <w:tc>
          <w:tcPr>
            <w:tcW w:w="1324" w:type="dxa"/>
            <w:shd w:val="clear" w:color="auto" w:fill="auto"/>
            <w:noWrap/>
            <w:vAlign w:val="center"/>
            <w:hideMark/>
          </w:tcPr>
          <w:p w14:paraId="4004032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4,423,882,525.16</w:t>
            </w:r>
          </w:p>
        </w:tc>
        <w:tc>
          <w:tcPr>
            <w:tcW w:w="1466" w:type="dxa"/>
            <w:shd w:val="clear" w:color="auto" w:fill="auto"/>
            <w:noWrap/>
            <w:vAlign w:val="center"/>
            <w:hideMark/>
          </w:tcPr>
          <w:p w14:paraId="74FA15F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5,789,060,253.36</w:t>
            </w:r>
          </w:p>
        </w:tc>
        <w:tc>
          <w:tcPr>
            <w:tcW w:w="1418" w:type="dxa"/>
            <w:shd w:val="clear" w:color="auto" w:fill="auto"/>
            <w:noWrap/>
            <w:vAlign w:val="center"/>
            <w:hideMark/>
          </w:tcPr>
          <w:p w14:paraId="39293E9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26,991,553,962.61</w:t>
            </w:r>
          </w:p>
        </w:tc>
      </w:tr>
      <w:tr w:rsidR="00BC7ABF" w:rsidRPr="00790D90" w14:paraId="20B04881" w14:textId="77777777" w:rsidTr="00B6123B">
        <w:trPr>
          <w:trHeight w:val="280"/>
          <w:jc w:val="center"/>
        </w:trPr>
        <w:tc>
          <w:tcPr>
            <w:tcW w:w="2278" w:type="dxa"/>
            <w:shd w:val="clear" w:color="auto" w:fill="auto"/>
            <w:noWrap/>
            <w:vAlign w:val="center"/>
            <w:hideMark/>
          </w:tcPr>
          <w:p w14:paraId="43E658C0" w14:textId="77777777" w:rsidR="00BC7ABF" w:rsidRPr="00790D90" w:rsidRDefault="00BC7ABF" w:rsidP="00867DD0">
            <w:pPr>
              <w:rPr>
                <w:rFonts w:eastAsia="Times New Roman" w:cs="Arial"/>
                <w:sz w:val="14"/>
                <w:szCs w:val="14"/>
              </w:rPr>
            </w:pPr>
            <w:r w:rsidRPr="00790D90">
              <w:rPr>
                <w:rFonts w:eastAsia="Times New Roman" w:cs="Arial"/>
                <w:sz w:val="14"/>
                <w:szCs w:val="14"/>
              </w:rPr>
              <w:t>Otros Ingresos</w:t>
            </w:r>
          </w:p>
        </w:tc>
        <w:tc>
          <w:tcPr>
            <w:tcW w:w="1402" w:type="dxa"/>
            <w:shd w:val="clear" w:color="auto" w:fill="auto"/>
            <w:noWrap/>
            <w:vAlign w:val="center"/>
            <w:hideMark/>
          </w:tcPr>
          <w:p w14:paraId="76E7A12D"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522" w:type="dxa"/>
            <w:shd w:val="clear" w:color="auto" w:fill="auto"/>
            <w:noWrap/>
            <w:vAlign w:val="center"/>
            <w:hideMark/>
          </w:tcPr>
          <w:p w14:paraId="2F1F3CFA"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5C72FF96"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324" w:type="dxa"/>
            <w:shd w:val="clear" w:color="auto" w:fill="auto"/>
            <w:noWrap/>
            <w:vAlign w:val="center"/>
            <w:hideMark/>
          </w:tcPr>
          <w:p w14:paraId="42C4033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66" w:type="dxa"/>
            <w:shd w:val="clear" w:color="auto" w:fill="auto"/>
            <w:noWrap/>
            <w:vAlign w:val="center"/>
            <w:hideMark/>
          </w:tcPr>
          <w:p w14:paraId="74BD54F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c>
          <w:tcPr>
            <w:tcW w:w="1418" w:type="dxa"/>
            <w:shd w:val="clear" w:color="auto" w:fill="auto"/>
            <w:noWrap/>
            <w:vAlign w:val="center"/>
            <w:hideMark/>
          </w:tcPr>
          <w:p w14:paraId="1E72443B"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0.00</w:t>
            </w:r>
          </w:p>
        </w:tc>
      </w:tr>
      <w:tr w:rsidR="00BC7ABF" w:rsidRPr="00790D90" w14:paraId="766AD314" w14:textId="77777777" w:rsidTr="00B6123B">
        <w:trPr>
          <w:trHeight w:val="280"/>
          <w:jc w:val="center"/>
        </w:trPr>
        <w:tc>
          <w:tcPr>
            <w:tcW w:w="2278" w:type="dxa"/>
            <w:shd w:val="clear" w:color="auto" w:fill="auto"/>
            <w:noWrap/>
            <w:vAlign w:val="center"/>
            <w:hideMark/>
          </w:tcPr>
          <w:p w14:paraId="25DA31C4" w14:textId="77777777" w:rsidR="00BC7ABF" w:rsidRPr="00790D90" w:rsidRDefault="00BC7ABF" w:rsidP="00867DD0">
            <w:pPr>
              <w:rPr>
                <w:rFonts w:eastAsia="Times New Roman" w:cs="Arial"/>
                <w:b/>
                <w:bCs/>
                <w:color w:val="000000"/>
                <w:sz w:val="14"/>
                <w:szCs w:val="14"/>
              </w:rPr>
            </w:pPr>
            <w:r w:rsidRPr="00790D90">
              <w:rPr>
                <w:rFonts w:eastAsia="Times New Roman" w:cs="Arial"/>
                <w:b/>
                <w:bCs/>
                <w:color w:val="000000"/>
                <w:sz w:val="14"/>
                <w:szCs w:val="14"/>
              </w:rPr>
              <w:t>Déficit/superávit actuarial</w:t>
            </w:r>
          </w:p>
        </w:tc>
        <w:tc>
          <w:tcPr>
            <w:tcW w:w="1402" w:type="dxa"/>
            <w:shd w:val="clear" w:color="auto" w:fill="auto"/>
            <w:noWrap/>
            <w:vAlign w:val="center"/>
            <w:hideMark/>
          </w:tcPr>
          <w:p w14:paraId="3EB3E8D2"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16F7981C"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33931927"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2D38C2BD"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759390C4"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3925B3AD" w14:textId="77777777" w:rsidR="00BC7ABF" w:rsidRPr="00790D90" w:rsidRDefault="00BC7ABF" w:rsidP="00867DD0">
            <w:pPr>
              <w:jc w:val="center"/>
              <w:rPr>
                <w:rFonts w:eastAsia="Times New Roman" w:cs="Arial"/>
                <w:color w:val="000000"/>
                <w:sz w:val="14"/>
                <w:szCs w:val="14"/>
              </w:rPr>
            </w:pPr>
          </w:p>
        </w:tc>
      </w:tr>
      <w:tr w:rsidR="00BC7ABF" w:rsidRPr="00790D90" w14:paraId="6FA304C5" w14:textId="77777777" w:rsidTr="00B6123B">
        <w:trPr>
          <w:trHeight w:val="280"/>
          <w:jc w:val="center"/>
        </w:trPr>
        <w:tc>
          <w:tcPr>
            <w:tcW w:w="2278" w:type="dxa"/>
            <w:shd w:val="clear" w:color="auto" w:fill="auto"/>
            <w:noWrap/>
            <w:vAlign w:val="center"/>
            <w:hideMark/>
          </w:tcPr>
          <w:p w14:paraId="7B30A14B" w14:textId="77777777" w:rsidR="00BC7ABF" w:rsidRPr="00790D90" w:rsidRDefault="00BC7ABF" w:rsidP="00867DD0">
            <w:pPr>
              <w:rPr>
                <w:rFonts w:eastAsia="Times New Roman" w:cs="Arial"/>
                <w:sz w:val="14"/>
                <w:szCs w:val="14"/>
              </w:rPr>
            </w:pPr>
            <w:r w:rsidRPr="00790D90">
              <w:rPr>
                <w:rFonts w:eastAsia="Times New Roman" w:cs="Arial"/>
                <w:sz w:val="14"/>
                <w:szCs w:val="14"/>
              </w:rPr>
              <w:t>Generación actual</w:t>
            </w:r>
          </w:p>
        </w:tc>
        <w:tc>
          <w:tcPr>
            <w:tcW w:w="1402" w:type="dxa"/>
            <w:shd w:val="clear" w:color="auto" w:fill="auto"/>
            <w:noWrap/>
            <w:vAlign w:val="center"/>
            <w:hideMark/>
          </w:tcPr>
          <w:p w14:paraId="13A8C458"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FF0000"/>
                <w:sz w:val="14"/>
                <w:szCs w:val="14"/>
              </w:rPr>
              <w:t>(13,442,335,558.77)</w:t>
            </w:r>
          </w:p>
        </w:tc>
        <w:tc>
          <w:tcPr>
            <w:tcW w:w="522" w:type="dxa"/>
            <w:shd w:val="clear" w:color="auto" w:fill="auto"/>
            <w:noWrap/>
            <w:vAlign w:val="center"/>
            <w:hideMark/>
          </w:tcPr>
          <w:p w14:paraId="4C810E74"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0E14519C"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FF0000"/>
                <w:sz w:val="14"/>
                <w:szCs w:val="14"/>
              </w:rPr>
              <w:t>(444,251,807.66)</w:t>
            </w:r>
          </w:p>
        </w:tc>
        <w:tc>
          <w:tcPr>
            <w:tcW w:w="1324" w:type="dxa"/>
            <w:shd w:val="clear" w:color="auto" w:fill="auto"/>
            <w:noWrap/>
            <w:vAlign w:val="center"/>
            <w:hideMark/>
          </w:tcPr>
          <w:p w14:paraId="3C8B7C8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FF0000"/>
                <w:sz w:val="14"/>
                <w:szCs w:val="14"/>
              </w:rPr>
              <w:t>(1,183,033,029.02)</w:t>
            </w:r>
          </w:p>
        </w:tc>
        <w:tc>
          <w:tcPr>
            <w:tcW w:w="1466" w:type="dxa"/>
            <w:shd w:val="clear" w:color="auto" w:fill="auto"/>
            <w:noWrap/>
            <w:vAlign w:val="center"/>
            <w:hideMark/>
          </w:tcPr>
          <w:p w14:paraId="4E34287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FF0000"/>
                <w:sz w:val="14"/>
                <w:szCs w:val="14"/>
              </w:rPr>
              <w:t>(1,223,946,773.74)</w:t>
            </w:r>
          </w:p>
        </w:tc>
        <w:tc>
          <w:tcPr>
            <w:tcW w:w="1418" w:type="dxa"/>
            <w:shd w:val="clear" w:color="auto" w:fill="auto"/>
            <w:noWrap/>
            <w:vAlign w:val="center"/>
            <w:hideMark/>
          </w:tcPr>
          <w:p w14:paraId="42025C7D"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FF0000"/>
                <w:sz w:val="14"/>
                <w:szCs w:val="14"/>
              </w:rPr>
              <w:t>(16,293,567,169.20)</w:t>
            </w:r>
          </w:p>
        </w:tc>
      </w:tr>
      <w:tr w:rsidR="00BC7ABF" w:rsidRPr="00790D90" w14:paraId="04CEE957" w14:textId="77777777" w:rsidTr="00B6123B">
        <w:trPr>
          <w:trHeight w:val="280"/>
          <w:jc w:val="center"/>
        </w:trPr>
        <w:tc>
          <w:tcPr>
            <w:tcW w:w="2278" w:type="dxa"/>
            <w:shd w:val="clear" w:color="auto" w:fill="auto"/>
            <w:noWrap/>
            <w:vAlign w:val="center"/>
            <w:hideMark/>
          </w:tcPr>
          <w:p w14:paraId="5BFADFD8" w14:textId="77777777" w:rsidR="00BC7ABF" w:rsidRPr="00790D90" w:rsidRDefault="00BC7ABF" w:rsidP="00867DD0">
            <w:pPr>
              <w:rPr>
                <w:rFonts w:eastAsia="Times New Roman" w:cs="Arial"/>
                <w:sz w:val="14"/>
                <w:szCs w:val="14"/>
              </w:rPr>
            </w:pPr>
            <w:r w:rsidRPr="00790D90">
              <w:rPr>
                <w:rFonts w:eastAsia="Times New Roman" w:cs="Arial"/>
                <w:sz w:val="14"/>
                <w:szCs w:val="14"/>
              </w:rPr>
              <w:t>Generaciones futuras</w:t>
            </w:r>
          </w:p>
        </w:tc>
        <w:tc>
          <w:tcPr>
            <w:tcW w:w="1402" w:type="dxa"/>
            <w:shd w:val="clear" w:color="auto" w:fill="auto"/>
            <w:noWrap/>
            <w:vAlign w:val="center"/>
            <w:hideMark/>
          </w:tcPr>
          <w:p w14:paraId="426A390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6,773,242,066.88</w:t>
            </w:r>
          </w:p>
        </w:tc>
        <w:tc>
          <w:tcPr>
            <w:tcW w:w="522" w:type="dxa"/>
            <w:shd w:val="clear" w:color="auto" w:fill="auto"/>
            <w:noWrap/>
            <w:vAlign w:val="center"/>
            <w:hideMark/>
          </w:tcPr>
          <w:p w14:paraId="001BDB41"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47B7082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1,506,294,276.30</w:t>
            </w:r>
          </w:p>
        </w:tc>
        <w:tc>
          <w:tcPr>
            <w:tcW w:w="1324" w:type="dxa"/>
            <w:shd w:val="clear" w:color="auto" w:fill="auto"/>
            <w:noWrap/>
            <w:vAlign w:val="center"/>
            <w:hideMark/>
          </w:tcPr>
          <w:p w14:paraId="53C1B610"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2,182,999,280.64</w:t>
            </w:r>
          </w:p>
        </w:tc>
        <w:tc>
          <w:tcPr>
            <w:tcW w:w="1466" w:type="dxa"/>
            <w:shd w:val="clear" w:color="auto" w:fill="auto"/>
            <w:noWrap/>
            <w:vAlign w:val="center"/>
            <w:hideMark/>
          </w:tcPr>
          <w:p w14:paraId="49725483"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2,856,656,861.21</w:t>
            </w:r>
          </w:p>
        </w:tc>
        <w:tc>
          <w:tcPr>
            <w:tcW w:w="1418" w:type="dxa"/>
            <w:shd w:val="clear" w:color="auto" w:fill="auto"/>
            <w:noWrap/>
            <w:vAlign w:val="center"/>
            <w:hideMark/>
          </w:tcPr>
          <w:p w14:paraId="4220F11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13,319,192,485.04</w:t>
            </w:r>
          </w:p>
        </w:tc>
      </w:tr>
      <w:tr w:rsidR="00BC7ABF" w:rsidRPr="00790D90" w14:paraId="5923AE74" w14:textId="77777777" w:rsidTr="00B6123B">
        <w:trPr>
          <w:trHeight w:val="280"/>
          <w:jc w:val="center"/>
        </w:trPr>
        <w:tc>
          <w:tcPr>
            <w:tcW w:w="2278" w:type="dxa"/>
            <w:shd w:val="clear" w:color="auto" w:fill="auto"/>
            <w:noWrap/>
            <w:vAlign w:val="center"/>
            <w:hideMark/>
          </w:tcPr>
          <w:p w14:paraId="10DA4F21" w14:textId="77777777" w:rsidR="00BC7ABF" w:rsidRPr="00790D90" w:rsidRDefault="00BC7ABF" w:rsidP="00867DD0">
            <w:pPr>
              <w:rPr>
                <w:rFonts w:eastAsia="Times New Roman" w:cs="Arial"/>
                <w:b/>
                <w:bCs/>
                <w:color w:val="000000"/>
                <w:sz w:val="14"/>
                <w:szCs w:val="14"/>
              </w:rPr>
            </w:pPr>
            <w:r w:rsidRPr="00790D90">
              <w:rPr>
                <w:rFonts w:eastAsia="Times New Roman" w:cs="Arial"/>
                <w:b/>
                <w:bCs/>
                <w:color w:val="000000"/>
                <w:sz w:val="14"/>
                <w:szCs w:val="14"/>
              </w:rPr>
              <w:t>Periodo de suficiencia</w:t>
            </w:r>
          </w:p>
        </w:tc>
        <w:tc>
          <w:tcPr>
            <w:tcW w:w="1402" w:type="dxa"/>
            <w:shd w:val="clear" w:color="auto" w:fill="auto"/>
            <w:noWrap/>
            <w:vAlign w:val="center"/>
            <w:hideMark/>
          </w:tcPr>
          <w:p w14:paraId="221A5206"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66C96A06"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57F54AB6"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783FFC7C"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49C60F1E"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4E3EC54B" w14:textId="77777777" w:rsidR="00BC7ABF" w:rsidRPr="00790D90" w:rsidRDefault="00BC7ABF" w:rsidP="00867DD0">
            <w:pPr>
              <w:jc w:val="center"/>
              <w:rPr>
                <w:rFonts w:eastAsia="Times New Roman" w:cs="Arial"/>
                <w:color w:val="000000"/>
                <w:sz w:val="14"/>
                <w:szCs w:val="14"/>
              </w:rPr>
            </w:pPr>
          </w:p>
        </w:tc>
      </w:tr>
      <w:tr w:rsidR="00BC7ABF" w:rsidRPr="00790D90" w14:paraId="43CE16D1" w14:textId="77777777" w:rsidTr="00B6123B">
        <w:trPr>
          <w:trHeight w:val="280"/>
          <w:jc w:val="center"/>
        </w:trPr>
        <w:tc>
          <w:tcPr>
            <w:tcW w:w="2278" w:type="dxa"/>
            <w:shd w:val="clear" w:color="auto" w:fill="auto"/>
            <w:noWrap/>
            <w:vAlign w:val="center"/>
            <w:hideMark/>
          </w:tcPr>
          <w:p w14:paraId="48E87AAC" w14:textId="77777777" w:rsidR="00BC7ABF" w:rsidRPr="00790D90" w:rsidRDefault="00BC7ABF" w:rsidP="00867DD0">
            <w:pPr>
              <w:rPr>
                <w:rFonts w:eastAsia="Times New Roman" w:cs="Arial"/>
                <w:sz w:val="14"/>
                <w:szCs w:val="14"/>
              </w:rPr>
            </w:pPr>
            <w:r w:rsidRPr="00790D90">
              <w:rPr>
                <w:rFonts w:eastAsia="Times New Roman" w:cs="Arial"/>
                <w:sz w:val="14"/>
                <w:szCs w:val="14"/>
              </w:rPr>
              <w:t>Año de descapitalización</w:t>
            </w:r>
          </w:p>
        </w:tc>
        <w:tc>
          <w:tcPr>
            <w:tcW w:w="1402" w:type="dxa"/>
            <w:shd w:val="clear" w:color="auto" w:fill="auto"/>
            <w:noWrap/>
            <w:vAlign w:val="center"/>
            <w:hideMark/>
          </w:tcPr>
          <w:p w14:paraId="19B6ECDB"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2080</w:t>
            </w:r>
          </w:p>
        </w:tc>
        <w:tc>
          <w:tcPr>
            <w:tcW w:w="522" w:type="dxa"/>
            <w:shd w:val="clear" w:color="auto" w:fill="auto"/>
            <w:noWrap/>
            <w:vAlign w:val="center"/>
            <w:hideMark/>
          </w:tcPr>
          <w:p w14:paraId="19A95545"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1038E50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2080</w:t>
            </w:r>
          </w:p>
        </w:tc>
        <w:tc>
          <w:tcPr>
            <w:tcW w:w="1324" w:type="dxa"/>
            <w:shd w:val="clear" w:color="auto" w:fill="auto"/>
            <w:noWrap/>
            <w:vAlign w:val="center"/>
            <w:hideMark/>
          </w:tcPr>
          <w:p w14:paraId="71B6F06B"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2080</w:t>
            </w:r>
          </w:p>
        </w:tc>
        <w:tc>
          <w:tcPr>
            <w:tcW w:w="1466" w:type="dxa"/>
            <w:shd w:val="clear" w:color="auto" w:fill="auto"/>
            <w:noWrap/>
            <w:vAlign w:val="center"/>
            <w:hideMark/>
          </w:tcPr>
          <w:p w14:paraId="12321F8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2080</w:t>
            </w:r>
          </w:p>
        </w:tc>
        <w:tc>
          <w:tcPr>
            <w:tcW w:w="1418" w:type="dxa"/>
            <w:shd w:val="clear" w:color="auto" w:fill="auto"/>
            <w:noWrap/>
            <w:vAlign w:val="center"/>
            <w:hideMark/>
          </w:tcPr>
          <w:p w14:paraId="27F02BD3"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2080</w:t>
            </w:r>
          </w:p>
        </w:tc>
      </w:tr>
      <w:tr w:rsidR="00BC7ABF" w:rsidRPr="00790D90" w14:paraId="0803C67D" w14:textId="77777777" w:rsidTr="00B6123B">
        <w:trPr>
          <w:trHeight w:val="280"/>
          <w:jc w:val="center"/>
        </w:trPr>
        <w:tc>
          <w:tcPr>
            <w:tcW w:w="2278" w:type="dxa"/>
            <w:shd w:val="clear" w:color="auto" w:fill="auto"/>
            <w:noWrap/>
            <w:vAlign w:val="center"/>
            <w:hideMark/>
          </w:tcPr>
          <w:p w14:paraId="544E2F9C" w14:textId="77777777" w:rsidR="00BC7ABF" w:rsidRPr="00790D90" w:rsidRDefault="00BC7ABF" w:rsidP="00867DD0">
            <w:pPr>
              <w:rPr>
                <w:rFonts w:eastAsia="Times New Roman" w:cs="Arial"/>
                <w:sz w:val="14"/>
                <w:szCs w:val="14"/>
              </w:rPr>
            </w:pPr>
            <w:r w:rsidRPr="00790D90">
              <w:rPr>
                <w:rFonts w:eastAsia="Times New Roman" w:cs="Arial"/>
                <w:sz w:val="14"/>
                <w:szCs w:val="14"/>
              </w:rPr>
              <w:t>Tasa de rendimiento</w:t>
            </w:r>
          </w:p>
        </w:tc>
        <w:tc>
          <w:tcPr>
            <w:tcW w:w="1402" w:type="dxa"/>
            <w:shd w:val="clear" w:color="auto" w:fill="auto"/>
            <w:noWrap/>
            <w:vAlign w:val="center"/>
            <w:hideMark/>
          </w:tcPr>
          <w:p w14:paraId="56854BC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2.00%</w:t>
            </w:r>
          </w:p>
        </w:tc>
        <w:tc>
          <w:tcPr>
            <w:tcW w:w="522" w:type="dxa"/>
            <w:shd w:val="clear" w:color="auto" w:fill="auto"/>
            <w:noWrap/>
            <w:vAlign w:val="center"/>
            <w:hideMark/>
          </w:tcPr>
          <w:p w14:paraId="52B94F3C"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2A219C3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2.00%</w:t>
            </w:r>
          </w:p>
        </w:tc>
        <w:tc>
          <w:tcPr>
            <w:tcW w:w="1324" w:type="dxa"/>
            <w:shd w:val="clear" w:color="auto" w:fill="auto"/>
            <w:noWrap/>
            <w:vAlign w:val="center"/>
            <w:hideMark/>
          </w:tcPr>
          <w:p w14:paraId="6673E27E"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2.00%</w:t>
            </w:r>
          </w:p>
        </w:tc>
        <w:tc>
          <w:tcPr>
            <w:tcW w:w="1466" w:type="dxa"/>
            <w:shd w:val="clear" w:color="auto" w:fill="auto"/>
            <w:noWrap/>
            <w:vAlign w:val="center"/>
            <w:hideMark/>
          </w:tcPr>
          <w:p w14:paraId="06C4F22A"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2.00%</w:t>
            </w:r>
          </w:p>
        </w:tc>
        <w:tc>
          <w:tcPr>
            <w:tcW w:w="1418" w:type="dxa"/>
            <w:shd w:val="clear" w:color="auto" w:fill="auto"/>
            <w:noWrap/>
            <w:vAlign w:val="center"/>
            <w:hideMark/>
          </w:tcPr>
          <w:p w14:paraId="4C8AE86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2.00%</w:t>
            </w:r>
          </w:p>
        </w:tc>
      </w:tr>
      <w:tr w:rsidR="00BC7ABF" w:rsidRPr="00790D90" w14:paraId="6BB38E24" w14:textId="77777777" w:rsidTr="00B6123B">
        <w:trPr>
          <w:trHeight w:val="280"/>
          <w:jc w:val="center"/>
        </w:trPr>
        <w:tc>
          <w:tcPr>
            <w:tcW w:w="2278" w:type="dxa"/>
            <w:shd w:val="clear" w:color="auto" w:fill="auto"/>
            <w:noWrap/>
            <w:vAlign w:val="center"/>
            <w:hideMark/>
          </w:tcPr>
          <w:p w14:paraId="13E26CEC" w14:textId="77777777" w:rsidR="00BC7ABF" w:rsidRPr="00790D90" w:rsidRDefault="00BC7ABF" w:rsidP="00867DD0">
            <w:pPr>
              <w:rPr>
                <w:rFonts w:eastAsia="Times New Roman" w:cs="Arial"/>
                <w:b/>
                <w:bCs/>
                <w:color w:val="000000"/>
                <w:sz w:val="14"/>
                <w:szCs w:val="14"/>
              </w:rPr>
            </w:pPr>
            <w:r w:rsidRPr="00790D90">
              <w:rPr>
                <w:rFonts w:eastAsia="Times New Roman" w:cs="Arial"/>
                <w:b/>
                <w:bCs/>
                <w:color w:val="000000"/>
                <w:sz w:val="14"/>
                <w:szCs w:val="14"/>
              </w:rPr>
              <w:t>Estudio actuarial</w:t>
            </w:r>
          </w:p>
        </w:tc>
        <w:tc>
          <w:tcPr>
            <w:tcW w:w="1402" w:type="dxa"/>
            <w:shd w:val="clear" w:color="auto" w:fill="auto"/>
            <w:noWrap/>
            <w:vAlign w:val="center"/>
            <w:hideMark/>
          </w:tcPr>
          <w:p w14:paraId="70796675" w14:textId="77777777" w:rsidR="00BC7ABF" w:rsidRPr="00790D90" w:rsidRDefault="00BC7ABF" w:rsidP="00867DD0">
            <w:pPr>
              <w:jc w:val="center"/>
              <w:rPr>
                <w:rFonts w:eastAsia="Times New Roman" w:cs="Arial"/>
                <w:color w:val="000000"/>
                <w:sz w:val="14"/>
                <w:szCs w:val="14"/>
              </w:rPr>
            </w:pPr>
          </w:p>
        </w:tc>
        <w:tc>
          <w:tcPr>
            <w:tcW w:w="522" w:type="dxa"/>
            <w:shd w:val="clear" w:color="auto" w:fill="auto"/>
            <w:noWrap/>
            <w:vAlign w:val="center"/>
            <w:hideMark/>
          </w:tcPr>
          <w:p w14:paraId="7C5C96B4"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070E6F81" w14:textId="77777777" w:rsidR="00BC7ABF" w:rsidRPr="00790D90" w:rsidRDefault="00BC7ABF" w:rsidP="00867DD0">
            <w:pPr>
              <w:jc w:val="center"/>
              <w:rPr>
                <w:rFonts w:eastAsia="Times New Roman" w:cs="Arial"/>
                <w:color w:val="000000"/>
                <w:sz w:val="14"/>
                <w:szCs w:val="14"/>
              </w:rPr>
            </w:pPr>
          </w:p>
        </w:tc>
        <w:tc>
          <w:tcPr>
            <w:tcW w:w="1324" w:type="dxa"/>
            <w:shd w:val="clear" w:color="auto" w:fill="auto"/>
            <w:noWrap/>
            <w:vAlign w:val="center"/>
            <w:hideMark/>
          </w:tcPr>
          <w:p w14:paraId="4FD861EF" w14:textId="77777777" w:rsidR="00BC7ABF" w:rsidRPr="00790D90" w:rsidRDefault="00BC7ABF" w:rsidP="00867DD0">
            <w:pPr>
              <w:jc w:val="center"/>
              <w:rPr>
                <w:rFonts w:eastAsia="Times New Roman" w:cs="Arial"/>
                <w:color w:val="000000"/>
                <w:sz w:val="14"/>
                <w:szCs w:val="14"/>
              </w:rPr>
            </w:pPr>
          </w:p>
        </w:tc>
        <w:tc>
          <w:tcPr>
            <w:tcW w:w="1466" w:type="dxa"/>
            <w:shd w:val="clear" w:color="auto" w:fill="auto"/>
            <w:noWrap/>
            <w:vAlign w:val="center"/>
            <w:hideMark/>
          </w:tcPr>
          <w:p w14:paraId="3B31DEE6" w14:textId="77777777" w:rsidR="00BC7ABF" w:rsidRPr="00790D90" w:rsidRDefault="00BC7ABF" w:rsidP="00867DD0">
            <w:pPr>
              <w:jc w:val="center"/>
              <w:rPr>
                <w:rFonts w:eastAsia="Times New Roman" w:cs="Arial"/>
                <w:color w:val="000000"/>
                <w:sz w:val="14"/>
                <w:szCs w:val="14"/>
              </w:rPr>
            </w:pPr>
          </w:p>
        </w:tc>
        <w:tc>
          <w:tcPr>
            <w:tcW w:w="1418" w:type="dxa"/>
            <w:shd w:val="clear" w:color="auto" w:fill="auto"/>
            <w:noWrap/>
            <w:vAlign w:val="center"/>
            <w:hideMark/>
          </w:tcPr>
          <w:p w14:paraId="0340E591" w14:textId="77777777" w:rsidR="00BC7ABF" w:rsidRPr="00790D90" w:rsidRDefault="00BC7ABF" w:rsidP="00867DD0">
            <w:pPr>
              <w:jc w:val="center"/>
              <w:rPr>
                <w:rFonts w:eastAsia="Times New Roman" w:cs="Arial"/>
                <w:color w:val="000000"/>
                <w:sz w:val="14"/>
                <w:szCs w:val="14"/>
              </w:rPr>
            </w:pPr>
          </w:p>
        </w:tc>
      </w:tr>
      <w:tr w:rsidR="00BC7ABF" w:rsidRPr="00790D90" w14:paraId="455C6F43" w14:textId="77777777" w:rsidTr="00B6123B">
        <w:trPr>
          <w:trHeight w:val="280"/>
          <w:jc w:val="center"/>
        </w:trPr>
        <w:tc>
          <w:tcPr>
            <w:tcW w:w="2278" w:type="dxa"/>
            <w:shd w:val="clear" w:color="auto" w:fill="auto"/>
            <w:noWrap/>
            <w:vAlign w:val="center"/>
            <w:hideMark/>
          </w:tcPr>
          <w:p w14:paraId="6260EA33" w14:textId="77777777" w:rsidR="00BC7ABF" w:rsidRPr="00790D90" w:rsidRDefault="00BC7ABF" w:rsidP="00867DD0">
            <w:pPr>
              <w:rPr>
                <w:rFonts w:eastAsia="Times New Roman" w:cs="Arial"/>
                <w:sz w:val="14"/>
                <w:szCs w:val="14"/>
              </w:rPr>
            </w:pPr>
            <w:r w:rsidRPr="00790D90">
              <w:rPr>
                <w:rFonts w:eastAsia="Times New Roman" w:cs="Arial"/>
                <w:sz w:val="14"/>
                <w:szCs w:val="14"/>
              </w:rPr>
              <w:t>Año de elaboración del estudio actuarial</w:t>
            </w:r>
          </w:p>
        </w:tc>
        <w:tc>
          <w:tcPr>
            <w:tcW w:w="1402" w:type="dxa"/>
            <w:shd w:val="clear" w:color="auto" w:fill="auto"/>
            <w:noWrap/>
            <w:vAlign w:val="center"/>
            <w:hideMark/>
          </w:tcPr>
          <w:p w14:paraId="3B057F51"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2020</w:t>
            </w:r>
          </w:p>
        </w:tc>
        <w:tc>
          <w:tcPr>
            <w:tcW w:w="522" w:type="dxa"/>
            <w:shd w:val="clear" w:color="auto" w:fill="auto"/>
            <w:noWrap/>
            <w:vAlign w:val="center"/>
            <w:hideMark/>
          </w:tcPr>
          <w:p w14:paraId="5CF229A1"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noWrap/>
            <w:vAlign w:val="center"/>
            <w:hideMark/>
          </w:tcPr>
          <w:p w14:paraId="5133F235"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2020</w:t>
            </w:r>
          </w:p>
        </w:tc>
        <w:tc>
          <w:tcPr>
            <w:tcW w:w="1324" w:type="dxa"/>
            <w:shd w:val="clear" w:color="auto" w:fill="auto"/>
            <w:noWrap/>
            <w:vAlign w:val="center"/>
            <w:hideMark/>
          </w:tcPr>
          <w:p w14:paraId="50DFCA99"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2020</w:t>
            </w:r>
          </w:p>
        </w:tc>
        <w:tc>
          <w:tcPr>
            <w:tcW w:w="1466" w:type="dxa"/>
            <w:shd w:val="clear" w:color="auto" w:fill="auto"/>
            <w:noWrap/>
            <w:vAlign w:val="center"/>
            <w:hideMark/>
          </w:tcPr>
          <w:p w14:paraId="346C2646"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2020</w:t>
            </w:r>
          </w:p>
        </w:tc>
        <w:tc>
          <w:tcPr>
            <w:tcW w:w="1418" w:type="dxa"/>
            <w:shd w:val="clear" w:color="auto" w:fill="auto"/>
            <w:noWrap/>
            <w:vAlign w:val="center"/>
            <w:hideMark/>
          </w:tcPr>
          <w:p w14:paraId="34052B5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2020</w:t>
            </w:r>
          </w:p>
        </w:tc>
      </w:tr>
      <w:tr w:rsidR="00BC7ABF" w:rsidRPr="00790D90" w14:paraId="660531E0" w14:textId="77777777" w:rsidTr="00B6123B">
        <w:trPr>
          <w:trHeight w:val="560"/>
          <w:jc w:val="center"/>
        </w:trPr>
        <w:tc>
          <w:tcPr>
            <w:tcW w:w="2278" w:type="dxa"/>
            <w:shd w:val="clear" w:color="auto" w:fill="auto"/>
            <w:noWrap/>
            <w:vAlign w:val="center"/>
            <w:hideMark/>
          </w:tcPr>
          <w:p w14:paraId="06254232" w14:textId="77777777" w:rsidR="00BC7ABF" w:rsidRPr="00790D90" w:rsidRDefault="00BC7ABF" w:rsidP="00867DD0">
            <w:pPr>
              <w:rPr>
                <w:rFonts w:eastAsia="Times New Roman" w:cs="Arial"/>
                <w:sz w:val="14"/>
                <w:szCs w:val="14"/>
              </w:rPr>
            </w:pPr>
            <w:r w:rsidRPr="00790D90">
              <w:rPr>
                <w:rFonts w:eastAsia="Times New Roman" w:cs="Arial"/>
                <w:sz w:val="14"/>
                <w:szCs w:val="14"/>
              </w:rPr>
              <w:t>Empresa que elaboró el estudio actuarial</w:t>
            </w:r>
          </w:p>
        </w:tc>
        <w:tc>
          <w:tcPr>
            <w:tcW w:w="1402" w:type="dxa"/>
            <w:shd w:val="clear" w:color="auto" w:fill="auto"/>
            <w:vAlign w:val="center"/>
            <w:hideMark/>
          </w:tcPr>
          <w:p w14:paraId="5E693E5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Valuaciones Actuariales del Norte, S. C.</w:t>
            </w:r>
          </w:p>
        </w:tc>
        <w:tc>
          <w:tcPr>
            <w:tcW w:w="522" w:type="dxa"/>
            <w:shd w:val="clear" w:color="auto" w:fill="auto"/>
            <w:vAlign w:val="center"/>
            <w:hideMark/>
          </w:tcPr>
          <w:p w14:paraId="068AA3EC" w14:textId="77777777" w:rsidR="00BC7ABF" w:rsidRPr="00790D90" w:rsidRDefault="00BC7ABF" w:rsidP="00867DD0">
            <w:pPr>
              <w:jc w:val="center"/>
              <w:rPr>
                <w:rFonts w:eastAsia="Times New Roman" w:cs="Arial"/>
                <w:color w:val="000000"/>
                <w:sz w:val="14"/>
                <w:szCs w:val="14"/>
              </w:rPr>
            </w:pPr>
          </w:p>
        </w:tc>
        <w:tc>
          <w:tcPr>
            <w:tcW w:w="1230" w:type="dxa"/>
            <w:shd w:val="clear" w:color="auto" w:fill="auto"/>
            <w:vAlign w:val="center"/>
            <w:hideMark/>
          </w:tcPr>
          <w:p w14:paraId="0FBF4D4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Valuaciones Actuariales del Norte, S. C.</w:t>
            </w:r>
          </w:p>
        </w:tc>
        <w:tc>
          <w:tcPr>
            <w:tcW w:w="1324" w:type="dxa"/>
            <w:shd w:val="clear" w:color="auto" w:fill="auto"/>
            <w:vAlign w:val="center"/>
            <w:hideMark/>
          </w:tcPr>
          <w:p w14:paraId="3905887F"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Valuaciones Actuariales del Norte, S. C.</w:t>
            </w:r>
          </w:p>
        </w:tc>
        <w:tc>
          <w:tcPr>
            <w:tcW w:w="1466" w:type="dxa"/>
            <w:shd w:val="clear" w:color="auto" w:fill="auto"/>
            <w:vAlign w:val="center"/>
            <w:hideMark/>
          </w:tcPr>
          <w:p w14:paraId="24523DD7"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Valuaciones Actuariales del Norte, S. C.</w:t>
            </w:r>
          </w:p>
        </w:tc>
        <w:tc>
          <w:tcPr>
            <w:tcW w:w="1418" w:type="dxa"/>
            <w:shd w:val="clear" w:color="auto" w:fill="auto"/>
            <w:vAlign w:val="center"/>
            <w:hideMark/>
          </w:tcPr>
          <w:p w14:paraId="021B2272" w14:textId="77777777" w:rsidR="00BC7ABF" w:rsidRPr="00790D90" w:rsidRDefault="00BC7ABF" w:rsidP="00867DD0">
            <w:pPr>
              <w:jc w:val="center"/>
              <w:rPr>
                <w:rFonts w:eastAsia="Times New Roman" w:cs="Arial"/>
                <w:color w:val="000000"/>
                <w:sz w:val="14"/>
                <w:szCs w:val="14"/>
              </w:rPr>
            </w:pPr>
            <w:r w:rsidRPr="00790D90">
              <w:rPr>
                <w:rFonts w:eastAsia="Times New Roman" w:cs="Arial"/>
                <w:color w:val="000000"/>
                <w:sz w:val="14"/>
                <w:szCs w:val="14"/>
              </w:rPr>
              <w:t>Valuaciones Actuariales del Norte, S. C.</w:t>
            </w:r>
          </w:p>
        </w:tc>
      </w:tr>
    </w:tbl>
    <w:p w14:paraId="0462A2DB" w14:textId="2437884B" w:rsidR="00F40C0F" w:rsidRPr="00A55906" w:rsidRDefault="00F40C0F" w:rsidP="00A3747F">
      <w:pPr>
        <w:rPr>
          <w:rFonts w:cs="Arial"/>
          <w:b/>
          <w:bCs/>
        </w:rPr>
      </w:pPr>
    </w:p>
    <w:p w14:paraId="354C5D2B" w14:textId="464D6788" w:rsidR="00AF1485" w:rsidRDefault="00AF1485">
      <w:pPr>
        <w:spacing w:after="160" w:line="259" w:lineRule="auto"/>
        <w:rPr>
          <w:rFonts w:cs="Arial"/>
          <w:b/>
          <w:bCs/>
        </w:rPr>
      </w:pPr>
      <w:r>
        <w:rPr>
          <w:rFonts w:cs="Arial"/>
          <w:b/>
          <w:bCs/>
        </w:rPr>
        <w:br w:type="page"/>
      </w:r>
    </w:p>
    <w:p w14:paraId="570E66C0" w14:textId="1D1B4E46" w:rsidR="00F40C0F" w:rsidRPr="00A55906" w:rsidRDefault="00D604A9" w:rsidP="00A65C89">
      <w:pPr>
        <w:pStyle w:val="Ttulo2"/>
      </w:pPr>
      <w:r>
        <w:lastRenderedPageBreak/>
        <w:t>2.</w:t>
      </w:r>
      <w:r w:rsidR="00F40C0F" w:rsidRPr="00A55906">
        <w:t>VI. Histórico de pensiones y jubilaciones</w:t>
      </w:r>
    </w:p>
    <w:p w14:paraId="5E88C09F" w14:textId="77777777" w:rsidR="00F40C0F" w:rsidRPr="00A55906" w:rsidRDefault="00F40C0F" w:rsidP="00A3747F">
      <w:pPr>
        <w:rPr>
          <w:rFonts w:cs="Arial"/>
          <w:b/>
          <w:bCs/>
        </w:rPr>
      </w:pPr>
    </w:p>
    <w:tbl>
      <w:tblPr>
        <w:tblW w:w="10636" w:type="dxa"/>
        <w:jc w:val="center"/>
        <w:tblCellMar>
          <w:left w:w="70" w:type="dxa"/>
          <w:right w:w="70" w:type="dxa"/>
        </w:tblCellMar>
        <w:tblLook w:val="04A0" w:firstRow="1" w:lastRow="0" w:firstColumn="1" w:lastColumn="0" w:noHBand="0" w:noVBand="1"/>
      </w:tblPr>
      <w:tblGrid>
        <w:gridCol w:w="568"/>
        <w:gridCol w:w="1847"/>
        <w:gridCol w:w="919"/>
        <w:gridCol w:w="919"/>
        <w:gridCol w:w="955"/>
        <w:gridCol w:w="992"/>
        <w:gridCol w:w="919"/>
        <w:gridCol w:w="1066"/>
        <w:gridCol w:w="1036"/>
        <w:gridCol w:w="12"/>
        <w:gridCol w:w="907"/>
        <w:gridCol w:w="1036"/>
      </w:tblGrid>
      <w:tr w:rsidR="00713416" w:rsidRPr="00713416" w14:paraId="6BCE20B8" w14:textId="77777777" w:rsidTr="00AF1485">
        <w:trPr>
          <w:trHeight w:val="300"/>
          <w:jc w:val="center"/>
        </w:trPr>
        <w:tc>
          <w:tcPr>
            <w:tcW w:w="568"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40DEDDF2" w14:textId="76EEFF70" w:rsidR="00713416" w:rsidRPr="00713416" w:rsidRDefault="00713416" w:rsidP="00DD002E">
            <w:pPr>
              <w:jc w:val="center"/>
              <w:rPr>
                <w:rFonts w:eastAsia="Times New Roman" w:cs="Arial"/>
                <w:b/>
                <w:bCs/>
                <w:color w:val="000000"/>
                <w:sz w:val="14"/>
                <w:szCs w:val="16"/>
              </w:rPr>
            </w:pPr>
            <w:r w:rsidRPr="00DD002E">
              <w:rPr>
                <w:rFonts w:eastAsia="Times New Roman" w:cs="Arial"/>
                <w:b/>
                <w:bCs/>
                <w:color w:val="000000"/>
                <w:sz w:val="10"/>
                <w:szCs w:val="16"/>
              </w:rPr>
              <w:t>Capítulo</w:t>
            </w:r>
          </w:p>
        </w:tc>
        <w:tc>
          <w:tcPr>
            <w:tcW w:w="1847" w:type="dxa"/>
            <w:tcBorders>
              <w:top w:val="single" w:sz="4" w:space="0" w:color="auto"/>
              <w:left w:val="nil"/>
              <w:bottom w:val="single" w:sz="4" w:space="0" w:color="auto"/>
              <w:right w:val="single" w:sz="4" w:space="0" w:color="auto"/>
            </w:tcBorders>
            <w:shd w:val="clear" w:color="000000" w:fill="F2F2F2"/>
            <w:noWrap/>
            <w:vAlign w:val="center"/>
            <w:hideMark/>
          </w:tcPr>
          <w:p w14:paraId="40F55BF7"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Concepto</w:t>
            </w:r>
          </w:p>
        </w:tc>
        <w:tc>
          <w:tcPr>
            <w:tcW w:w="919" w:type="dxa"/>
            <w:tcBorders>
              <w:top w:val="single" w:sz="4" w:space="0" w:color="auto"/>
              <w:left w:val="nil"/>
              <w:bottom w:val="single" w:sz="4" w:space="0" w:color="auto"/>
              <w:right w:val="single" w:sz="4" w:space="0" w:color="auto"/>
            </w:tcBorders>
            <w:shd w:val="clear" w:color="000000" w:fill="F2F2F2"/>
            <w:noWrap/>
            <w:vAlign w:val="center"/>
            <w:hideMark/>
          </w:tcPr>
          <w:p w14:paraId="1FD5DE69"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2016</w:t>
            </w:r>
          </w:p>
        </w:tc>
        <w:tc>
          <w:tcPr>
            <w:tcW w:w="919" w:type="dxa"/>
            <w:tcBorders>
              <w:top w:val="single" w:sz="4" w:space="0" w:color="auto"/>
              <w:left w:val="nil"/>
              <w:bottom w:val="single" w:sz="4" w:space="0" w:color="auto"/>
              <w:right w:val="single" w:sz="4" w:space="0" w:color="auto"/>
            </w:tcBorders>
            <w:shd w:val="clear" w:color="000000" w:fill="F2F2F2"/>
            <w:noWrap/>
            <w:vAlign w:val="center"/>
            <w:hideMark/>
          </w:tcPr>
          <w:p w14:paraId="6AC22727"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2017</w:t>
            </w:r>
          </w:p>
        </w:tc>
        <w:tc>
          <w:tcPr>
            <w:tcW w:w="955" w:type="dxa"/>
            <w:tcBorders>
              <w:top w:val="single" w:sz="4" w:space="0" w:color="auto"/>
              <w:left w:val="nil"/>
              <w:bottom w:val="single" w:sz="4" w:space="0" w:color="auto"/>
              <w:right w:val="single" w:sz="4" w:space="0" w:color="auto"/>
            </w:tcBorders>
            <w:shd w:val="clear" w:color="000000" w:fill="F2F2F2"/>
            <w:noWrap/>
            <w:vAlign w:val="center"/>
            <w:hideMark/>
          </w:tcPr>
          <w:p w14:paraId="3564E82C"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2018</w:t>
            </w:r>
          </w:p>
        </w:tc>
        <w:tc>
          <w:tcPr>
            <w:tcW w:w="992" w:type="dxa"/>
            <w:tcBorders>
              <w:top w:val="single" w:sz="4" w:space="0" w:color="auto"/>
              <w:left w:val="nil"/>
              <w:bottom w:val="single" w:sz="4" w:space="0" w:color="auto"/>
              <w:right w:val="single" w:sz="4" w:space="0" w:color="auto"/>
            </w:tcBorders>
            <w:shd w:val="clear" w:color="000000" w:fill="F2F2F2"/>
            <w:noWrap/>
            <w:vAlign w:val="center"/>
            <w:hideMark/>
          </w:tcPr>
          <w:p w14:paraId="7B2BB420"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2019</w:t>
            </w:r>
          </w:p>
        </w:tc>
        <w:tc>
          <w:tcPr>
            <w:tcW w:w="919" w:type="dxa"/>
            <w:tcBorders>
              <w:top w:val="single" w:sz="4" w:space="0" w:color="auto"/>
              <w:left w:val="nil"/>
              <w:bottom w:val="single" w:sz="4" w:space="0" w:color="auto"/>
              <w:right w:val="single" w:sz="4" w:space="0" w:color="auto"/>
            </w:tcBorders>
            <w:shd w:val="clear" w:color="000000" w:fill="F2F2F2"/>
            <w:noWrap/>
            <w:vAlign w:val="center"/>
            <w:hideMark/>
          </w:tcPr>
          <w:p w14:paraId="56AA2F27"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2020</w:t>
            </w:r>
          </w:p>
        </w:tc>
        <w:tc>
          <w:tcPr>
            <w:tcW w:w="1066" w:type="dxa"/>
            <w:tcBorders>
              <w:top w:val="single" w:sz="4" w:space="0" w:color="auto"/>
              <w:left w:val="nil"/>
              <w:bottom w:val="single" w:sz="4" w:space="0" w:color="auto"/>
              <w:right w:val="single" w:sz="4" w:space="0" w:color="auto"/>
            </w:tcBorders>
            <w:shd w:val="clear" w:color="000000" w:fill="F2F2F2"/>
            <w:noWrap/>
            <w:vAlign w:val="center"/>
            <w:hideMark/>
          </w:tcPr>
          <w:p w14:paraId="59DFCB00"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2021</w:t>
            </w:r>
          </w:p>
        </w:tc>
        <w:tc>
          <w:tcPr>
            <w:tcW w:w="1036" w:type="dxa"/>
            <w:tcBorders>
              <w:top w:val="single" w:sz="4" w:space="0" w:color="auto"/>
              <w:left w:val="nil"/>
              <w:bottom w:val="single" w:sz="4" w:space="0" w:color="auto"/>
              <w:right w:val="single" w:sz="4" w:space="0" w:color="auto"/>
            </w:tcBorders>
            <w:shd w:val="clear" w:color="000000" w:fill="F2F2F2"/>
            <w:noWrap/>
            <w:vAlign w:val="center"/>
            <w:hideMark/>
          </w:tcPr>
          <w:p w14:paraId="797BA50D"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2022</w:t>
            </w:r>
            <w:r w:rsidRPr="00DD002E">
              <w:rPr>
                <w:rFonts w:eastAsia="Times New Roman" w:cs="Arial"/>
                <w:b/>
                <w:bCs/>
                <w:color w:val="000000"/>
                <w:sz w:val="14"/>
                <w:szCs w:val="16"/>
                <w:vertAlign w:val="superscript"/>
              </w:rPr>
              <w:t>a</w:t>
            </w:r>
          </w:p>
        </w:tc>
        <w:tc>
          <w:tcPr>
            <w:tcW w:w="707" w:type="dxa"/>
            <w:gridSpan w:val="2"/>
            <w:tcBorders>
              <w:top w:val="single" w:sz="4" w:space="0" w:color="auto"/>
              <w:left w:val="nil"/>
              <w:bottom w:val="single" w:sz="4" w:space="0" w:color="auto"/>
              <w:right w:val="single" w:sz="4" w:space="0" w:color="auto"/>
            </w:tcBorders>
            <w:shd w:val="clear" w:color="000000" w:fill="F2F2F2"/>
            <w:noWrap/>
            <w:vAlign w:val="center"/>
            <w:hideMark/>
          </w:tcPr>
          <w:p w14:paraId="1777CCB3"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2022</w:t>
            </w:r>
            <w:r w:rsidRPr="00DD002E">
              <w:rPr>
                <w:rFonts w:eastAsia="Times New Roman" w:cs="Arial"/>
                <w:b/>
                <w:bCs/>
                <w:color w:val="000000"/>
                <w:sz w:val="14"/>
                <w:szCs w:val="16"/>
                <w:vertAlign w:val="superscript"/>
              </w:rPr>
              <w:t>b</w:t>
            </w:r>
          </w:p>
        </w:tc>
        <w:tc>
          <w:tcPr>
            <w:tcW w:w="708" w:type="dxa"/>
            <w:tcBorders>
              <w:top w:val="single" w:sz="4" w:space="0" w:color="auto"/>
              <w:left w:val="nil"/>
              <w:bottom w:val="single" w:sz="4" w:space="0" w:color="auto"/>
              <w:right w:val="single" w:sz="4" w:space="0" w:color="auto"/>
            </w:tcBorders>
            <w:shd w:val="clear" w:color="000000" w:fill="F2F2F2"/>
            <w:noWrap/>
            <w:vAlign w:val="center"/>
            <w:hideMark/>
          </w:tcPr>
          <w:p w14:paraId="69F4B4EF" w14:textId="1502A59B"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2023</w:t>
            </w:r>
            <w:r w:rsidRPr="00DD002E">
              <w:rPr>
                <w:rFonts w:eastAsia="Times New Roman" w:cs="Arial"/>
                <w:b/>
                <w:bCs/>
                <w:color w:val="000000"/>
                <w:sz w:val="14"/>
                <w:szCs w:val="16"/>
                <w:vertAlign w:val="superscript"/>
              </w:rPr>
              <w:t>c</w:t>
            </w:r>
          </w:p>
        </w:tc>
      </w:tr>
      <w:tr w:rsidR="00713416" w:rsidRPr="00713416" w14:paraId="17F98A07" w14:textId="77777777" w:rsidTr="00DC030F">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DCA2243"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45000</w:t>
            </w:r>
          </w:p>
        </w:tc>
        <w:tc>
          <w:tcPr>
            <w:tcW w:w="1847" w:type="dxa"/>
            <w:tcBorders>
              <w:top w:val="nil"/>
              <w:left w:val="nil"/>
              <w:bottom w:val="single" w:sz="4" w:space="0" w:color="auto"/>
              <w:right w:val="single" w:sz="4" w:space="0" w:color="auto"/>
            </w:tcBorders>
            <w:shd w:val="clear" w:color="auto" w:fill="auto"/>
            <w:noWrap/>
            <w:vAlign w:val="center"/>
            <w:hideMark/>
          </w:tcPr>
          <w:p w14:paraId="2E914214" w14:textId="77777777" w:rsidR="00713416" w:rsidRPr="00713416" w:rsidRDefault="00713416" w:rsidP="00713416">
            <w:pPr>
              <w:rPr>
                <w:rFonts w:eastAsia="Times New Roman" w:cs="Arial"/>
                <w:b/>
                <w:bCs/>
                <w:color w:val="000000"/>
                <w:sz w:val="14"/>
                <w:szCs w:val="16"/>
              </w:rPr>
            </w:pPr>
            <w:r w:rsidRPr="00713416">
              <w:rPr>
                <w:rFonts w:eastAsia="Times New Roman" w:cs="Arial"/>
                <w:b/>
                <w:bCs/>
                <w:color w:val="000000"/>
                <w:sz w:val="14"/>
                <w:szCs w:val="16"/>
              </w:rPr>
              <w:t>Pensiones y Jubilaciones</w:t>
            </w:r>
          </w:p>
        </w:tc>
        <w:tc>
          <w:tcPr>
            <w:tcW w:w="919" w:type="dxa"/>
            <w:tcBorders>
              <w:top w:val="nil"/>
              <w:left w:val="nil"/>
              <w:bottom w:val="single" w:sz="4" w:space="0" w:color="auto"/>
              <w:right w:val="single" w:sz="4" w:space="0" w:color="auto"/>
            </w:tcBorders>
            <w:shd w:val="clear" w:color="auto" w:fill="auto"/>
            <w:noWrap/>
            <w:vAlign w:val="center"/>
            <w:hideMark/>
          </w:tcPr>
          <w:p w14:paraId="15A0B5A9" w14:textId="44502639"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582,698,517</w:t>
            </w:r>
          </w:p>
        </w:tc>
        <w:tc>
          <w:tcPr>
            <w:tcW w:w="919" w:type="dxa"/>
            <w:tcBorders>
              <w:top w:val="nil"/>
              <w:left w:val="nil"/>
              <w:bottom w:val="single" w:sz="4" w:space="0" w:color="auto"/>
              <w:right w:val="single" w:sz="4" w:space="0" w:color="auto"/>
            </w:tcBorders>
            <w:shd w:val="clear" w:color="auto" w:fill="auto"/>
            <w:noWrap/>
            <w:vAlign w:val="center"/>
            <w:hideMark/>
          </w:tcPr>
          <w:p w14:paraId="5165D74E" w14:textId="4608EA0F"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585,702,190</w:t>
            </w:r>
          </w:p>
        </w:tc>
        <w:tc>
          <w:tcPr>
            <w:tcW w:w="955" w:type="dxa"/>
            <w:tcBorders>
              <w:top w:val="nil"/>
              <w:left w:val="nil"/>
              <w:bottom w:val="single" w:sz="4" w:space="0" w:color="auto"/>
              <w:right w:val="single" w:sz="4" w:space="0" w:color="auto"/>
            </w:tcBorders>
            <w:shd w:val="clear" w:color="auto" w:fill="auto"/>
            <w:noWrap/>
            <w:vAlign w:val="center"/>
            <w:hideMark/>
          </w:tcPr>
          <w:p w14:paraId="4B01AD0B" w14:textId="563F49B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795,341,101</w:t>
            </w:r>
          </w:p>
        </w:tc>
        <w:tc>
          <w:tcPr>
            <w:tcW w:w="992" w:type="dxa"/>
            <w:tcBorders>
              <w:top w:val="nil"/>
              <w:left w:val="nil"/>
              <w:bottom w:val="single" w:sz="4" w:space="0" w:color="auto"/>
              <w:right w:val="single" w:sz="4" w:space="0" w:color="auto"/>
            </w:tcBorders>
            <w:shd w:val="clear" w:color="auto" w:fill="auto"/>
            <w:noWrap/>
            <w:vAlign w:val="center"/>
            <w:hideMark/>
          </w:tcPr>
          <w:p w14:paraId="1A585371" w14:textId="5D8B19BD"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944,530,736</w:t>
            </w:r>
          </w:p>
        </w:tc>
        <w:tc>
          <w:tcPr>
            <w:tcW w:w="919" w:type="dxa"/>
            <w:tcBorders>
              <w:top w:val="nil"/>
              <w:left w:val="nil"/>
              <w:bottom w:val="single" w:sz="4" w:space="0" w:color="auto"/>
              <w:right w:val="single" w:sz="4" w:space="0" w:color="auto"/>
            </w:tcBorders>
            <w:shd w:val="clear" w:color="auto" w:fill="auto"/>
            <w:noWrap/>
            <w:vAlign w:val="center"/>
            <w:hideMark/>
          </w:tcPr>
          <w:p w14:paraId="4985E4BA" w14:textId="64F18780"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974,915,204</w:t>
            </w:r>
          </w:p>
        </w:tc>
        <w:tc>
          <w:tcPr>
            <w:tcW w:w="1066" w:type="dxa"/>
            <w:tcBorders>
              <w:top w:val="nil"/>
              <w:left w:val="nil"/>
              <w:bottom w:val="single" w:sz="4" w:space="0" w:color="auto"/>
              <w:right w:val="single" w:sz="4" w:space="0" w:color="auto"/>
            </w:tcBorders>
            <w:shd w:val="clear" w:color="auto" w:fill="auto"/>
            <w:noWrap/>
            <w:vAlign w:val="center"/>
            <w:hideMark/>
          </w:tcPr>
          <w:p w14:paraId="30A482C5" w14:textId="04938741"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1,036,063,884</w:t>
            </w:r>
          </w:p>
        </w:tc>
        <w:tc>
          <w:tcPr>
            <w:tcW w:w="1036" w:type="dxa"/>
            <w:tcBorders>
              <w:top w:val="nil"/>
              <w:left w:val="nil"/>
              <w:bottom w:val="single" w:sz="4" w:space="0" w:color="auto"/>
              <w:right w:val="single" w:sz="4" w:space="0" w:color="auto"/>
            </w:tcBorders>
            <w:shd w:val="clear" w:color="auto" w:fill="auto"/>
            <w:noWrap/>
            <w:vAlign w:val="center"/>
            <w:hideMark/>
          </w:tcPr>
          <w:p w14:paraId="3239992F" w14:textId="7FD40EAD"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1,073,751,638</w:t>
            </w:r>
          </w:p>
        </w:tc>
        <w:tc>
          <w:tcPr>
            <w:tcW w:w="707" w:type="dxa"/>
            <w:gridSpan w:val="2"/>
            <w:tcBorders>
              <w:top w:val="nil"/>
              <w:left w:val="nil"/>
              <w:bottom w:val="single" w:sz="4" w:space="0" w:color="auto"/>
              <w:right w:val="single" w:sz="4" w:space="0" w:color="auto"/>
            </w:tcBorders>
            <w:shd w:val="clear" w:color="auto" w:fill="auto"/>
            <w:noWrap/>
            <w:vAlign w:val="center"/>
          </w:tcPr>
          <w:p w14:paraId="66B65CD7" w14:textId="75F093D1" w:rsidR="00713416" w:rsidRPr="00713416" w:rsidRDefault="00DD002E" w:rsidP="00DD002E">
            <w:pPr>
              <w:jc w:val="center"/>
              <w:rPr>
                <w:rFonts w:eastAsia="Times New Roman" w:cs="Arial"/>
                <w:b/>
                <w:bCs/>
                <w:color w:val="000000"/>
                <w:sz w:val="14"/>
                <w:szCs w:val="16"/>
              </w:rPr>
            </w:pPr>
            <w:r w:rsidRPr="00DD002E">
              <w:rPr>
                <w:rFonts w:eastAsia="Times New Roman" w:cs="Arial"/>
                <w:b/>
                <w:bCs/>
                <w:color w:val="000000"/>
                <w:sz w:val="14"/>
                <w:szCs w:val="16"/>
              </w:rPr>
              <w:t>744,442,426</w:t>
            </w:r>
          </w:p>
        </w:tc>
        <w:tc>
          <w:tcPr>
            <w:tcW w:w="708" w:type="dxa"/>
            <w:tcBorders>
              <w:top w:val="nil"/>
              <w:left w:val="nil"/>
              <w:bottom w:val="single" w:sz="4" w:space="0" w:color="auto"/>
              <w:right w:val="single" w:sz="4" w:space="0" w:color="auto"/>
            </w:tcBorders>
            <w:shd w:val="clear" w:color="auto" w:fill="auto"/>
            <w:noWrap/>
            <w:vAlign w:val="center"/>
          </w:tcPr>
          <w:p w14:paraId="7D1489DB" w14:textId="001F4CF3" w:rsidR="00713416" w:rsidRPr="00713416" w:rsidRDefault="00DD002E" w:rsidP="00DC030F">
            <w:pPr>
              <w:jc w:val="right"/>
              <w:rPr>
                <w:rFonts w:eastAsia="Times New Roman" w:cs="Arial"/>
                <w:b/>
                <w:bCs/>
                <w:color w:val="000000"/>
                <w:sz w:val="14"/>
                <w:szCs w:val="16"/>
              </w:rPr>
            </w:pPr>
            <w:r>
              <w:rPr>
                <w:rFonts w:eastAsia="Times New Roman" w:cs="Arial"/>
                <w:b/>
                <w:bCs/>
                <w:color w:val="000000"/>
                <w:sz w:val="14"/>
                <w:szCs w:val="16"/>
              </w:rPr>
              <w:t>1,139,437,158</w:t>
            </w:r>
          </w:p>
        </w:tc>
      </w:tr>
      <w:tr w:rsidR="00713416" w:rsidRPr="00713416" w14:paraId="1FE8DA92" w14:textId="77777777" w:rsidTr="00DC030F">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B30DE92"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45100</w:t>
            </w:r>
          </w:p>
        </w:tc>
        <w:tc>
          <w:tcPr>
            <w:tcW w:w="1847" w:type="dxa"/>
            <w:tcBorders>
              <w:top w:val="nil"/>
              <w:left w:val="nil"/>
              <w:bottom w:val="single" w:sz="4" w:space="0" w:color="auto"/>
              <w:right w:val="single" w:sz="4" w:space="0" w:color="auto"/>
            </w:tcBorders>
            <w:shd w:val="clear" w:color="auto" w:fill="auto"/>
            <w:noWrap/>
            <w:vAlign w:val="center"/>
            <w:hideMark/>
          </w:tcPr>
          <w:p w14:paraId="7CD7716F" w14:textId="77777777" w:rsidR="00713416" w:rsidRPr="00713416" w:rsidRDefault="00713416" w:rsidP="00713416">
            <w:pPr>
              <w:rPr>
                <w:rFonts w:eastAsia="Times New Roman" w:cs="Arial"/>
                <w:b/>
                <w:bCs/>
                <w:color w:val="000000"/>
                <w:sz w:val="14"/>
                <w:szCs w:val="16"/>
              </w:rPr>
            </w:pPr>
            <w:r w:rsidRPr="00713416">
              <w:rPr>
                <w:rFonts w:eastAsia="Times New Roman" w:cs="Arial"/>
                <w:b/>
                <w:bCs/>
                <w:color w:val="000000"/>
                <w:sz w:val="14"/>
                <w:szCs w:val="16"/>
              </w:rPr>
              <w:t>Pensiones</w:t>
            </w:r>
          </w:p>
        </w:tc>
        <w:tc>
          <w:tcPr>
            <w:tcW w:w="919" w:type="dxa"/>
            <w:tcBorders>
              <w:top w:val="nil"/>
              <w:left w:val="nil"/>
              <w:bottom w:val="single" w:sz="4" w:space="0" w:color="auto"/>
              <w:right w:val="single" w:sz="4" w:space="0" w:color="auto"/>
            </w:tcBorders>
            <w:shd w:val="clear" w:color="auto" w:fill="auto"/>
            <w:noWrap/>
            <w:vAlign w:val="center"/>
            <w:hideMark/>
          </w:tcPr>
          <w:p w14:paraId="7027ACD4" w14:textId="1A085FFF"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148,347,743</w:t>
            </w:r>
          </w:p>
        </w:tc>
        <w:tc>
          <w:tcPr>
            <w:tcW w:w="919" w:type="dxa"/>
            <w:tcBorders>
              <w:top w:val="nil"/>
              <w:left w:val="nil"/>
              <w:bottom w:val="single" w:sz="4" w:space="0" w:color="auto"/>
              <w:right w:val="single" w:sz="4" w:space="0" w:color="auto"/>
            </w:tcBorders>
            <w:shd w:val="clear" w:color="auto" w:fill="auto"/>
            <w:noWrap/>
            <w:vAlign w:val="center"/>
            <w:hideMark/>
          </w:tcPr>
          <w:p w14:paraId="3D1E2472" w14:textId="0D3DC979"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82,060,749</w:t>
            </w:r>
          </w:p>
        </w:tc>
        <w:tc>
          <w:tcPr>
            <w:tcW w:w="955" w:type="dxa"/>
            <w:tcBorders>
              <w:top w:val="nil"/>
              <w:left w:val="nil"/>
              <w:bottom w:val="single" w:sz="4" w:space="0" w:color="auto"/>
              <w:right w:val="single" w:sz="4" w:space="0" w:color="auto"/>
            </w:tcBorders>
            <w:shd w:val="clear" w:color="auto" w:fill="auto"/>
            <w:noWrap/>
            <w:vAlign w:val="center"/>
            <w:hideMark/>
          </w:tcPr>
          <w:p w14:paraId="486904C0" w14:textId="065A5D85"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210,542,649</w:t>
            </w:r>
          </w:p>
        </w:tc>
        <w:tc>
          <w:tcPr>
            <w:tcW w:w="992" w:type="dxa"/>
            <w:tcBorders>
              <w:top w:val="nil"/>
              <w:left w:val="nil"/>
              <w:bottom w:val="single" w:sz="4" w:space="0" w:color="auto"/>
              <w:right w:val="single" w:sz="4" w:space="0" w:color="auto"/>
            </w:tcBorders>
            <w:shd w:val="clear" w:color="auto" w:fill="auto"/>
            <w:noWrap/>
            <w:vAlign w:val="center"/>
            <w:hideMark/>
          </w:tcPr>
          <w:p w14:paraId="7FE823B2" w14:textId="66A1473B"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241,672,329</w:t>
            </w:r>
          </w:p>
        </w:tc>
        <w:tc>
          <w:tcPr>
            <w:tcW w:w="919" w:type="dxa"/>
            <w:tcBorders>
              <w:top w:val="nil"/>
              <w:left w:val="nil"/>
              <w:bottom w:val="single" w:sz="4" w:space="0" w:color="auto"/>
              <w:right w:val="single" w:sz="4" w:space="0" w:color="auto"/>
            </w:tcBorders>
            <w:shd w:val="clear" w:color="auto" w:fill="auto"/>
            <w:noWrap/>
            <w:vAlign w:val="center"/>
            <w:hideMark/>
          </w:tcPr>
          <w:p w14:paraId="07AE5DBA" w14:textId="4E777F7B"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251,057,983</w:t>
            </w:r>
          </w:p>
        </w:tc>
        <w:tc>
          <w:tcPr>
            <w:tcW w:w="1066" w:type="dxa"/>
            <w:tcBorders>
              <w:top w:val="nil"/>
              <w:left w:val="nil"/>
              <w:bottom w:val="single" w:sz="4" w:space="0" w:color="auto"/>
              <w:right w:val="single" w:sz="4" w:space="0" w:color="auto"/>
            </w:tcBorders>
            <w:shd w:val="clear" w:color="auto" w:fill="auto"/>
            <w:noWrap/>
            <w:vAlign w:val="center"/>
            <w:hideMark/>
          </w:tcPr>
          <w:p w14:paraId="474E5800" w14:textId="3272C672"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274,072,645</w:t>
            </w:r>
          </w:p>
        </w:tc>
        <w:tc>
          <w:tcPr>
            <w:tcW w:w="1036" w:type="dxa"/>
            <w:tcBorders>
              <w:top w:val="nil"/>
              <w:left w:val="nil"/>
              <w:bottom w:val="single" w:sz="4" w:space="0" w:color="auto"/>
              <w:right w:val="single" w:sz="4" w:space="0" w:color="auto"/>
            </w:tcBorders>
            <w:shd w:val="clear" w:color="auto" w:fill="auto"/>
            <w:noWrap/>
            <w:vAlign w:val="center"/>
            <w:hideMark/>
          </w:tcPr>
          <w:p w14:paraId="2392D104" w14:textId="74CAE5AD"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283,872,098</w:t>
            </w:r>
          </w:p>
        </w:tc>
        <w:tc>
          <w:tcPr>
            <w:tcW w:w="707" w:type="dxa"/>
            <w:gridSpan w:val="2"/>
            <w:tcBorders>
              <w:top w:val="nil"/>
              <w:left w:val="nil"/>
              <w:bottom w:val="single" w:sz="4" w:space="0" w:color="auto"/>
              <w:right w:val="single" w:sz="4" w:space="0" w:color="auto"/>
            </w:tcBorders>
            <w:shd w:val="clear" w:color="auto" w:fill="auto"/>
            <w:noWrap/>
            <w:vAlign w:val="center"/>
          </w:tcPr>
          <w:p w14:paraId="52695833" w14:textId="21B6B4B7" w:rsidR="00713416" w:rsidRPr="00713416" w:rsidRDefault="00DD002E" w:rsidP="00DD002E">
            <w:pPr>
              <w:jc w:val="center"/>
              <w:rPr>
                <w:rFonts w:eastAsia="Times New Roman" w:cs="Arial"/>
                <w:b/>
                <w:bCs/>
                <w:color w:val="000000"/>
                <w:sz w:val="14"/>
                <w:szCs w:val="16"/>
              </w:rPr>
            </w:pPr>
            <w:r w:rsidRPr="00DD002E">
              <w:rPr>
                <w:rFonts w:eastAsia="Times New Roman" w:cs="Arial"/>
                <w:b/>
                <w:bCs/>
                <w:color w:val="000000"/>
                <w:sz w:val="14"/>
                <w:szCs w:val="16"/>
              </w:rPr>
              <w:t>200,167,243</w:t>
            </w:r>
          </w:p>
        </w:tc>
        <w:tc>
          <w:tcPr>
            <w:tcW w:w="708" w:type="dxa"/>
            <w:tcBorders>
              <w:top w:val="nil"/>
              <w:left w:val="nil"/>
              <w:bottom w:val="single" w:sz="4" w:space="0" w:color="auto"/>
              <w:right w:val="single" w:sz="4" w:space="0" w:color="auto"/>
            </w:tcBorders>
            <w:shd w:val="clear" w:color="auto" w:fill="auto"/>
            <w:noWrap/>
            <w:vAlign w:val="center"/>
          </w:tcPr>
          <w:p w14:paraId="2E697CE3" w14:textId="418C7908" w:rsidR="00713416" w:rsidRPr="00713416" w:rsidRDefault="00DD002E" w:rsidP="00DC030F">
            <w:pPr>
              <w:jc w:val="right"/>
              <w:rPr>
                <w:rFonts w:eastAsia="Times New Roman" w:cs="Arial"/>
                <w:b/>
                <w:bCs/>
                <w:color w:val="000000"/>
                <w:sz w:val="14"/>
                <w:szCs w:val="16"/>
              </w:rPr>
            </w:pPr>
            <w:r>
              <w:rPr>
                <w:rFonts w:eastAsia="Times New Roman" w:cs="Arial"/>
                <w:b/>
                <w:bCs/>
                <w:color w:val="000000"/>
                <w:sz w:val="14"/>
                <w:szCs w:val="16"/>
              </w:rPr>
              <w:t>351,959,346</w:t>
            </w:r>
          </w:p>
        </w:tc>
      </w:tr>
      <w:tr w:rsidR="00713416" w:rsidRPr="00713416" w14:paraId="19B92A09" w14:textId="77777777" w:rsidTr="00DC030F">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315DF2B" w14:textId="77777777"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45101</w:t>
            </w:r>
          </w:p>
        </w:tc>
        <w:tc>
          <w:tcPr>
            <w:tcW w:w="1847" w:type="dxa"/>
            <w:tcBorders>
              <w:top w:val="nil"/>
              <w:left w:val="nil"/>
              <w:bottom w:val="single" w:sz="4" w:space="0" w:color="auto"/>
              <w:right w:val="single" w:sz="4" w:space="0" w:color="auto"/>
            </w:tcBorders>
            <w:shd w:val="clear" w:color="auto" w:fill="auto"/>
            <w:noWrap/>
            <w:vAlign w:val="center"/>
            <w:hideMark/>
          </w:tcPr>
          <w:p w14:paraId="391F3D14" w14:textId="77777777" w:rsidR="00713416" w:rsidRPr="00713416" w:rsidRDefault="00713416" w:rsidP="00713416">
            <w:pPr>
              <w:rPr>
                <w:rFonts w:eastAsia="Times New Roman" w:cs="Arial"/>
                <w:color w:val="000000"/>
                <w:sz w:val="14"/>
                <w:szCs w:val="16"/>
              </w:rPr>
            </w:pPr>
            <w:r w:rsidRPr="00713416">
              <w:rPr>
                <w:rFonts w:eastAsia="Times New Roman" w:cs="Arial"/>
                <w:color w:val="000000"/>
                <w:sz w:val="14"/>
                <w:szCs w:val="16"/>
              </w:rPr>
              <w:t>Pensiones Magisterio</w:t>
            </w:r>
          </w:p>
        </w:tc>
        <w:tc>
          <w:tcPr>
            <w:tcW w:w="919" w:type="dxa"/>
            <w:tcBorders>
              <w:top w:val="nil"/>
              <w:left w:val="nil"/>
              <w:bottom w:val="single" w:sz="4" w:space="0" w:color="auto"/>
              <w:right w:val="single" w:sz="4" w:space="0" w:color="auto"/>
            </w:tcBorders>
            <w:shd w:val="clear" w:color="auto" w:fill="auto"/>
            <w:noWrap/>
            <w:vAlign w:val="center"/>
            <w:hideMark/>
          </w:tcPr>
          <w:p w14:paraId="7E76F48A" w14:textId="16FF3EA6"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52,462,033</w:t>
            </w:r>
          </w:p>
        </w:tc>
        <w:tc>
          <w:tcPr>
            <w:tcW w:w="919" w:type="dxa"/>
            <w:tcBorders>
              <w:top w:val="nil"/>
              <w:left w:val="nil"/>
              <w:bottom w:val="single" w:sz="4" w:space="0" w:color="auto"/>
              <w:right w:val="single" w:sz="4" w:space="0" w:color="auto"/>
            </w:tcBorders>
            <w:shd w:val="clear" w:color="auto" w:fill="auto"/>
            <w:noWrap/>
            <w:vAlign w:val="center"/>
            <w:hideMark/>
          </w:tcPr>
          <w:p w14:paraId="34904EE4" w14:textId="4C66841D"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71,022,041</w:t>
            </w:r>
          </w:p>
        </w:tc>
        <w:tc>
          <w:tcPr>
            <w:tcW w:w="955" w:type="dxa"/>
            <w:tcBorders>
              <w:top w:val="nil"/>
              <w:left w:val="nil"/>
              <w:bottom w:val="single" w:sz="4" w:space="0" w:color="auto"/>
              <w:right w:val="single" w:sz="4" w:space="0" w:color="auto"/>
            </w:tcBorders>
            <w:shd w:val="clear" w:color="auto" w:fill="auto"/>
            <w:noWrap/>
            <w:vAlign w:val="center"/>
            <w:hideMark/>
          </w:tcPr>
          <w:p w14:paraId="1F2F44F1" w14:textId="25816502"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84,965,093</w:t>
            </w:r>
          </w:p>
        </w:tc>
        <w:tc>
          <w:tcPr>
            <w:tcW w:w="992" w:type="dxa"/>
            <w:tcBorders>
              <w:top w:val="nil"/>
              <w:left w:val="nil"/>
              <w:bottom w:val="single" w:sz="4" w:space="0" w:color="auto"/>
              <w:right w:val="single" w:sz="4" w:space="0" w:color="auto"/>
            </w:tcBorders>
            <w:shd w:val="clear" w:color="auto" w:fill="auto"/>
            <w:noWrap/>
            <w:vAlign w:val="center"/>
            <w:hideMark/>
          </w:tcPr>
          <w:p w14:paraId="7374894B" w14:textId="322207A0"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94,366,990</w:t>
            </w:r>
          </w:p>
        </w:tc>
        <w:tc>
          <w:tcPr>
            <w:tcW w:w="919" w:type="dxa"/>
            <w:tcBorders>
              <w:top w:val="nil"/>
              <w:left w:val="nil"/>
              <w:bottom w:val="single" w:sz="4" w:space="0" w:color="auto"/>
              <w:right w:val="single" w:sz="4" w:space="0" w:color="auto"/>
            </w:tcBorders>
            <w:shd w:val="clear" w:color="auto" w:fill="auto"/>
            <w:noWrap/>
            <w:vAlign w:val="center"/>
            <w:hideMark/>
          </w:tcPr>
          <w:p w14:paraId="58C407D8" w14:textId="2034E488"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95,111,360</w:t>
            </w:r>
          </w:p>
        </w:tc>
        <w:tc>
          <w:tcPr>
            <w:tcW w:w="1066" w:type="dxa"/>
            <w:tcBorders>
              <w:top w:val="nil"/>
              <w:left w:val="nil"/>
              <w:bottom w:val="single" w:sz="4" w:space="0" w:color="auto"/>
              <w:right w:val="single" w:sz="4" w:space="0" w:color="auto"/>
            </w:tcBorders>
            <w:shd w:val="clear" w:color="auto" w:fill="auto"/>
            <w:noWrap/>
            <w:vAlign w:val="center"/>
            <w:hideMark/>
          </w:tcPr>
          <w:p w14:paraId="736DBE36" w14:textId="51E06DF2"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98,426,660</w:t>
            </w:r>
          </w:p>
        </w:tc>
        <w:tc>
          <w:tcPr>
            <w:tcW w:w="1036" w:type="dxa"/>
            <w:tcBorders>
              <w:top w:val="nil"/>
              <w:left w:val="nil"/>
              <w:bottom w:val="single" w:sz="4" w:space="0" w:color="auto"/>
              <w:right w:val="single" w:sz="4" w:space="0" w:color="auto"/>
            </w:tcBorders>
            <w:shd w:val="clear" w:color="auto" w:fill="auto"/>
            <w:noWrap/>
            <w:vAlign w:val="center"/>
            <w:hideMark/>
          </w:tcPr>
          <w:p w14:paraId="5427082A" w14:textId="11FB276D"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101,483,952</w:t>
            </w:r>
          </w:p>
        </w:tc>
        <w:tc>
          <w:tcPr>
            <w:tcW w:w="707" w:type="dxa"/>
            <w:gridSpan w:val="2"/>
            <w:tcBorders>
              <w:top w:val="nil"/>
              <w:left w:val="nil"/>
              <w:bottom w:val="single" w:sz="4" w:space="0" w:color="auto"/>
              <w:right w:val="single" w:sz="4" w:space="0" w:color="auto"/>
            </w:tcBorders>
            <w:shd w:val="clear" w:color="auto" w:fill="auto"/>
            <w:noWrap/>
            <w:vAlign w:val="center"/>
          </w:tcPr>
          <w:p w14:paraId="7871187C" w14:textId="58319269" w:rsidR="00713416" w:rsidRPr="00DD002E" w:rsidRDefault="00DD002E" w:rsidP="00DD002E">
            <w:pPr>
              <w:jc w:val="center"/>
              <w:rPr>
                <w:rFonts w:eastAsia="Times New Roman" w:cs="Arial"/>
                <w:color w:val="000000"/>
                <w:sz w:val="14"/>
                <w:szCs w:val="16"/>
              </w:rPr>
            </w:pPr>
            <w:r w:rsidRPr="00DD002E">
              <w:rPr>
                <w:rFonts w:eastAsia="Times New Roman" w:cs="Arial"/>
                <w:color w:val="000000"/>
                <w:sz w:val="14"/>
                <w:szCs w:val="16"/>
              </w:rPr>
              <w:t>68,228,700</w:t>
            </w:r>
          </w:p>
        </w:tc>
        <w:tc>
          <w:tcPr>
            <w:tcW w:w="708" w:type="dxa"/>
            <w:tcBorders>
              <w:top w:val="nil"/>
              <w:left w:val="nil"/>
              <w:bottom w:val="single" w:sz="4" w:space="0" w:color="auto"/>
              <w:right w:val="single" w:sz="4" w:space="0" w:color="auto"/>
            </w:tcBorders>
            <w:shd w:val="clear" w:color="auto" w:fill="auto"/>
            <w:noWrap/>
            <w:vAlign w:val="center"/>
          </w:tcPr>
          <w:p w14:paraId="25C53619" w14:textId="6AAC7F50" w:rsidR="00713416" w:rsidRPr="00713416" w:rsidRDefault="00DD002E" w:rsidP="00DC030F">
            <w:pPr>
              <w:jc w:val="right"/>
              <w:rPr>
                <w:rFonts w:eastAsia="Times New Roman" w:cs="Arial"/>
                <w:color w:val="000000"/>
                <w:sz w:val="14"/>
                <w:szCs w:val="16"/>
              </w:rPr>
            </w:pPr>
            <w:r w:rsidRPr="00DD002E">
              <w:rPr>
                <w:rFonts w:eastAsia="Times New Roman" w:cs="Arial"/>
                <w:color w:val="000000"/>
                <w:sz w:val="14"/>
                <w:szCs w:val="16"/>
              </w:rPr>
              <w:t>135,603,968</w:t>
            </w:r>
          </w:p>
        </w:tc>
      </w:tr>
      <w:tr w:rsidR="00713416" w:rsidRPr="00713416" w14:paraId="6C6207FD" w14:textId="77777777" w:rsidTr="00DC030F">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F8E63A6" w14:textId="77777777"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45102</w:t>
            </w:r>
          </w:p>
        </w:tc>
        <w:tc>
          <w:tcPr>
            <w:tcW w:w="1847" w:type="dxa"/>
            <w:tcBorders>
              <w:top w:val="nil"/>
              <w:left w:val="nil"/>
              <w:bottom w:val="single" w:sz="4" w:space="0" w:color="auto"/>
              <w:right w:val="single" w:sz="4" w:space="0" w:color="auto"/>
            </w:tcBorders>
            <w:shd w:val="clear" w:color="auto" w:fill="auto"/>
            <w:noWrap/>
            <w:vAlign w:val="center"/>
            <w:hideMark/>
          </w:tcPr>
          <w:p w14:paraId="4491C2FA" w14:textId="77777777" w:rsidR="00713416" w:rsidRPr="00713416" w:rsidRDefault="00713416" w:rsidP="00713416">
            <w:pPr>
              <w:rPr>
                <w:rFonts w:eastAsia="Times New Roman" w:cs="Arial"/>
                <w:color w:val="000000"/>
                <w:sz w:val="14"/>
                <w:szCs w:val="16"/>
              </w:rPr>
            </w:pPr>
            <w:r w:rsidRPr="00713416">
              <w:rPr>
                <w:rFonts w:eastAsia="Times New Roman" w:cs="Arial"/>
                <w:color w:val="000000"/>
                <w:sz w:val="14"/>
                <w:szCs w:val="16"/>
              </w:rPr>
              <w:t>Pensiones Burocracia</w:t>
            </w:r>
          </w:p>
        </w:tc>
        <w:tc>
          <w:tcPr>
            <w:tcW w:w="919" w:type="dxa"/>
            <w:tcBorders>
              <w:top w:val="nil"/>
              <w:left w:val="nil"/>
              <w:bottom w:val="single" w:sz="4" w:space="0" w:color="auto"/>
              <w:right w:val="single" w:sz="4" w:space="0" w:color="auto"/>
            </w:tcBorders>
            <w:shd w:val="clear" w:color="auto" w:fill="auto"/>
            <w:noWrap/>
            <w:vAlign w:val="center"/>
            <w:hideMark/>
          </w:tcPr>
          <w:p w14:paraId="26F1CB69" w14:textId="6AB4631E"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95,885,710</w:t>
            </w:r>
          </w:p>
        </w:tc>
        <w:tc>
          <w:tcPr>
            <w:tcW w:w="919" w:type="dxa"/>
            <w:tcBorders>
              <w:top w:val="nil"/>
              <w:left w:val="nil"/>
              <w:bottom w:val="single" w:sz="4" w:space="0" w:color="auto"/>
              <w:right w:val="single" w:sz="4" w:space="0" w:color="auto"/>
            </w:tcBorders>
            <w:shd w:val="clear" w:color="auto" w:fill="auto"/>
            <w:noWrap/>
            <w:vAlign w:val="center"/>
            <w:hideMark/>
          </w:tcPr>
          <w:p w14:paraId="251545C6" w14:textId="5A691BD7"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11,038,708</w:t>
            </w:r>
          </w:p>
        </w:tc>
        <w:tc>
          <w:tcPr>
            <w:tcW w:w="955" w:type="dxa"/>
            <w:tcBorders>
              <w:top w:val="nil"/>
              <w:left w:val="nil"/>
              <w:bottom w:val="single" w:sz="4" w:space="0" w:color="auto"/>
              <w:right w:val="single" w:sz="4" w:space="0" w:color="auto"/>
            </w:tcBorders>
            <w:shd w:val="clear" w:color="auto" w:fill="auto"/>
            <w:noWrap/>
            <w:vAlign w:val="center"/>
            <w:hideMark/>
          </w:tcPr>
          <w:p w14:paraId="3C229379" w14:textId="68D88F90"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125,577,556</w:t>
            </w:r>
          </w:p>
        </w:tc>
        <w:tc>
          <w:tcPr>
            <w:tcW w:w="992" w:type="dxa"/>
            <w:tcBorders>
              <w:top w:val="nil"/>
              <w:left w:val="nil"/>
              <w:bottom w:val="single" w:sz="4" w:space="0" w:color="auto"/>
              <w:right w:val="single" w:sz="4" w:space="0" w:color="auto"/>
            </w:tcBorders>
            <w:shd w:val="clear" w:color="auto" w:fill="auto"/>
            <w:noWrap/>
            <w:vAlign w:val="center"/>
            <w:hideMark/>
          </w:tcPr>
          <w:p w14:paraId="15805AEE" w14:textId="79D9CBF0"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147,305,339</w:t>
            </w:r>
          </w:p>
        </w:tc>
        <w:tc>
          <w:tcPr>
            <w:tcW w:w="919" w:type="dxa"/>
            <w:tcBorders>
              <w:top w:val="nil"/>
              <w:left w:val="nil"/>
              <w:bottom w:val="single" w:sz="4" w:space="0" w:color="auto"/>
              <w:right w:val="single" w:sz="4" w:space="0" w:color="auto"/>
            </w:tcBorders>
            <w:shd w:val="clear" w:color="auto" w:fill="auto"/>
            <w:noWrap/>
            <w:vAlign w:val="center"/>
            <w:hideMark/>
          </w:tcPr>
          <w:p w14:paraId="782D2B5B" w14:textId="2A63C39D"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155,946,623</w:t>
            </w:r>
          </w:p>
        </w:tc>
        <w:tc>
          <w:tcPr>
            <w:tcW w:w="1066" w:type="dxa"/>
            <w:tcBorders>
              <w:top w:val="nil"/>
              <w:left w:val="nil"/>
              <w:bottom w:val="single" w:sz="4" w:space="0" w:color="auto"/>
              <w:right w:val="single" w:sz="4" w:space="0" w:color="auto"/>
            </w:tcBorders>
            <w:shd w:val="clear" w:color="auto" w:fill="auto"/>
            <w:noWrap/>
            <w:vAlign w:val="center"/>
            <w:hideMark/>
          </w:tcPr>
          <w:p w14:paraId="77E54C86" w14:textId="4855508A"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175,645,985</w:t>
            </w:r>
          </w:p>
        </w:tc>
        <w:tc>
          <w:tcPr>
            <w:tcW w:w="1036" w:type="dxa"/>
            <w:tcBorders>
              <w:top w:val="nil"/>
              <w:left w:val="nil"/>
              <w:bottom w:val="single" w:sz="4" w:space="0" w:color="auto"/>
              <w:right w:val="single" w:sz="4" w:space="0" w:color="auto"/>
            </w:tcBorders>
            <w:shd w:val="clear" w:color="auto" w:fill="auto"/>
            <w:noWrap/>
            <w:vAlign w:val="center"/>
            <w:hideMark/>
          </w:tcPr>
          <w:p w14:paraId="32B5A44C" w14:textId="697885FA"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182,388,146</w:t>
            </w:r>
          </w:p>
        </w:tc>
        <w:tc>
          <w:tcPr>
            <w:tcW w:w="707" w:type="dxa"/>
            <w:gridSpan w:val="2"/>
            <w:tcBorders>
              <w:top w:val="nil"/>
              <w:left w:val="nil"/>
              <w:bottom w:val="single" w:sz="4" w:space="0" w:color="auto"/>
              <w:right w:val="single" w:sz="4" w:space="0" w:color="auto"/>
            </w:tcBorders>
            <w:shd w:val="clear" w:color="auto" w:fill="auto"/>
            <w:noWrap/>
            <w:vAlign w:val="center"/>
          </w:tcPr>
          <w:p w14:paraId="7D6CB592" w14:textId="516BED87" w:rsidR="00713416" w:rsidRPr="00DD002E" w:rsidRDefault="00DD002E" w:rsidP="00DD002E">
            <w:pPr>
              <w:jc w:val="center"/>
              <w:rPr>
                <w:rFonts w:eastAsia="Times New Roman" w:cs="Arial"/>
                <w:color w:val="000000"/>
                <w:sz w:val="14"/>
                <w:szCs w:val="16"/>
              </w:rPr>
            </w:pPr>
            <w:r w:rsidRPr="00DD002E">
              <w:rPr>
                <w:rFonts w:eastAsia="Times New Roman" w:cs="Arial"/>
                <w:color w:val="000000"/>
                <w:sz w:val="14"/>
                <w:szCs w:val="16"/>
              </w:rPr>
              <w:t>131,938,543</w:t>
            </w:r>
          </w:p>
        </w:tc>
        <w:tc>
          <w:tcPr>
            <w:tcW w:w="708" w:type="dxa"/>
            <w:tcBorders>
              <w:top w:val="nil"/>
              <w:left w:val="nil"/>
              <w:bottom w:val="single" w:sz="4" w:space="0" w:color="auto"/>
              <w:right w:val="single" w:sz="4" w:space="0" w:color="auto"/>
            </w:tcBorders>
            <w:shd w:val="clear" w:color="auto" w:fill="auto"/>
            <w:noWrap/>
            <w:vAlign w:val="center"/>
          </w:tcPr>
          <w:p w14:paraId="4E7EAA8F" w14:textId="1C2FD90A" w:rsidR="00713416" w:rsidRPr="00713416" w:rsidRDefault="00DD002E" w:rsidP="00DC030F">
            <w:pPr>
              <w:jc w:val="right"/>
              <w:rPr>
                <w:rFonts w:eastAsia="Times New Roman" w:cs="Arial"/>
                <w:color w:val="000000"/>
                <w:sz w:val="14"/>
                <w:szCs w:val="16"/>
              </w:rPr>
            </w:pPr>
            <w:r w:rsidRPr="00DD002E">
              <w:rPr>
                <w:rFonts w:eastAsia="Times New Roman" w:cs="Arial"/>
                <w:color w:val="000000"/>
                <w:sz w:val="14"/>
                <w:szCs w:val="16"/>
              </w:rPr>
              <w:t>216,355,378</w:t>
            </w:r>
          </w:p>
        </w:tc>
      </w:tr>
      <w:tr w:rsidR="00713416" w:rsidRPr="00713416" w14:paraId="3C832655" w14:textId="77777777" w:rsidTr="00DC030F">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7D95F2A" w14:textId="77777777"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45200</w:t>
            </w:r>
          </w:p>
        </w:tc>
        <w:tc>
          <w:tcPr>
            <w:tcW w:w="1847" w:type="dxa"/>
            <w:tcBorders>
              <w:top w:val="nil"/>
              <w:left w:val="nil"/>
              <w:bottom w:val="single" w:sz="4" w:space="0" w:color="auto"/>
              <w:right w:val="single" w:sz="4" w:space="0" w:color="auto"/>
            </w:tcBorders>
            <w:shd w:val="clear" w:color="auto" w:fill="auto"/>
            <w:noWrap/>
            <w:vAlign w:val="center"/>
            <w:hideMark/>
          </w:tcPr>
          <w:p w14:paraId="39247140" w14:textId="77777777" w:rsidR="00713416" w:rsidRPr="00713416" w:rsidRDefault="00713416" w:rsidP="00713416">
            <w:pPr>
              <w:rPr>
                <w:rFonts w:eastAsia="Times New Roman" w:cs="Arial"/>
                <w:b/>
                <w:bCs/>
                <w:color w:val="000000"/>
                <w:sz w:val="14"/>
                <w:szCs w:val="16"/>
              </w:rPr>
            </w:pPr>
            <w:r w:rsidRPr="00713416">
              <w:rPr>
                <w:rFonts w:eastAsia="Times New Roman" w:cs="Arial"/>
                <w:b/>
                <w:bCs/>
                <w:color w:val="000000"/>
                <w:sz w:val="14"/>
                <w:szCs w:val="16"/>
              </w:rPr>
              <w:t>Jubilaciones</w:t>
            </w:r>
          </w:p>
        </w:tc>
        <w:tc>
          <w:tcPr>
            <w:tcW w:w="919" w:type="dxa"/>
            <w:tcBorders>
              <w:top w:val="nil"/>
              <w:left w:val="nil"/>
              <w:bottom w:val="single" w:sz="4" w:space="0" w:color="auto"/>
              <w:right w:val="single" w:sz="4" w:space="0" w:color="auto"/>
            </w:tcBorders>
            <w:shd w:val="clear" w:color="auto" w:fill="auto"/>
            <w:noWrap/>
            <w:vAlign w:val="center"/>
            <w:hideMark/>
          </w:tcPr>
          <w:p w14:paraId="4619776C" w14:textId="7D7CCFC1"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434,350,773</w:t>
            </w:r>
          </w:p>
        </w:tc>
        <w:tc>
          <w:tcPr>
            <w:tcW w:w="919" w:type="dxa"/>
            <w:tcBorders>
              <w:top w:val="nil"/>
              <w:left w:val="nil"/>
              <w:bottom w:val="single" w:sz="4" w:space="0" w:color="auto"/>
              <w:right w:val="single" w:sz="4" w:space="0" w:color="auto"/>
            </w:tcBorders>
            <w:shd w:val="clear" w:color="auto" w:fill="auto"/>
            <w:noWrap/>
            <w:vAlign w:val="center"/>
            <w:hideMark/>
          </w:tcPr>
          <w:p w14:paraId="5A073589" w14:textId="50554AED"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503,641,441</w:t>
            </w:r>
          </w:p>
        </w:tc>
        <w:tc>
          <w:tcPr>
            <w:tcW w:w="955" w:type="dxa"/>
            <w:tcBorders>
              <w:top w:val="nil"/>
              <w:left w:val="nil"/>
              <w:bottom w:val="single" w:sz="4" w:space="0" w:color="auto"/>
              <w:right w:val="single" w:sz="4" w:space="0" w:color="auto"/>
            </w:tcBorders>
            <w:shd w:val="clear" w:color="auto" w:fill="auto"/>
            <w:noWrap/>
            <w:vAlign w:val="center"/>
            <w:hideMark/>
          </w:tcPr>
          <w:p w14:paraId="619DB7A9" w14:textId="6BD038D9"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584,798,452</w:t>
            </w:r>
          </w:p>
        </w:tc>
        <w:tc>
          <w:tcPr>
            <w:tcW w:w="992" w:type="dxa"/>
            <w:tcBorders>
              <w:top w:val="nil"/>
              <w:left w:val="nil"/>
              <w:bottom w:val="single" w:sz="4" w:space="0" w:color="auto"/>
              <w:right w:val="single" w:sz="4" w:space="0" w:color="auto"/>
            </w:tcBorders>
            <w:shd w:val="clear" w:color="auto" w:fill="auto"/>
            <w:noWrap/>
            <w:vAlign w:val="center"/>
            <w:hideMark/>
          </w:tcPr>
          <w:p w14:paraId="7A9BC800" w14:textId="5F8EE90A"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702,858,407</w:t>
            </w:r>
          </w:p>
        </w:tc>
        <w:tc>
          <w:tcPr>
            <w:tcW w:w="919" w:type="dxa"/>
            <w:tcBorders>
              <w:top w:val="nil"/>
              <w:left w:val="nil"/>
              <w:bottom w:val="single" w:sz="4" w:space="0" w:color="auto"/>
              <w:right w:val="single" w:sz="4" w:space="0" w:color="auto"/>
            </w:tcBorders>
            <w:shd w:val="clear" w:color="auto" w:fill="auto"/>
            <w:noWrap/>
            <w:vAlign w:val="center"/>
            <w:hideMark/>
          </w:tcPr>
          <w:p w14:paraId="4554A0A2" w14:textId="71FE8B88"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723,857,221</w:t>
            </w:r>
          </w:p>
        </w:tc>
        <w:tc>
          <w:tcPr>
            <w:tcW w:w="1066" w:type="dxa"/>
            <w:tcBorders>
              <w:top w:val="nil"/>
              <w:left w:val="nil"/>
              <w:bottom w:val="single" w:sz="4" w:space="0" w:color="auto"/>
              <w:right w:val="single" w:sz="4" w:space="0" w:color="auto"/>
            </w:tcBorders>
            <w:shd w:val="clear" w:color="auto" w:fill="auto"/>
            <w:noWrap/>
            <w:vAlign w:val="center"/>
            <w:hideMark/>
          </w:tcPr>
          <w:p w14:paraId="5AA351C6" w14:textId="08FFE238"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761,991,238</w:t>
            </w:r>
          </w:p>
        </w:tc>
        <w:tc>
          <w:tcPr>
            <w:tcW w:w="1036" w:type="dxa"/>
            <w:tcBorders>
              <w:top w:val="nil"/>
              <w:left w:val="nil"/>
              <w:bottom w:val="single" w:sz="4" w:space="0" w:color="auto"/>
              <w:right w:val="single" w:sz="4" w:space="0" w:color="auto"/>
            </w:tcBorders>
            <w:shd w:val="clear" w:color="auto" w:fill="auto"/>
            <w:noWrap/>
            <w:vAlign w:val="center"/>
            <w:hideMark/>
          </w:tcPr>
          <w:p w14:paraId="4684FA7C" w14:textId="2BF3B79C" w:rsidR="00713416" w:rsidRPr="00713416" w:rsidRDefault="00713416" w:rsidP="00713416">
            <w:pPr>
              <w:jc w:val="center"/>
              <w:rPr>
                <w:rFonts w:eastAsia="Times New Roman" w:cs="Arial"/>
                <w:b/>
                <w:bCs/>
                <w:color w:val="000000"/>
                <w:sz w:val="14"/>
                <w:szCs w:val="16"/>
              </w:rPr>
            </w:pPr>
            <w:r w:rsidRPr="00713416">
              <w:rPr>
                <w:rFonts w:eastAsia="Times New Roman" w:cs="Arial"/>
                <w:b/>
                <w:bCs/>
                <w:color w:val="000000"/>
                <w:sz w:val="14"/>
                <w:szCs w:val="16"/>
              </w:rPr>
              <w:t>789,879,540</w:t>
            </w:r>
          </w:p>
        </w:tc>
        <w:tc>
          <w:tcPr>
            <w:tcW w:w="707" w:type="dxa"/>
            <w:gridSpan w:val="2"/>
            <w:tcBorders>
              <w:top w:val="nil"/>
              <w:left w:val="nil"/>
              <w:bottom w:val="single" w:sz="4" w:space="0" w:color="auto"/>
              <w:right w:val="single" w:sz="4" w:space="0" w:color="auto"/>
            </w:tcBorders>
            <w:shd w:val="clear" w:color="auto" w:fill="auto"/>
            <w:noWrap/>
            <w:vAlign w:val="center"/>
          </w:tcPr>
          <w:p w14:paraId="768A53EA" w14:textId="7BBF975B" w:rsidR="00713416" w:rsidRPr="00713416" w:rsidRDefault="00DD002E" w:rsidP="00DD002E">
            <w:pPr>
              <w:jc w:val="center"/>
              <w:rPr>
                <w:rFonts w:eastAsia="Times New Roman" w:cs="Arial"/>
                <w:b/>
                <w:bCs/>
                <w:color w:val="000000"/>
                <w:sz w:val="14"/>
                <w:szCs w:val="16"/>
              </w:rPr>
            </w:pPr>
            <w:r w:rsidRPr="00DD002E">
              <w:rPr>
                <w:rFonts w:eastAsia="Times New Roman" w:cs="Arial"/>
                <w:b/>
                <w:bCs/>
                <w:color w:val="000000"/>
                <w:sz w:val="14"/>
                <w:szCs w:val="16"/>
              </w:rPr>
              <w:t>544,275,183</w:t>
            </w:r>
          </w:p>
        </w:tc>
        <w:tc>
          <w:tcPr>
            <w:tcW w:w="708" w:type="dxa"/>
            <w:tcBorders>
              <w:top w:val="nil"/>
              <w:left w:val="nil"/>
              <w:bottom w:val="single" w:sz="4" w:space="0" w:color="auto"/>
              <w:right w:val="single" w:sz="4" w:space="0" w:color="auto"/>
            </w:tcBorders>
            <w:shd w:val="clear" w:color="auto" w:fill="auto"/>
            <w:noWrap/>
            <w:vAlign w:val="center"/>
          </w:tcPr>
          <w:p w14:paraId="33C2354A" w14:textId="4A9E7357" w:rsidR="00713416" w:rsidRPr="00713416" w:rsidRDefault="00DD002E" w:rsidP="00DC030F">
            <w:pPr>
              <w:jc w:val="right"/>
              <w:rPr>
                <w:rFonts w:eastAsia="Times New Roman" w:cs="Arial"/>
                <w:b/>
                <w:bCs/>
                <w:color w:val="000000"/>
                <w:sz w:val="14"/>
                <w:szCs w:val="16"/>
              </w:rPr>
            </w:pPr>
            <w:r w:rsidRPr="00DD002E">
              <w:rPr>
                <w:rFonts w:eastAsia="Times New Roman" w:cs="Arial"/>
                <w:b/>
                <w:bCs/>
                <w:color w:val="000000"/>
                <w:sz w:val="14"/>
                <w:szCs w:val="16"/>
              </w:rPr>
              <w:t>787,477,812</w:t>
            </w:r>
          </w:p>
        </w:tc>
      </w:tr>
      <w:tr w:rsidR="00713416" w:rsidRPr="00713416" w14:paraId="159711B0" w14:textId="77777777" w:rsidTr="00DC030F">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E626B8A" w14:textId="77777777"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45201</w:t>
            </w:r>
          </w:p>
        </w:tc>
        <w:tc>
          <w:tcPr>
            <w:tcW w:w="1847" w:type="dxa"/>
            <w:tcBorders>
              <w:top w:val="nil"/>
              <w:left w:val="nil"/>
              <w:bottom w:val="single" w:sz="4" w:space="0" w:color="auto"/>
              <w:right w:val="single" w:sz="4" w:space="0" w:color="auto"/>
            </w:tcBorders>
            <w:shd w:val="clear" w:color="auto" w:fill="auto"/>
            <w:noWrap/>
            <w:vAlign w:val="center"/>
            <w:hideMark/>
          </w:tcPr>
          <w:p w14:paraId="70C44CBF" w14:textId="77777777" w:rsidR="00713416" w:rsidRPr="00713416" w:rsidRDefault="00713416" w:rsidP="00713416">
            <w:pPr>
              <w:rPr>
                <w:rFonts w:eastAsia="Times New Roman" w:cs="Arial"/>
                <w:color w:val="000000"/>
                <w:sz w:val="14"/>
                <w:szCs w:val="16"/>
              </w:rPr>
            </w:pPr>
            <w:r w:rsidRPr="00713416">
              <w:rPr>
                <w:rFonts w:eastAsia="Times New Roman" w:cs="Arial"/>
                <w:color w:val="000000"/>
                <w:sz w:val="14"/>
                <w:szCs w:val="16"/>
              </w:rPr>
              <w:t>Jubilaciones Magisterio</w:t>
            </w:r>
          </w:p>
        </w:tc>
        <w:tc>
          <w:tcPr>
            <w:tcW w:w="919" w:type="dxa"/>
            <w:tcBorders>
              <w:top w:val="nil"/>
              <w:left w:val="nil"/>
              <w:bottom w:val="single" w:sz="4" w:space="0" w:color="auto"/>
              <w:right w:val="single" w:sz="4" w:space="0" w:color="auto"/>
            </w:tcBorders>
            <w:shd w:val="clear" w:color="auto" w:fill="auto"/>
            <w:noWrap/>
            <w:vAlign w:val="center"/>
            <w:hideMark/>
          </w:tcPr>
          <w:p w14:paraId="35C11D65" w14:textId="4EA0B3B0"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190,840,621</w:t>
            </w:r>
          </w:p>
        </w:tc>
        <w:tc>
          <w:tcPr>
            <w:tcW w:w="919" w:type="dxa"/>
            <w:tcBorders>
              <w:top w:val="nil"/>
              <w:left w:val="nil"/>
              <w:bottom w:val="single" w:sz="4" w:space="0" w:color="auto"/>
              <w:right w:val="single" w:sz="4" w:space="0" w:color="auto"/>
            </w:tcBorders>
            <w:shd w:val="clear" w:color="auto" w:fill="auto"/>
            <w:noWrap/>
            <w:vAlign w:val="center"/>
            <w:hideMark/>
          </w:tcPr>
          <w:p w14:paraId="4C9175A5" w14:textId="38BAFDE3"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214,097,289</w:t>
            </w:r>
          </w:p>
        </w:tc>
        <w:tc>
          <w:tcPr>
            <w:tcW w:w="955" w:type="dxa"/>
            <w:tcBorders>
              <w:top w:val="nil"/>
              <w:left w:val="nil"/>
              <w:bottom w:val="single" w:sz="4" w:space="0" w:color="auto"/>
              <w:right w:val="single" w:sz="4" w:space="0" w:color="auto"/>
            </w:tcBorders>
            <w:shd w:val="clear" w:color="auto" w:fill="auto"/>
            <w:noWrap/>
            <w:vAlign w:val="center"/>
            <w:hideMark/>
          </w:tcPr>
          <w:p w14:paraId="035B1F80" w14:textId="4A53B104"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243,302,220</w:t>
            </w:r>
          </w:p>
        </w:tc>
        <w:tc>
          <w:tcPr>
            <w:tcW w:w="992" w:type="dxa"/>
            <w:tcBorders>
              <w:top w:val="nil"/>
              <w:left w:val="nil"/>
              <w:bottom w:val="single" w:sz="4" w:space="0" w:color="auto"/>
              <w:right w:val="single" w:sz="4" w:space="0" w:color="auto"/>
            </w:tcBorders>
            <w:shd w:val="clear" w:color="auto" w:fill="auto"/>
            <w:noWrap/>
            <w:vAlign w:val="center"/>
            <w:hideMark/>
          </w:tcPr>
          <w:p w14:paraId="59D41BD5" w14:textId="244739B6"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285,037,187</w:t>
            </w:r>
          </w:p>
        </w:tc>
        <w:tc>
          <w:tcPr>
            <w:tcW w:w="919" w:type="dxa"/>
            <w:tcBorders>
              <w:top w:val="nil"/>
              <w:left w:val="nil"/>
              <w:bottom w:val="single" w:sz="4" w:space="0" w:color="auto"/>
              <w:right w:val="single" w:sz="4" w:space="0" w:color="auto"/>
            </w:tcBorders>
            <w:shd w:val="clear" w:color="auto" w:fill="auto"/>
            <w:noWrap/>
            <w:vAlign w:val="center"/>
            <w:hideMark/>
          </w:tcPr>
          <w:p w14:paraId="393CAC45" w14:textId="01C1F653"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288,668,202</w:t>
            </w:r>
          </w:p>
        </w:tc>
        <w:tc>
          <w:tcPr>
            <w:tcW w:w="1066" w:type="dxa"/>
            <w:tcBorders>
              <w:top w:val="nil"/>
              <w:left w:val="nil"/>
              <w:bottom w:val="single" w:sz="4" w:space="0" w:color="auto"/>
              <w:right w:val="single" w:sz="4" w:space="0" w:color="auto"/>
            </w:tcBorders>
            <w:shd w:val="clear" w:color="auto" w:fill="auto"/>
            <w:noWrap/>
            <w:vAlign w:val="center"/>
            <w:hideMark/>
          </w:tcPr>
          <w:p w14:paraId="67A9B080" w14:textId="49F3EB19"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294,188,595</w:t>
            </w:r>
          </w:p>
        </w:tc>
        <w:tc>
          <w:tcPr>
            <w:tcW w:w="1036" w:type="dxa"/>
            <w:tcBorders>
              <w:top w:val="nil"/>
              <w:left w:val="nil"/>
              <w:bottom w:val="single" w:sz="4" w:space="0" w:color="auto"/>
              <w:right w:val="single" w:sz="4" w:space="0" w:color="auto"/>
            </w:tcBorders>
            <w:shd w:val="clear" w:color="auto" w:fill="auto"/>
            <w:noWrap/>
            <w:vAlign w:val="center"/>
            <w:hideMark/>
          </w:tcPr>
          <w:p w14:paraId="73E50BBE" w14:textId="5F95FC3B"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304,616,488</w:t>
            </w:r>
          </w:p>
        </w:tc>
        <w:tc>
          <w:tcPr>
            <w:tcW w:w="707" w:type="dxa"/>
            <w:gridSpan w:val="2"/>
            <w:tcBorders>
              <w:top w:val="nil"/>
              <w:left w:val="nil"/>
              <w:bottom w:val="single" w:sz="4" w:space="0" w:color="auto"/>
              <w:right w:val="single" w:sz="4" w:space="0" w:color="auto"/>
            </w:tcBorders>
            <w:shd w:val="clear" w:color="auto" w:fill="auto"/>
            <w:noWrap/>
            <w:vAlign w:val="center"/>
          </w:tcPr>
          <w:p w14:paraId="350071C8" w14:textId="4DD96EB9" w:rsidR="00713416" w:rsidRPr="00DD002E" w:rsidRDefault="00DD002E" w:rsidP="00DD002E">
            <w:pPr>
              <w:jc w:val="center"/>
              <w:rPr>
                <w:rFonts w:eastAsia="Times New Roman" w:cs="Arial"/>
                <w:color w:val="000000"/>
                <w:sz w:val="14"/>
                <w:szCs w:val="16"/>
              </w:rPr>
            </w:pPr>
            <w:r w:rsidRPr="00DD002E">
              <w:rPr>
                <w:rFonts w:eastAsia="Times New Roman" w:cs="Arial"/>
                <w:color w:val="000000"/>
                <w:sz w:val="14"/>
                <w:szCs w:val="16"/>
              </w:rPr>
              <w:t>202,270,885</w:t>
            </w:r>
          </w:p>
        </w:tc>
        <w:tc>
          <w:tcPr>
            <w:tcW w:w="708" w:type="dxa"/>
            <w:tcBorders>
              <w:top w:val="nil"/>
              <w:left w:val="nil"/>
              <w:bottom w:val="single" w:sz="4" w:space="0" w:color="auto"/>
              <w:right w:val="single" w:sz="4" w:space="0" w:color="auto"/>
            </w:tcBorders>
            <w:shd w:val="clear" w:color="auto" w:fill="auto"/>
            <w:noWrap/>
            <w:vAlign w:val="center"/>
          </w:tcPr>
          <w:p w14:paraId="6D19E5F0" w14:textId="27513E7D" w:rsidR="00713416" w:rsidRPr="00713416" w:rsidRDefault="00DD002E" w:rsidP="00DC030F">
            <w:pPr>
              <w:jc w:val="right"/>
              <w:rPr>
                <w:rFonts w:eastAsia="Times New Roman" w:cs="Arial"/>
                <w:color w:val="000000"/>
                <w:sz w:val="14"/>
                <w:szCs w:val="16"/>
              </w:rPr>
            </w:pPr>
            <w:r w:rsidRPr="00DD002E">
              <w:rPr>
                <w:rFonts w:eastAsia="Times New Roman" w:cs="Arial"/>
                <w:color w:val="000000"/>
                <w:sz w:val="14"/>
                <w:szCs w:val="16"/>
              </w:rPr>
              <w:t>283,782,785</w:t>
            </w:r>
          </w:p>
        </w:tc>
      </w:tr>
      <w:tr w:rsidR="00713416" w:rsidRPr="00713416" w14:paraId="48E0D78E" w14:textId="77777777" w:rsidTr="00DC030F">
        <w:trPr>
          <w:trHeight w:val="300"/>
          <w:jc w:val="center"/>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F8E5D2F" w14:textId="77777777"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45202</w:t>
            </w:r>
          </w:p>
        </w:tc>
        <w:tc>
          <w:tcPr>
            <w:tcW w:w="1847" w:type="dxa"/>
            <w:tcBorders>
              <w:top w:val="nil"/>
              <w:left w:val="nil"/>
              <w:bottom w:val="single" w:sz="4" w:space="0" w:color="auto"/>
              <w:right w:val="single" w:sz="4" w:space="0" w:color="auto"/>
            </w:tcBorders>
            <w:shd w:val="clear" w:color="auto" w:fill="auto"/>
            <w:noWrap/>
            <w:vAlign w:val="center"/>
            <w:hideMark/>
          </w:tcPr>
          <w:p w14:paraId="7399C284" w14:textId="77777777" w:rsidR="00713416" w:rsidRPr="00713416" w:rsidRDefault="00713416" w:rsidP="00713416">
            <w:pPr>
              <w:rPr>
                <w:rFonts w:eastAsia="Times New Roman" w:cs="Arial"/>
                <w:color w:val="000000"/>
                <w:sz w:val="14"/>
                <w:szCs w:val="16"/>
              </w:rPr>
            </w:pPr>
            <w:r w:rsidRPr="00713416">
              <w:rPr>
                <w:rFonts w:eastAsia="Times New Roman" w:cs="Arial"/>
                <w:color w:val="000000"/>
                <w:sz w:val="14"/>
                <w:szCs w:val="16"/>
              </w:rPr>
              <w:t>Jubilaciones Burocracia</w:t>
            </w:r>
          </w:p>
        </w:tc>
        <w:tc>
          <w:tcPr>
            <w:tcW w:w="919" w:type="dxa"/>
            <w:tcBorders>
              <w:top w:val="nil"/>
              <w:left w:val="nil"/>
              <w:bottom w:val="single" w:sz="4" w:space="0" w:color="auto"/>
              <w:right w:val="single" w:sz="4" w:space="0" w:color="auto"/>
            </w:tcBorders>
            <w:shd w:val="clear" w:color="auto" w:fill="auto"/>
            <w:noWrap/>
            <w:vAlign w:val="center"/>
            <w:hideMark/>
          </w:tcPr>
          <w:p w14:paraId="6CC8381D" w14:textId="7882FBC7"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243,510,153</w:t>
            </w:r>
          </w:p>
        </w:tc>
        <w:tc>
          <w:tcPr>
            <w:tcW w:w="919" w:type="dxa"/>
            <w:tcBorders>
              <w:top w:val="nil"/>
              <w:left w:val="nil"/>
              <w:bottom w:val="single" w:sz="4" w:space="0" w:color="auto"/>
              <w:right w:val="single" w:sz="4" w:space="0" w:color="auto"/>
            </w:tcBorders>
            <w:shd w:val="clear" w:color="auto" w:fill="auto"/>
            <w:noWrap/>
            <w:vAlign w:val="center"/>
            <w:hideMark/>
          </w:tcPr>
          <w:p w14:paraId="581D9B9B" w14:textId="68E9BA5F"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289,544,152</w:t>
            </w:r>
          </w:p>
        </w:tc>
        <w:tc>
          <w:tcPr>
            <w:tcW w:w="955" w:type="dxa"/>
            <w:tcBorders>
              <w:top w:val="nil"/>
              <w:left w:val="nil"/>
              <w:bottom w:val="single" w:sz="4" w:space="0" w:color="auto"/>
              <w:right w:val="single" w:sz="4" w:space="0" w:color="auto"/>
            </w:tcBorders>
            <w:shd w:val="clear" w:color="auto" w:fill="auto"/>
            <w:noWrap/>
            <w:vAlign w:val="center"/>
            <w:hideMark/>
          </w:tcPr>
          <w:p w14:paraId="02E778E2" w14:textId="30155352"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341,496,233</w:t>
            </w:r>
          </w:p>
        </w:tc>
        <w:tc>
          <w:tcPr>
            <w:tcW w:w="992" w:type="dxa"/>
            <w:tcBorders>
              <w:top w:val="nil"/>
              <w:left w:val="nil"/>
              <w:bottom w:val="single" w:sz="4" w:space="0" w:color="auto"/>
              <w:right w:val="single" w:sz="4" w:space="0" w:color="auto"/>
            </w:tcBorders>
            <w:shd w:val="clear" w:color="auto" w:fill="auto"/>
            <w:noWrap/>
            <w:vAlign w:val="center"/>
            <w:hideMark/>
          </w:tcPr>
          <w:p w14:paraId="051514FA" w14:textId="19C8BC4F"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417,821,219</w:t>
            </w:r>
          </w:p>
        </w:tc>
        <w:tc>
          <w:tcPr>
            <w:tcW w:w="919" w:type="dxa"/>
            <w:tcBorders>
              <w:top w:val="nil"/>
              <w:left w:val="nil"/>
              <w:bottom w:val="single" w:sz="4" w:space="0" w:color="auto"/>
              <w:right w:val="single" w:sz="4" w:space="0" w:color="auto"/>
            </w:tcBorders>
            <w:shd w:val="clear" w:color="auto" w:fill="auto"/>
            <w:noWrap/>
            <w:vAlign w:val="center"/>
            <w:hideMark/>
          </w:tcPr>
          <w:p w14:paraId="14D26802" w14:textId="5139BBF8"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435,189,019</w:t>
            </w:r>
          </w:p>
        </w:tc>
        <w:tc>
          <w:tcPr>
            <w:tcW w:w="1066" w:type="dxa"/>
            <w:tcBorders>
              <w:top w:val="nil"/>
              <w:left w:val="nil"/>
              <w:bottom w:val="single" w:sz="4" w:space="0" w:color="auto"/>
              <w:right w:val="single" w:sz="4" w:space="0" w:color="auto"/>
            </w:tcBorders>
            <w:shd w:val="clear" w:color="auto" w:fill="auto"/>
            <w:noWrap/>
            <w:vAlign w:val="center"/>
            <w:hideMark/>
          </w:tcPr>
          <w:p w14:paraId="66ECCD23" w14:textId="5594D0F3"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467,802,644</w:t>
            </w:r>
          </w:p>
        </w:tc>
        <w:tc>
          <w:tcPr>
            <w:tcW w:w="1036" w:type="dxa"/>
            <w:tcBorders>
              <w:top w:val="nil"/>
              <w:left w:val="nil"/>
              <w:bottom w:val="single" w:sz="4" w:space="0" w:color="auto"/>
              <w:right w:val="single" w:sz="4" w:space="0" w:color="auto"/>
            </w:tcBorders>
            <w:shd w:val="clear" w:color="auto" w:fill="auto"/>
            <w:noWrap/>
            <w:vAlign w:val="center"/>
            <w:hideMark/>
          </w:tcPr>
          <w:p w14:paraId="2586A00E" w14:textId="0C146D76" w:rsidR="00713416" w:rsidRPr="00713416" w:rsidRDefault="00713416" w:rsidP="00713416">
            <w:pPr>
              <w:jc w:val="center"/>
              <w:rPr>
                <w:rFonts w:eastAsia="Times New Roman" w:cs="Arial"/>
                <w:color w:val="000000"/>
                <w:sz w:val="14"/>
                <w:szCs w:val="16"/>
              </w:rPr>
            </w:pPr>
            <w:r w:rsidRPr="00713416">
              <w:rPr>
                <w:rFonts w:eastAsia="Times New Roman" w:cs="Arial"/>
                <w:color w:val="000000"/>
                <w:sz w:val="14"/>
                <w:szCs w:val="16"/>
              </w:rPr>
              <w:t>485,263,052</w:t>
            </w:r>
          </w:p>
        </w:tc>
        <w:tc>
          <w:tcPr>
            <w:tcW w:w="707" w:type="dxa"/>
            <w:gridSpan w:val="2"/>
            <w:tcBorders>
              <w:top w:val="nil"/>
              <w:left w:val="nil"/>
              <w:bottom w:val="single" w:sz="4" w:space="0" w:color="auto"/>
              <w:right w:val="single" w:sz="4" w:space="0" w:color="auto"/>
            </w:tcBorders>
            <w:shd w:val="clear" w:color="auto" w:fill="auto"/>
            <w:noWrap/>
            <w:vAlign w:val="center"/>
          </w:tcPr>
          <w:p w14:paraId="38B6FD45" w14:textId="4DF105E2" w:rsidR="00713416" w:rsidRPr="00DD002E" w:rsidRDefault="00DD002E" w:rsidP="00DD002E">
            <w:pPr>
              <w:jc w:val="center"/>
              <w:rPr>
                <w:rFonts w:eastAsia="Times New Roman" w:cs="Arial"/>
                <w:color w:val="000000"/>
                <w:sz w:val="14"/>
                <w:szCs w:val="16"/>
              </w:rPr>
            </w:pPr>
            <w:r w:rsidRPr="00DD002E">
              <w:rPr>
                <w:rFonts w:eastAsia="Times New Roman" w:cs="Arial"/>
                <w:color w:val="000000"/>
                <w:sz w:val="14"/>
                <w:szCs w:val="16"/>
              </w:rPr>
              <w:t>342,004,297</w:t>
            </w:r>
          </w:p>
        </w:tc>
        <w:tc>
          <w:tcPr>
            <w:tcW w:w="708" w:type="dxa"/>
            <w:tcBorders>
              <w:top w:val="nil"/>
              <w:left w:val="nil"/>
              <w:bottom w:val="single" w:sz="4" w:space="0" w:color="auto"/>
              <w:right w:val="single" w:sz="4" w:space="0" w:color="auto"/>
            </w:tcBorders>
            <w:shd w:val="clear" w:color="auto" w:fill="auto"/>
            <w:noWrap/>
            <w:vAlign w:val="center"/>
          </w:tcPr>
          <w:p w14:paraId="5F1F2525" w14:textId="153B8D40" w:rsidR="00713416" w:rsidRPr="00713416" w:rsidRDefault="00DC030F" w:rsidP="00DC030F">
            <w:pPr>
              <w:jc w:val="right"/>
              <w:rPr>
                <w:rFonts w:eastAsia="Times New Roman" w:cs="Arial"/>
                <w:color w:val="000000"/>
                <w:sz w:val="14"/>
                <w:szCs w:val="16"/>
              </w:rPr>
            </w:pPr>
            <w:r w:rsidRPr="00DC030F">
              <w:rPr>
                <w:rFonts w:eastAsia="Times New Roman" w:cs="Arial"/>
                <w:color w:val="000000"/>
                <w:sz w:val="14"/>
                <w:szCs w:val="16"/>
              </w:rPr>
              <w:t>503,695,027</w:t>
            </w:r>
          </w:p>
        </w:tc>
      </w:tr>
      <w:tr w:rsidR="009A6F45" w:rsidRPr="00713416" w14:paraId="1089E988" w14:textId="77777777" w:rsidTr="00AF1485">
        <w:trPr>
          <w:trHeight w:val="190"/>
          <w:jc w:val="center"/>
        </w:trPr>
        <w:tc>
          <w:tcPr>
            <w:tcW w:w="9230" w:type="dxa"/>
            <w:gridSpan w:val="10"/>
            <w:shd w:val="clear" w:color="auto" w:fill="auto"/>
            <w:noWrap/>
            <w:vAlign w:val="center"/>
            <w:hideMark/>
          </w:tcPr>
          <w:p w14:paraId="5E3E1014" w14:textId="1A8E3AD7" w:rsidR="009A6F45" w:rsidRPr="00713416" w:rsidRDefault="009A6F45" w:rsidP="00DD002E">
            <w:pPr>
              <w:rPr>
                <w:rFonts w:eastAsia="Times New Roman" w:cs="Arial"/>
                <w:sz w:val="14"/>
                <w:szCs w:val="16"/>
              </w:rPr>
            </w:pPr>
            <w:r w:rsidRPr="00713416">
              <w:rPr>
                <w:rFonts w:eastAsia="Times New Roman" w:cs="Arial"/>
                <w:b/>
                <w:bCs/>
                <w:color w:val="000000"/>
                <w:sz w:val="14"/>
                <w:szCs w:val="16"/>
              </w:rPr>
              <w:t>Fuente</w:t>
            </w:r>
            <w:r w:rsidRPr="00713416">
              <w:rPr>
                <w:rFonts w:eastAsia="Times New Roman" w:cs="Arial"/>
                <w:color w:val="000000"/>
                <w:sz w:val="14"/>
                <w:szCs w:val="16"/>
              </w:rPr>
              <w:t xml:space="preserve">: </w:t>
            </w:r>
            <w:r>
              <w:rPr>
                <w:rFonts w:eastAsia="Times New Roman" w:cs="Arial"/>
                <w:color w:val="000000"/>
                <w:sz w:val="14"/>
                <w:szCs w:val="16"/>
              </w:rPr>
              <w:t xml:space="preserve">    </w:t>
            </w:r>
            <w:r w:rsidRPr="00713416">
              <w:rPr>
                <w:rFonts w:eastAsia="Times New Roman" w:cs="Arial"/>
                <w:color w:val="000000"/>
                <w:sz w:val="14"/>
                <w:szCs w:val="16"/>
              </w:rPr>
              <w:t>Cuenta Pública 201</w:t>
            </w:r>
            <w:r w:rsidR="00DD002E">
              <w:rPr>
                <w:rFonts w:eastAsia="Times New Roman" w:cs="Arial"/>
                <w:color w:val="000000"/>
                <w:sz w:val="14"/>
                <w:szCs w:val="16"/>
              </w:rPr>
              <w:t>7-2022</w:t>
            </w:r>
          </w:p>
        </w:tc>
        <w:tc>
          <w:tcPr>
            <w:tcW w:w="698" w:type="dxa"/>
            <w:shd w:val="clear" w:color="auto" w:fill="auto"/>
            <w:noWrap/>
            <w:vAlign w:val="bottom"/>
            <w:hideMark/>
          </w:tcPr>
          <w:p w14:paraId="0DFBCA60" w14:textId="77777777" w:rsidR="009A6F45" w:rsidRPr="00713416" w:rsidRDefault="009A6F45" w:rsidP="00713416">
            <w:pPr>
              <w:rPr>
                <w:rFonts w:eastAsia="Times New Roman" w:cs="Arial"/>
                <w:sz w:val="14"/>
                <w:szCs w:val="16"/>
              </w:rPr>
            </w:pPr>
          </w:p>
        </w:tc>
        <w:tc>
          <w:tcPr>
            <w:tcW w:w="708" w:type="dxa"/>
            <w:shd w:val="clear" w:color="auto" w:fill="auto"/>
            <w:noWrap/>
            <w:vAlign w:val="bottom"/>
            <w:hideMark/>
          </w:tcPr>
          <w:p w14:paraId="0F8F8910" w14:textId="77777777" w:rsidR="009A6F45" w:rsidRPr="00713416" w:rsidRDefault="009A6F45" w:rsidP="00713416">
            <w:pPr>
              <w:rPr>
                <w:rFonts w:eastAsia="Times New Roman" w:cs="Arial"/>
                <w:sz w:val="14"/>
                <w:szCs w:val="16"/>
              </w:rPr>
            </w:pPr>
          </w:p>
        </w:tc>
      </w:tr>
      <w:tr w:rsidR="00713416" w:rsidRPr="00713416" w14:paraId="715EB7CA" w14:textId="77777777" w:rsidTr="00AF1485">
        <w:trPr>
          <w:trHeight w:val="90"/>
          <w:jc w:val="center"/>
        </w:trPr>
        <w:tc>
          <w:tcPr>
            <w:tcW w:w="568" w:type="dxa"/>
            <w:shd w:val="clear" w:color="auto" w:fill="auto"/>
            <w:noWrap/>
            <w:vAlign w:val="center"/>
            <w:hideMark/>
          </w:tcPr>
          <w:p w14:paraId="15D0BB29" w14:textId="77777777" w:rsidR="00713416" w:rsidRPr="00713416" w:rsidRDefault="00713416" w:rsidP="00713416">
            <w:pPr>
              <w:rPr>
                <w:rFonts w:eastAsia="Times New Roman" w:cs="Arial"/>
                <w:color w:val="000000"/>
                <w:sz w:val="14"/>
                <w:szCs w:val="16"/>
              </w:rPr>
            </w:pPr>
            <w:r w:rsidRPr="00713416">
              <w:rPr>
                <w:rFonts w:eastAsia="Times New Roman" w:cs="Arial"/>
                <w:b/>
                <w:color w:val="000000"/>
                <w:sz w:val="14"/>
                <w:szCs w:val="16"/>
              </w:rPr>
              <w:t>Notas</w:t>
            </w:r>
            <w:r w:rsidRPr="00713416">
              <w:rPr>
                <w:rFonts w:eastAsia="Times New Roman" w:cs="Arial"/>
                <w:color w:val="000000"/>
                <w:sz w:val="14"/>
                <w:szCs w:val="16"/>
              </w:rPr>
              <w:t>:</w:t>
            </w:r>
          </w:p>
        </w:tc>
        <w:tc>
          <w:tcPr>
            <w:tcW w:w="8653" w:type="dxa"/>
            <w:gridSpan w:val="8"/>
            <w:shd w:val="clear" w:color="auto" w:fill="auto"/>
            <w:noWrap/>
            <w:vAlign w:val="center"/>
            <w:hideMark/>
          </w:tcPr>
          <w:p w14:paraId="2FC2F6D7" w14:textId="07E5C0F2" w:rsidR="00713416" w:rsidRPr="00713416" w:rsidRDefault="00713416" w:rsidP="00713416">
            <w:pPr>
              <w:rPr>
                <w:rFonts w:eastAsia="Times New Roman" w:cs="Arial"/>
                <w:sz w:val="14"/>
                <w:szCs w:val="16"/>
              </w:rPr>
            </w:pPr>
            <w:r w:rsidRPr="00713416">
              <w:rPr>
                <w:rFonts w:eastAsia="Times New Roman" w:cs="Arial"/>
                <w:color w:val="000000"/>
                <w:sz w:val="14"/>
                <w:szCs w:val="16"/>
              </w:rPr>
              <w:t>a Decreto de Presupuesto de Egresos 2022</w:t>
            </w:r>
          </w:p>
        </w:tc>
        <w:tc>
          <w:tcPr>
            <w:tcW w:w="707" w:type="dxa"/>
            <w:gridSpan w:val="2"/>
            <w:shd w:val="clear" w:color="auto" w:fill="auto"/>
            <w:noWrap/>
            <w:vAlign w:val="bottom"/>
            <w:hideMark/>
          </w:tcPr>
          <w:p w14:paraId="6584757D" w14:textId="77777777" w:rsidR="00713416" w:rsidRPr="00713416" w:rsidRDefault="00713416" w:rsidP="00713416">
            <w:pPr>
              <w:rPr>
                <w:rFonts w:eastAsia="Times New Roman" w:cs="Arial"/>
                <w:sz w:val="14"/>
                <w:szCs w:val="16"/>
              </w:rPr>
            </w:pPr>
          </w:p>
        </w:tc>
        <w:tc>
          <w:tcPr>
            <w:tcW w:w="708" w:type="dxa"/>
            <w:shd w:val="clear" w:color="auto" w:fill="auto"/>
            <w:noWrap/>
            <w:vAlign w:val="bottom"/>
            <w:hideMark/>
          </w:tcPr>
          <w:p w14:paraId="259C1F05" w14:textId="77777777" w:rsidR="00713416" w:rsidRPr="00713416" w:rsidRDefault="00713416" w:rsidP="00713416">
            <w:pPr>
              <w:rPr>
                <w:rFonts w:eastAsia="Times New Roman" w:cs="Arial"/>
                <w:sz w:val="14"/>
                <w:szCs w:val="16"/>
              </w:rPr>
            </w:pPr>
          </w:p>
        </w:tc>
      </w:tr>
      <w:tr w:rsidR="00713416" w:rsidRPr="00713416" w14:paraId="7EA6A33C" w14:textId="77777777" w:rsidTr="00AF1485">
        <w:trPr>
          <w:trHeight w:val="137"/>
          <w:jc w:val="center"/>
        </w:trPr>
        <w:tc>
          <w:tcPr>
            <w:tcW w:w="568" w:type="dxa"/>
            <w:shd w:val="clear" w:color="auto" w:fill="auto"/>
            <w:noWrap/>
            <w:vAlign w:val="center"/>
            <w:hideMark/>
          </w:tcPr>
          <w:p w14:paraId="59BDAA55" w14:textId="77777777" w:rsidR="00713416" w:rsidRPr="00713416" w:rsidRDefault="00713416" w:rsidP="00713416">
            <w:pPr>
              <w:jc w:val="center"/>
              <w:rPr>
                <w:rFonts w:eastAsia="Times New Roman" w:cs="Arial"/>
                <w:sz w:val="14"/>
                <w:szCs w:val="16"/>
              </w:rPr>
            </w:pPr>
          </w:p>
        </w:tc>
        <w:tc>
          <w:tcPr>
            <w:tcW w:w="2766" w:type="dxa"/>
            <w:gridSpan w:val="2"/>
            <w:shd w:val="clear" w:color="auto" w:fill="auto"/>
            <w:noWrap/>
            <w:vAlign w:val="center"/>
            <w:hideMark/>
          </w:tcPr>
          <w:p w14:paraId="5C3C52B9" w14:textId="77777777" w:rsidR="00713416" w:rsidRPr="00713416" w:rsidRDefault="00713416" w:rsidP="00713416">
            <w:pPr>
              <w:rPr>
                <w:rFonts w:eastAsia="Times New Roman" w:cs="Arial"/>
                <w:color w:val="000000"/>
                <w:sz w:val="14"/>
                <w:szCs w:val="16"/>
              </w:rPr>
            </w:pPr>
            <w:r w:rsidRPr="00713416">
              <w:rPr>
                <w:rFonts w:eastAsia="Times New Roman" w:cs="Arial"/>
                <w:color w:val="000000"/>
                <w:sz w:val="14"/>
                <w:szCs w:val="16"/>
              </w:rPr>
              <w:t>b Ejercido al mes de Septiembre de 2022</w:t>
            </w:r>
          </w:p>
        </w:tc>
        <w:tc>
          <w:tcPr>
            <w:tcW w:w="919" w:type="dxa"/>
            <w:shd w:val="clear" w:color="auto" w:fill="auto"/>
            <w:noWrap/>
            <w:vAlign w:val="center"/>
            <w:hideMark/>
          </w:tcPr>
          <w:p w14:paraId="113E66DD" w14:textId="77777777" w:rsidR="00713416" w:rsidRPr="00713416" w:rsidRDefault="00713416" w:rsidP="00713416">
            <w:pPr>
              <w:jc w:val="center"/>
              <w:rPr>
                <w:rFonts w:eastAsia="Times New Roman" w:cs="Arial"/>
                <w:color w:val="000000"/>
                <w:sz w:val="14"/>
                <w:szCs w:val="16"/>
              </w:rPr>
            </w:pPr>
          </w:p>
        </w:tc>
        <w:tc>
          <w:tcPr>
            <w:tcW w:w="955" w:type="dxa"/>
            <w:shd w:val="clear" w:color="auto" w:fill="auto"/>
            <w:noWrap/>
            <w:vAlign w:val="center"/>
            <w:hideMark/>
          </w:tcPr>
          <w:p w14:paraId="21FCF617" w14:textId="77777777" w:rsidR="00713416" w:rsidRPr="00713416" w:rsidRDefault="00713416" w:rsidP="00713416">
            <w:pPr>
              <w:jc w:val="center"/>
              <w:rPr>
                <w:rFonts w:eastAsia="Times New Roman" w:cs="Arial"/>
                <w:sz w:val="14"/>
                <w:szCs w:val="16"/>
              </w:rPr>
            </w:pPr>
          </w:p>
        </w:tc>
        <w:tc>
          <w:tcPr>
            <w:tcW w:w="992" w:type="dxa"/>
            <w:shd w:val="clear" w:color="auto" w:fill="auto"/>
            <w:noWrap/>
            <w:vAlign w:val="center"/>
            <w:hideMark/>
          </w:tcPr>
          <w:p w14:paraId="0079A6FA" w14:textId="77777777" w:rsidR="00713416" w:rsidRPr="00713416" w:rsidRDefault="00713416" w:rsidP="00713416">
            <w:pPr>
              <w:jc w:val="center"/>
              <w:rPr>
                <w:rFonts w:eastAsia="Times New Roman" w:cs="Arial"/>
                <w:sz w:val="14"/>
                <w:szCs w:val="16"/>
              </w:rPr>
            </w:pPr>
          </w:p>
        </w:tc>
        <w:tc>
          <w:tcPr>
            <w:tcW w:w="919" w:type="dxa"/>
            <w:shd w:val="clear" w:color="auto" w:fill="auto"/>
            <w:noWrap/>
            <w:vAlign w:val="center"/>
            <w:hideMark/>
          </w:tcPr>
          <w:p w14:paraId="56077765" w14:textId="77777777" w:rsidR="00713416" w:rsidRPr="00713416" w:rsidRDefault="00713416" w:rsidP="00713416">
            <w:pPr>
              <w:jc w:val="center"/>
              <w:rPr>
                <w:rFonts w:eastAsia="Times New Roman" w:cs="Arial"/>
                <w:sz w:val="14"/>
                <w:szCs w:val="16"/>
              </w:rPr>
            </w:pPr>
          </w:p>
        </w:tc>
        <w:tc>
          <w:tcPr>
            <w:tcW w:w="1066" w:type="dxa"/>
            <w:shd w:val="clear" w:color="auto" w:fill="auto"/>
            <w:noWrap/>
            <w:vAlign w:val="center"/>
            <w:hideMark/>
          </w:tcPr>
          <w:p w14:paraId="777C4ED5" w14:textId="77777777" w:rsidR="00713416" w:rsidRPr="00713416" w:rsidRDefault="00713416" w:rsidP="00713416">
            <w:pPr>
              <w:jc w:val="center"/>
              <w:rPr>
                <w:rFonts w:eastAsia="Times New Roman" w:cs="Arial"/>
                <w:sz w:val="14"/>
                <w:szCs w:val="16"/>
              </w:rPr>
            </w:pPr>
          </w:p>
        </w:tc>
        <w:tc>
          <w:tcPr>
            <w:tcW w:w="1036" w:type="dxa"/>
            <w:shd w:val="clear" w:color="auto" w:fill="auto"/>
            <w:noWrap/>
            <w:vAlign w:val="center"/>
            <w:hideMark/>
          </w:tcPr>
          <w:p w14:paraId="76E93152" w14:textId="77777777" w:rsidR="00713416" w:rsidRPr="00713416" w:rsidRDefault="00713416" w:rsidP="00713416">
            <w:pPr>
              <w:jc w:val="center"/>
              <w:rPr>
                <w:rFonts w:eastAsia="Times New Roman" w:cs="Arial"/>
                <w:sz w:val="14"/>
                <w:szCs w:val="16"/>
              </w:rPr>
            </w:pPr>
          </w:p>
        </w:tc>
        <w:tc>
          <w:tcPr>
            <w:tcW w:w="707" w:type="dxa"/>
            <w:gridSpan w:val="2"/>
            <w:shd w:val="clear" w:color="auto" w:fill="auto"/>
            <w:noWrap/>
            <w:vAlign w:val="bottom"/>
            <w:hideMark/>
          </w:tcPr>
          <w:p w14:paraId="6B15FF03" w14:textId="77777777" w:rsidR="00713416" w:rsidRPr="00713416" w:rsidRDefault="00713416" w:rsidP="00713416">
            <w:pPr>
              <w:rPr>
                <w:rFonts w:eastAsia="Times New Roman" w:cs="Arial"/>
                <w:sz w:val="14"/>
                <w:szCs w:val="16"/>
              </w:rPr>
            </w:pPr>
          </w:p>
        </w:tc>
        <w:tc>
          <w:tcPr>
            <w:tcW w:w="708" w:type="dxa"/>
            <w:shd w:val="clear" w:color="auto" w:fill="auto"/>
            <w:noWrap/>
            <w:vAlign w:val="bottom"/>
            <w:hideMark/>
          </w:tcPr>
          <w:p w14:paraId="45E50968" w14:textId="77777777" w:rsidR="00713416" w:rsidRPr="00713416" w:rsidRDefault="00713416" w:rsidP="00713416">
            <w:pPr>
              <w:rPr>
                <w:rFonts w:eastAsia="Times New Roman" w:cs="Arial"/>
                <w:sz w:val="14"/>
                <w:szCs w:val="16"/>
              </w:rPr>
            </w:pPr>
          </w:p>
        </w:tc>
      </w:tr>
      <w:tr w:rsidR="00713416" w:rsidRPr="00713416" w14:paraId="6AC4944A" w14:textId="77777777" w:rsidTr="00AF1485">
        <w:trPr>
          <w:trHeight w:val="57"/>
          <w:jc w:val="center"/>
        </w:trPr>
        <w:tc>
          <w:tcPr>
            <w:tcW w:w="568" w:type="dxa"/>
            <w:shd w:val="clear" w:color="auto" w:fill="auto"/>
            <w:noWrap/>
            <w:vAlign w:val="center"/>
          </w:tcPr>
          <w:p w14:paraId="2742E675" w14:textId="77777777" w:rsidR="00713416" w:rsidRPr="00713416" w:rsidRDefault="00713416" w:rsidP="00713416">
            <w:pPr>
              <w:jc w:val="center"/>
              <w:rPr>
                <w:rFonts w:eastAsia="Times New Roman" w:cs="Arial"/>
                <w:sz w:val="14"/>
                <w:szCs w:val="16"/>
              </w:rPr>
            </w:pPr>
          </w:p>
        </w:tc>
        <w:tc>
          <w:tcPr>
            <w:tcW w:w="2766" w:type="dxa"/>
            <w:gridSpan w:val="2"/>
            <w:shd w:val="clear" w:color="auto" w:fill="auto"/>
            <w:noWrap/>
            <w:vAlign w:val="center"/>
          </w:tcPr>
          <w:p w14:paraId="4C8FDB5D" w14:textId="10EEF876" w:rsidR="00713416" w:rsidRPr="00713416" w:rsidRDefault="00713416" w:rsidP="00713416">
            <w:pPr>
              <w:rPr>
                <w:rFonts w:eastAsia="Times New Roman" w:cs="Arial"/>
                <w:color w:val="000000"/>
                <w:sz w:val="14"/>
                <w:szCs w:val="16"/>
              </w:rPr>
            </w:pPr>
            <w:r>
              <w:rPr>
                <w:rFonts w:eastAsia="Times New Roman" w:cs="Arial"/>
                <w:color w:val="000000"/>
                <w:sz w:val="14"/>
                <w:szCs w:val="16"/>
              </w:rPr>
              <w:t>c Estimado 2023</w:t>
            </w:r>
          </w:p>
        </w:tc>
        <w:tc>
          <w:tcPr>
            <w:tcW w:w="919" w:type="dxa"/>
            <w:shd w:val="clear" w:color="auto" w:fill="auto"/>
            <w:noWrap/>
            <w:vAlign w:val="center"/>
          </w:tcPr>
          <w:p w14:paraId="45DF55DA" w14:textId="77777777" w:rsidR="00713416" w:rsidRPr="00713416" w:rsidRDefault="00713416" w:rsidP="00713416">
            <w:pPr>
              <w:jc w:val="center"/>
              <w:rPr>
                <w:rFonts w:eastAsia="Times New Roman" w:cs="Arial"/>
                <w:color w:val="000000"/>
                <w:sz w:val="14"/>
                <w:szCs w:val="16"/>
              </w:rPr>
            </w:pPr>
          </w:p>
        </w:tc>
        <w:tc>
          <w:tcPr>
            <w:tcW w:w="955" w:type="dxa"/>
            <w:shd w:val="clear" w:color="auto" w:fill="auto"/>
            <w:noWrap/>
            <w:vAlign w:val="center"/>
          </w:tcPr>
          <w:p w14:paraId="23ED6895" w14:textId="77777777" w:rsidR="00713416" w:rsidRPr="00713416" w:rsidRDefault="00713416" w:rsidP="00713416">
            <w:pPr>
              <w:jc w:val="center"/>
              <w:rPr>
                <w:rFonts w:eastAsia="Times New Roman" w:cs="Arial"/>
                <w:sz w:val="14"/>
                <w:szCs w:val="16"/>
              </w:rPr>
            </w:pPr>
          </w:p>
        </w:tc>
        <w:tc>
          <w:tcPr>
            <w:tcW w:w="992" w:type="dxa"/>
            <w:shd w:val="clear" w:color="auto" w:fill="auto"/>
            <w:noWrap/>
            <w:vAlign w:val="center"/>
          </w:tcPr>
          <w:p w14:paraId="65D1F48B" w14:textId="77777777" w:rsidR="00713416" w:rsidRPr="00713416" w:rsidRDefault="00713416" w:rsidP="00713416">
            <w:pPr>
              <w:jc w:val="center"/>
              <w:rPr>
                <w:rFonts w:eastAsia="Times New Roman" w:cs="Arial"/>
                <w:sz w:val="14"/>
                <w:szCs w:val="16"/>
              </w:rPr>
            </w:pPr>
          </w:p>
        </w:tc>
        <w:tc>
          <w:tcPr>
            <w:tcW w:w="919" w:type="dxa"/>
            <w:shd w:val="clear" w:color="auto" w:fill="auto"/>
            <w:noWrap/>
            <w:vAlign w:val="center"/>
          </w:tcPr>
          <w:p w14:paraId="429F5F39" w14:textId="77777777" w:rsidR="00713416" w:rsidRPr="00713416" w:rsidRDefault="00713416" w:rsidP="00713416">
            <w:pPr>
              <w:jc w:val="center"/>
              <w:rPr>
                <w:rFonts w:eastAsia="Times New Roman" w:cs="Arial"/>
                <w:sz w:val="14"/>
                <w:szCs w:val="16"/>
              </w:rPr>
            </w:pPr>
          </w:p>
        </w:tc>
        <w:tc>
          <w:tcPr>
            <w:tcW w:w="1066" w:type="dxa"/>
            <w:shd w:val="clear" w:color="auto" w:fill="auto"/>
            <w:noWrap/>
            <w:vAlign w:val="center"/>
          </w:tcPr>
          <w:p w14:paraId="7714E8AB" w14:textId="77777777" w:rsidR="00713416" w:rsidRPr="00713416" w:rsidRDefault="00713416" w:rsidP="00713416">
            <w:pPr>
              <w:jc w:val="center"/>
              <w:rPr>
                <w:rFonts w:eastAsia="Times New Roman" w:cs="Arial"/>
                <w:sz w:val="14"/>
                <w:szCs w:val="16"/>
              </w:rPr>
            </w:pPr>
          </w:p>
        </w:tc>
        <w:tc>
          <w:tcPr>
            <w:tcW w:w="1036" w:type="dxa"/>
            <w:shd w:val="clear" w:color="auto" w:fill="auto"/>
            <w:noWrap/>
            <w:vAlign w:val="center"/>
          </w:tcPr>
          <w:p w14:paraId="782ED597" w14:textId="77777777" w:rsidR="00713416" w:rsidRPr="00713416" w:rsidRDefault="00713416" w:rsidP="00713416">
            <w:pPr>
              <w:jc w:val="center"/>
              <w:rPr>
                <w:rFonts w:eastAsia="Times New Roman" w:cs="Arial"/>
                <w:sz w:val="14"/>
                <w:szCs w:val="16"/>
              </w:rPr>
            </w:pPr>
          </w:p>
        </w:tc>
        <w:tc>
          <w:tcPr>
            <w:tcW w:w="707" w:type="dxa"/>
            <w:gridSpan w:val="2"/>
            <w:shd w:val="clear" w:color="auto" w:fill="auto"/>
            <w:noWrap/>
            <w:vAlign w:val="bottom"/>
          </w:tcPr>
          <w:p w14:paraId="37C4EA3B" w14:textId="77777777" w:rsidR="00713416" w:rsidRPr="00713416" w:rsidRDefault="00713416" w:rsidP="00713416">
            <w:pPr>
              <w:rPr>
                <w:rFonts w:eastAsia="Times New Roman" w:cs="Arial"/>
                <w:sz w:val="14"/>
                <w:szCs w:val="16"/>
              </w:rPr>
            </w:pPr>
          </w:p>
        </w:tc>
        <w:tc>
          <w:tcPr>
            <w:tcW w:w="708" w:type="dxa"/>
            <w:shd w:val="clear" w:color="auto" w:fill="auto"/>
            <w:noWrap/>
            <w:vAlign w:val="bottom"/>
          </w:tcPr>
          <w:p w14:paraId="185AB453" w14:textId="77777777" w:rsidR="00713416" w:rsidRPr="00713416" w:rsidRDefault="00713416" w:rsidP="00713416">
            <w:pPr>
              <w:rPr>
                <w:rFonts w:eastAsia="Times New Roman" w:cs="Arial"/>
                <w:sz w:val="14"/>
                <w:szCs w:val="16"/>
              </w:rPr>
            </w:pPr>
          </w:p>
        </w:tc>
      </w:tr>
    </w:tbl>
    <w:p w14:paraId="57D363A9" w14:textId="61C799A8" w:rsidR="00F40C0F" w:rsidRPr="0036037B" w:rsidRDefault="00F40C0F" w:rsidP="0036037B">
      <w:pPr>
        <w:spacing w:after="120"/>
        <w:rPr>
          <w:rFonts w:cs="Arial"/>
          <w:sz w:val="24"/>
          <w:szCs w:val="24"/>
        </w:rPr>
      </w:pPr>
    </w:p>
    <w:p w14:paraId="415EBDAA" w14:textId="7F956296" w:rsidR="0036037B" w:rsidRPr="00B6123B" w:rsidRDefault="0036037B" w:rsidP="0036037B">
      <w:pPr>
        <w:spacing w:after="120"/>
        <w:rPr>
          <w:rFonts w:cs="Arial"/>
          <w:szCs w:val="24"/>
        </w:rPr>
      </w:pPr>
      <w:r w:rsidRPr="00B6123B">
        <w:rPr>
          <w:rFonts w:cs="Arial"/>
          <w:szCs w:val="24"/>
        </w:rPr>
        <w:t xml:space="preserve">El costo de las Pensiones y Jubilaciones de Magisterio y Burocracia, incrementan en términos porcentuales </w:t>
      </w:r>
      <w:r w:rsidRPr="00DC030F">
        <w:rPr>
          <w:rFonts w:cs="Arial"/>
          <w:szCs w:val="24"/>
        </w:rPr>
        <w:t xml:space="preserve">en </w:t>
      </w:r>
      <w:r w:rsidR="00DC030F" w:rsidRPr="00DC030F">
        <w:rPr>
          <w:rFonts w:cs="Arial"/>
          <w:szCs w:val="24"/>
        </w:rPr>
        <w:t>6.0</w:t>
      </w:r>
      <w:r w:rsidRPr="00DC030F">
        <w:rPr>
          <w:rFonts w:cs="Arial"/>
          <w:szCs w:val="24"/>
        </w:rPr>
        <w:t xml:space="preserve"> por</w:t>
      </w:r>
      <w:r w:rsidRPr="00B6123B">
        <w:rPr>
          <w:rFonts w:cs="Arial"/>
          <w:szCs w:val="24"/>
        </w:rPr>
        <w:t xml:space="preserve"> ciento, respecto a lo </w:t>
      </w:r>
      <w:r w:rsidRPr="00DC030F">
        <w:rPr>
          <w:rFonts w:cs="Arial"/>
          <w:szCs w:val="24"/>
        </w:rPr>
        <w:t xml:space="preserve">aprobado para el ejercicio fiscal 2022, lo que en términos absolutos implica un crecimiento nominal de </w:t>
      </w:r>
      <w:r w:rsidR="00DC030F" w:rsidRPr="00DC030F">
        <w:rPr>
          <w:rFonts w:cs="Arial"/>
          <w:szCs w:val="24"/>
        </w:rPr>
        <w:t>65.7 millones</w:t>
      </w:r>
      <w:r w:rsidR="00DC030F">
        <w:rPr>
          <w:rFonts w:cs="Arial"/>
          <w:szCs w:val="24"/>
        </w:rPr>
        <w:t xml:space="preserve"> de </w:t>
      </w:r>
      <w:r w:rsidRPr="00B6123B">
        <w:rPr>
          <w:rFonts w:cs="Arial"/>
          <w:szCs w:val="24"/>
        </w:rPr>
        <w:t>pesos.</w:t>
      </w:r>
    </w:p>
    <w:p w14:paraId="5EA7F55E" w14:textId="77777777" w:rsidR="0036037B" w:rsidRPr="0036037B" w:rsidRDefault="0036037B" w:rsidP="0036037B">
      <w:pPr>
        <w:spacing w:after="120"/>
        <w:rPr>
          <w:rFonts w:cs="Arial"/>
          <w:sz w:val="24"/>
          <w:szCs w:val="24"/>
        </w:rPr>
      </w:pPr>
    </w:p>
    <w:p w14:paraId="63A32B0D" w14:textId="6D47729C" w:rsidR="00F40C0F" w:rsidRPr="00A55906" w:rsidRDefault="00D604A9" w:rsidP="00A65C89">
      <w:pPr>
        <w:pStyle w:val="Ttulo2"/>
      </w:pPr>
      <w:r>
        <w:t>2.</w:t>
      </w:r>
      <w:r w:rsidR="00F40C0F" w:rsidRPr="00A55906">
        <w:t>VII. Adeudos de Ejercicios Fiscales Anteriores</w:t>
      </w:r>
    </w:p>
    <w:p w14:paraId="05B777B4" w14:textId="7D0C9D10" w:rsidR="00F40C0F" w:rsidRDefault="00F40C0F" w:rsidP="00A3747F">
      <w:pPr>
        <w:rPr>
          <w:rFonts w:cs="Arial"/>
          <w:b/>
          <w:bCs/>
        </w:rPr>
      </w:pPr>
    </w:p>
    <w:tbl>
      <w:tblPr>
        <w:tblW w:w="5000" w:type="pct"/>
        <w:tblCellMar>
          <w:left w:w="70" w:type="dxa"/>
          <w:right w:w="70" w:type="dxa"/>
        </w:tblCellMar>
        <w:tblLook w:val="04A0" w:firstRow="1" w:lastRow="0" w:firstColumn="1" w:lastColumn="0" w:noHBand="0" w:noVBand="1"/>
      </w:tblPr>
      <w:tblGrid>
        <w:gridCol w:w="721"/>
        <w:gridCol w:w="6165"/>
        <w:gridCol w:w="1391"/>
        <w:gridCol w:w="551"/>
      </w:tblGrid>
      <w:tr w:rsidR="001429F3" w:rsidRPr="001429F3" w14:paraId="41FC48EC" w14:textId="77777777" w:rsidTr="001429F3">
        <w:trPr>
          <w:trHeight w:val="240"/>
        </w:trPr>
        <w:tc>
          <w:tcPr>
            <w:tcW w:w="5000" w:type="pct"/>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62571638" w14:textId="77777777" w:rsidR="001429F3" w:rsidRPr="001429F3" w:rsidRDefault="001429F3" w:rsidP="001429F3">
            <w:pPr>
              <w:jc w:val="center"/>
              <w:rPr>
                <w:rFonts w:eastAsia="Times New Roman" w:cs="Arial"/>
                <w:b/>
                <w:bCs/>
                <w:sz w:val="18"/>
                <w:szCs w:val="18"/>
              </w:rPr>
            </w:pPr>
            <w:r w:rsidRPr="001429F3">
              <w:rPr>
                <w:rFonts w:eastAsia="Times New Roman" w:cs="Arial"/>
                <w:b/>
                <w:bCs/>
                <w:sz w:val="20"/>
                <w:szCs w:val="18"/>
              </w:rPr>
              <w:t>Estimación de las ADEFAS presupuestadas para el Ejercicio Fiscal 2023</w:t>
            </w:r>
          </w:p>
        </w:tc>
      </w:tr>
      <w:tr w:rsidR="001429F3" w:rsidRPr="001429F3" w14:paraId="1AEC9E9D" w14:textId="77777777" w:rsidTr="001429F3">
        <w:trPr>
          <w:trHeight w:val="315"/>
        </w:trPr>
        <w:tc>
          <w:tcPr>
            <w:tcW w:w="408"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068652C4" w14:textId="77777777" w:rsidR="001429F3" w:rsidRPr="001429F3" w:rsidRDefault="001429F3" w:rsidP="001429F3">
            <w:pPr>
              <w:jc w:val="center"/>
              <w:rPr>
                <w:rFonts w:eastAsia="Times New Roman" w:cs="Arial"/>
                <w:b/>
                <w:bCs/>
                <w:sz w:val="18"/>
                <w:szCs w:val="18"/>
              </w:rPr>
            </w:pPr>
            <w:r w:rsidRPr="001429F3">
              <w:rPr>
                <w:rFonts w:eastAsia="Times New Roman" w:cs="Arial"/>
                <w:b/>
                <w:bCs/>
                <w:sz w:val="18"/>
                <w:szCs w:val="18"/>
              </w:rPr>
              <w:t>Claves</w:t>
            </w:r>
          </w:p>
        </w:tc>
        <w:tc>
          <w:tcPr>
            <w:tcW w:w="3492" w:type="pct"/>
            <w:vMerge w:val="restart"/>
            <w:tcBorders>
              <w:top w:val="nil"/>
              <w:left w:val="single" w:sz="4" w:space="0" w:color="auto"/>
              <w:bottom w:val="single" w:sz="4" w:space="0" w:color="auto"/>
              <w:right w:val="single" w:sz="4" w:space="0" w:color="auto"/>
            </w:tcBorders>
            <w:shd w:val="clear" w:color="000000" w:fill="D9D9D9"/>
            <w:noWrap/>
            <w:vAlign w:val="center"/>
            <w:hideMark/>
          </w:tcPr>
          <w:p w14:paraId="6A21D230" w14:textId="77777777" w:rsidR="001429F3" w:rsidRPr="001429F3" w:rsidRDefault="001429F3" w:rsidP="001429F3">
            <w:pPr>
              <w:jc w:val="center"/>
              <w:rPr>
                <w:rFonts w:eastAsia="Times New Roman" w:cs="Arial"/>
                <w:b/>
                <w:bCs/>
                <w:sz w:val="18"/>
                <w:szCs w:val="18"/>
              </w:rPr>
            </w:pPr>
            <w:r w:rsidRPr="001429F3">
              <w:rPr>
                <w:rFonts w:eastAsia="Times New Roman" w:cs="Arial"/>
                <w:b/>
                <w:bCs/>
                <w:sz w:val="18"/>
                <w:szCs w:val="18"/>
              </w:rPr>
              <w:t>Denominación</w:t>
            </w:r>
          </w:p>
        </w:tc>
        <w:tc>
          <w:tcPr>
            <w:tcW w:w="788"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E8962FD" w14:textId="77777777" w:rsidR="001429F3" w:rsidRPr="001429F3" w:rsidRDefault="001429F3" w:rsidP="001429F3">
            <w:pPr>
              <w:jc w:val="center"/>
              <w:rPr>
                <w:rFonts w:eastAsia="Times New Roman" w:cs="Arial"/>
                <w:b/>
                <w:bCs/>
                <w:sz w:val="18"/>
                <w:szCs w:val="18"/>
              </w:rPr>
            </w:pPr>
            <w:r w:rsidRPr="001429F3">
              <w:rPr>
                <w:rFonts w:eastAsia="Times New Roman" w:cs="Arial"/>
                <w:b/>
                <w:bCs/>
                <w:sz w:val="18"/>
                <w:szCs w:val="18"/>
              </w:rPr>
              <w:t>Pesos</w:t>
            </w:r>
          </w:p>
        </w:tc>
        <w:tc>
          <w:tcPr>
            <w:tcW w:w="312" w:type="pct"/>
            <w:vMerge w:val="restart"/>
            <w:tcBorders>
              <w:top w:val="nil"/>
              <w:left w:val="single" w:sz="4" w:space="0" w:color="auto"/>
              <w:bottom w:val="single" w:sz="4" w:space="0" w:color="000000"/>
              <w:right w:val="single" w:sz="4" w:space="0" w:color="auto"/>
            </w:tcBorders>
            <w:shd w:val="clear" w:color="000000" w:fill="D9D9D9"/>
            <w:noWrap/>
            <w:vAlign w:val="center"/>
            <w:hideMark/>
          </w:tcPr>
          <w:p w14:paraId="67A75ECC" w14:textId="77777777" w:rsidR="001429F3" w:rsidRPr="001429F3" w:rsidRDefault="001429F3" w:rsidP="001429F3">
            <w:pPr>
              <w:jc w:val="center"/>
              <w:rPr>
                <w:rFonts w:eastAsia="Times New Roman" w:cs="Arial"/>
                <w:b/>
                <w:bCs/>
                <w:sz w:val="18"/>
                <w:szCs w:val="18"/>
              </w:rPr>
            </w:pPr>
            <w:r w:rsidRPr="001429F3">
              <w:rPr>
                <w:rFonts w:eastAsia="Times New Roman" w:cs="Arial"/>
                <w:b/>
                <w:bCs/>
                <w:sz w:val="18"/>
                <w:szCs w:val="18"/>
              </w:rPr>
              <w:t>%</w:t>
            </w:r>
          </w:p>
        </w:tc>
      </w:tr>
      <w:tr w:rsidR="001429F3" w:rsidRPr="001429F3" w14:paraId="3AAC2A75" w14:textId="77777777" w:rsidTr="001429F3">
        <w:trPr>
          <w:trHeight w:val="433"/>
        </w:trPr>
        <w:tc>
          <w:tcPr>
            <w:tcW w:w="408" w:type="pct"/>
            <w:vMerge/>
            <w:tcBorders>
              <w:top w:val="nil"/>
              <w:left w:val="single" w:sz="4" w:space="0" w:color="auto"/>
              <w:bottom w:val="single" w:sz="4" w:space="0" w:color="auto"/>
              <w:right w:val="single" w:sz="4" w:space="0" w:color="auto"/>
            </w:tcBorders>
            <w:vAlign w:val="center"/>
            <w:hideMark/>
          </w:tcPr>
          <w:p w14:paraId="028DB319" w14:textId="77777777" w:rsidR="001429F3" w:rsidRPr="001429F3" w:rsidRDefault="001429F3" w:rsidP="001429F3">
            <w:pPr>
              <w:jc w:val="left"/>
              <w:rPr>
                <w:rFonts w:eastAsia="Times New Roman" w:cs="Arial"/>
                <w:b/>
                <w:bCs/>
                <w:sz w:val="18"/>
                <w:szCs w:val="18"/>
              </w:rPr>
            </w:pPr>
          </w:p>
        </w:tc>
        <w:tc>
          <w:tcPr>
            <w:tcW w:w="3492" w:type="pct"/>
            <w:vMerge/>
            <w:tcBorders>
              <w:top w:val="nil"/>
              <w:left w:val="single" w:sz="4" w:space="0" w:color="auto"/>
              <w:bottom w:val="single" w:sz="4" w:space="0" w:color="auto"/>
              <w:right w:val="single" w:sz="4" w:space="0" w:color="auto"/>
            </w:tcBorders>
            <w:vAlign w:val="center"/>
            <w:hideMark/>
          </w:tcPr>
          <w:p w14:paraId="111C7331" w14:textId="77777777" w:rsidR="001429F3" w:rsidRPr="001429F3" w:rsidRDefault="001429F3" w:rsidP="001429F3">
            <w:pPr>
              <w:jc w:val="left"/>
              <w:rPr>
                <w:rFonts w:eastAsia="Times New Roman" w:cs="Arial"/>
                <w:b/>
                <w:bCs/>
                <w:sz w:val="18"/>
                <w:szCs w:val="18"/>
              </w:rPr>
            </w:pPr>
          </w:p>
        </w:tc>
        <w:tc>
          <w:tcPr>
            <w:tcW w:w="788" w:type="pct"/>
            <w:vMerge/>
            <w:tcBorders>
              <w:top w:val="nil"/>
              <w:left w:val="single" w:sz="4" w:space="0" w:color="auto"/>
              <w:bottom w:val="single" w:sz="4" w:space="0" w:color="000000"/>
              <w:right w:val="single" w:sz="4" w:space="0" w:color="auto"/>
            </w:tcBorders>
            <w:vAlign w:val="center"/>
            <w:hideMark/>
          </w:tcPr>
          <w:p w14:paraId="0B7BDF9F" w14:textId="77777777" w:rsidR="001429F3" w:rsidRPr="001429F3" w:rsidRDefault="001429F3" w:rsidP="001429F3">
            <w:pPr>
              <w:jc w:val="left"/>
              <w:rPr>
                <w:rFonts w:eastAsia="Times New Roman" w:cs="Arial"/>
                <w:b/>
                <w:bCs/>
                <w:sz w:val="18"/>
                <w:szCs w:val="18"/>
              </w:rPr>
            </w:pPr>
          </w:p>
        </w:tc>
        <w:tc>
          <w:tcPr>
            <w:tcW w:w="312" w:type="pct"/>
            <w:vMerge/>
            <w:tcBorders>
              <w:top w:val="nil"/>
              <w:left w:val="single" w:sz="4" w:space="0" w:color="auto"/>
              <w:bottom w:val="single" w:sz="4" w:space="0" w:color="000000"/>
              <w:right w:val="single" w:sz="4" w:space="0" w:color="auto"/>
            </w:tcBorders>
            <w:vAlign w:val="center"/>
            <w:hideMark/>
          </w:tcPr>
          <w:p w14:paraId="2A3E7F73" w14:textId="77777777" w:rsidR="001429F3" w:rsidRPr="001429F3" w:rsidRDefault="001429F3" w:rsidP="001429F3">
            <w:pPr>
              <w:jc w:val="left"/>
              <w:rPr>
                <w:rFonts w:eastAsia="Times New Roman" w:cs="Arial"/>
                <w:b/>
                <w:bCs/>
                <w:sz w:val="18"/>
                <w:szCs w:val="18"/>
              </w:rPr>
            </w:pPr>
          </w:p>
        </w:tc>
      </w:tr>
      <w:tr w:rsidR="001429F3" w:rsidRPr="001429F3" w14:paraId="1FB71907" w14:textId="77777777" w:rsidTr="001429F3">
        <w:trPr>
          <w:trHeight w:val="43"/>
        </w:trPr>
        <w:tc>
          <w:tcPr>
            <w:tcW w:w="3900" w:type="pct"/>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9E58F82" w14:textId="77777777" w:rsidR="001429F3" w:rsidRPr="001429F3" w:rsidRDefault="001429F3" w:rsidP="001429F3">
            <w:pPr>
              <w:jc w:val="center"/>
              <w:rPr>
                <w:rFonts w:eastAsia="Times New Roman" w:cs="Arial"/>
                <w:b/>
                <w:bCs/>
                <w:color w:val="000000"/>
                <w:sz w:val="18"/>
                <w:szCs w:val="18"/>
              </w:rPr>
            </w:pPr>
            <w:r w:rsidRPr="001429F3">
              <w:rPr>
                <w:rFonts w:eastAsia="Times New Roman" w:cs="Arial"/>
                <w:b/>
                <w:bCs/>
                <w:color w:val="000000"/>
                <w:sz w:val="18"/>
                <w:szCs w:val="18"/>
              </w:rPr>
              <w:t>Total de Ingresos Estimados 2023</w:t>
            </w:r>
          </w:p>
        </w:tc>
        <w:tc>
          <w:tcPr>
            <w:tcW w:w="788" w:type="pct"/>
            <w:tcBorders>
              <w:top w:val="nil"/>
              <w:left w:val="nil"/>
              <w:bottom w:val="single" w:sz="4" w:space="0" w:color="auto"/>
              <w:right w:val="single" w:sz="4" w:space="0" w:color="auto"/>
            </w:tcBorders>
            <w:shd w:val="clear" w:color="auto" w:fill="auto"/>
            <w:noWrap/>
            <w:vAlign w:val="bottom"/>
            <w:hideMark/>
          </w:tcPr>
          <w:p w14:paraId="76BF7997" w14:textId="77777777" w:rsidR="001429F3" w:rsidRPr="001429F3" w:rsidRDefault="001429F3" w:rsidP="001429F3">
            <w:pPr>
              <w:jc w:val="right"/>
              <w:rPr>
                <w:rFonts w:eastAsia="Times New Roman" w:cs="Arial"/>
                <w:b/>
                <w:bCs/>
                <w:color w:val="000000"/>
                <w:sz w:val="16"/>
                <w:szCs w:val="18"/>
              </w:rPr>
            </w:pPr>
            <w:r w:rsidRPr="001429F3">
              <w:rPr>
                <w:rFonts w:eastAsia="Times New Roman" w:cs="Arial"/>
                <w:b/>
                <w:bCs/>
                <w:color w:val="000000"/>
                <w:sz w:val="16"/>
                <w:szCs w:val="18"/>
              </w:rPr>
              <w:t>20,555,300,000</w:t>
            </w:r>
          </w:p>
        </w:tc>
        <w:tc>
          <w:tcPr>
            <w:tcW w:w="312" w:type="pct"/>
            <w:tcBorders>
              <w:top w:val="nil"/>
              <w:left w:val="nil"/>
              <w:bottom w:val="single" w:sz="4" w:space="0" w:color="auto"/>
              <w:right w:val="single" w:sz="4" w:space="0" w:color="auto"/>
            </w:tcBorders>
            <w:shd w:val="clear" w:color="000000" w:fill="FFFFFF"/>
            <w:noWrap/>
            <w:vAlign w:val="center"/>
            <w:hideMark/>
          </w:tcPr>
          <w:p w14:paraId="2AA8905D" w14:textId="77777777" w:rsidR="001429F3" w:rsidRPr="001429F3" w:rsidRDefault="001429F3" w:rsidP="001429F3">
            <w:pPr>
              <w:jc w:val="center"/>
              <w:rPr>
                <w:rFonts w:eastAsia="Times New Roman" w:cs="Arial"/>
                <w:b/>
                <w:bCs/>
                <w:sz w:val="18"/>
                <w:szCs w:val="18"/>
              </w:rPr>
            </w:pPr>
            <w:r w:rsidRPr="001429F3">
              <w:rPr>
                <w:rFonts w:eastAsia="Times New Roman" w:cs="Arial"/>
                <w:b/>
                <w:bCs/>
                <w:sz w:val="18"/>
                <w:szCs w:val="18"/>
              </w:rPr>
              <w:t>100</w:t>
            </w:r>
          </w:p>
        </w:tc>
      </w:tr>
      <w:tr w:rsidR="001429F3" w:rsidRPr="001429F3" w14:paraId="783E16E0" w14:textId="77777777" w:rsidTr="001429F3">
        <w:trPr>
          <w:trHeight w:val="180"/>
        </w:trPr>
        <w:tc>
          <w:tcPr>
            <w:tcW w:w="408" w:type="pct"/>
            <w:tcBorders>
              <w:top w:val="nil"/>
              <w:left w:val="single" w:sz="4" w:space="0" w:color="auto"/>
              <w:bottom w:val="single" w:sz="4" w:space="0" w:color="auto"/>
              <w:right w:val="single" w:sz="4" w:space="0" w:color="auto"/>
            </w:tcBorders>
            <w:shd w:val="clear" w:color="000000" w:fill="D9D9D9"/>
            <w:noWrap/>
            <w:vAlign w:val="center"/>
            <w:hideMark/>
          </w:tcPr>
          <w:p w14:paraId="4E47E1D5" w14:textId="77777777" w:rsidR="001429F3" w:rsidRPr="001429F3" w:rsidRDefault="001429F3" w:rsidP="001429F3">
            <w:pPr>
              <w:jc w:val="center"/>
              <w:rPr>
                <w:rFonts w:eastAsia="Times New Roman" w:cs="Arial"/>
                <w:b/>
                <w:bCs/>
                <w:color w:val="000000"/>
                <w:sz w:val="18"/>
                <w:szCs w:val="18"/>
              </w:rPr>
            </w:pPr>
            <w:r w:rsidRPr="001429F3">
              <w:rPr>
                <w:rFonts w:eastAsia="Times New Roman" w:cs="Arial"/>
                <w:b/>
                <w:bCs/>
                <w:color w:val="000000"/>
                <w:sz w:val="18"/>
                <w:szCs w:val="18"/>
              </w:rPr>
              <w:t>99000</w:t>
            </w:r>
          </w:p>
        </w:tc>
        <w:tc>
          <w:tcPr>
            <w:tcW w:w="3492" w:type="pct"/>
            <w:tcBorders>
              <w:top w:val="nil"/>
              <w:left w:val="nil"/>
              <w:bottom w:val="single" w:sz="4" w:space="0" w:color="auto"/>
              <w:right w:val="single" w:sz="4" w:space="0" w:color="auto"/>
            </w:tcBorders>
            <w:shd w:val="clear" w:color="000000" w:fill="D9D9D9"/>
            <w:vAlign w:val="center"/>
            <w:hideMark/>
          </w:tcPr>
          <w:p w14:paraId="36AF7C60" w14:textId="77777777" w:rsidR="001429F3" w:rsidRPr="001429F3" w:rsidRDefault="001429F3" w:rsidP="001429F3">
            <w:pPr>
              <w:jc w:val="left"/>
              <w:rPr>
                <w:rFonts w:eastAsia="Times New Roman" w:cs="Arial"/>
                <w:b/>
                <w:bCs/>
                <w:color w:val="000000"/>
                <w:sz w:val="18"/>
                <w:szCs w:val="18"/>
              </w:rPr>
            </w:pPr>
            <w:r w:rsidRPr="001429F3">
              <w:rPr>
                <w:rFonts w:eastAsia="Times New Roman" w:cs="Arial"/>
                <w:b/>
                <w:bCs/>
                <w:color w:val="000000"/>
                <w:sz w:val="18"/>
                <w:szCs w:val="18"/>
              </w:rPr>
              <w:t>Adeudos Ejercicios Fiscales Anteriores (ADEFAS)</w:t>
            </w:r>
          </w:p>
        </w:tc>
        <w:tc>
          <w:tcPr>
            <w:tcW w:w="788" w:type="pct"/>
            <w:tcBorders>
              <w:top w:val="nil"/>
              <w:left w:val="nil"/>
              <w:bottom w:val="single" w:sz="4" w:space="0" w:color="auto"/>
              <w:right w:val="single" w:sz="4" w:space="0" w:color="auto"/>
            </w:tcBorders>
            <w:shd w:val="clear" w:color="000000" w:fill="D9D9D9"/>
            <w:noWrap/>
            <w:vAlign w:val="center"/>
            <w:hideMark/>
          </w:tcPr>
          <w:p w14:paraId="05433A1B" w14:textId="77777777" w:rsidR="001429F3" w:rsidRPr="001429F3" w:rsidRDefault="001429F3" w:rsidP="001429F3">
            <w:pPr>
              <w:jc w:val="right"/>
              <w:rPr>
                <w:rFonts w:eastAsia="Times New Roman" w:cs="Arial"/>
                <w:b/>
                <w:bCs/>
                <w:color w:val="000000"/>
                <w:sz w:val="16"/>
                <w:szCs w:val="18"/>
              </w:rPr>
            </w:pPr>
            <w:r w:rsidRPr="001429F3">
              <w:rPr>
                <w:rFonts w:eastAsia="Times New Roman" w:cs="Arial"/>
                <w:b/>
                <w:bCs/>
                <w:color w:val="000000"/>
                <w:sz w:val="16"/>
                <w:szCs w:val="18"/>
              </w:rPr>
              <w:t>157,361,143</w:t>
            </w:r>
          </w:p>
        </w:tc>
        <w:tc>
          <w:tcPr>
            <w:tcW w:w="312" w:type="pct"/>
            <w:tcBorders>
              <w:top w:val="nil"/>
              <w:left w:val="nil"/>
              <w:bottom w:val="single" w:sz="4" w:space="0" w:color="auto"/>
              <w:right w:val="single" w:sz="4" w:space="0" w:color="auto"/>
            </w:tcBorders>
            <w:shd w:val="clear" w:color="000000" w:fill="D9D9D9"/>
            <w:noWrap/>
            <w:vAlign w:val="center"/>
            <w:hideMark/>
          </w:tcPr>
          <w:p w14:paraId="7F18DF5E" w14:textId="77777777" w:rsidR="001429F3" w:rsidRPr="001429F3" w:rsidRDefault="001429F3" w:rsidP="001429F3">
            <w:pPr>
              <w:jc w:val="center"/>
              <w:rPr>
                <w:rFonts w:eastAsia="Times New Roman" w:cs="Arial"/>
                <w:b/>
                <w:bCs/>
                <w:sz w:val="18"/>
                <w:szCs w:val="18"/>
              </w:rPr>
            </w:pPr>
            <w:r w:rsidRPr="001429F3">
              <w:rPr>
                <w:rFonts w:eastAsia="Times New Roman" w:cs="Arial"/>
                <w:b/>
                <w:bCs/>
                <w:sz w:val="18"/>
                <w:szCs w:val="18"/>
              </w:rPr>
              <w:t>0.8%</w:t>
            </w:r>
          </w:p>
        </w:tc>
      </w:tr>
      <w:tr w:rsidR="001429F3" w:rsidRPr="001429F3" w14:paraId="1BBC208B" w14:textId="77777777" w:rsidTr="001429F3">
        <w:trPr>
          <w:trHeight w:val="91"/>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10087CA" w14:textId="77777777" w:rsidR="001429F3" w:rsidRPr="001429F3" w:rsidRDefault="001429F3" w:rsidP="001429F3">
            <w:pPr>
              <w:jc w:val="center"/>
              <w:rPr>
                <w:rFonts w:eastAsia="Times New Roman" w:cs="Arial"/>
                <w:b/>
                <w:bCs/>
                <w:color w:val="000000"/>
                <w:sz w:val="16"/>
                <w:szCs w:val="18"/>
              </w:rPr>
            </w:pPr>
            <w:r w:rsidRPr="001429F3">
              <w:rPr>
                <w:rFonts w:eastAsia="Times New Roman" w:cs="Arial"/>
                <w:b/>
                <w:bCs/>
                <w:color w:val="000000"/>
                <w:sz w:val="16"/>
                <w:szCs w:val="18"/>
              </w:rPr>
              <w:t>99100</w:t>
            </w:r>
          </w:p>
        </w:tc>
        <w:tc>
          <w:tcPr>
            <w:tcW w:w="3492" w:type="pct"/>
            <w:tcBorders>
              <w:top w:val="nil"/>
              <w:left w:val="nil"/>
              <w:bottom w:val="single" w:sz="4" w:space="0" w:color="auto"/>
              <w:right w:val="single" w:sz="4" w:space="0" w:color="auto"/>
            </w:tcBorders>
            <w:shd w:val="clear" w:color="auto" w:fill="auto"/>
            <w:noWrap/>
            <w:vAlign w:val="center"/>
            <w:hideMark/>
          </w:tcPr>
          <w:p w14:paraId="0C65FFF7" w14:textId="77777777" w:rsidR="001429F3" w:rsidRPr="001429F3" w:rsidRDefault="001429F3" w:rsidP="001429F3">
            <w:pPr>
              <w:jc w:val="left"/>
              <w:rPr>
                <w:rFonts w:eastAsia="Times New Roman" w:cs="Arial"/>
                <w:b/>
                <w:bCs/>
                <w:color w:val="000000"/>
                <w:sz w:val="16"/>
                <w:szCs w:val="18"/>
              </w:rPr>
            </w:pPr>
            <w:r w:rsidRPr="001429F3">
              <w:rPr>
                <w:rFonts w:eastAsia="Times New Roman" w:cs="Arial"/>
                <w:b/>
                <w:bCs/>
                <w:color w:val="000000"/>
                <w:sz w:val="16"/>
                <w:szCs w:val="18"/>
              </w:rPr>
              <w:t>ADEFAS</w:t>
            </w:r>
          </w:p>
        </w:tc>
        <w:tc>
          <w:tcPr>
            <w:tcW w:w="788" w:type="pct"/>
            <w:tcBorders>
              <w:top w:val="nil"/>
              <w:left w:val="nil"/>
              <w:bottom w:val="single" w:sz="4" w:space="0" w:color="auto"/>
              <w:right w:val="single" w:sz="4" w:space="0" w:color="auto"/>
            </w:tcBorders>
            <w:shd w:val="clear" w:color="auto" w:fill="auto"/>
            <w:noWrap/>
            <w:vAlign w:val="center"/>
            <w:hideMark/>
          </w:tcPr>
          <w:p w14:paraId="40196752" w14:textId="77777777" w:rsidR="001429F3" w:rsidRPr="001429F3" w:rsidRDefault="001429F3" w:rsidP="001429F3">
            <w:pPr>
              <w:jc w:val="right"/>
              <w:rPr>
                <w:rFonts w:eastAsia="Times New Roman" w:cs="Arial"/>
                <w:b/>
                <w:bCs/>
                <w:color w:val="000000"/>
                <w:sz w:val="16"/>
                <w:szCs w:val="18"/>
              </w:rPr>
            </w:pPr>
            <w:r w:rsidRPr="001429F3">
              <w:rPr>
                <w:rFonts w:eastAsia="Times New Roman" w:cs="Arial"/>
                <w:b/>
                <w:bCs/>
                <w:color w:val="000000"/>
                <w:sz w:val="16"/>
                <w:szCs w:val="18"/>
              </w:rPr>
              <w:t>157,361,143</w:t>
            </w:r>
          </w:p>
        </w:tc>
        <w:tc>
          <w:tcPr>
            <w:tcW w:w="312" w:type="pct"/>
            <w:tcBorders>
              <w:top w:val="nil"/>
              <w:left w:val="nil"/>
              <w:bottom w:val="single" w:sz="4" w:space="0" w:color="auto"/>
              <w:right w:val="single" w:sz="4" w:space="0" w:color="auto"/>
            </w:tcBorders>
            <w:shd w:val="clear" w:color="auto" w:fill="auto"/>
            <w:noWrap/>
            <w:vAlign w:val="bottom"/>
            <w:hideMark/>
          </w:tcPr>
          <w:p w14:paraId="299D89CC" w14:textId="3B53D3C5" w:rsidR="001429F3" w:rsidRPr="001429F3" w:rsidRDefault="001429F3" w:rsidP="001429F3">
            <w:pPr>
              <w:jc w:val="center"/>
              <w:rPr>
                <w:rFonts w:eastAsia="Times New Roman" w:cs="Arial"/>
                <w:color w:val="000000"/>
                <w:sz w:val="18"/>
                <w:szCs w:val="18"/>
              </w:rPr>
            </w:pPr>
          </w:p>
        </w:tc>
      </w:tr>
      <w:tr w:rsidR="001429F3" w:rsidRPr="001429F3" w14:paraId="47395D54" w14:textId="77777777" w:rsidTr="001429F3">
        <w:trPr>
          <w:trHeight w:val="43"/>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1B392846" w14:textId="77777777" w:rsidR="001429F3" w:rsidRPr="001429F3" w:rsidRDefault="001429F3" w:rsidP="001429F3">
            <w:pPr>
              <w:jc w:val="center"/>
              <w:rPr>
                <w:rFonts w:eastAsia="Times New Roman" w:cs="Arial"/>
                <w:color w:val="000000"/>
                <w:sz w:val="16"/>
                <w:szCs w:val="18"/>
              </w:rPr>
            </w:pPr>
            <w:r w:rsidRPr="001429F3">
              <w:rPr>
                <w:rFonts w:eastAsia="Times New Roman" w:cs="Arial"/>
                <w:color w:val="000000"/>
                <w:sz w:val="16"/>
                <w:szCs w:val="18"/>
              </w:rPr>
              <w:t>99101</w:t>
            </w:r>
          </w:p>
        </w:tc>
        <w:tc>
          <w:tcPr>
            <w:tcW w:w="3492" w:type="pct"/>
            <w:tcBorders>
              <w:top w:val="nil"/>
              <w:left w:val="nil"/>
              <w:bottom w:val="single" w:sz="4" w:space="0" w:color="auto"/>
              <w:right w:val="single" w:sz="4" w:space="0" w:color="auto"/>
            </w:tcBorders>
            <w:shd w:val="clear" w:color="auto" w:fill="auto"/>
            <w:vAlign w:val="center"/>
            <w:hideMark/>
          </w:tcPr>
          <w:p w14:paraId="7ACACC9C" w14:textId="77777777" w:rsidR="001429F3" w:rsidRPr="001429F3" w:rsidRDefault="001429F3" w:rsidP="001429F3">
            <w:pPr>
              <w:jc w:val="left"/>
              <w:rPr>
                <w:rFonts w:eastAsia="Times New Roman" w:cs="Arial"/>
                <w:color w:val="000000"/>
                <w:sz w:val="16"/>
                <w:szCs w:val="18"/>
              </w:rPr>
            </w:pPr>
            <w:r w:rsidRPr="001429F3">
              <w:rPr>
                <w:rFonts w:eastAsia="Times New Roman" w:cs="Arial"/>
                <w:color w:val="000000"/>
                <w:sz w:val="16"/>
                <w:szCs w:val="18"/>
              </w:rPr>
              <w:t>Adeudos de Ejercicios Anteriores por Concepto de Servicios Personales Magisterio</w:t>
            </w:r>
          </w:p>
        </w:tc>
        <w:tc>
          <w:tcPr>
            <w:tcW w:w="788" w:type="pct"/>
            <w:tcBorders>
              <w:top w:val="nil"/>
              <w:left w:val="nil"/>
              <w:bottom w:val="single" w:sz="4" w:space="0" w:color="auto"/>
              <w:right w:val="single" w:sz="4" w:space="0" w:color="auto"/>
            </w:tcBorders>
            <w:shd w:val="clear" w:color="auto" w:fill="auto"/>
            <w:noWrap/>
            <w:vAlign w:val="center"/>
            <w:hideMark/>
          </w:tcPr>
          <w:p w14:paraId="51186BF1" w14:textId="77777777" w:rsidR="001429F3" w:rsidRPr="001429F3" w:rsidRDefault="001429F3" w:rsidP="001429F3">
            <w:pPr>
              <w:jc w:val="right"/>
              <w:rPr>
                <w:rFonts w:eastAsia="Times New Roman" w:cs="Arial"/>
                <w:color w:val="000000"/>
                <w:sz w:val="16"/>
                <w:szCs w:val="18"/>
              </w:rPr>
            </w:pPr>
            <w:r w:rsidRPr="001429F3">
              <w:rPr>
                <w:rFonts w:eastAsia="Times New Roman" w:cs="Arial"/>
                <w:color w:val="000000"/>
                <w:sz w:val="16"/>
                <w:szCs w:val="18"/>
              </w:rPr>
              <w:t>1,000,000</w:t>
            </w:r>
          </w:p>
        </w:tc>
        <w:tc>
          <w:tcPr>
            <w:tcW w:w="312" w:type="pct"/>
            <w:tcBorders>
              <w:top w:val="nil"/>
              <w:left w:val="nil"/>
              <w:bottom w:val="single" w:sz="4" w:space="0" w:color="auto"/>
              <w:right w:val="single" w:sz="4" w:space="0" w:color="auto"/>
            </w:tcBorders>
            <w:shd w:val="clear" w:color="auto" w:fill="auto"/>
            <w:noWrap/>
            <w:vAlign w:val="bottom"/>
            <w:hideMark/>
          </w:tcPr>
          <w:p w14:paraId="30F1CC5A" w14:textId="17B60BF7" w:rsidR="001429F3" w:rsidRPr="001429F3" w:rsidRDefault="001429F3" w:rsidP="001429F3">
            <w:pPr>
              <w:rPr>
                <w:rFonts w:eastAsia="Times New Roman" w:cs="Arial"/>
                <w:color w:val="000000"/>
                <w:sz w:val="18"/>
                <w:szCs w:val="18"/>
              </w:rPr>
            </w:pPr>
          </w:p>
        </w:tc>
      </w:tr>
      <w:tr w:rsidR="001429F3" w:rsidRPr="001429F3" w14:paraId="73467718" w14:textId="77777777" w:rsidTr="001429F3">
        <w:trPr>
          <w:trHeight w:val="43"/>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EBE4809" w14:textId="77777777" w:rsidR="001429F3" w:rsidRPr="001429F3" w:rsidRDefault="001429F3" w:rsidP="001429F3">
            <w:pPr>
              <w:jc w:val="center"/>
              <w:rPr>
                <w:rFonts w:eastAsia="Times New Roman" w:cs="Arial"/>
                <w:color w:val="000000"/>
                <w:sz w:val="16"/>
                <w:szCs w:val="18"/>
              </w:rPr>
            </w:pPr>
            <w:r w:rsidRPr="001429F3">
              <w:rPr>
                <w:rFonts w:eastAsia="Times New Roman" w:cs="Arial"/>
                <w:color w:val="000000"/>
                <w:sz w:val="16"/>
                <w:szCs w:val="18"/>
              </w:rPr>
              <w:t>99102</w:t>
            </w:r>
          </w:p>
        </w:tc>
        <w:tc>
          <w:tcPr>
            <w:tcW w:w="3492" w:type="pct"/>
            <w:tcBorders>
              <w:top w:val="nil"/>
              <w:left w:val="nil"/>
              <w:bottom w:val="single" w:sz="4" w:space="0" w:color="auto"/>
              <w:right w:val="single" w:sz="4" w:space="0" w:color="auto"/>
            </w:tcBorders>
            <w:shd w:val="clear" w:color="auto" w:fill="auto"/>
            <w:vAlign w:val="center"/>
            <w:hideMark/>
          </w:tcPr>
          <w:p w14:paraId="64DE9061" w14:textId="77777777" w:rsidR="001429F3" w:rsidRPr="001429F3" w:rsidRDefault="001429F3" w:rsidP="001429F3">
            <w:pPr>
              <w:jc w:val="left"/>
              <w:rPr>
                <w:rFonts w:eastAsia="Times New Roman" w:cs="Arial"/>
                <w:color w:val="000000"/>
                <w:sz w:val="16"/>
                <w:szCs w:val="18"/>
              </w:rPr>
            </w:pPr>
            <w:r w:rsidRPr="001429F3">
              <w:rPr>
                <w:rFonts w:eastAsia="Times New Roman" w:cs="Arial"/>
                <w:color w:val="000000"/>
                <w:sz w:val="16"/>
                <w:szCs w:val="18"/>
              </w:rPr>
              <w:t>Adeudos de Ejercicios Anteriores por Concepto de Servicios Personales Burocracia</w:t>
            </w:r>
          </w:p>
        </w:tc>
        <w:tc>
          <w:tcPr>
            <w:tcW w:w="788" w:type="pct"/>
            <w:tcBorders>
              <w:top w:val="nil"/>
              <w:left w:val="nil"/>
              <w:bottom w:val="single" w:sz="4" w:space="0" w:color="auto"/>
              <w:right w:val="single" w:sz="4" w:space="0" w:color="auto"/>
            </w:tcBorders>
            <w:shd w:val="clear" w:color="auto" w:fill="auto"/>
            <w:noWrap/>
            <w:vAlign w:val="center"/>
            <w:hideMark/>
          </w:tcPr>
          <w:p w14:paraId="4955D70B" w14:textId="77777777" w:rsidR="001429F3" w:rsidRPr="001429F3" w:rsidRDefault="001429F3" w:rsidP="001429F3">
            <w:pPr>
              <w:jc w:val="right"/>
              <w:rPr>
                <w:rFonts w:eastAsia="Times New Roman" w:cs="Arial"/>
                <w:color w:val="000000"/>
                <w:sz w:val="16"/>
                <w:szCs w:val="18"/>
              </w:rPr>
            </w:pPr>
            <w:r w:rsidRPr="001429F3">
              <w:rPr>
                <w:rFonts w:eastAsia="Times New Roman" w:cs="Arial"/>
                <w:color w:val="000000"/>
                <w:sz w:val="16"/>
                <w:szCs w:val="18"/>
              </w:rPr>
              <w:t>1,000,000</w:t>
            </w:r>
          </w:p>
        </w:tc>
        <w:tc>
          <w:tcPr>
            <w:tcW w:w="312" w:type="pct"/>
            <w:tcBorders>
              <w:top w:val="nil"/>
              <w:left w:val="nil"/>
              <w:bottom w:val="single" w:sz="4" w:space="0" w:color="auto"/>
              <w:right w:val="single" w:sz="4" w:space="0" w:color="auto"/>
            </w:tcBorders>
            <w:shd w:val="clear" w:color="auto" w:fill="auto"/>
            <w:noWrap/>
            <w:vAlign w:val="bottom"/>
            <w:hideMark/>
          </w:tcPr>
          <w:p w14:paraId="7D2799DC" w14:textId="6CCD64D7" w:rsidR="001429F3" w:rsidRPr="001429F3" w:rsidRDefault="001429F3" w:rsidP="001429F3">
            <w:pPr>
              <w:jc w:val="center"/>
              <w:rPr>
                <w:rFonts w:eastAsia="Times New Roman" w:cs="Arial"/>
                <w:color w:val="000000"/>
                <w:sz w:val="18"/>
                <w:szCs w:val="18"/>
              </w:rPr>
            </w:pPr>
          </w:p>
        </w:tc>
      </w:tr>
      <w:tr w:rsidR="001429F3" w:rsidRPr="001429F3" w14:paraId="43D2D699" w14:textId="77777777" w:rsidTr="001429F3">
        <w:trPr>
          <w:trHeight w:val="142"/>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7153BC64" w14:textId="77777777" w:rsidR="001429F3" w:rsidRPr="001429F3" w:rsidRDefault="001429F3" w:rsidP="001429F3">
            <w:pPr>
              <w:jc w:val="center"/>
              <w:rPr>
                <w:rFonts w:eastAsia="Times New Roman" w:cs="Arial"/>
                <w:color w:val="000000"/>
                <w:sz w:val="16"/>
                <w:szCs w:val="18"/>
              </w:rPr>
            </w:pPr>
            <w:r w:rsidRPr="001429F3">
              <w:rPr>
                <w:rFonts w:eastAsia="Times New Roman" w:cs="Arial"/>
                <w:color w:val="000000"/>
                <w:sz w:val="16"/>
                <w:szCs w:val="18"/>
              </w:rPr>
              <w:t>99103</w:t>
            </w:r>
          </w:p>
        </w:tc>
        <w:tc>
          <w:tcPr>
            <w:tcW w:w="3492" w:type="pct"/>
            <w:tcBorders>
              <w:top w:val="nil"/>
              <w:left w:val="nil"/>
              <w:bottom w:val="single" w:sz="4" w:space="0" w:color="auto"/>
              <w:right w:val="single" w:sz="4" w:space="0" w:color="auto"/>
            </w:tcBorders>
            <w:shd w:val="clear" w:color="auto" w:fill="auto"/>
            <w:vAlign w:val="center"/>
            <w:hideMark/>
          </w:tcPr>
          <w:p w14:paraId="346F3F17" w14:textId="77777777" w:rsidR="001429F3" w:rsidRPr="001429F3" w:rsidRDefault="001429F3" w:rsidP="001429F3">
            <w:pPr>
              <w:jc w:val="left"/>
              <w:rPr>
                <w:rFonts w:eastAsia="Times New Roman" w:cs="Arial"/>
                <w:color w:val="000000"/>
                <w:sz w:val="16"/>
                <w:szCs w:val="18"/>
              </w:rPr>
            </w:pPr>
            <w:r w:rsidRPr="001429F3">
              <w:rPr>
                <w:rFonts w:eastAsia="Times New Roman" w:cs="Arial"/>
                <w:color w:val="000000"/>
                <w:sz w:val="16"/>
                <w:szCs w:val="18"/>
              </w:rPr>
              <w:t xml:space="preserve">Adeudo de Ejercicios  Anteriores por  Conceptos Distintos de Servicios Personales </w:t>
            </w:r>
          </w:p>
        </w:tc>
        <w:tc>
          <w:tcPr>
            <w:tcW w:w="788" w:type="pct"/>
            <w:tcBorders>
              <w:top w:val="nil"/>
              <w:left w:val="nil"/>
              <w:bottom w:val="single" w:sz="4" w:space="0" w:color="auto"/>
              <w:right w:val="single" w:sz="4" w:space="0" w:color="auto"/>
            </w:tcBorders>
            <w:shd w:val="clear" w:color="auto" w:fill="auto"/>
            <w:noWrap/>
            <w:vAlign w:val="center"/>
            <w:hideMark/>
          </w:tcPr>
          <w:p w14:paraId="2AD42B73" w14:textId="77777777" w:rsidR="001429F3" w:rsidRPr="001429F3" w:rsidRDefault="001429F3" w:rsidP="001429F3">
            <w:pPr>
              <w:jc w:val="right"/>
              <w:rPr>
                <w:rFonts w:eastAsia="Times New Roman" w:cs="Arial"/>
                <w:color w:val="000000"/>
                <w:sz w:val="16"/>
                <w:szCs w:val="18"/>
              </w:rPr>
            </w:pPr>
            <w:r w:rsidRPr="001429F3">
              <w:rPr>
                <w:rFonts w:eastAsia="Times New Roman" w:cs="Arial"/>
                <w:color w:val="000000"/>
                <w:sz w:val="16"/>
                <w:szCs w:val="18"/>
              </w:rPr>
              <w:t>154,861,143</w:t>
            </w:r>
          </w:p>
        </w:tc>
        <w:tc>
          <w:tcPr>
            <w:tcW w:w="312" w:type="pct"/>
            <w:tcBorders>
              <w:top w:val="nil"/>
              <w:left w:val="nil"/>
              <w:bottom w:val="single" w:sz="4" w:space="0" w:color="auto"/>
              <w:right w:val="single" w:sz="4" w:space="0" w:color="auto"/>
            </w:tcBorders>
            <w:shd w:val="clear" w:color="auto" w:fill="auto"/>
            <w:noWrap/>
            <w:vAlign w:val="bottom"/>
            <w:hideMark/>
          </w:tcPr>
          <w:p w14:paraId="2893A94E" w14:textId="3074C868" w:rsidR="001429F3" w:rsidRPr="001429F3" w:rsidRDefault="001429F3" w:rsidP="001429F3">
            <w:pPr>
              <w:rPr>
                <w:rFonts w:eastAsia="Times New Roman" w:cs="Arial"/>
                <w:color w:val="000000"/>
                <w:sz w:val="18"/>
                <w:szCs w:val="18"/>
              </w:rPr>
            </w:pPr>
          </w:p>
        </w:tc>
      </w:tr>
      <w:tr w:rsidR="001429F3" w:rsidRPr="001429F3" w14:paraId="49D8B46D" w14:textId="77777777" w:rsidTr="001429F3">
        <w:trPr>
          <w:trHeight w:val="74"/>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14:paraId="0A7F8D71" w14:textId="77777777" w:rsidR="001429F3" w:rsidRPr="001429F3" w:rsidRDefault="001429F3" w:rsidP="001429F3">
            <w:pPr>
              <w:jc w:val="center"/>
              <w:rPr>
                <w:rFonts w:eastAsia="Times New Roman" w:cs="Arial"/>
                <w:color w:val="000000"/>
                <w:sz w:val="16"/>
                <w:szCs w:val="18"/>
              </w:rPr>
            </w:pPr>
            <w:r w:rsidRPr="001429F3">
              <w:rPr>
                <w:rFonts w:eastAsia="Times New Roman" w:cs="Arial"/>
                <w:color w:val="000000"/>
                <w:sz w:val="16"/>
                <w:szCs w:val="18"/>
              </w:rPr>
              <w:t>99104</w:t>
            </w:r>
          </w:p>
        </w:tc>
        <w:tc>
          <w:tcPr>
            <w:tcW w:w="3492" w:type="pct"/>
            <w:tcBorders>
              <w:top w:val="nil"/>
              <w:left w:val="nil"/>
              <w:bottom w:val="single" w:sz="4" w:space="0" w:color="auto"/>
              <w:right w:val="single" w:sz="4" w:space="0" w:color="auto"/>
            </w:tcBorders>
            <w:shd w:val="clear" w:color="auto" w:fill="auto"/>
            <w:vAlign w:val="center"/>
            <w:hideMark/>
          </w:tcPr>
          <w:p w14:paraId="5A61E411" w14:textId="77777777" w:rsidR="001429F3" w:rsidRPr="001429F3" w:rsidRDefault="001429F3" w:rsidP="001429F3">
            <w:pPr>
              <w:jc w:val="left"/>
              <w:rPr>
                <w:rFonts w:eastAsia="Times New Roman" w:cs="Arial"/>
                <w:color w:val="000000"/>
                <w:sz w:val="16"/>
                <w:szCs w:val="18"/>
              </w:rPr>
            </w:pPr>
            <w:r w:rsidRPr="001429F3">
              <w:rPr>
                <w:rFonts w:eastAsia="Times New Roman" w:cs="Arial"/>
                <w:color w:val="000000"/>
                <w:sz w:val="16"/>
                <w:szCs w:val="18"/>
              </w:rPr>
              <w:t>Devolución de Ingresos Percibidos Indebidamente en  Ejercicios Fiscales Anteriores</w:t>
            </w:r>
          </w:p>
        </w:tc>
        <w:tc>
          <w:tcPr>
            <w:tcW w:w="788" w:type="pct"/>
            <w:tcBorders>
              <w:top w:val="nil"/>
              <w:left w:val="nil"/>
              <w:bottom w:val="single" w:sz="4" w:space="0" w:color="auto"/>
              <w:right w:val="single" w:sz="4" w:space="0" w:color="auto"/>
            </w:tcBorders>
            <w:shd w:val="clear" w:color="auto" w:fill="auto"/>
            <w:noWrap/>
            <w:vAlign w:val="center"/>
            <w:hideMark/>
          </w:tcPr>
          <w:p w14:paraId="78774CF8" w14:textId="77777777" w:rsidR="001429F3" w:rsidRPr="001429F3" w:rsidRDefault="001429F3" w:rsidP="001429F3">
            <w:pPr>
              <w:jc w:val="right"/>
              <w:rPr>
                <w:rFonts w:eastAsia="Times New Roman" w:cs="Arial"/>
                <w:color w:val="000000"/>
                <w:sz w:val="16"/>
                <w:szCs w:val="18"/>
              </w:rPr>
            </w:pPr>
            <w:r w:rsidRPr="001429F3">
              <w:rPr>
                <w:rFonts w:eastAsia="Times New Roman" w:cs="Arial"/>
                <w:color w:val="000000"/>
                <w:sz w:val="16"/>
                <w:szCs w:val="18"/>
              </w:rPr>
              <w:t>500,000</w:t>
            </w:r>
          </w:p>
        </w:tc>
        <w:tc>
          <w:tcPr>
            <w:tcW w:w="312" w:type="pct"/>
            <w:tcBorders>
              <w:top w:val="nil"/>
              <w:left w:val="nil"/>
              <w:bottom w:val="single" w:sz="4" w:space="0" w:color="auto"/>
              <w:right w:val="single" w:sz="4" w:space="0" w:color="auto"/>
            </w:tcBorders>
            <w:shd w:val="clear" w:color="auto" w:fill="auto"/>
            <w:noWrap/>
            <w:vAlign w:val="bottom"/>
            <w:hideMark/>
          </w:tcPr>
          <w:p w14:paraId="13D0BC69" w14:textId="616CE180" w:rsidR="001429F3" w:rsidRPr="001429F3" w:rsidRDefault="001429F3" w:rsidP="001429F3">
            <w:pPr>
              <w:rPr>
                <w:rFonts w:eastAsia="Times New Roman" w:cs="Arial"/>
                <w:color w:val="000000"/>
                <w:sz w:val="18"/>
                <w:szCs w:val="18"/>
              </w:rPr>
            </w:pPr>
          </w:p>
        </w:tc>
      </w:tr>
    </w:tbl>
    <w:p w14:paraId="67F2577C" w14:textId="77777777" w:rsidR="00AD120C" w:rsidRPr="00A55906" w:rsidRDefault="00AD120C" w:rsidP="00A3747F">
      <w:pPr>
        <w:rPr>
          <w:rFonts w:cs="Arial"/>
          <w:b/>
          <w:bCs/>
        </w:rPr>
      </w:pPr>
    </w:p>
    <w:p w14:paraId="115A4D12" w14:textId="77777777" w:rsidR="00F40C0F" w:rsidRPr="00A55906" w:rsidRDefault="00F40C0F" w:rsidP="00A3747F">
      <w:pPr>
        <w:rPr>
          <w:rFonts w:cs="Arial"/>
          <w:b/>
          <w:bCs/>
        </w:rPr>
      </w:pPr>
    </w:p>
    <w:p w14:paraId="71ED21F5" w14:textId="77777777" w:rsidR="002B04A0" w:rsidRDefault="002B04A0">
      <w:pPr>
        <w:spacing w:after="160" w:line="259" w:lineRule="auto"/>
        <w:rPr>
          <w:rFonts w:cs="Arial"/>
          <w:b/>
          <w:bCs/>
        </w:rPr>
      </w:pPr>
      <w:r>
        <w:rPr>
          <w:rFonts w:cs="Arial"/>
          <w:b/>
          <w:bCs/>
        </w:rPr>
        <w:br w:type="page"/>
      </w:r>
    </w:p>
    <w:p w14:paraId="504B5F8A" w14:textId="62C719A1" w:rsidR="00F40C0F" w:rsidRPr="00A55906" w:rsidRDefault="00D604A9" w:rsidP="00A65C89">
      <w:pPr>
        <w:pStyle w:val="Ttulo2"/>
      </w:pPr>
      <w:r>
        <w:lastRenderedPageBreak/>
        <w:t>2.</w:t>
      </w:r>
      <w:r w:rsidR="00F40C0F" w:rsidRPr="00A55906">
        <w:t>VIII. Sistema de Alertas</w:t>
      </w:r>
    </w:p>
    <w:p w14:paraId="76103F5E" w14:textId="77777777" w:rsidR="00A77C2D" w:rsidRDefault="00A77C2D" w:rsidP="00A3747F">
      <w:pPr>
        <w:rPr>
          <w:rFonts w:cs="Arial"/>
          <w:bCs/>
        </w:rPr>
      </w:pPr>
    </w:p>
    <w:p w14:paraId="55A39875" w14:textId="664B70F7" w:rsidR="00A77C2D" w:rsidRDefault="00A77C2D" w:rsidP="00A3747F">
      <w:pPr>
        <w:rPr>
          <w:rFonts w:cs="Arial"/>
          <w:bCs/>
        </w:rPr>
      </w:pPr>
      <w:r>
        <w:rPr>
          <w:rFonts w:cs="Arial"/>
          <w:bCs/>
        </w:rPr>
        <w:t xml:space="preserve">Según la Secretaría de Hacienda y Crédito, </w:t>
      </w:r>
      <w:r w:rsidRPr="00A77C2D">
        <w:rPr>
          <w:rFonts w:cs="Arial"/>
          <w:bCs/>
        </w:rPr>
        <w:t xml:space="preserve">El Sistema de Alertas mide el nivel de endeudamiento de los Entes Públicos que tengan contratados Financiamientos y Obligaciones, y éstos se encuentren inscritos en el Registro Público Único, cuya fuente o garantía de pago sea de Ingresos de Libre Disposición. La Ley de Disciplina Financiera de las Entidades Federativas y los Municipios establece tres indicadores de corto y largo plazo para realizar la medición del Sistema de Alertas: </w:t>
      </w:r>
    </w:p>
    <w:p w14:paraId="773993A3" w14:textId="77777777" w:rsidR="00A77C2D" w:rsidRDefault="00A77C2D" w:rsidP="00A3747F">
      <w:pPr>
        <w:rPr>
          <w:rFonts w:cs="Arial"/>
          <w:bCs/>
        </w:rPr>
      </w:pPr>
    </w:p>
    <w:p w14:paraId="379ECF14" w14:textId="7B048CE0" w:rsidR="00A77C2D" w:rsidRDefault="00A77C2D" w:rsidP="00AF1485">
      <w:pPr>
        <w:ind w:left="567" w:hanging="283"/>
        <w:rPr>
          <w:rFonts w:cs="Arial"/>
          <w:bCs/>
        </w:rPr>
      </w:pPr>
      <w:r w:rsidRPr="00A77C2D">
        <w:rPr>
          <w:rFonts w:cs="Arial"/>
          <w:bCs/>
        </w:rPr>
        <w:t xml:space="preserve">(1) Deuda Pública y Obligaciones sobre Ingresos de Libre Disposición, </w:t>
      </w:r>
    </w:p>
    <w:p w14:paraId="789D579F" w14:textId="77777777" w:rsidR="00A77C2D" w:rsidRDefault="00A77C2D" w:rsidP="00AF1485">
      <w:pPr>
        <w:ind w:left="567" w:hanging="283"/>
        <w:rPr>
          <w:rFonts w:cs="Arial"/>
          <w:bCs/>
        </w:rPr>
      </w:pPr>
    </w:p>
    <w:p w14:paraId="4330965B" w14:textId="001A334A" w:rsidR="00A77C2D" w:rsidRDefault="00A77C2D" w:rsidP="00AF1485">
      <w:pPr>
        <w:ind w:left="567" w:hanging="283"/>
        <w:rPr>
          <w:rFonts w:cs="Arial"/>
          <w:bCs/>
        </w:rPr>
      </w:pPr>
      <w:r w:rsidRPr="00A77C2D">
        <w:rPr>
          <w:rFonts w:cs="Arial"/>
          <w:bCs/>
        </w:rPr>
        <w:t xml:space="preserve">(2) Servicio de la Deuda y de Obligaciones sobre Ingresos de Libre Disposición y </w:t>
      </w:r>
    </w:p>
    <w:p w14:paraId="082E4885" w14:textId="77777777" w:rsidR="00A77C2D" w:rsidRDefault="00A77C2D" w:rsidP="00AF1485">
      <w:pPr>
        <w:ind w:left="567" w:hanging="283"/>
        <w:rPr>
          <w:rFonts w:cs="Arial"/>
          <w:bCs/>
        </w:rPr>
      </w:pPr>
    </w:p>
    <w:p w14:paraId="769D0D37" w14:textId="550530DE" w:rsidR="00F40C0F" w:rsidRPr="00A55906" w:rsidRDefault="00A77C2D" w:rsidP="00AF1485">
      <w:pPr>
        <w:ind w:left="567" w:hanging="283"/>
        <w:rPr>
          <w:rFonts w:cs="Arial"/>
          <w:bCs/>
        </w:rPr>
      </w:pPr>
      <w:r w:rsidRPr="00A77C2D">
        <w:rPr>
          <w:rFonts w:cs="Arial"/>
          <w:bCs/>
        </w:rPr>
        <w:t>(3) Obligaciones a Corto Plazo y Proveedores y Contratistas, menos los montos de efectivo, bancos e inversiones temporales, sobre Ingresos Totales.</w:t>
      </w:r>
    </w:p>
    <w:p w14:paraId="20B800DA" w14:textId="04708DE3" w:rsidR="00F40C0F" w:rsidRDefault="00F40C0F" w:rsidP="00A3747F">
      <w:pPr>
        <w:rPr>
          <w:rFonts w:cs="Arial"/>
          <w:bCs/>
        </w:rPr>
      </w:pPr>
    </w:p>
    <w:p w14:paraId="6CFFEAA5" w14:textId="185FFFF3" w:rsidR="00A77C2D" w:rsidRDefault="00483541" w:rsidP="00A3747F">
      <w:pPr>
        <w:rPr>
          <w:rFonts w:cs="Arial"/>
          <w:bCs/>
        </w:rPr>
      </w:pPr>
      <w:r w:rsidRPr="00483541">
        <w:rPr>
          <w:rFonts w:cs="Arial"/>
          <w:bCs/>
        </w:rPr>
        <w:t xml:space="preserve">De acuerdo al resultado obtenido del Sistema de Alertas, </w:t>
      </w:r>
      <w:r>
        <w:rPr>
          <w:rFonts w:cs="Arial"/>
          <w:bCs/>
        </w:rPr>
        <w:t xml:space="preserve">con fecha de corte al 2do. Trimestre de 2022, publicada con fecha 29 de agosto de 2022, </w:t>
      </w:r>
      <w:r w:rsidRPr="00483541">
        <w:rPr>
          <w:rFonts w:cs="Arial"/>
          <w:bCs/>
        </w:rPr>
        <w:t>el nivel de endeudamiento</w:t>
      </w:r>
      <w:r>
        <w:rPr>
          <w:rFonts w:cs="Arial"/>
          <w:bCs/>
        </w:rPr>
        <w:t xml:space="preserve"> del Estado de Colima es el siguiente: </w:t>
      </w:r>
      <w:r w:rsidRPr="00483541">
        <w:rPr>
          <w:rFonts w:cs="Arial"/>
          <w:bCs/>
        </w:rPr>
        <w:t>Endeudamiento en Observación</w:t>
      </w:r>
      <w:r>
        <w:rPr>
          <w:rFonts w:cs="Arial"/>
          <w:bCs/>
        </w:rPr>
        <w:t>.</w:t>
      </w:r>
    </w:p>
    <w:p w14:paraId="5100BA14" w14:textId="6BDE1780" w:rsidR="00483541" w:rsidRDefault="00483541" w:rsidP="00A3747F">
      <w:pPr>
        <w:rPr>
          <w:rFonts w:cs="Arial"/>
          <w:bCs/>
        </w:rPr>
      </w:pP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9"/>
        <w:gridCol w:w="1303"/>
        <w:gridCol w:w="868"/>
        <w:gridCol w:w="1014"/>
        <w:gridCol w:w="1013"/>
        <w:gridCol w:w="846"/>
        <w:gridCol w:w="9"/>
        <w:gridCol w:w="737"/>
        <w:gridCol w:w="869"/>
      </w:tblGrid>
      <w:tr w:rsidR="00483541" w:rsidRPr="00483541" w14:paraId="4071359A" w14:textId="77777777" w:rsidTr="00AF1485">
        <w:trPr>
          <w:trHeight w:val="284"/>
          <w:jc w:val="center"/>
        </w:trPr>
        <w:tc>
          <w:tcPr>
            <w:tcW w:w="7792" w:type="dxa"/>
            <w:gridSpan w:val="9"/>
            <w:tcBorders>
              <w:top w:val="nil"/>
              <w:left w:val="nil"/>
              <w:bottom w:val="nil"/>
              <w:right w:val="nil"/>
            </w:tcBorders>
            <w:shd w:val="clear" w:color="auto" w:fill="auto"/>
            <w:noWrap/>
            <w:vAlign w:val="center"/>
            <w:hideMark/>
          </w:tcPr>
          <w:p w14:paraId="219DDE98" w14:textId="79121D47" w:rsidR="00483541" w:rsidRPr="00483541" w:rsidRDefault="00483541" w:rsidP="00D55D5A">
            <w:pPr>
              <w:jc w:val="center"/>
              <w:rPr>
                <w:rFonts w:eastAsia="Times New Roman" w:cs="Arial"/>
                <w:color w:val="000000"/>
                <w:sz w:val="18"/>
                <w:szCs w:val="18"/>
              </w:rPr>
            </w:pPr>
            <w:r w:rsidRPr="00483541">
              <w:rPr>
                <w:rFonts w:eastAsia="Times New Roman" w:cs="Arial"/>
                <w:b/>
                <w:bCs/>
                <w:color w:val="000000"/>
                <w:sz w:val="18"/>
                <w:szCs w:val="18"/>
              </w:rPr>
              <w:t>Evaluación del nivel de endeudamiento de las Entidades Federativas, 2T-2022</w:t>
            </w:r>
          </w:p>
        </w:tc>
      </w:tr>
      <w:tr w:rsidR="00483541" w:rsidRPr="00483541" w14:paraId="5A85C4DB" w14:textId="77777777" w:rsidTr="00AF1485">
        <w:trPr>
          <w:trHeight w:val="186"/>
          <w:jc w:val="center"/>
        </w:trPr>
        <w:tc>
          <w:tcPr>
            <w:tcW w:w="7792" w:type="dxa"/>
            <w:gridSpan w:val="9"/>
            <w:tcBorders>
              <w:top w:val="nil"/>
              <w:left w:val="nil"/>
              <w:bottom w:val="nil"/>
              <w:right w:val="nil"/>
            </w:tcBorders>
            <w:shd w:val="clear" w:color="000000" w:fill="FFFFFF"/>
            <w:noWrap/>
            <w:vAlign w:val="center"/>
            <w:hideMark/>
          </w:tcPr>
          <w:p w14:paraId="1D7988E7" w14:textId="72AFA59D" w:rsidR="00483541" w:rsidRPr="00483541" w:rsidRDefault="00483541" w:rsidP="00D55D5A">
            <w:pPr>
              <w:jc w:val="center"/>
              <w:rPr>
                <w:rFonts w:eastAsia="Times New Roman" w:cs="Arial"/>
                <w:color w:val="000000"/>
                <w:sz w:val="18"/>
                <w:szCs w:val="18"/>
              </w:rPr>
            </w:pPr>
            <w:r w:rsidRPr="00483541">
              <w:rPr>
                <w:rFonts w:eastAsia="Times New Roman" w:cs="Arial"/>
                <w:b/>
                <w:bCs/>
                <w:color w:val="000000"/>
                <w:sz w:val="18"/>
                <w:szCs w:val="18"/>
              </w:rPr>
              <w:t>Resultado del Sistema de Alertas</w:t>
            </w:r>
          </w:p>
        </w:tc>
      </w:tr>
      <w:tr w:rsidR="00483541" w:rsidRPr="00483541" w14:paraId="35F207BB" w14:textId="77777777" w:rsidTr="00AF1485">
        <w:trPr>
          <w:trHeight w:val="287"/>
          <w:jc w:val="center"/>
        </w:trPr>
        <w:tc>
          <w:tcPr>
            <w:tcW w:w="7792" w:type="dxa"/>
            <w:gridSpan w:val="9"/>
            <w:tcBorders>
              <w:top w:val="nil"/>
              <w:left w:val="nil"/>
              <w:bottom w:val="single" w:sz="4" w:space="0" w:color="auto"/>
              <w:right w:val="nil"/>
            </w:tcBorders>
            <w:shd w:val="clear" w:color="000000" w:fill="FFFFFF"/>
            <w:noWrap/>
            <w:vAlign w:val="center"/>
            <w:hideMark/>
          </w:tcPr>
          <w:p w14:paraId="6F33EC02" w14:textId="0D4B2019" w:rsidR="00483541" w:rsidRPr="00483541" w:rsidRDefault="00483541" w:rsidP="00D55D5A">
            <w:pPr>
              <w:jc w:val="center"/>
              <w:rPr>
                <w:rFonts w:eastAsia="Times New Roman" w:cs="Arial"/>
                <w:color w:val="000000"/>
                <w:sz w:val="18"/>
                <w:szCs w:val="18"/>
              </w:rPr>
            </w:pPr>
            <w:r w:rsidRPr="00483541">
              <w:rPr>
                <w:rFonts w:eastAsia="Times New Roman" w:cs="Arial"/>
                <w:i/>
                <w:iCs/>
                <w:color w:val="000000"/>
                <w:sz w:val="18"/>
                <w:szCs w:val="18"/>
              </w:rPr>
              <w:t>(Porcentajes  y rangos)</w:t>
            </w:r>
          </w:p>
        </w:tc>
      </w:tr>
      <w:tr w:rsidR="0061497B" w:rsidRPr="0061497B" w14:paraId="7A7787EB" w14:textId="77777777" w:rsidTr="00AF1485">
        <w:trPr>
          <w:trHeight w:val="398"/>
          <w:jc w:val="center"/>
        </w:trPr>
        <w:tc>
          <w:tcPr>
            <w:tcW w:w="1271" w:type="dxa"/>
            <w:vMerge w:val="restart"/>
            <w:tcBorders>
              <w:top w:val="single" w:sz="4" w:space="0" w:color="auto"/>
            </w:tcBorders>
            <w:shd w:val="clear" w:color="auto" w:fill="F2F2F2" w:themeFill="background1" w:themeFillShade="F2"/>
            <w:vAlign w:val="center"/>
            <w:hideMark/>
          </w:tcPr>
          <w:p w14:paraId="211F6647" w14:textId="77777777" w:rsidR="00483541" w:rsidRPr="0061497B" w:rsidRDefault="00483541" w:rsidP="00D55D5A">
            <w:pPr>
              <w:jc w:val="center"/>
              <w:rPr>
                <w:rFonts w:eastAsia="Times New Roman" w:cs="Arial"/>
                <w:b/>
                <w:bCs/>
                <w:sz w:val="18"/>
                <w:szCs w:val="18"/>
              </w:rPr>
            </w:pPr>
            <w:r w:rsidRPr="0061497B">
              <w:rPr>
                <w:rFonts w:eastAsia="Times New Roman" w:cs="Arial"/>
                <w:b/>
                <w:bCs/>
                <w:sz w:val="18"/>
                <w:szCs w:val="18"/>
              </w:rPr>
              <w:t>Entidad Federativa</w:t>
            </w:r>
          </w:p>
        </w:tc>
        <w:tc>
          <w:tcPr>
            <w:tcW w:w="1276" w:type="dxa"/>
            <w:vMerge w:val="restart"/>
            <w:tcBorders>
              <w:top w:val="single" w:sz="4" w:space="0" w:color="auto"/>
            </w:tcBorders>
            <w:shd w:val="clear" w:color="auto" w:fill="F2F2F2" w:themeFill="background1" w:themeFillShade="F2"/>
            <w:vAlign w:val="center"/>
            <w:hideMark/>
          </w:tcPr>
          <w:p w14:paraId="4CA3875C" w14:textId="77777777" w:rsidR="00483541" w:rsidRPr="0061497B" w:rsidRDefault="00483541" w:rsidP="00D55D5A">
            <w:pPr>
              <w:jc w:val="center"/>
              <w:rPr>
                <w:rFonts w:eastAsia="Times New Roman" w:cs="Arial"/>
                <w:b/>
                <w:bCs/>
                <w:sz w:val="18"/>
                <w:szCs w:val="18"/>
              </w:rPr>
            </w:pPr>
            <w:r w:rsidRPr="0061497B">
              <w:rPr>
                <w:rFonts w:eastAsia="Times New Roman" w:cs="Arial"/>
                <w:b/>
                <w:bCs/>
                <w:sz w:val="18"/>
                <w:szCs w:val="18"/>
              </w:rPr>
              <w:t>Resultado del Sistema de Alertas</w:t>
            </w:r>
          </w:p>
        </w:tc>
        <w:tc>
          <w:tcPr>
            <w:tcW w:w="1843" w:type="dxa"/>
            <w:gridSpan w:val="2"/>
            <w:vMerge w:val="restart"/>
            <w:tcBorders>
              <w:top w:val="single" w:sz="4" w:space="0" w:color="auto"/>
            </w:tcBorders>
            <w:shd w:val="clear" w:color="auto" w:fill="F2F2F2" w:themeFill="background1" w:themeFillShade="F2"/>
            <w:vAlign w:val="center"/>
            <w:hideMark/>
          </w:tcPr>
          <w:p w14:paraId="388CBEE5" w14:textId="77777777" w:rsidR="00483541" w:rsidRPr="0061497B" w:rsidRDefault="00483541" w:rsidP="00D55D5A">
            <w:pPr>
              <w:jc w:val="center"/>
              <w:rPr>
                <w:rFonts w:eastAsia="Times New Roman" w:cs="Arial"/>
                <w:b/>
                <w:bCs/>
                <w:sz w:val="14"/>
                <w:szCs w:val="14"/>
              </w:rPr>
            </w:pPr>
            <w:r w:rsidRPr="0061497B">
              <w:rPr>
                <w:rFonts w:eastAsia="Times New Roman" w:cs="Arial"/>
                <w:b/>
                <w:bCs/>
                <w:sz w:val="14"/>
                <w:szCs w:val="14"/>
              </w:rPr>
              <w:t>Indicador 1:</w:t>
            </w:r>
            <w:r w:rsidRPr="0061497B">
              <w:rPr>
                <w:rFonts w:eastAsia="Times New Roman" w:cs="Arial"/>
                <w:b/>
                <w:bCs/>
                <w:sz w:val="14"/>
                <w:szCs w:val="14"/>
              </w:rPr>
              <w:br/>
              <w:t>Deuda Pública y Obligaciones sobre Ingresos de Libre Disposición</w:t>
            </w:r>
            <w:r w:rsidRPr="0061497B">
              <w:rPr>
                <w:rFonts w:eastAsia="Times New Roman" w:cs="Arial"/>
                <w:b/>
                <w:bCs/>
                <w:sz w:val="14"/>
                <w:szCs w:val="14"/>
              </w:rPr>
              <w:br/>
              <w:t>(DyO/ILD)</w:t>
            </w:r>
          </w:p>
        </w:tc>
        <w:tc>
          <w:tcPr>
            <w:tcW w:w="1829" w:type="dxa"/>
            <w:gridSpan w:val="3"/>
            <w:vMerge w:val="restart"/>
            <w:tcBorders>
              <w:top w:val="single" w:sz="4" w:space="0" w:color="auto"/>
            </w:tcBorders>
            <w:shd w:val="clear" w:color="auto" w:fill="F2F2F2" w:themeFill="background1" w:themeFillShade="F2"/>
            <w:vAlign w:val="center"/>
            <w:hideMark/>
          </w:tcPr>
          <w:p w14:paraId="0A84354E" w14:textId="77777777" w:rsidR="00483541" w:rsidRPr="0061497B" w:rsidRDefault="00483541" w:rsidP="00D55D5A">
            <w:pPr>
              <w:jc w:val="center"/>
              <w:rPr>
                <w:rFonts w:eastAsia="Times New Roman" w:cs="Arial"/>
                <w:b/>
                <w:bCs/>
                <w:sz w:val="14"/>
                <w:szCs w:val="14"/>
              </w:rPr>
            </w:pPr>
            <w:r w:rsidRPr="0061497B">
              <w:rPr>
                <w:rFonts w:eastAsia="Times New Roman" w:cs="Arial"/>
                <w:b/>
                <w:bCs/>
                <w:sz w:val="14"/>
                <w:szCs w:val="14"/>
              </w:rPr>
              <w:t xml:space="preserve">Indicador 2:  </w:t>
            </w:r>
            <w:r w:rsidRPr="0061497B">
              <w:rPr>
                <w:rFonts w:eastAsia="Times New Roman" w:cs="Arial"/>
                <w:b/>
                <w:bCs/>
                <w:sz w:val="14"/>
                <w:szCs w:val="14"/>
              </w:rPr>
              <w:br/>
              <w:t>Servicio de la Deuda y de Obligaciones sobre Ingresos de Libre Disposición</w:t>
            </w:r>
            <w:r w:rsidRPr="0061497B">
              <w:rPr>
                <w:rFonts w:eastAsia="Times New Roman" w:cs="Arial"/>
                <w:b/>
                <w:bCs/>
                <w:sz w:val="14"/>
                <w:szCs w:val="14"/>
              </w:rPr>
              <w:br/>
              <w:t>(SDyPI/ILD)</w:t>
            </w:r>
          </w:p>
        </w:tc>
        <w:tc>
          <w:tcPr>
            <w:tcW w:w="1573" w:type="dxa"/>
            <w:gridSpan w:val="2"/>
            <w:vMerge w:val="restart"/>
            <w:tcBorders>
              <w:top w:val="single" w:sz="4" w:space="0" w:color="auto"/>
            </w:tcBorders>
            <w:shd w:val="clear" w:color="auto" w:fill="F2F2F2" w:themeFill="background1" w:themeFillShade="F2"/>
            <w:vAlign w:val="center"/>
            <w:hideMark/>
          </w:tcPr>
          <w:p w14:paraId="0CFDAA36" w14:textId="77777777" w:rsidR="00483541" w:rsidRPr="0061497B" w:rsidRDefault="00483541" w:rsidP="00D55D5A">
            <w:pPr>
              <w:jc w:val="center"/>
              <w:rPr>
                <w:rFonts w:eastAsia="Times New Roman" w:cs="Arial"/>
                <w:b/>
                <w:bCs/>
                <w:sz w:val="14"/>
                <w:szCs w:val="14"/>
              </w:rPr>
            </w:pPr>
            <w:r w:rsidRPr="0061497B">
              <w:rPr>
                <w:rFonts w:eastAsia="Times New Roman" w:cs="Arial"/>
                <w:b/>
                <w:bCs/>
                <w:sz w:val="14"/>
                <w:szCs w:val="14"/>
              </w:rPr>
              <w:t>Indicador 3:</w:t>
            </w:r>
            <w:r w:rsidRPr="0061497B">
              <w:rPr>
                <w:rFonts w:eastAsia="Times New Roman" w:cs="Arial"/>
                <w:b/>
                <w:bCs/>
                <w:sz w:val="14"/>
                <w:szCs w:val="14"/>
              </w:rPr>
              <w:br/>
              <w:t>Obligaciones a Corto Plazo y Proveedores y Contratistas sobre Ingresos Totales</w:t>
            </w:r>
            <w:r w:rsidRPr="0061497B">
              <w:rPr>
                <w:rFonts w:eastAsia="Times New Roman" w:cs="Arial"/>
                <w:b/>
                <w:bCs/>
                <w:sz w:val="14"/>
                <w:szCs w:val="14"/>
              </w:rPr>
              <w:br/>
              <w:t>(OCPyPC/IT)</w:t>
            </w:r>
          </w:p>
        </w:tc>
      </w:tr>
      <w:tr w:rsidR="00483541" w:rsidRPr="00483541" w14:paraId="0BA45C4E" w14:textId="77777777" w:rsidTr="0061497B">
        <w:trPr>
          <w:trHeight w:val="540"/>
          <w:jc w:val="center"/>
        </w:trPr>
        <w:tc>
          <w:tcPr>
            <w:tcW w:w="1271" w:type="dxa"/>
            <w:vMerge/>
            <w:shd w:val="clear" w:color="auto" w:fill="F2F2F2" w:themeFill="background1" w:themeFillShade="F2"/>
            <w:vAlign w:val="center"/>
            <w:hideMark/>
          </w:tcPr>
          <w:p w14:paraId="56A64C50" w14:textId="77777777" w:rsidR="00483541" w:rsidRPr="00483541" w:rsidRDefault="00483541" w:rsidP="00D55D5A">
            <w:pPr>
              <w:rPr>
                <w:rFonts w:eastAsia="Times New Roman" w:cs="Arial"/>
                <w:b/>
                <w:bCs/>
                <w:color w:val="FFFFFF"/>
                <w:sz w:val="18"/>
                <w:szCs w:val="18"/>
              </w:rPr>
            </w:pPr>
          </w:p>
        </w:tc>
        <w:tc>
          <w:tcPr>
            <w:tcW w:w="1276" w:type="dxa"/>
            <w:vMerge/>
            <w:shd w:val="clear" w:color="auto" w:fill="F2F2F2" w:themeFill="background1" w:themeFillShade="F2"/>
            <w:vAlign w:val="center"/>
            <w:hideMark/>
          </w:tcPr>
          <w:p w14:paraId="44CA8256" w14:textId="77777777" w:rsidR="00483541" w:rsidRPr="00483541" w:rsidRDefault="00483541" w:rsidP="00D55D5A">
            <w:pPr>
              <w:rPr>
                <w:rFonts w:eastAsia="Times New Roman" w:cs="Arial"/>
                <w:b/>
                <w:bCs/>
                <w:color w:val="FFFFFF"/>
                <w:sz w:val="18"/>
                <w:szCs w:val="18"/>
              </w:rPr>
            </w:pPr>
          </w:p>
        </w:tc>
        <w:tc>
          <w:tcPr>
            <w:tcW w:w="1843" w:type="dxa"/>
            <w:gridSpan w:val="2"/>
            <w:vMerge/>
            <w:shd w:val="clear" w:color="auto" w:fill="F2F2F2" w:themeFill="background1" w:themeFillShade="F2"/>
            <w:vAlign w:val="center"/>
            <w:hideMark/>
          </w:tcPr>
          <w:p w14:paraId="27F6FEF3" w14:textId="77777777" w:rsidR="00483541" w:rsidRPr="00483541" w:rsidRDefault="00483541" w:rsidP="00D55D5A">
            <w:pPr>
              <w:rPr>
                <w:rFonts w:eastAsia="Times New Roman" w:cs="Arial"/>
                <w:b/>
                <w:bCs/>
                <w:color w:val="FFFFFF"/>
                <w:sz w:val="18"/>
                <w:szCs w:val="18"/>
              </w:rPr>
            </w:pPr>
          </w:p>
        </w:tc>
        <w:tc>
          <w:tcPr>
            <w:tcW w:w="1829" w:type="dxa"/>
            <w:gridSpan w:val="3"/>
            <w:vMerge/>
            <w:shd w:val="clear" w:color="auto" w:fill="F2F2F2" w:themeFill="background1" w:themeFillShade="F2"/>
            <w:vAlign w:val="center"/>
            <w:hideMark/>
          </w:tcPr>
          <w:p w14:paraId="499F84B9" w14:textId="77777777" w:rsidR="00483541" w:rsidRPr="00483541" w:rsidRDefault="00483541" w:rsidP="00D55D5A">
            <w:pPr>
              <w:rPr>
                <w:rFonts w:eastAsia="Times New Roman" w:cs="Arial"/>
                <w:b/>
                <w:bCs/>
                <w:color w:val="FFFFFF"/>
                <w:sz w:val="18"/>
                <w:szCs w:val="18"/>
              </w:rPr>
            </w:pPr>
          </w:p>
        </w:tc>
        <w:tc>
          <w:tcPr>
            <w:tcW w:w="1573" w:type="dxa"/>
            <w:gridSpan w:val="2"/>
            <w:vMerge/>
            <w:shd w:val="clear" w:color="auto" w:fill="F2F2F2" w:themeFill="background1" w:themeFillShade="F2"/>
            <w:vAlign w:val="center"/>
            <w:hideMark/>
          </w:tcPr>
          <w:p w14:paraId="07B37BE3" w14:textId="77777777" w:rsidR="00483541" w:rsidRPr="00483541" w:rsidRDefault="00483541" w:rsidP="00D55D5A">
            <w:pPr>
              <w:rPr>
                <w:rFonts w:eastAsia="Times New Roman" w:cs="Arial"/>
                <w:b/>
                <w:bCs/>
                <w:color w:val="FFFFFF"/>
                <w:sz w:val="18"/>
                <w:szCs w:val="18"/>
              </w:rPr>
            </w:pPr>
          </w:p>
        </w:tc>
      </w:tr>
      <w:tr w:rsidR="00483541" w:rsidRPr="00483541" w14:paraId="24374FDA" w14:textId="77777777" w:rsidTr="00D55D5A">
        <w:trPr>
          <w:trHeight w:val="450"/>
          <w:jc w:val="center"/>
        </w:trPr>
        <w:tc>
          <w:tcPr>
            <w:tcW w:w="1271" w:type="dxa"/>
            <w:vMerge/>
            <w:tcBorders>
              <w:bottom w:val="single" w:sz="4" w:space="0" w:color="auto"/>
            </w:tcBorders>
            <w:shd w:val="clear" w:color="auto" w:fill="F2F2F2" w:themeFill="background1" w:themeFillShade="F2"/>
            <w:vAlign w:val="center"/>
            <w:hideMark/>
          </w:tcPr>
          <w:p w14:paraId="3B75CF96" w14:textId="77777777" w:rsidR="00483541" w:rsidRPr="00483541" w:rsidRDefault="00483541" w:rsidP="00D55D5A">
            <w:pPr>
              <w:rPr>
                <w:rFonts w:eastAsia="Times New Roman" w:cs="Arial"/>
                <w:b/>
                <w:bCs/>
                <w:color w:val="FFFFFF"/>
                <w:sz w:val="18"/>
                <w:szCs w:val="18"/>
              </w:rPr>
            </w:pPr>
          </w:p>
        </w:tc>
        <w:tc>
          <w:tcPr>
            <w:tcW w:w="1276" w:type="dxa"/>
            <w:vMerge/>
            <w:tcBorders>
              <w:bottom w:val="single" w:sz="4" w:space="0" w:color="auto"/>
            </w:tcBorders>
            <w:shd w:val="clear" w:color="auto" w:fill="F2F2F2" w:themeFill="background1" w:themeFillShade="F2"/>
            <w:vAlign w:val="center"/>
            <w:hideMark/>
          </w:tcPr>
          <w:p w14:paraId="31A990A0" w14:textId="77777777" w:rsidR="00483541" w:rsidRPr="00483541" w:rsidRDefault="00483541" w:rsidP="00D55D5A">
            <w:pPr>
              <w:rPr>
                <w:rFonts w:eastAsia="Times New Roman" w:cs="Arial"/>
                <w:b/>
                <w:bCs/>
                <w:color w:val="FFFFFF"/>
                <w:sz w:val="18"/>
                <w:szCs w:val="18"/>
              </w:rPr>
            </w:pPr>
          </w:p>
        </w:tc>
        <w:tc>
          <w:tcPr>
            <w:tcW w:w="1843" w:type="dxa"/>
            <w:gridSpan w:val="2"/>
            <w:vMerge/>
            <w:tcBorders>
              <w:bottom w:val="single" w:sz="4" w:space="0" w:color="auto"/>
            </w:tcBorders>
            <w:shd w:val="clear" w:color="auto" w:fill="F2F2F2" w:themeFill="background1" w:themeFillShade="F2"/>
            <w:vAlign w:val="center"/>
            <w:hideMark/>
          </w:tcPr>
          <w:p w14:paraId="511E0983" w14:textId="77777777" w:rsidR="00483541" w:rsidRPr="00483541" w:rsidRDefault="00483541" w:rsidP="00D55D5A">
            <w:pPr>
              <w:rPr>
                <w:rFonts w:eastAsia="Times New Roman" w:cs="Arial"/>
                <w:b/>
                <w:bCs/>
                <w:color w:val="FFFFFF"/>
                <w:sz w:val="18"/>
                <w:szCs w:val="18"/>
              </w:rPr>
            </w:pPr>
          </w:p>
        </w:tc>
        <w:tc>
          <w:tcPr>
            <w:tcW w:w="1829" w:type="dxa"/>
            <w:gridSpan w:val="3"/>
            <w:vMerge/>
            <w:tcBorders>
              <w:bottom w:val="single" w:sz="4" w:space="0" w:color="auto"/>
            </w:tcBorders>
            <w:shd w:val="clear" w:color="auto" w:fill="F2F2F2" w:themeFill="background1" w:themeFillShade="F2"/>
            <w:vAlign w:val="center"/>
            <w:hideMark/>
          </w:tcPr>
          <w:p w14:paraId="085FDA0F" w14:textId="77777777" w:rsidR="00483541" w:rsidRPr="00483541" w:rsidRDefault="00483541" w:rsidP="00D55D5A">
            <w:pPr>
              <w:rPr>
                <w:rFonts w:eastAsia="Times New Roman" w:cs="Arial"/>
                <w:b/>
                <w:bCs/>
                <w:color w:val="FFFFFF"/>
                <w:sz w:val="18"/>
                <w:szCs w:val="18"/>
              </w:rPr>
            </w:pPr>
          </w:p>
        </w:tc>
        <w:tc>
          <w:tcPr>
            <w:tcW w:w="1573" w:type="dxa"/>
            <w:gridSpan w:val="2"/>
            <w:vMerge/>
            <w:tcBorders>
              <w:bottom w:val="single" w:sz="4" w:space="0" w:color="auto"/>
            </w:tcBorders>
            <w:shd w:val="clear" w:color="auto" w:fill="F2F2F2" w:themeFill="background1" w:themeFillShade="F2"/>
            <w:vAlign w:val="center"/>
            <w:hideMark/>
          </w:tcPr>
          <w:p w14:paraId="603D2167" w14:textId="77777777" w:rsidR="00483541" w:rsidRPr="00483541" w:rsidRDefault="00483541" w:rsidP="00D55D5A">
            <w:pPr>
              <w:rPr>
                <w:rFonts w:eastAsia="Times New Roman" w:cs="Arial"/>
                <w:b/>
                <w:bCs/>
                <w:color w:val="FFFFFF"/>
                <w:sz w:val="18"/>
                <w:szCs w:val="18"/>
              </w:rPr>
            </w:pPr>
          </w:p>
        </w:tc>
      </w:tr>
      <w:tr w:rsidR="00483541" w:rsidRPr="00483541" w14:paraId="488A12D1" w14:textId="77777777" w:rsidTr="00407DE5">
        <w:trPr>
          <w:trHeight w:val="300"/>
          <w:jc w:val="center"/>
        </w:trPr>
        <w:tc>
          <w:tcPr>
            <w:tcW w:w="1271" w:type="dxa"/>
            <w:tcBorders>
              <w:bottom w:val="single" w:sz="4" w:space="0" w:color="auto"/>
            </w:tcBorders>
            <w:shd w:val="clear" w:color="000000" w:fill="FFFFFF"/>
            <w:vAlign w:val="center"/>
            <w:hideMark/>
          </w:tcPr>
          <w:p w14:paraId="78FF1317" w14:textId="77777777" w:rsidR="00483541" w:rsidRPr="00483541" w:rsidRDefault="00483541" w:rsidP="00D55D5A">
            <w:pPr>
              <w:jc w:val="center"/>
              <w:rPr>
                <w:rFonts w:eastAsia="Times New Roman" w:cs="Arial"/>
                <w:color w:val="000000"/>
                <w:sz w:val="20"/>
                <w:szCs w:val="18"/>
              </w:rPr>
            </w:pPr>
            <w:r w:rsidRPr="00483541">
              <w:rPr>
                <w:rFonts w:eastAsia="Times New Roman" w:cs="Arial"/>
                <w:color w:val="000000"/>
                <w:sz w:val="20"/>
                <w:szCs w:val="18"/>
              </w:rPr>
              <w:t>Colima</w:t>
            </w:r>
          </w:p>
        </w:tc>
        <w:tc>
          <w:tcPr>
            <w:tcW w:w="1276" w:type="dxa"/>
            <w:tcBorders>
              <w:bottom w:val="single" w:sz="4" w:space="0" w:color="auto"/>
            </w:tcBorders>
            <w:shd w:val="clear" w:color="000000" w:fill="FFFFFF"/>
            <w:noWrap/>
            <w:vAlign w:val="center"/>
            <w:hideMark/>
          </w:tcPr>
          <w:p w14:paraId="6C8C62B2" w14:textId="55BF10F0" w:rsidR="00483541" w:rsidRPr="00483541" w:rsidRDefault="00546FA8" w:rsidP="00D55D5A">
            <w:pPr>
              <w:jc w:val="center"/>
              <w:rPr>
                <w:rFonts w:eastAsia="Times New Roman" w:cs="Arial"/>
                <w:color w:val="000000"/>
                <w:sz w:val="20"/>
                <w:szCs w:val="18"/>
              </w:rPr>
            </w:pPr>
            <w:r w:rsidRPr="00546FA8">
              <w:rPr>
                <w:rFonts w:eastAsia="Times New Roman" w:cs="Arial"/>
                <w:color w:val="000000"/>
                <w:sz w:val="16"/>
                <w:szCs w:val="18"/>
              </w:rPr>
              <w:t>En Observación</w:t>
            </w:r>
          </w:p>
        </w:tc>
        <w:tc>
          <w:tcPr>
            <w:tcW w:w="850" w:type="dxa"/>
            <w:tcBorders>
              <w:bottom w:val="single" w:sz="4" w:space="0" w:color="auto"/>
            </w:tcBorders>
            <w:shd w:val="clear" w:color="000000" w:fill="FFFFFF"/>
            <w:noWrap/>
            <w:vAlign w:val="center"/>
            <w:hideMark/>
          </w:tcPr>
          <w:p w14:paraId="60B344EB" w14:textId="77777777" w:rsidR="00483541" w:rsidRPr="00483541" w:rsidRDefault="00483541" w:rsidP="00D55D5A">
            <w:pPr>
              <w:jc w:val="center"/>
              <w:rPr>
                <w:rFonts w:eastAsia="Times New Roman" w:cs="Arial"/>
                <w:b/>
                <w:bCs/>
                <w:color w:val="000000"/>
                <w:sz w:val="20"/>
                <w:szCs w:val="18"/>
              </w:rPr>
            </w:pPr>
            <w:r w:rsidRPr="00483541">
              <w:rPr>
                <w:rFonts w:eastAsia="Times New Roman" w:cs="Arial"/>
                <w:b/>
                <w:bCs/>
                <w:color w:val="000000"/>
                <w:sz w:val="20"/>
                <w:szCs w:val="18"/>
              </w:rPr>
              <w:t>70.1%</w:t>
            </w:r>
          </w:p>
        </w:tc>
        <w:tc>
          <w:tcPr>
            <w:tcW w:w="993" w:type="dxa"/>
            <w:tcBorders>
              <w:bottom w:val="single" w:sz="4" w:space="0" w:color="auto"/>
            </w:tcBorders>
            <w:shd w:val="clear" w:color="000000" w:fill="FFFFFF"/>
            <w:noWrap/>
            <w:vAlign w:val="center"/>
            <w:hideMark/>
          </w:tcPr>
          <w:p w14:paraId="5867C7C2" w14:textId="61D4AB0C" w:rsidR="00483541" w:rsidRPr="00483541" w:rsidRDefault="00483541" w:rsidP="00D55D5A">
            <w:pPr>
              <w:jc w:val="center"/>
              <w:rPr>
                <w:rFonts w:eastAsia="Times New Roman" w:cs="Arial"/>
                <w:color w:val="000000"/>
                <w:sz w:val="20"/>
                <w:szCs w:val="18"/>
              </w:rPr>
            </w:pPr>
            <w:r w:rsidRPr="00483541">
              <w:rPr>
                <w:rFonts w:eastAsia="Times New Roman" w:cs="Arial"/>
                <w:color w:val="000000"/>
                <w:sz w:val="20"/>
                <w:szCs w:val="18"/>
              </w:rPr>
              <w:t>1</w:t>
            </w:r>
          </w:p>
        </w:tc>
        <w:tc>
          <w:tcPr>
            <w:tcW w:w="992" w:type="dxa"/>
            <w:tcBorders>
              <w:bottom w:val="single" w:sz="4" w:space="0" w:color="auto"/>
            </w:tcBorders>
            <w:shd w:val="clear" w:color="000000" w:fill="FFFFFF"/>
            <w:noWrap/>
            <w:vAlign w:val="center"/>
            <w:hideMark/>
          </w:tcPr>
          <w:p w14:paraId="206735E5" w14:textId="77777777" w:rsidR="00483541" w:rsidRPr="00483541" w:rsidRDefault="00483541" w:rsidP="00D55D5A">
            <w:pPr>
              <w:jc w:val="center"/>
              <w:rPr>
                <w:rFonts w:eastAsia="Times New Roman" w:cs="Arial"/>
                <w:b/>
                <w:bCs/>
                <w:color w:val="000000"/>
                <w:sz w:val="20"/>
                <w:szCs w:val="18"/>
              </w:rPr>
            </w:pPr>
            <w:r w:rsidRPr="00483541">
              <w:rPr>
                <w:rFonts w:eastAsia="Times New Roman" w:cs="Arial"/>
                <w:b/>
                <w:bCs/>
                <w:color w:val="000000"/>
                <w:sz w:val="20"/>
                <w:szCs w:val="18"/>
              </w:rPr>
              <w:t>8.7%</w:t>
            </w:r>
          </w:p>
        </w:tc>
        <w:tc>
          <w:tcPr>
            <w:tcW w:w="828" w:type="dxa"/>
            <w:tcBorders>
              <w:bottom w:val="single" w:sz="4" w:space="0" w:color="auto"/>
            </w:tcBorders>
            <w:shd w:val="clear" w:color="000000" w:fill="FFFFFF"/>
            <w:noWrap/>
            <w:vAlign w:val="center"/>
            <w:hideMark/>
          </w:tcPr>
          <w:p w14:paraId="328B528E" w14:textId="36B2C6FF" w:rsidR="00483541" w:rsidRPr="00483541" w:rsidRDefault="00483541" w:rsidP="00D55D5A">
            <w:pPr>
              <w:jc w:val="center"/>
              <w:rPr>
                <w:rFonts w:eastAsia="Times New Roman" w:cs="Arial"/>
                <w:color w:val="000000"/>
                <w:sz w:val="20"/>
                <w:szCs w:val="18"/>
              </w:rPr>
            </w:pPr>
            <w:r w:rsidRPr="00483541">
              <w:rPr>
                <w:rFonts w:eastAsia="Times New Roman" w:cs="Arial"/>
                <w:color w:val="000000"/>
                <w:sz w:val="20"/>
                <w:szCs w:val="18"/>
              </w:rPr>
              <w:t>2</w:t>
            </w:r>
          </w:p>
        </w:tc>
        <w:tc>
          <w:tcPr>
            <w:tcW w:w="731" w:type="dxa"/>
            <w:gridSpan w:val="2"/>
            <w:tcBorders>
              <w:bottom w:val="single" w:sz="4" w:space="0" w:color="auto"/>
            </w:tcBorders>
            <w:shd w:val="clear" w:color="000000" w:fill="FFFFFF"/>
            <w:noWrap/>
            <w:vAlign w:val="center"/>
            <w:hideMark/>
          </w:tcPr>
          <w:p w14:paraId="25EAEC8D" w14:textId="77777777" w:rsidR="00483541" w:rsidRPr="00483541" w:rsidRDefault="00483541" w:rsidP="00D55D5A">
            <w:pPr>
              <w:jc w:val="center"/>
              <w:rPr>
                <w:rFonts w:eastAsia="Times New Roman" w:cs="Arial"/>
                <w:b/>
                <w:bCs/>
                <w:color w:val="000000"/>
                <w:sz w:val="20"/>
                <w:szCs w:val="18"/>
              </w:rPr>
            </w:pPr>
            <w:r w:rsidRPr="00483541">
              <w:rPr>
                <w:rFonts w:eastAsia="Times New Roman" w:cs="Arial"/>
                <w:b/>
                <w:bCs/>
                <w:color w:val="000000"/>
                <w:sz w:val="20"/>
                <w:szCs w:val="18"/>
              </w:rPr>
              <w:t>12.9%</w:t>
            </w:r>
          </w:p>
        </w:tc>
        <w:tc>
          <w:tcPr>
            <w:tcW w:w="851" w:type="dxa"/>
            <w:tcBorders>
              <w:bottom w:val="single" w:sz="4" w:space="0" w:color="auto"/>
            </w:tcBorders>
            <w:shd w:val="clear" w:color="000000" w:fill="FFFFFF"/>
            <w:noWrap/>
            <w:vAlign w:val="center"/>
            <w:hideMark/>
          </w:tcPr>
          <w:p w14:paraId="4081A454" w14:textId="03890419" w:rsidR="00483541" w:rsidRPr="00483541" w:rsidRDefault="00483541" w:rsidP="00D55D5A">
            <w:pPr>
              <w:jc w:val="center"/>
              <w:rPr>
                <w:rFonts w:eastAsia="Times New Roman" w:cs="Arial"/>
                <w:color w:val="000000"/>
                <w:sz w:val="20"/>
                <w:szCs w:val="18"/>
              </w:rPr>
            </w:pPr>
            <w:r w:rsidRPr="00483541">
              <w:rPr>
                <w:rFonts w:eastAsia="Times New Roman" w:cs="Arial"/>
                <w:color w:val="000000"/>
                <w:sz w:val="20"/>
                <w:szCs w:val="18"/>
              </w:rPr>
              <w:t>3</w:t>
            </w:r>
          </w:p>
        </w:tc>
      </w:tr>
      <w:tr w:rsidR="00483541" w:rsidRPr="00483541" w14:paraId="2EAFE877" w14:textId="77777777" w:rsidTr="00407DE5">
        <w:trPr>
          <w:trHeight w:val="300"/>
          <w:jc w:val="center"/>
        </w:trPr>
        <w:tc>
          <w:tcPr>
            <w:tcW w:w="7792" w:type="dxa"/>
            <w:gridSpan w:val="9"/>
            <w:tcBorders>
              <w:top w:val="single" w:sz="4" w:space="0" w:color="auto"/>
              <w:left w:val="nil"/>
              <w:bottom w:val="nil"/>
              <w:right w:val="nil"/>
            </w:tcBorders>
            <w:shd w:val="clear" w:color="000000" w:fill="FFFFFF"/>
            <w:vAlign w:val="center"/>
          </w:tcPr>
          <w:p w14:paraId="7ABFE48D" w14:textId="5D493B45" w:rsidR="00483541" w:rsidRPr="00483541" w:rsidRDefault="00483541" w:rsidP="00D55D5A">
            <w:pPr>
              <w:rPr>
                <w:rFonts w:eastAsia="Times New Roman" w:cs="Arial"/>
                <w:color w:val="000000"/>
                <w:sz w:val="16"/>
                <w:szCs w:val="18"/>
              </w:rPr>
            </w:pPr>
            <w:r w:rsidRPr="00483541">
              <w:rPr>
                <w:rFonts w:eastAsia="Times New Roman" w:cs="Arial"/>
                <w:color w:val="000000"/>
                <w:sz w:val="16"/>
                <w:szCs w:val="18"/>
              </w:rPr>
              <w:t>Fuente: Secretaría de Hacienda y Crédito Público. Sistema de Alertas, disponible para su consulta en: https://www.disciplinafinanciera.hacienda.gob.mx/es/DISCIPLINA_FINANCIERA/Entidades_Federativas_2022</w:t>
            </w:r>
          </w:p>
        </w:tc>
      </w:tr>
    </w:tbl>
    <w:p w14:paraId="42388C66" w14:textId="073CD5AD" w:rsidR="00483541" w:rsidRDefault="00483541" w:rsidP="00A3747F">
      <w:pPr>
        <w:rPr>
          <w:rFonts w:cs="Arial"/>
          <w:bCs/>
        </w:rPr>
      </w:pPr>
    </w:p>
    <w:p w14:paraId="43DE07B2" w14:textId="728D89D8" w:rsidR="007701F7" w:rsidRDefault="007701F7" w:rsidP="00A3747F">
      <w:pPr>
        <w:rPr>
          <w:rFonts w:cs="Arial"/>
          <w:bCs/>
        </w:rPr>
      </w:pPr>
      <w:r>
        <w:rPr>
          <w:rFonts w:cs="Arial"/>
          <w:bCs/>
        </w:rPr>
        <w:t xml:space="preserve">Por lo anterior, </w:t>
      </w:r>
      <w:r w:rsidR="00AD28DF">
        <w:rPr>
          <w:rFonts w:cs="Arial"/>
          <w:bCs/>
        </w:rPr>
        <w:t xml:space="preserve">de conformidad con lo dispuesto en el artículo 46, fracción II, de la Ley de Disciplina Financiera de las Entidades Federativas y los Municipios, </w:t>
      </w:r>
      <w:r>
        <w:rPr>
          <w:rFonts w:cs="Arial"/>
          <w:bCs/>
        </w:rPr>
        <w:t>el Techo de Financiamiento N</w:t>
      </w:r>
      <w:r w:rsidR="00AD28DF">
        <w:rPr>
          <w:rFonts w:cs="Arial"/>
          <w:bCs/>
        </w:rPr>
        <w:t>eto es el equivalente al 5 por ciento de los Ingresos de Libre Disposición.</w:t>
      </w:r>
    </w:p>
    <w:p w14:paraId="3AEE2625" w14:textId="24A0DDB8" w:rsidR="004B3988" w:rsidRDefault="004B3988" w:rsidP="00A3747F">
      <w:pPr>
        <w:rPr>
          <w:rFonts w:cs="Arial"/>
          <w:bCs/>
        </w:rPr>
      </w:pPr>
    </w:p>
    <w:p w14:paraId="4A66B1C9" w14:textId="77777777" w:rsidR="004B3988" w:rsidRDefault="004B3988" w:rsidP="00A3747F">
      <w:pPr>
        <w:rPr>
          <w:rFonts w:cs="Arial"/>
          <w:bCs/>
        </w:rPr>
      </w:pPr>
    </w:p>
    <w:p w14:paraId="2B7D3C46" w14:textId="77777777" w:rsidR="00483541" w:rsidRPr="00483541" w:rsidRDefault="00483541" w:rsidP="00A3747F">
      <w:pPr>
        <w:rPr>
          <w:rFonts w:cs="Arial"/>
          <w:bCs/>
        </w:rPr>
      </w:pPr>
    </w:p>
    <w:p w14:paraId="4E057C31" w14:textId="1EB66B36" w:rsidR="00F40C0F" w:rsidRPr="00A55906" w:rsidRDefault="00D604A9" w:rsidP="00A65C89">
      <w:pPr>
        <w:pStyle w:val="Ttulo2"/>
      </w:pPr>
      <w:r>
        <w:lastRenderedPageBreak/>
        <w:t>2.</w:t>
      </w:r>
      <w:r w:rsidR="00F40C0F" w:rsidRPr="00A55906">
        <w:t>IX. Balance Presupuestario</w:t>
      </w:r>
    </w:p>
    <w:p w14:paraId="077DE981" w14:textId="77777777" w:rsidR="00A77C2D" w:rsidRDefault="00A77C2D" w:rsidP="00A3747F">
      <w:pPr>
        <w:autoSpaceDE w:val="0"/>
        <w:autoSpaceDN w:val="0"/>
        <w:adjustRightInd w:val="0"/>
        <w:rPr>
          <w:rFonts w:cs="Arial"/>
          <w:bCs/>
        </w:rPr>
      </w:pPr>
    </w:p>
    <w:p w14:paraId="437A4B34" w14:textId="3BD57889" w:rsidR="00F40C0F" w:rsidRPr="00A55906" w:rsidRDefault="00F40C0F" w:rsidP="00A3747F">
      <w:pPr>
        <w:autoSpaceDE w:val="0"/>
        <w:autoSpaceDN w:val="0"/>
        <w:adjustRightInd w:val="0"/>
        <w:rPr>
          <w:rFonts w:cs="Arial"/>
          <w:bCs/>
        </w:rPr>
      </w:pPr>
      <w:r w:rsidRPr="00A55906">
        <w:rPr>
          <w:rFonts w:cs="Arial"/>
          <w:bCs/>
        </w:rPr>
        <w:t>De acuerdo al artículo 2 fracción II y III, de la Ley de Disciplina Financiera de Entidades Federativas y los Municipios, el Balance Presupuestario y al Balance Presupuestario de Recursos Disponibles se define de la siguiente manera:</w:t>
      </w:r>
    </w:p>
    <w:p w14:paraId="45A3D6D8" w14:textId="77777777" w:rsidR="00F40C0F" w:rsidRPr="00A55906" w:rsidRDefault="00F40C0F" w:rsidP="00A3747F">
      <w:pPr>
        <w:autoSpaceDE w:val="0"/>
        <w:autoSpaceDN w:val="0"/>
        <w:adjustRightInd w:val="0"/>
        <w:rPr>
          <w:rFonts w:cs="Arial"/>
          <w:bCs/>
        </w:rPr>
      </w:pPr>
    </w:p>
    <w:p w14:paraId="3975E4DA" w14:textId="6437657D" w:rsidR="00F40C0F" w:rsidRPr="009F39B2" w:rsidRDefault="001539DC" w:rsidP="00A3747F">
      <w:pPr>
        <w:autoSpaceDE w:val="0"/>
        <w:autoSpaceDN w:val="0"/>
        <w:adjustRightInd w:val="0"/>
        <w:ind w:left="284" w:hanging="284"/>
        <w:rPr>
          <w:rFonts w:cs="Arial"/>
          <w:bCs/>
          <w:i/>
        </w:rPr>
      </w:pPr>
      <w:r w:rsidRPr="009F39B2">
        <w:rPr>
          <w:rFonts w:cs="Arial"/>
          <w:bCs/>
          <w:i/>
        </w:rPr>
        <w:t>“</w:t>
      </w:r>
      <w:r w:rsidR="00F40C0F" w:rsidRPr="009F39B2">
        <w:rPr>
          <w:rFonts w:cs="Arial"/>
          <w:bCs/>
          <w:i/>
        </w:rPr>
        <w:t>II. Balance presupuestario: la diferencia entre los Ingresos totales incluidos en la Ley de Ingresos, y los Gastos totales considerados en el Presupuesto de Egresos, con excepción de la amortización de la deuda;</w:t>
      </w:r>
    </w:p>
    <w:p w14:paraId="7AD94480" w14:textId="77777777" w:rsidR="00F40C0F" w:rsidRPr="009F39B2" w:rsidRDefault="00F40C0F" w:rsidP="00A3747F">
      <w:pPr>
        <w:autoSpaceDE w:val="0"/>
        <w:autoSpaceDN w:val="0"/>
        <w:adjustRightInd w:val="0"/>
        <w:ind w:left="284" w:hanging="284"/>
        <w:rPr>
          <w:rFonts w:cs="Arial"/>
          <w:bCs/>
          <w:i/>
        </w:rPr>
      </w:pPr>
    </w:p>
    <w:p w14:paraId="5490C3E6" w14:textId="3EA57B2C" w:rsidR="00F40C0F" w:rsidRPr="009F39B2" w:rsidRDefault="00F40C0F" w:rsidP="00A3747F">
      <w:pPr>
        <w:autoSpaceDE w:val="0"/>
        <w:autoSpaceDN w:val="0"/>
        <w:adjustRightInd w:val="0"/>
        <w:ind w:left="284" w:hanging="284"/>
        <w:rPr>
          <w:rFonts w:cs="Arial"/>
          <w:bCs/>
          <w:i/>
        </w:rPr>
      </w:pPr>
      <w:r w:rsidRPr="009F39B2">
        <w:rPr>
          <w:rFonts w:cs="Arial"/>
          <w:bCs/>
          <w:i/>
        </w:rPr>
        <w:t>III. Balance presupuestario de recursos disponibles: la diferencia entre los Ingresos de libre disposición, incluidos en la Ley de Ingresos, más el Financiamiento Neto y los Gastos no etiquetados considerados en el</w:t>
      </w:r>
      <w:r w:rsidR="001539DC" w:rsidRPr="009F39B2">
        <w:rPr>
          <w:rFonts w:cs="Arial"/>
          <w:bCs/>
          <w:i/>
        </w:rPr>
        <w:t xml:space="preserve"> </w:t>
      </w:r>
      <w:r w:rsidRPr="009F39B2">
        <w:rPr>
          <w:rFonts w:cs="Arial"/>
          <w:bCs/>
          <w:i/>
        </w:rPr>
        <w:t>Presupuesto de Egresos, con excepción de la amortización de la deuda…”</w:t>
      </w:r>
    </w:p>
    <w:p w14:paraId="50B8294B" w14:textId="77777777" w:rsidR="00F40C0F" w:rsidRPr="00A55906" w:rsidRDefault="00F40C0F" w:rsidP="00A3747F">
      <w:pPr>
        <w:autoSpaceDE w:val="0"/>
        <w:autoSpaceDN w:val="0"/>
        <w:adjustRightInd w:val="0"/>
        <w:rPr>
          <w:rFonts w:cs="Arial"/>
          <w:bCs/>
        </w:rPr>
      </w:pPr>
    </w:p>
    <w:p w14:paraId="4414FAD0" w14:textId="77777777" w:rsidR="00F40C0F" w:rsidRPr="00A55906" w:rsidRDefault="00F40C0F" w:rsidP="00A3747F">
      <w:pPr>
        <w:autoSpaceDE w:val="0"/>
        <w:autoSpaceDN w:val="0"/>
        <w:adjustRightInd w:val="0"/>
        <w:rPr>
          <w:rFonts w:cs="Arial"/>
          <w:bCs/>
        </w:rPr>
      </w:pPr>
      <w:r w:rsidRPr="00A55906">
        <w:rPr>
          <w:rFonts w:cs="Arial"/>
          <w:bCs/>
        </w:rPr>
        <w:t>No atender debidamente a lo que está ocurriendo en el escenario económico puede afectar la estabilidad fiscal en la forma de desbalances entre ingresos y gastos; y cuando estos desbalances son significativos y frecuentes en el tiempo se crea un ambiente de indisciplina fiscal.</w:t>
      </w:r>
    </w:p>
    <w:p w14:paraId="73E6CBDC" w14:textId="77777777" w:rsidR="00F40C0F" w:rsidRPr="00A55906" w:rsidRDefault="00F40C0F" w:rsidP="00A3747F">
      <w:pPr>
        <w:autoSpaceDE w:val="0"/>
        <w:autoSpaceDN w:val="0"/>
        <w:adjustRightInd w:val="0"/>
        <w:rPr>
          <w:rFonts w:cs="Arial"/>
          <w:bCs/>
        </w:rPr>
      </w:pPr>
    </w:p>
    <w:p w14:paraId="7827B001" w14:textId="4B482AE4" w:rsidR="00F40C0F" w:rsidRDefault="00F40C0F" w:rsidP="00A3747F">
      <w:pPr>
        <w:rPr>
          <w:rFonts w:cs="Arial"/>
          <w:bCs/>
        </w:rPr>
      </w:pPr>
      <w:r w:rsidRPr="00A55906">
        <w:rPr>
          <w:rFonts w:cs="Arial"/>
          <w:bCs/>
        </w:rPr>
        <w:t>En función de lo previsto en los Criterios para la elaboración y presentación homogénea de la información financiera y de los formatos a que hace referencia la Ley de Disciplina Financiera de las Entidades Federativas y los Municipios, emitidos por el CONAC; el formato 4 Balance Presupuestario–LDF se presentará en el ejercicio fiscal 202</w:t>
      </w:r>
      <w:r w:rsidR="004E303A" w:rsidRPr="00A55906">
        <w:rPr>
          <w:rFonts w:cs="Arial"/>
          <w:bCs/>
        </w:rPr>
        <w:t>3</w:t>
      </w:r>
      <w:r w:rsidRPr="00A55906">
        <w:rPr>
          <w:rFonts w:cs="Arial"/>
          <w:bCs/>
        </w:rPr>
        <w:t xml:space="preserve"> de forma trimestral, acumulando cada periodo del mismo, con la desagregación de la información financiera ocurrida entre el inicio y el final del periodo, así como de manera anual en la Cuenta Pública.</w:t>
      </w:r>
    </w:p>
    <w:p w14:paraId="2AA25594" w14:textId="77777777" w:rsidR="001539DC" w:rsidRPr="00A55906" w:rsidRDefault="001539DC" w:rsidP="00A3747F">
      <w:pPr>
        <w:rPr>
          <w:rFonts w:cs="Arial"/>
          <w:bCs/>
        </w:rPr>
      </w:pPr>
    </w:p>
    <w:p w14:paraId="25980496" w14:textId="21C87BBE" w:rsidR="00F40C0F" w:rsidRDefault="00F40C0F" w:rsidP="00A3747F">
      <w:pPr>
        <w:rPr>
          <w:rFonts w:cs="Arial"/>
          <w:bCs/>
        </w:rPr>
      </w:pPr>
      <w:r w:rsidRPr="00A55906">
        <w:rPr>
          <w:rFonts w:cs="Arial"/>
          <w:bCs/>
        </w:rPr>
        <w:t>De esta manera, para el ejercicio fiscal 202</w:t>
      </w:r>
      <w:r w:rsidR="004E303A" w:rsidRPr="00A55906">
        <w:rPr>
          <w:rFonts w:cs="Arial"/>
          <w:bCs/>
        </w:rPr>
        <w:t>3</w:t>
      </w:r>
      <w:r w:rsidRPr="00A55906">
        <w:rPr>
          <w:rFonts w:cs="Arial"/>
          <w:bCs/>
        </w:rPr>
        <w:t>, se prevé un balance presupuestario sostenible, toda vez que los ingresos totales contenidos en la Iniciativa de Ley con Proyecto de Decreto por la que se expide la Ley Ingresos del Estado de Colima para el Ejercicio Fiscal 202</w:t>
      </w:r>
      <w:r w:rsidR="004E303A" w:rsidRPr="00A55906">
        <w:rPr>
          <w:rFonts w:cs="Arial"/>
          <w:bCs/>
        </w:rPr>
        <w:t>3</w:t>
      </w:r>
      <w:r w:rsidRPr="00A55906">
        <w:rPr>
          <w:rFonts w:cs="Arial"/>
          <w:bCs/>
        </w:rPr>
        <w:t xml:space="preserve"> igualan a la totalidad de Gastos que se consideran en la presente Iniciativa con Proyecto de Decreto por la que se Expide el Presupuesto de Egresos del Estado de Colima para el Ejercicio Fiscal 202</w:t>
      </w:r>
      <w:r w:rsidR="00FB0301" w:rsidRPr="00A55906">
        <w:rPr>
          <w:rFonts w:cs="Arial"/>
          <w:bCs/>
        </w:rPr>
        <w:t>3</w:t>
      </w:r>
      <w:r w:rsidRPr="00A55906">
        <w:rPr>
          <w:rFonts w:cs="Arial"/>
          <w:bCs/>
        </w:rPr>
        <w:t>, como se muestra a continuación:</w:t>
      </w:r>
    </w:p>
    <w:p w14:paraId="233FE3BE" w14:textId="5449FEE5" w:rsidR="004B3988" w:rsidRDefault="004B3988" w:rsidP="00A3747F">
      <w:pPr>
        <w:rPr>
          <w:rFonts w:cs="Arial"/>
          <w:bCs/>
        </w:rPr>
      </w:pPr>
    </w:p>
    <w:p w14:paraId="35C48A6F" w14:textId="58E5C717" w:rsidR="004B3988" w:rsidRDefault="004B3988" w:rsidP="00A3747F">
      <w:pPr>
        <w:rPr>
          <w:rFonts w:cs="Arial"/>
          <w:bCs/>
        </w:rPr>
      </w:pPr>
    </w:p>
    <w:p w14:paraId="021394A7" w14:textId="1E0017E4" w:rsidR="004B3988" w:rsidRDefault="004B3988" w:rsidP="00A3747F">
      <w:pPr>
        <w:rPr>
          <w:rFonts w:cs="Arial"/>
          <w:bCs/>
        </w:rPr>
      </w:pPr>
    </w:p>
    <w:p w14:paraId="04A13A95" w14:textId="77777777" w:rsidR="004B3988" w:rsidRDefault="004B3988" w:rsidP="00A3747F">
      <w:pPr>
        <w:rPr>
          <w:rFonts w:cs="Arial"/>
          <w:bCs/>
        </w:rPr>
      </w:pPr>
    </w:p>
    <w:p w14:paraId="229B14C9" w14:textId="77777777" w:rsidR="004B3988" w:rsidRPr="00A55906" w:rsidRDefault="004B3988" w:rsidP="00A3747F">
      <w:pPr>
        <w:rPr>
          <w:rFonts w:cs="Arial"/>
          <w:bCs/>
        </w:rPr>
      </w:pPr>
    </w:p>
    <w:p w14:paraId="130B431D" w14:textId="77777777" w:rsidR="001539DC" w:rsidRDefault="001539DC" w:rsidP="00A3747F">
      <w:pPr>
        <w:rPr>
          <w:rFonts w:cs="Arial"/>
          <w:b/>
          <w:bCs/>
        </w:rPr>
      </w:pPr>
    </w:p>
    <w:tbl>
      <w:tblPr>
        <w:tblW w:w="5000" w:type="pct"/>
        <w:tblCellMar>
          <w:left w:w="70" w:type="dxa"/>
          <w:right w:w="70" w:type="dxa"/>
        </w:tblCellMar>
        <w:tblLook w:val="04A0" w:firstRow="1" w:lastRow="0" w:firstColumn="1" w:lastColumn="0" w:noHBand="0" w:noVBand="1"/>
      </w:tblPr>
      <w:tblGrid>
        <w:gridCol w:w="183"/>
        <w:gridCol w:w="7025"/>
        <w:gridCol w:w="1610"/>
      </w:tblGrid>
      <w:tr w:rsidR="0068149B" w:rsidRPr="0068149B" w14:paraId="54FA1A5A" w14:textId="77777777" w:rsidTr="004B3988">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000000" w:fill="DBDBDB"/>
            <w:vAlign w:val="center"/>
            <w:hideMark/>
          </w:tcPr>
          <w:p w14:paraId="424E680A" w14:textId="77777777" w:rsidR="0068149B" w:rsidRPr="0068149B" w:rsidRDefault="0068149B" w:rsidP="0068149B">
            <w:pPr>
              <w:jc w:val="center"/>
              <w:rPr>
                <w:rFonts w:eastAsia="Times New Roman" w:cs="Arial"/>
                <w:b/>
                <w:bCs/>
                <w:color w:val="000000"/>
                <w:sz w:val="28"/>
                <w:szCs w:val="28"/>
              </w:rPr>
            </w:pPr>
            <w:bookmarkStart w:id="0" w:name="RANGE!C2:E55"/>
            <w:r w:rsidRPr="0068149B">
              <w:rPr>
                <w:rFonts w:eastAsia="Times New Roman" w:cs="Arial"/>
                <w:b/>
                <w:bCs/>
                <w:color w:val="000000"/>
                <w:sz w:val="28"/>
                <w:szCs w:val="28"/>
              </w:rPr>
              <w:lastRenderedPageBreak/>
              <w:t>Gobierno del Estado de Colima</w:t>
            </w:r>
            <w:bookmarkEnd w:id="0"/>
          </w:p>
        </w:tc>
      </w:tr>
      <w:tr w:rsidR="0068149B" w:rsidRPr="0068149B" w14:paraId="2314DE44" w14:textId="77777777" w:rsidTr="004B3988">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000000" w:fill="DBDBDB"/>
            <w:vAlign w:val="center"/>
            <w:hideMark/>
          </w:tcPr>
          <w:p w14:paraId="19D1DCEB" w14:textId="77777777" w:rsidR="0068149B" w:rsidRPr="0068149B" w:rsidRDefault="0068149B" w:rsidP="0068149B">
            <w:pPr>
              <w:jc w:val="center"/>
              <w:rPr>
                <w:rFonts w:eastAsia="Times New Roman" w:cs="Arial"/>
                <w:b/>
                <w:bCs/>
                <w:color w:val="000000"/>
                <w:sz w:val="28"/>
                <w:szCs w:val="28"/>
              </w:rPr>
            </w:pPr>
            <w:r w:rsidRPr="0068149B">
              <w:rPr>
                <w:rFonts w:eastAsia="Times New Roman" w:cs="Arial"/>
                <w:b/>
                <w:bCs/>
                <w:color w:val="000000"/>
                <w:sz w:val="28"/>
                <w:szCs w:val="28"/>
              </w:rPr>
              <w:t>Balance Presupuestario - LDF                                                                                                Del 01 de enero al 31 de diciembre de 2023</w:t>
            </w:r>
          </w:p>
        </w:tc>
      </w:tr>
      <w:tr w:rsidR="0068149B" w:rsidRPr="0068149B" w14:paraId="71F1656D" w14:textId="77777777" w:rsidTr="004B3988">
        <w:trPr>
          <w:trHeight w:val="20"/>
        </w:trPr>
        <w:tc>
          <w:tcPr>
            <w:tcW w:w="5000" w:type="pct"/>
            <w:gridSpan w:val="3"/>
            <w:tcBorders>
              <w:top w:val="single" w:sz="8" w:space="0" w:color="auto"/>
              <w:left w:val="single" w:sz="8" w:space="0" w:color="auto"/>
              <w:bottom w:val="single" w:sz="8" w:space="0" w:color="auto"/>
              <w:right w:val="single" w:sz="8" w:space="0" w:color="auto"/>
            </w:tcBorders>
            <w:shd w:val="clear" w:color="000000" w:fill="DBDBDB"/>
            <w:vAlign w:val="center"/>
            <w:hideMark/>
          </w:tcPr>
          <w:p w14:paraId="729FA7B3" w14:textId="77777777" w:rsidR="0068149B" w:rsidRPr="0068149B" w:rsidRDefault="0068149B" w:rsidP="0068149B">
            <w:pPr>
              <w:jc w:val="center"/>
              <w:rPr>
                <w:rFonts w:eastAsia="Times New Roman" w:cs="Arial"/>
                <w:b/>
                <w:bCs/>
                <w:color w:val="000000"/>
                <w:sz w:val="20"/>
                <w:szCs w:val="20"/>
              </w:rPr>
            </w:pPr>
            <w:r w:rsidRPr="0068149B">
              <w:rPr>
                <w:rFonts w:eastAsia="Times New Roman" w:cs="Arial"/>
                <w:b/>
                <w:bCs/>
                <w:color w:val="000000"/>
                <w:sz w:val="20"/>
                <w:szCs w:val="20"/>
              </w:rPr>
              <w:t>(PESOS)</w:t>
            </w:r>
          </w:p>
        </w:tc>
      </w:tr>
      <w:tr w:rsidR="0068149B" w:rsidRPr="0068149B" w14:paraId="457AF782" w14:textId="77777777" w:rsidTr="004B3988">
        <w:trPr>
          <w:trHeight w:val="230"/>
        </w:trPr>
        <w:tc>
          <w:tcPr>
            <w:tcW w:w="445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54CCF9E9" w14:textId="77777777" w:rsidR="0068149B" w:rsidRPr="0068149B" w:rsidRDefault="0068149B" w:rsidP="0068149B">
            <w:pPr>
              <w:jc w:val="center"/>
              <w:rPr>
                <w:rFonts w:eastAsia="Times New Roman" w:cs="Arial"/>
                <w:b/>
                <w:bCs/>
                <w:color w:val="000000"/>
                <w:sz w:val="20"/>
                <w:szCs w:val="20"/>
              </w:rPr>
            </w:pPr>
            <w:r w:rsidRPr="0068149B">
              <w:rPr>
                <w:rFonts w:eastAsia="Times New Roman" w:cs="Arial"/>
                <w:b/>
                <w:bCs/>
                <w:color w:val="000000"/>
                <w:sz w:val="20"/>
                <w:szCs w:val="20"/>
              </w:rPr>
              <w:t>Concepto (c)</w:t>
            </w:r>
          </w:p>
        </w:tc>
        <w:tc>
          <w:tcPr>
            <w:tcW w:w="541" w:type="pct"/>
            <w:vMerge w:val="restart"/>
            <w:tcBorders>
              <w:top w:val="nil"/>
              <w:left w:val="single" w:sz="8" w:space="0" w:color="auto"/>
              <w:bottom w:val="single" w:sz="8" w:space="0" w:color="auto"/>
              <w:right w:val="single" w:sz="8" w:space="0" w:color="auto"/>
            </w:tcBorders>
            <w:shd w:val="clear" w:color="000000" w:fill="EDEDED"/>
            <w:vAlign w:val="center"/>
            <w:hideMark/>
          </w:tcPr>
          <w:p w14:paraId="569C4E76" w14:textId="77777777" w:rsidR="0068149B" w:rsidRPr="0068149B" w:rsidRDefault="0068149B" w:rsidP="0068149B">
            <w:pPr>
              <w:jc w:val="center"/>
              <w:rPr>
                <w:rFonts w:eastAsia="Times New Roman" w:cs="Arial"/>
                <w:b/>
                <w:bCs/>
                <w:color w:val="000000"/>
                <w:sz w:val="18"/>
                <w:szCs w:val="18"/>
              </w:rPr>
            </w:pPr>
            <w:r w:rsidRPr="0068149B">
              <w:rPr>
                <w:rFonts w:eastAsia="Times New Roman" w:cs="Arial"/>
                <w:b/>
                <w:bCs/>
                <w:color w:val="000000"/>
                <w:sz w:val="18"/>
                <w:szCs w:val="18"/>
              </w:rPr>
              <w:t>Estimado/ Aprobado</w:t>
            </w:r>
          </w:p>
        </w:tc>
      </w:tr>
      <w:tr w:rsidR="0068149B" w:rsidRPr="0068149B" w14:paraId="7E6BB03F" w14:textId="77777777" w:rsidTr="004B3988">
        <w:trPr>
          <w:trHeight w:val="433"/>
        </w:trPr>
        <w:tc>
          <w:tcPr>
            <w:tcW w:w="4459" w:type="pct"/>
            <w:gridSpan w:val="2"/>
            <w:vMerge/>
            <w:tcBorders>
              <w:top w:val="single" w:sz="8" w:space="0" w:color="auto"/>
              <w:left w:val="single" w:sz="8" w:space="0" w:color="auto"/>
              <w:bottom w:val="single" w:sz="8" w:space="0" w:color="auto"/>
              <w:right w:val="single" w:sz="8" w:space="0" w:color="auto"/>
            </w:tcBorders>
            <w:vAlign w:val="center"/>
            <w:hideMark/>
          </w:tcPr>
          <w:p w14:paraId="19760C9F" w14:textId="77777777" w:rsidR="0068149B" w:rsidRPr="0068149B" w:rsidRDefault="0068149B" w:rsidP="0068149B">
            <w:pPr>
              <w:jc w:val="left"/>
              <w:rPr>
                <w:rFonts w:eastAsia="Times New Roman" w:cs="Arial"/>
                <w:b/>
                <w:bCs/>
                <w:color w:val="000000"/>
                <w:sz w:val="20"/>
                <w:szCs w:val="20"/>
              </w:rPr>
            </w:pPr>
          </w:p>
        </w:tc>
        <w:tc>
          <w:tcPr>
            <w:tcW w:w="541" w:type="pct"/>
            <w:vMerge/>
            <w:tcBorders>
              <w:top w:val="nil"/>
              <w:left w:val="single" w:sz="8" w:space="0" w:color="auto"/>
              <w:bottom w:val="single" w:sz="8" w:space="0" w:color="auto"/>
              <w:right w:val="single" w:sz="8" w:space="0" w:color="auto"/>
            </w:tcBorders>
            <w:vAlign w:val="center"/>
            <w:hideMark/>
          </w:tcPr>
          <w:p w14:paraId="60CEF3CC" w14:textId="77777777" w:rsidR="0068149B" w:rsidRPr="0068149B" w:rsidRDefault="0068149B" w:rsidP="0068149B">
            <w:pPr>
              <w:jc w:val="left"/>
              <w:rPr>
                <w:rFonts w:eastAsia="Times New Roman" w:cs="Arial"/>
                <w:b/>
                <w:bCs/>
                <w:color w:val="000000"/>
                <w:sz w:val="18"/>
                <w:szCs w:val="18"/>
              </w:rPr>
            </w:pPr>
          </w:p>
        </w:tc>
      </w:tr>
      <w:tr w:rsidR="0068149B" w:rsidRPr="0068149B" w14:paraId="390FB695"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04556A9C"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5BE790C0"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A. Ingresos Totales (A = A1+A2+A3)</w:t>
            </w:r>
          </w:p>
        </w:tc>
        <w:tc>
          <w:tcPr>
            <w:tcW w:w="541" w:type="pct"/>
            <w:tcBorders>
              <w:top w:val="nil"/>
              <w:left w:val="nil"/>
              <w:bottom w:val="single" w:sz="8" w:space="0" w:color="auto"/>
              <w:right w:val="single" w:sz="8" w:space="0" w:color="auto"/>
            </w:tcBorders>
            <w:shd w:val="clear" w:color="000000" w:fill="FFFFFF"/>
            <w:vAlign w:val="center"/>
            <w:hideMark/>
          </w:tcPr>
          <w:p w14:paraId="5DA90AC9"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20,251,233,083.0</w:t>
            </w:r>
          </w:p>
        </w:tc>
      </w:tr>
      <w:tr w:rsidR="0068149B" w:rsidRPr="0068149B" w14:paraId="7B5786D5"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2ADC4BBF"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60529B27"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A1. Ingresos de Libre Disposición</w:t>
            </w:r>
          </w:p>
        </w:tc>
        <w:tc>
          <w:tcPr>
            <w:tcW w:w="541" w:type="pct"/>
            <w:tcBorders>
              <w:top w:val="nil"/>
              <w:left w:val="nil"/>
              <w:bottom w:val="single" w:sz="8" w:space="0" w:color="auto"/>
              <w:right w:val="single" w:sz="8" w:space="0" w:color="auto"/>
            </w:tcBorders>
            <w:shd w:val="clear" w:color="000000" w:fill="FFFFFF"/>
            <w:vAlign w:val="center"/>
            <w:hideMark/>
          </w:tcPr>
          <w:p w14:paraId="5C170CEB"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9,500,677,932.0</w:t>
            </w:r>
          </w:p>
        </w:tc>
      </w:tr>
      <w:tr w:rsidR="0068149B" w:rsidRPr="0068149B" w14:paraId="2C44E9FB"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67DC960F"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1475A0E2"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A2. Transferencias Federales Etiquetadas</w:t>
            </w:r>
          </w:p>
        </w:tc>
        <w:tc>
          <w:tcPr>
            <w:tcW w:w="541" w:type="pct"/>
            <w:tcBorders>
              <w:top w:val="nil"/>
              <w:left w:val="nil"/>
              <w:bottom w:val="single" w:sz="8" w:space="0" w:color="auto"/>
              <w:right w:val="single" w:sz="8" w:space="0" w:color="auto"/>
            </w:tcBorders>
            <w:shd w:val="clear" w:color="000000" w:fill="FFFFFF"/>
            <w:vAlign w:val="center"/>
            <w:hideMark/>
          </w:tcPr>
          <w:p w14:paraId="7FA9B2FF"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10,861,718,232.0</w:t>
            </w:r>
          </w:p>
        </w:tc>
      </w:tr>
      <w:tr w:rsidR="0068149B" w:rsidRPr="0068149B" w14:paraId="55595285"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6AD11A12"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72E22736"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A3. Financiamiento Neto</w:t>
            </w:r>
          </w:p>
        </w:tc>
        <w:tc>
          <w:tcPr>
            <w:tcW w:w="541" w:type="pct"/>
            <w:tcBorders>
              <w:top w:val="nil"/>
              <w:left w:val="nil"/>
              <w:bottom w:val="single" w:sz="8" w:space="0" w:color="auto"/>
              <w:right w:val="single" w:sz="8" w:space="0" w:color="auto"/>
            </w:tcBorders>
            <w:shd w:val="clear" w:color="000000" w:fill="FFFFFF"/>
            <w:vAlign w:val="center"/>
            <w:hideMark/>
          </w:tcPr>
          <w:p w14:paraId="69073A6D"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-111,163,081.0</w:t>
            </w:r>
          </w:p>
        </w:tc>
      </w:tr>
      <w:tr w:rsidR="0068149B" w:rsidRPr="0068149B" w14:paraId="04C69B45"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5EBF99DF"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777EECE1"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B. Egresos Presupuestarios (B = B1+B2)</w:t>
            </w:r>
          </w:p>
        </w:tc>
        <w:tc>
          <w:tcPr>
            <w:tcW w:w="541" w:type="pct"/>
            <w:tcBorders>
              <w:top w:val="nil"/>
              <w:left w:val="nil"/>
              <w:bottom w:val="single" w:sz="8" w:space="0" w:color="auto"/>
              <w:right w:val="single" w:sz="8" w:space="0" w:color="auto"/>
            </w:tcBorders>
            <w:shd w:val="clear" w:color="000000" w:fill="FFFFFF"/>
            <w:vAlign w:val="center"/>
            <w:hideMark/>
          </w:tcPr>
          <w:p w14:paraId="5B527104"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20,251,233,083.0</w:t>
            </w:r>
          </w:p>
        </w:tc>
      </w:tr>
      <w:tr w:rsidR="0068149B" w:rsidRPr="0068149B" w14:paraId="6D1015C4"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523F605C"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64608F66"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B1. Gasto No Etiquetado (sin incluir Amortización de la Deuda Pública)</w:t>
            </w:r>
          </w:p>
        </w:tc>
        <w:tc>
          <w:tcPr>
            <w:tcW w:w="541" w:type="pct"/>
            <w:tcBorders>
              <w:top w:val="nil"/>
              <w:left w:val="nil"/>
              <w:bottom w:val="single" w:sz="8" w:space="0" w:color="auto"/>
              <w:right w:val="single" w:sz="8" w:space="0" w:color="auto"/>
            </w:tcBorders>
            <w:shd w:val="clear" w:color="000000" w:fill="FFFFFF"/>
            <w:vAlign w:val="center"/>
            <w:hideMark/>
          </w:tcPr>
          <w:p w14:paraId="676A1E0F"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9,494,406,993.0</w:t>
            </w:r>
          </w:p>
        </w:tc>
      </w:tr>
      <w:tr w:rsidR="0068149B" w:rsidRPr="0068149B" w14:paraId="3963B6BE"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1D1FE4C2"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6B97B752"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 xml:space="preserve">B2. Gasto Etiquetado (sin incluir Amortización de la Deuda Pública)  </w:t>
            </w:r>
          </w:p>
        </w:tc>
        <w:tc>
          <w:tcPr>
            <w:tcW w:w="541" w:type="pct"/>
            <w:tcBorders>
              <w:top w:val="nil"/>
              <w:left w:val="nil"/>
              <w:bottom w:val="single" w:sz="8" w:space="0" w:color="auto"/>
              <w:right w:val="single" w:sz="8" w:space="0" w:color="auto"/>
            </w:tcBorders>
            <w:shd w:val="clear" w:color="000000" w:fill="FFFFFF"/>
            <w:vAlign w:val="center"/>
            <w:hideMark/>
          </w:tcPr>
          <w:p w14:paraId="3660C49E"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10,756,826,090.0</w:t>
            </w:r>
          </w:p>
        </w:tc>
      </w:tr>
      <w:tr w:rsidR="0068149B" w:rsidRPr="0068149B" w14:paraId="4B833C5C"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41666C97"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1160C755"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C. Remanentes del Ejercicio Anterior (C=C1+C2)</w:t>
            </w:r>
          </w:p>
        </w:tc>
        <w:tc>
          <w:tcPr>
            <w:tcW w:w="541" w:type="pct"/>
            <w:tcBorders>
              <w:top w:val="nil"/>
              <w:left w:val="nil"/>
              <w:bottom w:val="single" w:sz="8" w:space="0" w:color="auto"/>
              <w:right w:val="single" w:sz="8" w:space="0" w:color="auto"/>
            </w:tcBorders>
            <w:shd w:val="clear" w:color="000000" w:fill="FFFFFF"/>
            <w:vAlign w:val="center"/>
            <w:hideMark/>
          </w:tcPr>
          <w:p w14:paraId="48CBBFA0"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0.0</w:t>
            </w:r>
          </w:p>
        </w:tc>
      </w:tr>
      <w:tr w:rsidR="0068149B" w:rsidRPr="0068149B" w14:paraId="712E21EA"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04AF6A18"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5885D7EF"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C1. Remanentes de Ingresos de Libre Disposición aplicados en el periodo</w:t>
            </w:r>
          </w:p>
        </w:tc>
        <w:tc>
          <w:tcPr>
            <w:tcW w:w="541" w:type="pct"/>
            <w:tcBorders>
              <w:top w:val="nil"/>
              <w:left w:val="nil"/>
              <w:bottom w:val="single" w:sz="8" w:space="0" w:color="auto"/>
              <w:right w:val="single" w:sz="8" w:space="0" w:color="auto"/>
            </w:tcBorders>
            <w:shd w:val="clear" w:color="000000" w:fill="FFFFFF"/>
            <w:vAlign w:val="center"/>
            <w:hideMark/>
          </w:tcPr>
          <w:p w14:paraId="21B9D507"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0.0</w:t>
            </w:r>
          </w:p>
        </w:tc>
      </w:tr>
      <w:tr w:rsidR="0068149B" w:rsidRPr="0068149B" w14:paraId="5D7D32FD"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11D80CF1"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287521A4"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C2. Remanentes de Transferencias Federales Etiquetadas aplicados en el periodo</w:t>
            </w:r>
          </w:p>
        </w:tc>
        <w:tc>
          <w:tcPr>
            <w:tcW w:w="541" w:type="pct"/>
            <w:tcBorders>
              <w:top w:val="nil"/>
              <w:left w:val="nil"/>
              <w:bottom w:val="single" w:sz="8" w:space="0" w:color="auto"/>
              <w:right w:val="single" w:sz="8" w:space="0" w:color="auto"/>
            </w:tcBorders>
            <w:shd w:val="clear" w:color="000000" w:fill="FFFFFF"/>
            <w:vAlign w:val="center"/>
            <w:hideMark/>
          </w:tcPr>
          <w:p w14:paraId="30984AE0"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0.0</w:t>
            </w:r>
          </w:p>
        </w:tc>
      </w:tr>
      <w:tr w:rsidR="0068149B" w:rsidRPr="0068149B" w14:paraId="382B0674"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2719F5EB"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29FC0254"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I. Balance Presupuestario (I = A – B + C)</w:t>
            </w:r>
          </w:p>
        </w:tc>
        <w:tc>
          <w:tcPr>
            <w:tcW w:w="541" w:type="pct"/>
            <w:tcBorders>
              <w:top w:val="nil"/>
              <w:left w:val="nil"/>
              <w:bottom w:val="single" w:sz="8" w:space="0" w:color="auto"/>
              <w:right w:val="single" w:sz="8" w:space="0" w:color="auto"/>
            </w:tcBorders>
            <w:shd w:val="clear" w:color="000000" w:fill="FFFFFF"/>
            <w:vAlign w:val="center"/>
            <w:hideMark/>
          </w:tcPr>
          <w:p w14:paraId="43F20EB5"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0.0</w:t>
            </w:r>
          </w:p>
        </w:tc>
      </w:tr>
      <w:tr w:rsidR="0068149B" w:rsidRPr="0068149B" w14:paraId="251B8EC7"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65A35BAB"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47008C8E"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II. Balance Presupuestario sin Financiamiento Neto (II = I - A3)</w:t>
            </w:r>
          </w:p>
        </w:tc>
        <w:tc>
          <w:tcPr>
            <w:tcW w:w="541" w:type="pct"/>
            <w:tcBorders>
              <w:top w:val="nil"/>
              <w:left w:val="nil"/>
              <w:bottom w:val="single" w:sz="8" w:space="0" w:color="auto"/>
              <w:right w:val="single" w:sz="8" w:space="0" w:color="auto"/>
            </w:tcBorders>
            <w:shd w:val="clear" w:color="000000" w:fill="FFFFFF"/>
            <w:vAlign w:val="center"/>
            <w:hideMark/>
          </w:tcPr>
          <w:p w14:paraId="7B1D10D4"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111,163,081.0</w:t>
            </w:r>
          </w:p>
        </w:tc>
      </w:tr>
      <w:tr w:rsidR="0068149B" w:rsidRPr="0068149B" w14:paraId="51269FE3"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2D412237"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36CA5B1E"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III. Balance Presupuestario sin Financiamiento Neto y sin Remanentes del Ejercicio Anterior (III= II - C)</w:t>
            </w:r>
          </w:p>
        </w:tc>
        <w:tc>
          <w:tcPr>
            <w:tcW w:w="541" w:type="pct"/>
            <w:tcBorders>
              <w:top w:val="nil"/>
              <w:left w:val="nil"/>
              <w:bottom w:val="single" w:sz="8" w:space="0" w:color="auto"/>
              <w:right w:val="single" w:sz="8" w:space="0" w:color="auto"/>
            </w:tcBorders>
            <w:shd w:val="clear" w:color="000000" w:fill="FFFFFF"/>
            <w:vAlign w:val="center"/>
            <w:hideMark/>
          </w:tcPr>
          <w:p w14:paraId="0C165E26"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111,163,081.0</w:t>
            </w:r>
          </w:p>
        </w:tc>
      </w:tr>
      <w:tr w:rsidR="0068149B" w:rsidRPr="0068149B" w14:paraId="40105BC4" w14:textId="77777777" w:rsidTr="004B3988">
        <w:trPr>
          <w:trHeight w:val="207"/>
        </w:trPr>
        <w:tc>
          <w:tcPr>
            <w:tcW w:w="445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51D09743" w14:textId="77777777" w:rsidR="0068149B" w:rsidRPr="0068149B" w:rsidRDefault="0068149B" w:rsidP="0068149B">
            <w:pPr>
              <w:jc w:val="center"/>
              <w:rPr>
                <w:rFonts w:eastAsia="Times New Roman" w:cs="Arial"/>
                <w:b/>
                <w:bCs/>
                <w:color w:val="000000"/>
                <w:sz w:val="18"/>
                <w:szCs w:val="18"/>
              </w:rPr>
            </w:pPr>
            <w:r w:rsidRPr="0068149B">
              <w:rPr>
                <w:rFonts w:eastAsia="Times New Roman" w:cs="Arial"/>
                <w:b/>
                <w:bCs/>
                <w:color w:val="000000"/>
                <w:sz w:val="18"/>
                <w:szCs w:val="18"/>
              </w:rPr>
              <w:t>Concepto (c)</w:t>
            </w:r>
          </w:p>
        </w:tc>
        <w:tc>
          <w:tcPr>
            <w:tcW w:w="541" w:type="pct"/>
            <w:vMerge w:val="restart"/>
            <w:tcBorders>
              <w:top w:val="nil"/>
              <w:left w:val="single" w:sz="8" w:space="0" w:color="auto"/>
              <w:bottom w:val="single" w:sz="8" w:space="0" w:color="auto"/>
              <w:right w:val="single" w:sz="8" w:space="0" w:color="auto"/>
            </w:tcBorders>
            <w:shd w:val="clear" w:color="000000" w:fill="EDEDED"/>
            <w:vAlign w:val="center"/>
            <w:hideMark/>
          </w:tcPr>
          <w:p w14:paraId="4A47D056" w14:textId="77777777" w:rsidR="0068149B" w:rsidRPr="0068149B" w:rsidRDefault="0068149B" w:rsidP="0068149B">
            <w:pPr>
              <w:jc w:val="center"/>
              <w:rPr>
                <w:rFonts w:eastAsia="Times New Roman" w:cs="Arial"/>
                <w:b/>
                <w:bCs/>
                <w:color w:val="000000"/>
                <w:sz w:val="18"/>
                <w:szCs w:val="18"/>
              </w:rPr>
            </w:pPr>
            <w:r w:rsidRPr="0068149B">
              <w:rPr>
                <w:rFonts w:eastAsia="Times New Roman" w:cs="Arial"/>
                <w:b/>
                <w:bCs/>
                <w:color w:val="000000"/>
                <w:sz w:val="18"/>
                <w:szCs w:val="18"/>
              </w:rPr>
              <w:t>Estimado/ Aprobado</w:t>
            </w:r>
          </w:p>
        </w:tc>
      </w:tr>
      <w:tr w:rsidR="0068149B" w:rsidRPr="0068149B" w14:paraId="5D738CC0" w14:textId="77777777" w:rsidTr="004B3988">
        <w:trPr>
          <w:trHeight w:val="433"/>
        </w:trPr>
        <w:tc>
          <w:tcPr>
            <w:tcW w:w="4459" w:type="pct"/>
            <w:gridSpan w:val="2"/>
            <w:vMerge/>
            <w:tcBorders>
              <w:top w:val="single" w:sz="8" w:space="0" w:color="auto"/>
              <w:left w:val="single" w:sz="8" w:space="0" w:color="auto"/>
              <w:bottom w:val="single" w:sz="8" w:space="0" w:color="auto"/>
              <w:right w:val="single" w:sz="8" w:space="0" w:color="auto"/>
            </w:tcBorders>
            <w:vAlign w:val="center"/>
            <w:hideMark/>
          </w:tcPr>
          <w:p w14:paraId="4E9D56F4" w14:textId="77777777" w:rsidR="0068149B" w:rsidRPr="0068149B" w:rsidRDefault="0068149B" w:rsidP="0068149B">
            <w:pPr>
              <w:jc w:val="left"/>
              <w:rPr>
                <w:rFonts w:eastAsia="Times New Roman" w:cs="Arial"/>
                <w:b/>
                <w:bCs/>
                <w:color w:val="000000"/>
                <w:sz w:val="18"/>
                <w:szCs w:val="18"/>
              </w:rPr>
            </w:pPr>
          </w:p>
        </w:tc>
        <w:tc>
          <w:tcPr>
            <w:tcW w:w="541" w:type="pct"/>
            <w:vMerge/>
            <w:tcBorders>
              <w:top w:val="nil"/>
              <w:left w:val="single" w:sz="8" w:space="0" w:color="auto"/>
              <w:bottom w:val="single" w:sz="8" w:space="0" w:color="auto"/>
              <w:right w:val="single" w:sz="8" w:space="0" w:color="auto"/>
            </w:tcBorders>
            <w:vAlign w:val="center"/>
            <w:hideMark/>
          </w:tcPr>
          <w:p w14:paraId="051DA5F0" w14:textId="77777777" w:rsidR="0068149B" w:rsidRPr="0068149B" w:rsidRDefault="0068149B" w:rsidP="0068149B">
            <w:pPr>
              <w:jc w:val="left"/>
              <w:rPr>
                <w:rFonts w:eastAsia="Times New Roman" w:cs="Arial"/>
                <w:b/>
                <w:bCs/>
                <w:color w:val="000000"/>
                <w:sz w:val="18"/>
                <w:szCs w:val="18"/>
              </w:rPr>
            </w:pPr>
          </w:p>
        </w:tc>
      </w:tr>
      <w:tr w:rsidR="0068149B" w:rsidRPr="0068149B" w14:paraId="02906010" w14:textId="77777777" w:rsidTr="004B3988">
        <w:trPr>
          <w:trHeight w:val="20"/>
        </w:trPr>
        <w:tc>
          <w:tcPr>
            <w:tcW w:w="2631" w:type="pct"/>
            <w:tcBorders>
              <w:top w:val="nil"/>
              <w:left w:val="single" w:sz="8" w:space="0" w:color="auto"/>
              <w:bottom w:val="single" w:sz="8" w:space="0" w:color="auto"/>
              <w:right w:val="nil"/>
            </w:tcBorders>
            <w:shd w:val="clear" w:color="auto" w:fill="auto"/>
            <w:noWrap/>
            <w:vAlign w:val="center"/>
            <w:hideMark/>
          </w:tcPr>
          <w:p w14:paraId="34EB942B"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auto" w:fill="auto"/>
            <w:vAlign w:val="center"/>
            <w:hideMark/>
          </w:tcPr>
          <w:p w14:paraId="4C9FF71C"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E. Intereses, Comisiones y Gastos de la Deuda (E = E1+E2)</w:t>
            </w:r>
          </w:p>
        </w:tc>
        <w:tc>
          <w:tcPr>
            <w:tcW w:w="541" w:type="pct"/>
            <w:tcBorders>
              <w:top w:val="nil"/>
              <w:left w:val="nil"/>
              <w:bottom w:val="single" w:sz="8" w:space="0" w:color="auto"/>
              <w:right w:val="single" w:sz="8" w:space="0" w:color="auto"/>
            </w:tcBorders>
            <w:shd w:val="clear" w:color="auto" w:fill="auto"/>
            <w:vAlign w:val="center"/>
            <w:hideMark/>
          </w:tcPr>
          <w:p w14:paraId="2FD7BD92"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425,819,373.0</w:t>
            </w:r>
          </w:p>
        </w:tc>
      </w:tr>
      <w:tr w:rsidR="0068149B" w:rsidRPr="0068149B" w14:paraId="066FD0BE" w14:textId="77777777" w:rsidTr="004B3988">
        <w:trPr>
          <w:trHeight w:val="20"/>
        </w:trPr>
        <w:tc>
          <w:tcPr>
            <w:tcW w:w="2631" w:type="pct"/>
            <w:tcBorders>
              <w:top w:val="nil"/>
              <w:left w:val="single" w:sz="8" w:space="0" w:color="auto"/>
              <w:bottom w:val="single" w:sz="8" w:space="0" w:color="auto"/>
              <w:right w:val="nil"/>
            </w:tcBorders>
            <w:shd w:val="clear" w:color="auto" w:fill="auto"/>
            <w:noWrap/>
            <w:vAlign w:val="center"/>
            <w:hideMark/>
          </w:tcPr>
          <w:p w14:paraId="77C1E701"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auto" w:fill="auto"/>
            <w:vAlign w:val="center"/>
            <w:hideMark/>
          </w:tcPr>
          <w:p w14:paraId="64C7FD1C"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E1. Intereses, Comisiones y Gastos de la Deuda con Gasto No Etiquetado</w:t>
            </w:r>
          </w:p>
        </w:tc>
        <w:tc>
          <w:tcPr>
            <w:tcW w:w="541" w:type="pct"/>
            <w:tcBorders>
              <w:top w:val="nil"/>
              <w:left w:val="nil"/>
              <w:bottom w:val="single" w:sz="8" w:space="0" w:color="auto"/>
              <w:right w:val="single" w:sz="8" w:space="0" w:color="auto"/>
            </w:tcBorders>
            <w:shd w:val="clear" w:color="auto" w:fill="auto"/>
            <w:vAlign w:val="center"/>
            <w:hideMark/>
          </w:tcPr>
          <w:p w14:paraId="674613BB"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183,779,281.0</w:t>
            </w:r>
          </w:p>
        </w:tc>
      </w:tr>
      <w:tr w:rsidR="0068149B" w:rsidRPr="0068149B" w14:paraId="17DF246D" w14:textId="77777777" w:rsidTr="004B3988">
        <w:trPr>
          <w:trHeight w:val="20"/>
        </w:trPr>
        <w:tc>
          <w:tcPr>
            <w:tcW w:w="2631" w:type="pct"/>
            <w:tcBorders>
              <w:top w:val="nil"/>
              <w:left w:val="single" w:sz="8" w:space="0" w:color="auto"/>
              <w:bottom w:val="single" w:sz="8" w:space="0" w:color="auto"/>
              <w:right w:val="nil"/>
            </w:tcBorders>
            <w:shd w:val="clear" w:color="auto" w:fill="auto"/>
            <w:noWrap/>
            <w:vAlign w:val="center"/>
            <w:hideMark/>
          </w:tcPr>
          <w:p w14:paraId="0AA7BA68"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auto" w:fill="auto"/>
            <w:vAlign w:val="center"/>
            <w:hideMark/>
          </w:tcPr>
          <w:p w14:paraId="5FA6CFCB"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E2. Intereses, Comisiones y Gastos de la Deuda con Gasto Etiquetado</w:t>
            </w:r>
          </w:p>
        </w:tc>
        <w:tc>
          <w:tcPr>
            <w:tcW w:w="541" w:type="pct"/>
            <w:tcBorders>
              <w:top w:val="nil"/>
              <w:left w:val="nil"/>
              <w:bottom w:val="single" w:sz="8" w:space="0" w:color="auto"/>
              <w:right w:val="single" w:sz="8" w:space="0" w:color="auto"/>
            </w:tcBorders>
            <w:shd w:val="clear" w:color="auto" w:fill="auto"/>
            <w:vAlign w:val="center"/>
            <w:hideMark/>
          </w:tcPr>
          <w:p w14:paraId="1D7E7870"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242,040,092.0</w:t>
            </w:r>
          </w:p>
        </w:tc>
      </w:tr>
      <w:tr w:rsidR="0068149B" w:rsidRPr="0068149B" w14:paraId="07273A10" w14:textId="77777777" w:rsidTr="004B3988">
        <w:trPr>
          <w:trHeight w:val="20"/>
        </w:trPr>
        <w:tc>
          <w:tcPr>
            <w:tcW w:w="2631" w:type="pct"/>
            <w:tcBorders>
              <w:top w:val="nil"/>
              <w:left w:val="single" w:sz="8" w:space="0" w:color="auto"/>
              <w:bottom w:val="single" w:sz="8" w:space="0" w:color="auto"/>
              <w:right w:val="nil"/>
            </w:tcBorders>
            <w:shd w:val="clear" w:color="auto" w:fill="auto"/>
            <w:vAlign w:val="center"/>
            <w:hideMark/>
          </w:tcPr>
          <w:p w14:paraId="668524DD"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auto" w:fill="auto"/>
            <w:vAlign w:val="center"/>
            <w:hideMark/>
          </w:tcPr>
          <w:p w14:paraId="1CE42620"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IV. Balance Primario (IV = III + E)</w:t>
            </w:r>
          </w:p>
        </w:tc>
        <w:tc>
          <w:tcPr>
            <w:tcW w:w="541" w:type="pct"/>
            <w:tcBorders>
              <w:top w:val="nil"/>
              <w:left w:val="nil"/>
              <w:bottom w:val="single" w:sz="8" w:space="0" w:color="auto"/>
              <w:right w:val="single" w:sz="8" w:space="0" w:color="auto"/>
            </w:tcBorders>
            <w:shd w:val="clear" w:color="auto" w:fill="auto"/>
            <w:vAlign w:val="center"/>
            <w:hideMark/>
          </w:tcPr>
          <w:p w14:paraId="77976C6B" w14:textId="77777777" w:rsidR="0068149B" w:rsidRPr="0068149B" w:rsidRDefault="0068149B" w:rsidP="0068149B">
            <w:pPr>
              <w:jc w:val="right"/>
              <w:rPr>
                <w:rFonts w:eastAsia="Times New Roman" w:cs="Arial"/>
                <w:b/>
                <w:bCs/>
                <w:sz w:val="18"/>
                <w:szCs w:val="18"/>
              </w:rPr>
            </w:pPr>
            <w:r w:rsidRPr="0068149B">
              <w:rPr>
                <w:rFonts w:eastAsia="Times New Roman" w:cs="Arial"/>
                <w:b/>
                <w:bCs/>
                <w:sz w:val="18"/>
                <w:szCs w:val="18"/>
              </w:rPr>
              <w:t>536,982,454.0</w:t>
            </w:r>
          </w:p>
        </w:tc>
      </w:tr>
      <w:tr w:rsidR="0068149B" w:rsidRPr="0068149B" w14:paraId="15BF5F2B" w14:textId="77777777" w:rsidTr="004B3988">
        <w:trPr>
          <w:trHeight w:val="207"/>
        </w:trPr>
        <w:tc>
          <w:tcPr>
            <w:tcW w:w="445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06EB2E97" w14:textId="77777777" w:rsidR="0068149B" w:rsidRPr="0068149B" w:rsidRDefault="0068149B" w:rsidP="0068149B">
            <w:pPr>
              <w:jc w:val="center"/>
              <w:rPr>
                <w:rFonts w:eastAsia="Times New Roman" w:cs="Arial"/>
                <w:b/>
                <w:bCs/>
                <w:color w:val="000000"/>
                <w:sz w:val="18"/>
                <w:szCs w:val="18"/>
              </w:rPr>
            </w:pPr>
            <w:r w:rsidRPr="0068149B">
              <w:rPr>
                <w:rFonts w:eastAsia="Times New Roman" w:cs="Arial"/>
                <w:b/>
                <w:bCs/>
                <w:color w:val="000000"/>
                <w:sz w:val="18"/>
                <w:szCs w:val="18"/>
              </w:rPr>
              <w:t>Concepto (c)</w:t>
            </w:r>
          </w:p>
        </w:tc>
        <w:tc>
          <w:tcPr>
            <w:tcW w:w="541" w:type="pct"/>
            <w:vMerge w:val="restart"/>
            <w:tcBorders>
              <w:top w:val="nil"/>
              <w:left w:val="single" w:sz="8" w:space="0" w:color="auto"/>
              <w:bottom w:val="single" w:sz="8" w:space="0" w:color="auto"/>
              <w:right w:val="single" w:sz="8" w:space="0" w:color="auto"/>
            </w:tcBorders>
            <w:shd w:val="clear" w:color="000000" w:fill="EDEDED"/>
            <w:vAlign w:val="center"/>
            <w:hideMark/>
          </w:tcPr>
          <w:p w14:paraId="076701DE" w14:textId="77777777" w:rsidR="0068149B" w:rsidRPr="0068149B" w:rsidRDefault="0068149B" w:rsidP="0068149B">
            <w:pPr>
              <w:jc w:val="center"/>
              <w:rPr>
                <w:rFonts w:eastAsia="Times New Roman" w:cs="Arial"/>
                <w:b/>
                <w:bCs/>
                <w:color w:val="000000"/>
                <w:sz w:val="18"/>
                <w:szCs w:val="18"/>
              </w:rPr>
            </w:pPr>
            <w:r w:rsidRPr="0068149B">
              <w:rPr>
                <w:rFonts w:eastAsia="Times New Roman" w:cs="Arial"/>
                <w:b/>
                <w:bCs/>
                <w:color w:val="000000"/>
                <w:sz w:val="18"/>
                <w:szCs w:val="18"/>
              </w:rPr>
              <w:t>Estimado/ Aprobado</w:t>
            </w:r>
          </w:p>
        </w:tc>
      </w:tr>
      <w:tr w:rsidR="0068149B" w:rsidRPr="0068149B" w14:paraId="20BCE066" w14:textId="77777777" w:rsidTr="004B3988">
        <w:trPr>
          <w:trHeight w:val="433"/>
        </w:trPr>
        <w:tc>
          <w:tcPr>
            <w:tcW w:w="4459" w:type="pct"/>
            <w:gridSpan w:val="2"/>
            <w:vMerge/>
            <w:tcBorders>
              <w:top w:val="single" w:sz="8" w:space="0" w:color="auto"/>
              <w:left w:val="single" w:sz="8" w:space="0" w:color="auto"/>
              <w:bottom w:val="single" w:sz="8" w:space="0" w:color="auto"/>
              <w:right w:val="single" w:sz="8" w:space="0" w:color="auto"/>
            </w:tcBorders>
            <w:vAlign w:val="center"/>
            <w:hideMark/>
          </w:tcPr>
          <w:p w14:paraId="69B2ACF7" w14:textId="77777777" w:rsidR="0068149B" w:rsidRPr="0068149B" w:rsidRDefault="0068149B" w:rsidP="0068149B">
            <w:pPr>
              <w:jc w:val="left"/>
              <w:rPr>
                <w:rFonts w:eastAsia="Times New Roman" w:cs="Arial"/>
                <w:b/>
                <w:bCs/>
                <w:color w:val="000000"/>
                <w:sz w:val="18"/>
                <w:szCs w:val="18"/>
              </w:rPr>
            </w:pPr>
          </w:p>
        </w:tc>
        <w:tc>
          <w:tcPr>
            <w:tcW w:w="541" w:type="pct"/>
            <w:vMerge/>
            <w:tcBorders>
              <w:top w:val="nil"/>
              <w:left w:val="single" w:sz="8" w:space="0" w:color="auto"/>
              <w:bottom w:val="single" w:sz="8" w:space="0" w:color="auto"/>
              <w:right w:val="single" w:sz="8" w:space="0" w:color="auto"/>
            </w:tcBorders>
            <w:vAlign w:val="center"/>
            <w:hideMark/>
          </w:tcPr>
          <w:p w14:paraId="06A2705A" w14:textId="77777777" w:rsidR="0068149B" w:rsidRPr="0068149B" w:rsidRDefault="0068149B" w:rsidP="0068149B">
            <w:pPr>
              <w:jc w:val="left"/>
              <w:rPr>
                <w:rFonts w:eastAsia="Times New Roman" w:cs="Arial"/>
                <w:b/>
                <w:bCs/>
                <w:color w:val="000000"/>
                <w:sz w:val="18"/>
                <w:szCs w:val="18"/>
              </w:rPr>
            </w:pPr>
          </w:p>
        </w:tc>
      </w:tr>
      <w:tr w:rsidR="0068149B" w:rsidRPr="0068149B" w14:paraId="281B8CBA"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08F96946"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63484917"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F. Financiamiento (F = F1 + F2)</w:t>
            </w:r>
          </w:p>
        </w:tc>
        <w:tc>
          <w:tcPr>
            <w:tcW w:w="541" w:type="pct"/>
            <w:tcBorders>
              <w:top w:val="nil"/>
              <w:left w:val="nil"/>
              <w:bottom w:val="single" w:sz="8" w:space="0" w:color="auto"/>
              <w:right w:val="single" w:sz="8" w:space="0" w:color="auto"/>
            </w:tcBorders>
            <w:shd w:val="clear" w:color="000000" w:fill="FFFFFF"/>
            <w:vAlign w:val="center"/>
            <w:hideMark/>
          </w:tcPr>
          <w:p w14:paraId="6728ED11"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192,903,836.0</w:t>
            </w:r>
          </w:p>
        </w:tc>
      </w:tr>
      <w:tr w:rsidR="0068149B" w:rsidRPr="0068149B" w14:paraId="6E5B917D"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43F29675"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4C82ED01"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F1. Financiamiento con Fuente de Pago de Ingresos de Libre Disposición</w:t>
            </w:r>
          </w:p>
        </w:tc>
        <w:tc>
          <w:tcPr>
            <w:tcW w:w="541" w:type="pct"/>
            <w:tcBorders>
              <w:top w:val="nil"/>
              <w:left w:val="nil"/>
              <w:bottom w:val="single" w:sz="8" w:space="0" w:color="auto"/>
              <w:right w:val="single" w:sz="8" w:space="0" w:color="auto"/>
            </w:tcBorders>
            <w:shd w:val="clear" w:color="000000" w:fill="FFFFFF"/>
            <w:vAlign w:val="center"/>
            <w:hideMark/>
          </w:tcPr>
          <w:p w14:paraId="55CB2BC9"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192,903,836.0</w:t>
            </w:r>
          </w:p>
        </w:tc>
      </w:tr>
      <w:tr w:rsidR="0068149B" w:rsidRPr="0068149B" w14:paraId="5793B4D5"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49E94F96"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169F0BFB"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F2. Financiamiento con Fuente de Pago de Transferencias Federales Etiquetadas</w:t>
            </w:r>
          </w:p>
        </w:tc>
        <w:tc>
          <w:tcPr>
            <w:tcW w:w="541" w:type="pct"/>
            <w:tcBorders>
              <w:top w:val="nil"/>
              <w:left w:val="nil"/>
              <w:bottom w:val="single" w:sz="8" w:space="0" w:color="auto"/>
              <w:right w:val="single" w:sz="8" w:space="0" w:color="auto"/>
            </w:tcBorders>
            <w:shd w:val="clear" w:color="000000" w:fill="FFFFFF"/>
            <w:vAlign w:val="center"/>
            <w:hideMark/>
          </w:tcPr>
          <w:p w14:paraId="6E9B5188"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0.0</w:t>
            </w:r>
          </w:p>
        </w:tc>
      </w:tr>
      <w:tr w:rsidR="0068149B" w:rsidRPr="0068149B" w14:paraId="74CBA953"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588D34E8"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3C3386D7"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G. Amortización de la Deuda (G = G1 + G2)</w:t>
            </w:r>
          </w:p>
        </w:tc>
        <w:tc>
          <w:tcPr>
            <w:tcW w:w="541" w:type="pct"/>
            <w:tcBorders>
              <w:top w:val="nil"/>
              <w:left w:val="nil"/>
              <w:bottom w:val="single" w:sz="8" w:space="0" w:color="auto"/>
              <w:right w:val="single" w:sz="8" w:space="0" w:color="auto"/>
            </w:tcBorders>
            <w:shd w:val="clear" w:color="000000" w:fill="FFFFFF"/>
            <w:vAlign w:val="center"/>
            <w:hideMark/>
          </w:tcPr>
          <w:p w14:paraId="1FC8C8CA"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304,066,917.0</w:t>
            </w:r>
          </w:p>
        </w:tc>
      </w:tr>
      <w:tr w:rsidR="0068149B" w:rsidRPr="0068149B" w14:paraId="6D10A0E4"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442BBAFB"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5CB10354"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G1. Amortización de la Deuda Pública con Gasto No Etiquetado</w:t>
            </w:r>
          </w:p>
        </w:tc>
        <w:tc>
          <w:tcPr>
            <w:tcW w:w="541" w:type="pct"/>
            <w:tcBorders>
              <w:top w:val="nil"/>
              <w:left w:val="nil"/>
              <w:bottom w:val="single" w:sz="8" w:space="0" w:color="auto"/>
              <w:right w:val="single" w:sz="8" w:space="0" w:color="auto"/>
            </w:tcBorders>
            <w:shd w:val="clear" w:color="000000" w:fill="FFFFFF"/>
            <w:vAlign w:val="center"/>
            <w:hideMark/>
          </w:tcPr>
          <w:p w14:paraId="0DD986AF"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199,174,775.0</w:t>
            </w:r>
          </w:p>
        </w:tc>
      </w:tr>
      <w:tr w:rsidR="0068149B" w:rsidRPr="0068149B" w14:paraId="7E66BE17"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31F9494F"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437E268D"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G2. Amortización de la Deuda Pública con Gasto Etiquetado</w:t>
            </w:r>
          </w:p>
        </w:tc>
        <w:tc>
          <w:tcPr>
            <w:tcW w:w="541" w:type="pct"/>
            <w:tcBorders>
              <w:top w:val="nil"/>
              <w:left w:val="nil"/>
              <w:bottom w:val="single" w:sz="8" w:space="0" w:color="auto"/>
              <w:right w:val="single" w:sz="8" w:space="0" w:color="auto"/>
            </w:tcBorders>
            <w:shd w:val="clear" w:color="000000" w:fill="FFFFFF"/>
            <w:vAlign w:val="center"/>
            <w:hideMark/>
          </w:tcPr>
          <w:p w14:paraId="5999DAAB"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104,892,142.0</w:t>
            </w:r>
          </w:p>
        </w:tc>
      </w:tr>
      <w:tr w:rsidR="0068149B" w:rsidRPr="0068149B" w14:paraId="6F2243D4"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46976EBE"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3A804890"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A3. Financiamiento Neto (A3 = F – G )</w:t>
            </w:r>
          </w:p>
        </w:tc>
        <w:tc>
          <w:tcPr>
            <w:tcW w:w="541" w:type="pct"/>
            <w:tcBorders>
              <w:top w:val="nil"/>
              <w:left w:val="nil"/>
              <w:bottom w:val="single" w:sz="8" w:space="0" w:color="auto"/>
              <w:right w:val="single" w:sz="8" w:space="0" w:color="auto"/>
            </w:tcBorders>
            <w:shd w:val="clear" w:color="000000" w:fill="FFFFFF"/>
            <w:vAlign w:val="center"/>
            <w:hideMark/>
          </w:tcPr>
          <w:p w14:paraId="666C9879"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-111,163,081.0</w:t>
            </w:r>
          </w:p>
        </w:tc>
      </w:tr>
      <w:tr w:rsidR="0068149B" w:rsidRPr="0068149B" w14:paraId="3D3EA9FA" w14:textId="77777777" w:rsidTr="004B3988">
        <w:trPr>
          <w:trHeight w:val="207"/>
        </w:trPr>
        <w:tc>
          <w:tcPr>
            <w:tcW w:w="445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10910F1C" w14:textId="77777777" w:rsidR="0068149B" w:rsidRPr="0068149B" w:rsidRDefault="0068149B" w:rsidP="0068149B">
            <w:pPr>
              <w:jc w:val="center"/>
              <w:rPr>
                <w:rFonts w:eastAsia="Times New Roman" w:cs="Arial"/>
                <w:b/>
                <w:bCs/>
                <w:color w:val="000000"/>
                <w:sz w:val="18"/>
                <w:szCs w:val="18"/>
              </w:rPr>
            </w:pPr>
            <w:r w:rsidRPr="0068149B">
              <w:rPr>
                <w:rFonts w:eastAsia="Times New Roman" w:cs="Arial"/>
                <w:b/>
                <w:bCs/>
                <w:color w:val="000000"/>
                <w:sz w:val="18"/>
                <w:szCs w:val="18"/>
              </w:rPr>
              <w:t>Concepto (c)</w:t>
            </w:r>
          </w:p>
        </w:tc>
        <w:tc>
          <w:tcPr>
            <w:tcW w:w="541" w:type="pct"/>
            <w:vMerge w:val="restart"/>
            <w:tcBorders>
              <w:top w:val="nil"/>
              <w:left w:val="single" w:sz="8" w:space="0" w:color="auto"/>
              <w:bottom w:val="single" w:sz="8" w:space="0" w:color="auto"/>
              <w:right w:val="single" w:sz="8" w:space="0" w:color="auto"/>
            </w:tcBorders>
            <w:shd w:val="clear" w:color="000000" w:fill="EDEDED"/>
            <w:noWrap/>
            <w:vAlign w:val="center"/>
            <w:hideMark/>
          </w:tcPr>
          <w:p w14:paraId="27FD58A6" w14:textId="77777777" w:rsidR="0068149B" w:rsidRPr="0068149B" w:rsidRDefault="0068149B" w:rsidP="0068149B">
            <w:pPr>
              <w:jc w:val="center"/>
              <w:rPr>
                <w:rFonts w:eastAsia="Times New Roman" w:cs="Arial"/>
                <w:b/>
                <w:bCs/>
                <w:color w:val="000000"/>
                <w:sz w:val="18"/>
                <w:szCs w:val="18"/>
              </w:rPr>
            </w:pPr>
            <w:r w:rsidRPr="0068149B">
              <w:rPr>
                <w:rFonts w:eastAsia="Times New Roman" w:cs="Arial"/>
                <w:b/>
                <w:bCs/>
                <w:color w:val="000000"/>
                <w:sz w:val="18"/>
                <w:szCs w:val="18"/>
              </w:rPr>
              <w:t>Estimado/ Aprobado</w:t>
            </w:r>
          </w:p>
        </w:tc>
      </w:tr>
      <w:tr w:rsidR="0068149B" w:rsidRPr="0068149B" w14:paraId="2C947839" w14:textId="77777777" w:rsidTr="004B3988">
        <w:trPr>
          <w:trHeight w:val="433"/>
        </w:trPr>
        <w:tc>
          <w:tcPr>
            <w:tcW w:w="4459" w:type="pct"/>
            <w:gridSpan w:val="2"/>
            <w:vMerge/>
            <w:tcBorders>
              <w:top w:val="single" w:sz="8" w:space="0" w:color="auto"/>
              <w:left w:val="single" w:sz="8" w:space="0" w:color="auto"/>
              <w:bottom w:val="single" w:sz="8" w:space="0" w:color="auto"/>
              <w:right w:val="single" w:sz="8" w:space="0" w:color="auto"/>
            </w:tcBorders>
            <w:vAlign w:val="center"/>
            <w:hideMark/>
          </w:tcPr>
          <w:p w14:paraId="280BB536" w14:textId="77777777" w:rsidR="0068149B" w:rsidRPr="0068149B" w:rsidRDefault="0068149B" w:rsidP="0068149B">
            <w:pPr>
              <w:jc w:val="left"/>
              <w:rPr>
                <w:rFonts w:eastAsia="Times New Roman" w:cs="Arial"/>
                <w:b/>
                <w:bCs/>
                <w:color w:val="000000"/>
                <w:sz w:val="18"/>
                <w:szCs w:val="18"/>
              </w:rPr>
            </w:pPr>
          </w:p>
        </w:tc>
        <w:tc>
          <w:tcPr>
            <w:tcW w:w="541" w:type="pct"/>
            <w:vMerge/>
            <w:tcBorders>
              <w:top w:val="nil"/>
              <w:left w:val="single" w:sz="8" w:space="0" w:color="auto"/>
              <w:bottom w:val="single" w:sz="8" w:space="0" w:color="auto"/>
              <w:right w:val="single" w:sz="8" w:space="0" w:color="auto"/>
            </w:tcBorders>
            <w:vAlign w:val="center"/>
            <w:hideMark/>
          </w:tcPr>
          <w:p w14:paraId="6433A6D7" w14:textId="77777777" w:rsidR="0068149B" w:rsidRPr="0068149B" w:rsidRDefault="0068149B" w:rsidP="0068149B">
            <w:pPr>
              <w:jc w:val="left"/>
              <w:rPr>
                <w:rFonts w:eastAsia="Times New Roman" w:cs="Arial"/>
                <w:b/>
                <w:bCs/>
                <w:color w:val="000000"/>
                <w:sz w:val="18"/>
                <w:szCs w:val="18"/>
              </w:rPr>
            </w:pPr>
          </w:p>
        </w:tc>
      </w:tr>
      <w:tr w:rsidR="0068149B" w:rsidRPr="0068149B" w14:paraId="42E194D3"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56D4EEAF"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lastRenderedPageBreak/>
              <w:t> </w:t>
            </w:r>
          </w:p>
        </w:tc>
        <w:tc>
          <w:tcPr>
            <w:tcW w:w="1828" w:type="pct"/>
            <w:tcBorders>
              <w:top w:val="nil"/>
              <w:left w:val="nil"/>
              <w:bottom w:val="single" w:sz="8" w:space="0" w:color="auto"/>
              <w:right w:val="single" w:sz="8" w:space="0" w:color="auto"/>
            </w:tcBorders>
            <w:shd w:val="clear" w:color="000000" w:fill="FFFFFF"/>
            <w:noWrap/>
            <w:vAlign w:val="center"/>
            <w:hideMark/>
          </w:tcPr>
          <w:p w14:paraId="41D59075" w14:textId="77777777" w:rsidR="0068149B" w:rsidRPr="0068149B" w:rsidRDefault="0068149B" w:rsidP="0068149B">
            <w:pPr>
              <w:ind w:firstLineChars="100" w:firstLine="180"/>
              <w:jc w:val="left"/>
              <w:rPr>
                <w:rFonts w:eastAsia="Times New Roman" w:cs="Arial"/>
                <w:b/>
                <w:bCs/>
                <w:color w:val="000000"/>
                <w:sz w:val="18"/>
                <w:szCs w:val="18"/>
              </w:rPr>
            </w:pPr>
            <w:r w:rsidRPr="0068149B">
              <w:rPr>
                <w:rFonts w:eastAsia="Times New Roman" w:cs="Arial"/>
                <w:b/>
                <w:bCs/>
                <w:color w:val="000000"/>
                <w:sz w:val="18"/>
                <w:szCs w:val="18"/>
              </w:rPr>
              <w:t xml:space="preserve">A1. Ingresos de Libre Disposición </w:t>
            </w:r>
          </w:p>
        </w:tc>
        <w:tc>
          <w:tcPr>
            <w:tcW w:w="541" w:type="pct"/>
            <w:tcBorders>
              <w:top w:val="nil"/>
              <w:left w:val="nil"/>
              <w:bottom w:val="single" w:sz="8" w:space="0" w:color="auto"/>
              <w:right w:val="single" w:sz="8" w:space="0" w:color="auto"/>
            </w:tcBorders>
            <w:shd w:val="clear" w:color="000000" w:fill="FFFFFF"/>
            <w:noWrap/>
            <w:vAlign w:val="center"/>
            <w:hideMark/>
          </w:tcPr>
          <w:p w14:paraId="3913AD06"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9,500,677,932.0</w:t>
            </w:r>
          </w:p>
        </w:tc>
      </w:tr>
      <w:tr w:rsidR="0068149B" w:rsidRPr="0068149B" w14:paraId="2704221E"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63172DBB"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noWrap/>
            <w:vAlign w:val="center"/>
            <w:hideMark/>
          </w:tcPr>
          <w:p w14:paraId="0B4238ED" w14:textId="77777777" w:rsidR="0068149B" w:rsidRPr="0068149B" w:rsidRDefault="0068149B" w:rsidP="0068149B">
            <w:pPr>
              <w:rPr>
                <w:rFonts w:eastAsia="Times New Roman" w:cs="Arial"/>
                <w:b/>
                <w:bCs/>
                <w:color w:val="000000"/>
                <w:sz w:val="18"/>
                <w:szCs w:val="18"/>
              </w:rPr>
            </w:pPr>
            <w:r w:rsidRPr="0068149B">
              <w:rPr>
                <w:rFonts w:eastAsia="Times New Roman" w:cs="Arial"/>
                <w:b/>
                <w:bCs/>
                <w:color w:val="000000"/>
                <w:sz w:val="18"/>
                <w:szCs w:val="18"/>
              </w:rPr>
              <w:t>A3.1 Financiamiento Neto con Fuente de Pago de Ingresos de Libre Disposición (A3.1 = F1 – G1)</w:t>
            </w:r>
          </w:p>
        </w:tc>
        <w:tc>
          <w:tcPr>
            <w:tcW w:w="541" w:type="pct"/>
            <w:tcBorders>
              <w:top w:val="nil"/>
              <w:left w:val="nil"/>
              <w:bottom w:val="single" w:sz="8" w:space="0" w:color="auto"/>
              <w:right w:val="single" w:sz="8" w:space="0" w:color="auto"/>
            </w:tcBorders>
            <w:shd w:val="clear" w:color="000000" w:fill="FFFFFF"/>
            <w:noWrap/>
            <w:vAlign w:val="center"/>
            <w:hideMark/>
          </w:tcPr>
          <w:p w14:paraId="068E9559"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-6,270,939.0</w:t>
            </w:r>
          </w:p>
        </w:tc>
      </w:tr>
      <w:tr w:rsidR="0068149B" w:rsidRPr="0068149B" w14:paraId="5072F3E4"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649DA7DF"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0F3E0116"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F1. Financiamiento con Fuente de Pago de Ingresos de Libre Disposición</w:t>
            </w:r>
          </w:p>
        </w:tc>
        <w:tc>
          <w:tcPr>
            <w:tcW w:w="541" w:type="pct"/>
            <w:tcBorders>
              <w:top w:val="nil"/>
              <w:left w:val="nil"/>
              <w:bottom w:val="single" w:sz="8" w:space="0" w:color="auto"/>
              <w:right w:val="single" w:sz="8" w:space="0" w:color="auto"/>
            </w:tcBorders>
            <w:shd w:val="clear" w:color="000000" w:fill="FFFFFF"/>
            <w:noWrap/>
            <w:vAlign w:val="center"/>
            <w:hideMark/>
          </w:tcPr>
          <w:p w14:paraId="58BC721F"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192,903,836.0</w:t>
            </w:r>
          </w:p>
        </w:tc>
      </w:tr>
      <w:tr w:rsidR="0068149B" w:rsidRPr="0068149B" w14:paraId="64A7380F"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6503497E"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4A27548B"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G1. Amortización de la Deuda Pública con Gasto No Etiquetado</w:t>
            </w:r>
          </w:p>
        </w:tc>
        <w:tc>
          <w:tcPr>
            <w:tcW w:w="541" w:type="pct"/>
            <w:tcBorders>
              <w:top w:val="nil"/>
              <w:left w:val="nil"/>
              <w:bottom w:val="single" w:sz="8" w:space="0" w:color="auto"/>
              <w:right w:val="single" w:sz="8" w:space="0" w:color="auto"/>
            </w:tcBorders>
            <w:shd w:val="clear" w:color="000000" w:fill="FFFFFF"/>
            <w:noWrap/>
            <w:vAlign w:val="center"/>
            <w:hideMark/>
          </w:tcPr>
          <w:p w14:paraId="61E3364E"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199,174,775.0</w:t>
            </w:r>
          </w:p>
        </w:tc>
      </w:tr>
      <w:tr w:rsidR="0068149B" w:rsidRPr="0068149B" w14:paraId="5F4B709B"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7E1E7C99"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729F0206" w14:textId="77777777" w:rsidR="0068149B" w:rsidRPr="0068149B" w:rsidRDefault="0068149B" w:rsidP="0068149B">
            <w:pPr>
              <w:ind w:firstLineChars="100" w:firstLine="180"/>
              <w:jc w:val="left"/>
              <w:rPr>
                <w:rFonts w:eastAsia="Times New Roman" w:cs="Arial"/>
                <w:b/>
                <w:bCs/>
                <w:color w:val="000000"/>
                <w:sz w:val="18"/>
                <w:szCs w:val="18"/>
              </w:rPr>
            </w:pPr>
            <w:r w:rsidRPr="0068149B">
              <w:rPr>
                <w:rFonts w:eastAsia="Times New Roman" w:cs="Arial"/>
                <w:b/>
                <w:bCs/>
                <w:color w:val="000000"/>
                <w:sz w:val="18"/>
                <w:szCs w:val="18"/>
              </w:rPr>
              <w:t>B1. Gasto No Etiquetado (sin incluir Amortización de la Deuda Pública)</w:t>
            </w:r>
          </w:p>
        </w:tc>
        <w:tc>
          <w:tcPr>
            <w:tcW w:w="541" w:type="pct"/>
            <w:tcBorders>
              <w:top w:val="nil"/>
              <w:left w:val="nil"/>
              <w:bottom w:val="single" w:sz="8" w:space="0" w:color="auto"/>
              <w:right w:val="single" w:sz="8" w:space="0" w:color="auto"/>
            </w:tcBorders>
            <w:shd w:val="clear" w:color="000000" w:fill="FFFFFF"/>
            <w:noWrap/>
            <w:vAlign w:val="center"/>
            <w:hideMark/>
          </w:tcPr>
          <w:p w14:paraId="591D978A"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9,494,406,993.0</w:t>
            </w:r>
          </w:p>
        </w:tc>
      </w:tr>
      <w:tr w:rsidR="0068149B" w:rsidRPr="0068149B" w14:paraId="2BAE4816"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6C2BE497"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6AED5F7A" w14:textId="77777777" w:rsidR="0068149B" w:rsidRPr="0068149B" w:rsidRDefault="0068149B" w:rsidP="0068149B">
            <w:pPr>
              <w:ind w:firstLineChars="100" w:firstLine="180"/>
              <w:jc w:val="left"/>
              <w:rPr>
                <w:rFonts w:eastAsia="Times New Roman" w:cs="Arial"/>
                <w:b/>
                <w:bCs/>
                <w:color w:val="000000"/>
                <w:sz w:val="18"/>
                <w:szCs w:val="18"/>
              </w:rPr>
            </w:pPr>
            <w:r w:rsidRPr="0068149B">
              <w:rPr>
                <w:rFonts w:eastAsia="Times New Roman" w:cs="Arial"/>
                <w:b/>
                <w:bCs/>
                <w:color w:val="000000"/>
                <w:sz w:val="18"/>
                <w:szCs w:val="18"/>
              </w:rPr>
              <w:t>C1. Remanentes de Ingresos de Libre Disposición aplicados en el periodo</w:t>
            </w:r>
          </w:p>
        </w:tc>
        <w:tc>
          <w:tcPr>
            <w:tcW w:w="541" w:type="pct"/>
            <w:tcBorders>
              <w:top w:val="nil"/>
              <w:left w:val="nil"/>
              <w:bottom w:val="single" w:sz="8" w:space="0" w:color="auto"/>
              <w:right w:val="single" w:sz="8" w:space="0" w:color="auto"/>
            </w:tcBorders>
            <w:shd w:val="clear" w:color="000000" w:fill="FFFFFF"/>
            <w:noWrap/>
            <w:vAlign w:val="center"/>
            <w:hideMark/>
          </w:tcPr>
          <w:p w14:paraId="2F74B771"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0.0</w:t>
            </w:r>
          </w:p>
        </w:tc>
      </w:tr>
      <w:tr w:rsidR="0068149B" w:rsidRPr="0068149B" w14:paraId="28999481"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58104C42"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044A58C5" w14:textId="77777777" w:rsidR="0068149B" w:rsidRPr="0068149B" w:rsidRDefault="0068149B" w:rsidP="0068149B">
            <w:pPr>
              <w:ind w:firstLineChars="100" w:firstLine="180"/>
              <w:jc w:val="left"/>
              <w:rPr>
                <w:rFonts w:eastAsia="Times New Roman" w:cs="Arial"/>
                <w:b/>
                <w:bCs/>
                <w:color w:val="000000"/>
                <w:sz w:val="18"/>
                <w:szCs w:val="18"/>
              </w:rPr>
            </w:pPr>
            <w:r w:rsidRPr="0068149B">
              <w:rPr>
                <w:rFonts w:eastAsia="Times New Roman" w:cs="Arial"/>
                <w:b/>
                <w:bCs/>
                <w:color w:val="000000"/>
                <w:sz w:val="18"/>
                <w:szCs w:val="18"/>
              </w:rPr>
              <w:t>V. Balance Presupuestario de Recursos Disponibles (V = A1 + A3.1 – B 1 + C1)</w:t>
            </w:r>
          </w:p>
        </w:tc>
        <w:tc>
          <w:tcPr>
            <w:tcW w:w="541" w:type="pct"/>
            <w:tcBorders>
              <w:top w:val="nil"/>
              <w:left w:val="nil"/>
              <w:bottom w:val="single" w:sz="8" w:space="0" w:color="auto"/>
              <w:right w:val="single" w:sz="8" w:space="0" w:color="auto"/>
            </w:tcBorders>
            <w:shd w:val="clear" w:color="000000" w:fill="FFFFFF"/>
            <w:vAlign w:val="center"/>
            <w:hideMark/>
          </w:tcPr>
          <w:p w14:paraId="333C3A69"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0.0</w:t>
            </w:r>
          </w:p>
        </w:tc>
      </w:tr>
      <w:tr w:rsidR="0068149B" w:rsidRPr="0068149B" w14:paraId="7A821B7D"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26E2E1D8"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68FEF229" w14:textId="77777777" w:rsidR="0068149B" w:rsidRPr="0068149B" w:rsidRDefault="0068149B" w:rsidP="0068149B">
            <w:pPr>
              <w:ind w:firstLineChars="100" w:firstLine="180"/>
              <w:jc w:val="left"/>
              <w:rPr>
                <w:rFonts w:eastAsia="Times New Roman" w:cs="Arial"/>
                <w:b/>
                <w:bCs/>
                <w:color w:val="000000"/>
                <w:sz w:val="18"/>
                <w:szCs w:val="18"/>
              </w:rPr>
            </w:pPr>
            <w:r w:rsidRPr="0068149B">
              <w:rPr>
                <w:rFonts w:eastAsia="Times New Roman" w:cs="Arial"/>
                <w:b/>
                <w:bCs/>
                <w:color w:val="000000"/>
                <w:sz w:val="18"/>
                <w:szCs w:val="18"/>
              </w:rPr>
              <w:t>VI. Balance Presupuestario de Recursos Disponibles sin Financiamiento Neto (VI = V – A3.1)</w:t>
            </w:r>
          </w:p>
        </w:tc>
        <w:tc>
          <w:tcPr>
            <w:tcW w:w="541" w:type="pct"/>
            <w:tcBorders>
              <w:top w:val="nil"/>
              <w:left w:val="nil"/>
              <w:bottom w:val="single" w:sz="8" w:space="0" w:color="auto"/>
              <w:right w:val="single" w:sz="8" w:space="0" w:color="auto"/>
            </w:tcBorders>
            <w:shd w:val="clear" w:color="000000" w:fill="FFFFFF"/>
            <w:vAlign w:val="center"/>
            <w:hideMark/>
          </w:tcPr>
          <w:p w14:paraId="179CEECE"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6,270,939.0</w:t>
            </w:r>
          </w:p>
        </w:tc>
      </w:tr>
      <w:tr w:rsidR="0068149B" w:rsidRPr="0068149B" w14:paraId="377BD8E3" w14:textId="77777777" w:rsidTr="004B3988">
        <w:trPr>
          <w:trHeight w:val="207"/>
        </w:trPr>
        <w:tc>
          <w:tcPr>
            <w:tcW w:w="445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6C6595A0" w14:textId="77777777" w:rsidR="0068149B" w:rsidRPr="0068149B" w:rsidRDefault="0068149B" w:rsidP="0068149B">
            <w:pPr>
              <w:jc w:val="center"/>
              <w:rPr>
                <w:rFonts w:eastAsia="Times New Roman" w:cs="Arial"/>
                <w:b/>
                <w:bCs/>
                <w:color w:val="000000"/>
                <w:sz w:val="18"/>
                <w:szCs w:val="18"/>
              </w:rPr>
            </w:pPr>
            <w:r w:rsidRPr="0068149B">
              <w:rPr>
                <w:rFonts w:eastAsia="Times New Roman" w:cs="Arial"/>
                <w:b/>
                <w:bCs/>
                <w:color w:val="000000"/>
                <w:sz w:val="18"/>
                <w:szCs w:val="18"/>
              </w:rPr>
              <w:t>Concepto (c)</w:t>
            </w:r>
          </w:p>
        </w:tc>
        <w:tc>
          <w:tcPr>
            <w:tcW w:w="541" w:type="pct"/>
            <w:vMerge w:val="restart"/>
            <w:tcBorders>
              <w:top w:val="nil"/>
              <w:left w:val="single" w:sz="8" w:space="0" w:color="auto"/>
              <w:bottom w:val="single" w:sz="8" w:space="0" w:color="auto"/>
              <w:right w:val="single" w:sz="8" w:space="0" w:color="auto"/>
            </w:tcBorders>
            <w:shd w:val="clear" w:color="000000" w:fill="EDEDED"/>
            <w:noWrap/>
            <w:vAlign w:val="center"/>
            <w:hideMark/>
          </w:tcPr>
          <w:p w14:paraId="102A07D9" w14:textId="77777777" w:rsidR="0068149B" w:rsidRPr="0068149B" w:rsidRDefault="0068149B" w:rsidP="0068149B">
            <w:pPr>
              <w:jc w:val="center"/>
              <w:rPr>
                <w:rFonts w:eastAsia="Times New Roman" w:cs="Arial"/>
                <w:b/>
                <w:bCs/>
                <w:color w:val="000000"/>
                <w:sz w:val="18"/>
                <w:szCs w:val="18"/>
              </w:rPr>
            </w:pPr>
            <w:r w:rsidRPr="0068149B">
              <w:rPr>
                <w:rFonts w:eastAsia="Times New Roman" w:cs="Arial"/>
                <w:b/>
                <w:bCs/>
                <w:color w:val="000000"/>
                <w:sz w:val="18"/>
                <w:szCs w:val="18"/>
              </w:rPr>
              <w:t>Estimado/ Aprobado</w:t>
            </w:r>
          </w:p>
        </w:tc>
      </w:tr>
      <w:tr w:rsidR="0068149B" w:rsidRPr="0068149B" w14:paraId="0024FE8B" w14:textId="77777777" w:rsidTr="004B3988">
        <w:trPr>
          <w:trHeight w:val="433"/>
        </w:trPr>
        <w:tc>
          <w:tcPr>
            <w:tcW w:w="4459" w:type="pct"/>
            <w:gridSpan w:val="2"/>
            <w:vMerge/>
            <w:tcBorders>
              <w:top w:val="single" w:sz="8" w:space="0" w:color="auto"/>
              <w:left w:val="single" w:sz="8" w:space="0" w:color="auto"/>
              <w:bottom w:val="single" w:sz="8" w:space="0" w:color="auto"/>
              <w:right w:val="single" w:sz="8" w:space="0" w:color="auto"/>
            </w:tcBorders>
            <w:vAlign w:val="center"/>
            <w:hideMark/>
          </w:tcPr>
          <w:p w14:paraId="253C5A21" w14:textId="77777777" w:rsidR="0068149B" w:rsidRPr="0068149B" w:rsidRDefault="0068149B" w:rsidP="0068149B">
            <w:pPr>
              <w:jc w:val="left"/>
              <w:rPr>
                <w:rFonts w:eastAsia="Times New Roman" w:cs="Arial"/>
                <w:b/>
                <w:bCs/>
                <w:color w:val="000000"/>
                <w:sz w:val="18"/>
                <w:szCs w:val="18"/>
              </w:rPr>
            </w:pPr>
          </w:p>
        </w:tc>
        <w:tc>
          <w:tcPr>
            <w:tcW w:w="541" w:type="pct"/>
            <w:vMerge/>
            <w:tcBorders>
              <w:top w:val="nil"/>
              <w:left w:val="single" w:sz="8" w:space="0" w:color="auto"/>
              <w:bottom w:val="single" w:sz="8" w:space="0" w:color="auto"/>
              <w:right w:val="single" w:sz="8" w:space="0" w:color="auto"/>
            </w:tcBorders>
            <w:vAlign w:val="center"/>
            <w:hideMark/>
          </w:tcPr>
          <w:p w14:paraId="175A596A" w14:textId="77777777" w:rsidR="0068149B" w:rsidRPr="0068149B" w:rsidRDefault="0068149B" w:rsidP="0068149B">
            <w:pPr>
              <w:jc w:val="left"/>
              <w:rPr>
                <w:rFonts w:eastAsia="Times New Roman" w:cs="Arial"/>
                <w:b/>
                <w:bCs/>
                <w:color w:val="000000"/>
                <w:sz w:val="18"/>
                <w:szCs w:val="18"/>
              </w:rPr>
            </w:pPr>
          </w:p>
        </w:tc>
      </w:tr>
      <w:tr w:rsidR="0068149B" w:rsidRPr="0068149B" w14:paraId="5AA704E8"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2645D577"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noWrap/>
            <w:vAlign w:val="center"/>
            <w:hideMark/>
          </w:tcPr>
          <w:p w14:paraId="601B0E32" w14:textId="77777777" w:rsidR="0068149B" w:rsidRPr="0068149B" w:rsidRDefault="0068149B" w:rsidP="0068149B">
            <w:pPr>
              <w:ind w:firstLineChars="100" w:firstLine="180"/>
              <w:jc w:val="left"/>
              <w:rPr>
                <w:rFonts w:eastAsia="Times New Roman" w:cs="Arial"/>
                <w:b/>
                <w:bCs/>
                <w:color w:val="000000"/>
                <w:sz w:val="18"/>
                <w:szCs w:val="18"/>
              </w:rPr>
            </w:pPr>
            <w:r w:rsidRPr="0068149B">
              <w:rPr>
                <w:rFonts w:eastAsia="Times New Roman" w:cs="Arial"/>
                <w:b/>
                <w:bCs/>
                <w:color w:val="000000"/>
                <w:sz w:val="18"/>
                <w:szCs w:val="18"/>
              </w:rPr>
              <w:t>A2. Transferencias Federales Etiquetadas</w:t>
            </w:r>
          </w:p>
        </w:tc>
        <w:tc>
          <w:tcPr>
            <w:tcW w:w="541" w:type="pct"/>
            <w:tcBorders>
              <w:top w:val="nil"/>
              <w:left w:val="nil"/>
              <w:bottom w:val="single" w:sz="8" w:space="0" w:color="auto"/>
              <w:right w:val="single" w:sz="8" w:space="0" w:color="auto"/>
            </w:tcBorders>
            <w:shd w:val="clear" w:color="000000" w:fill="FFFFFF"/>
            <w:noWrap/>
            <w:vAlign w:val="center"/>
            <w:hideMark/>
          </w:tcPr>
          <w:p w14:paraId="08FC85D5"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10,861,718,232.0</w:t>
            </w:r>
          </w:p>
        </w:tc>
      </w:tr>
      <w:tr w:rsidR="0068149B" w:rsidRPr="0068149B" w14:paraId="048BA42F"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547431E4"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08AACA1A" w14:textId="77777777" w:rsidR="0068149B" w:rsidRPr="0068149B" w:rsidRDefault="0068149B" w:rsidP="0068149B">
            <w:pPr>
              <w:ind w:firstLineChars="100" w:firstLine="180"/>
              <w:jc w:val="left"/>
              <w:rPr>
                <w:rFonts w:eastAsia="Times New Roman" w:cs="Arial"/>
                <w:b/>
                <w:bCs/>
                <w:color w:val="000000"/>
                <w:sz w:val="18"/>
                <w:szCs w:val="18"/>
              </w:rPr>
            </w:pPr>
            <w:r w:rsidRPr="0068149B">
              <w:rPr>
                <w:rFonts w:eastAsia="Times New Roman" w:cs="Arial"/>
                <w:b/>
                <w:bCs/>
                <w:color w:val="000000"/>
                <w:sz w:val="18"/>
                <w:szCs w:val="18"/>
              </w:rPr>
              <w:t>A3.2 Financiamiento Neto con Fuente de Pago de Transferencias Federales Etiquetadas (A3.2 = F2 – G2)</w:t>
            </w:r>
          </w:p>
        </w:tc>
        <w:tc>
          <w:tcPr>
            <w:tcW w:w="541" w:type="pct"/>
            <w:tcBorders>
              <w:top w:val="nil"/>
              <w:left w:val="nil"/>
              <w:bottom w:val="single" w:sz="8" w:space="0" w:color="auto"/>
              <w:right w:val="single" w:sz="8" w:space="0" w:color="auto"/>
            </w:tcBorders>
            <w:shd w:val="clear" w:color="000000" w:fill="FFFFFF"/>
            <w:vAlign w:val="center"/>
            <w:hideMark/>
          </w:tcPr>
          <w:p w14:paraId="1B180BDC"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-104,892,142.0</w:t>
            </w:r>
          </w:p>
        </w:tc>
      </w:tr>
      <w:tr w:rsidR="0068149B" w:rsidRPr="0068149B" w14:paraId="71896215"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7C264775"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63905008"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F2. Financiamiento con Fuente de Pago de Transferencias Federales Etiquetadas</w:t>
            </w:r>
          </w:p>
        </w:tc>
        <w:tc>
          <w:tcPr>
            <w:tcW w:w="541" w:type="pct"/>
            <w:tcBorders>
              <w:top w:val="nil"/>
              <w:left w:val="nil"/>
              <w:bottom w:val="single" w:sz="8" w:space="0" w:color="auto"/>
              <w:right w:val="single" w:sz="8" w:space="0" w:color="auto"/>
            </w:tcBorders>
            <w:shd w:val="clear" w:color="000000" w:fill="FFFFFF"/>
            <w:vAlign w:val="center"/>
            <w:hideMark/>
          </w:tcPr>
          <w:p w14:paraId="325B3EEA"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0.0</w:t>
            </w:r>
          </w:p>
        </w:tc>
      </w:tr>
      <w:tr w:rsidR="0068149B" w:rsidRPr="0068149B" w14:paraId="52116D0E" w14:textId="77777777" w:rsidTr="004B3988">
        <w:trPr>
          <w:trHeight w:val="20"/>
        </w:trPr>
        <w:tc>
          <w:tcPr>
            <w:tcW w:w="2631" w:type="pct"/>
            <w:tcBorders>
              <w:top w:val="nil"/>
              <w:left w:val="single" w:sz="8" w:space="0" w:color="auto"/>
              <w:bottom w:val="single" w:sz="8" w:space="0" w:color="auto"/>
              <w:right w:val="nil"/>
            </w:tcBorders>
            <w:shd w:val="clear" w:color="000000" w:fill="FFFFFF"/>
            <w:vAlign w:val="center"/>
            <w:hideMark/>
          </w:tcPr>
          <w:p w14:paraId="3E84BFFB"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05C5DFDF" w14:textId="77777777" w:rsidR="0068149B" w:rsidRPr="0068149B" w:rsidRDefault="0068149B" w:rsidP="0068149B">
            <w:pPr>
              <w:ind w:firstLineChars="500" w:firstLine="900"/>
              <w:jc w:val="left"/>
              <w:rPr>
                <w:rFonts w:eastAsia="Times New Roman" w:cs="Arial"/>
                <w:color w:val="000000"/>
                <w:sz w:val="18"/>
                <w:szCs w:val="18"/>
              </w:rPr>
            </w:pPr>
            <w:r w:rsidRPr="0068149B">
              <w:rPr>
                <w:rFonts w:eastAsia="Times New Roman" w:cs="Arial"/>
                <w:color w:val="000000"/>
                <w:sz w:val="18"/>
                <w:szCs w:val="18"/>
              </w:rPr>
              <w:t>G2. Amortización de la Deuda Pública con Gasto Etiquetado</w:t>
            </w:r>
          </w:p>
        </w:tc>
        <w:tc>
          <w:tcPr>
            <w:tcW w:w="541" w:type="pct"/>
            <w:tcBorders>
              <w:top w:val="nil"/>
              <w:left w:val="nil"/>
              <w:bottom w:val="single" w:sz="8" w:space="0" w:color="auto"/>
              <w:right w:val="single" w:sz="8" w:space="0" w:color="auto"/>
            </w:tcBorders>
            <w:shd w:val="clear" w:color="000000" w:fill="FFFFFF"/>
            <w:vAlign w:val="center"/>
            <w:hideMark/>
          </w:tcPr>
          <w:p w14:paraId="132A1FC4" w14:textId="77777777" w:rsidR="0068149B" w:rsidRPr="0068149B" w:rsidRDefault="0068149B" w:rsidP="0068149B">
            <w:pPr>
              <w:jc w:val="right"/>
              <w:rPr>
                <w:rFonts w:eastAsia="Times New Roman" w:cs="Arial"/>
                <w:color w:val="000000"/>
                <w:sz w:val="18"/>
                <w:szCs w:val="18"/>
              </w:rPr>
            </w:pPr>
            <w:r w:rsidRPr="0068149B">
              <w:rPr>
                <w:rFonts w:eastAsia="Times New Roman" w:cs="Arial"/>
                <w:color w:val="000000"/>
                <w:sz w:val="18"/>
                <w:szCs w:val="18"/>
              </w:rPr>
              <w:t>104,892,142.0</w:t>
            </w:r>
          </w:p>
        </w:tc>
      </w:tr>
      <w:tr w:rsidR="0068149B" w:rsidRPr="0068149B" w14:paraId="0ABACA59"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01919D8A"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noWrap/>
            <w:vAlign w:val="center"/>
            <w:hideMark/>
          </w:tcPr>
          <w:p w14:paraId="4A555661"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B2. Gasto Etiquetado (sin incluir Amortización de la Deuda Pública)</w:t>
            </w:r>
          </w:p>
        </w:tc>
        <w:tc>
          <w:tcPr>
            <w:tcW w:w="541" w:type="pct"/>
            <w:tcBorders>
              <w:top w:val="nil"/>
              <w:left w:val="nil"/>
              <w:bottom w:val="single" w:sz="8" w:space="0" w:color="auto"/>
              <w:right w:val="single" w:sz="8" w:space="0" w:color="auto"/>
            </w:tcBorders>
            <w:shd w:val="clear" w:color="000000" w:fill="FFFFFF"/>
            <w:noWrap/>
            <w:vAlign w:val="center"/>
            <w:hideMark/>
          </w:tcPr>
          <w:p w14:paraId="46DF9743"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10,756,826,090.0</w:t>
            </w:r>
          </w:p>
        </w:tc>
      </w:tr>
      <w:tr w:rsidR="0068149B" w:rsidRPr="0068149B" w14:paraId="2E133F3C"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3AF1661D"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59E73FB3" w14:textId="77777777" w:rsidR="0068149B" w:rsidRPr="0068149B" w:rsidRDefault="0068149B" w:rsidP="0068149B">
            <w:pPr>
              <w:ind w:firstLineChars="100" w:firstLine="180"/>
              <w:jc w:val="left"/>
              <w:rPr>
                <w:rFonts w:eastAsia="Times New Roman" w:cs="Arial"/>
                <w:b/>
                <w:bCs/>
                <w:color w:val="000000"/>
                <w:sz w:val="18"/>
                <w:szCs w:val="18"/>
              </w:rPr>
            </w:pPr>
            <w:r w:rsidRPr="0068149B">
              <w:rPr>
                <w:rFonts w:eastAsia="Times New Roman" w:cs="Arial"/>
                <w:b/>
                <w:bCs/>
                <w:color w:val="000000"/>
                <w:sz w:val="18"/>
                <w:szCs w:val="18"/>
              </w:rPr>
              <w:t>C2. Remanentes de Transferencias Federales Etiquetadas aplicados en el periodo</w:t>
            </w:r>
          </w:p>
        </w:tc>
        <w:tc>
          <w:tcPr>
            <w:tcW w:w="541" w:type="pct"/>
            <w:tcBorders>
              <w:top w:val="nil"/>
              <w:left w:val="nil"/>
              <w:bottom w:val="single" w:sz="8" w:space="0" w:color="auto"/>
              <w:right w:val="single" w:sz="8" w:space="0" w:color="auto"/>
            </w:tcBorders>
            <w:shd w:val="clear" w:color="000000" w:fill="FFFFFF"/>
            <w:noWrap/>
            <w:vAlign w:val="center"/>
            <w:hideMark/>
          </w:tcPr>
          <w:p w14:paraId="178395B7"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0.0</w:t>
            </w:r>
          </w:p>
        </w:tc>
      </w:tr>
      <w:tr w:rsidR="0068149B" w:rsidRPr="0068149B" w14:paraId="75DB903A" w14:textId="77777777" w:rsidTr="004B3988">
        <w:trPr>
          <w:trHeight w:val="20"/>
        </w:trPr>
        <w:tc>
          <w:tcPr>
            <w:tcW w:w="2631" w:type="pct"/>
            <w:tcBorders>
              <w:top w:val="nil"/>
              <w:left w:val="single" w:sz="8" w:space="0" w:color="auto"/>
              <w:bottom w:val="single" w:sz="8" w:space="0" w:color="auto"/>
              <w:right w:val="nil"/>
            </w:tcBorders>
            <w:shd w:val="clear" w:color="000000" w:fill="FFFFFF"/>
            <w:noWrap/>
            <w:vAlign w:val="center"/>
            <w:hideMark/>
          </w:tcPr>
          <w:p w14:paraId="336DABA7"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000000" w:fill="FFFFFF"/>
            <w:vAlign w:val="center"/>
            <w:hideMark/>
          </w:tcPr>
          <w:p w14:paraId="115EEAC1" w14:textId="77777777" w:rsidR="0068149B" w:rsidRPr="0068149B" w:rsidRDefault="0068149B" w:rsidP="0068149B">
            <w:pPr>
              <w:ind w:firstLineChars="100" w:firstLine="180"/>
              <w:jc w:val="left"/>
              <w:rPr>
                <w:rFonts w:eastAsia="Times New Roman" w:cs="Arial"/>
                <w:b/>
                <w:bCs/>
                <w:color w:val="000000"/>
                <w:sz w:val="18"/>
                <w:szCs w:val="18"/>
              </w:rPr>
            </w:pPr>
            <w:r w:rsidRPr="0068149B">
              <w:rPr>
                <w:rFonts w:eastAsia="Times New Roman" w:cs="Arial"/>
                <w:b/>
                <w:bCs/>
                <w:color w:val="000000"/>
                <w:sz w:val="18"/>
                <w:szCs w:val="18"/>
              </w:rPr>
              <w:t>VII. Balance Presupuestario de Recursos Etiquetados (VII = A2 + A3.2 – B2  + C2)</w:t>
            </w:r>
          </w:p>
        </w:tc>
        <w:tc>
          <w:tcPr>
            <w:tcW w:w="541" w:type="pct"/>
            <w:tcBorders>
              <w:top w:val="nil"/>
              <w:left w:val="nil"/>
              <w:bottom w:val="single" w:sz="8" w:space="0" w:color="auto"/>
              <w:right w:val="single" w:sz="8" w:space="0" w:color="auto"/>
            </w:tcBorders>
            <w:shd w:val="clear" w:color="000000" w:fill="FFFFFF"/>
            <w:vAlign w:val="center"/>
            <w:hideMark/>
          </w:tcPr>
          <w:p w14:paraId="0160B3BA"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0.0</w:t>
            </w:r>
          </w:p>
        </w:tc>
      </w:tr>
      <w:tr w:rsidR="0068149B" w:rsidRPr="0068149B" w14:paraId="7B6BE535" w14:textId="77777777" w:rsidTr="004B3988">
        <w:trPr>
          <w:trHeight w:val="20"/>
        </w:trPr>
        <w:tc>
          <w:tcPr>
            <w:tcW w:w="2631" w:type="pct"/>
            <w:tcBorders>
              <w:top w:val="nil"/>
              <w:left w:val="single" w:sz="8" w:space="0" w:color="auto"/>
              <w:bottom w:val="single" w:sz="8" w:space="0" w:color="auto"/>
              <w:right w:val="nil"/>
            </w:tcBorders>
            <w:shd w:val="clear" w:color="000000" w:fill="EDEDED"/>
            <w:noWrap/>
            <w:vAlign w:val="center"/>
            <w:hideMark/>
          </w:tcPr>
          <w:p w14:paraId="033900FA" w14:textId="77777777" w:rsidR="0068149B" w:rsidRPr="0068149B" w:rsidRDefault="0068149B" w:rsidP="0068149B">
            <w:pPr>
              <w:jc w:val="left"/>
              <w:rPr>
                <w:rFonts w:eastAsia="Times New Roman" w:cs="Arial"/>
                <w:b/>
                <w:bCs/>
                <w:color w:val="000000"/>
                <w:sz w:val="18"/>
                <w:szCs w:val="18"/>
              </w:rPr>
            </w:pPr>
            <w:r w:rsidRPr="0068149B">
              <w:rPr>
                <w:rFonts w:eastAsia="Times New Roman" w:cs="Arial"/>
                <w:b/>
                <w:bCs/>
                <w:color w:val="000000"/>
                <w:sz w:val="18"/>
                <w:szCs w:val="18"/>
              </w:rPr>
              <w:t> </w:t>
            </w:r>
          </w:p>
        </w:tc>
        <w:tc>
          <w:tcPr>
            <w:tcW w:w="1828" w:type="pct"/>
            <w:tcBorders>
              <w:top w:val="nil"/>
              <w:left w:val="nil"/>
              <w:bottom w:val="single" w:sz="8" w:space="0" w:color="auto"/>
              <w:right w:val="single" w:sz="8" w:space="0" w:color="auto"/>
            </w:tcBorders>
            <w:shd w:val="clear" w:color="000000" w:fill="EDEDED"/>
            <w:vAlign w:val="center"/>
            <w:hideMark/>
          </w:tcPr>
          <w:p w14:paraId="3CE7383C" w14:textId="77777777" w:rsidR="0068149B" w:rsidRPr="0068149B" w:rsidRDefault="0068149B" w:rsidP="0068149B">
            <w:pPr>
              <w:ind w:firstLineChars="100" w:firstLine="180"/>
              <w:jc w:val="left"/>
              <w:rPr>
                <w:rFonts w:eastAsia="Times New Roman" w:cs="Arial"/>
                <w:b/>
                <w:bCs/>
                <w:color w:val="000000"/>
                <w:sz w:val="18"/>
                <w:szCs w:val="18"/>
              </w:rPr>
            </w:pPr>
            <w:r w:rsidRPr="0068149B">
              <w:rPr>
                <w:rFonts w:eastAsia="Times New Roman" w:cs="Arial"/>
                <w:b/>
                <w:bCs/>
                <w:color w:val="000000"/>
                <w:sz w:val="18"/>
                <w:szCs w:val="18"/>
              </w:rPr>
              <w:t>VIII. Balance Presupuestario de Recursos Etiquetados sin Financiamiento Neto (VIII = VII – A3.2)</w:t>
            </w:r>
          </w:p>
        </w:tc>
        <w:tc>
          <w:tcPr>
            <w:tcW w:w="541" w:type="pct"/>
            <w:tcBorders>
              <w:top w:val="nil"/>
              <w:left w:val="nil"/>
              <w:bottom w:val="single" w:sz="8" w:space="0" w:color="auto"/>
              <w:right w:val="single" w:sz="8" w:space="0" w:color="auto"/>
            </w:tcBorders>
            <w:shd w:val="clear" w:color="000000" w:fill="EDEDED"/>
            <w:vAlign w:val="center"/>
            <w:hideMark/>
          </w:tcPr>
          <w:p w14:paraId="0D651F3B" w14:textId="77777777" w:rsidR="0068149B" w:rsidRPr="0068149B" w:rsidRDefault="0068149B" w:rsidP="0068149B">
            <w:pPr>
              <w:jc w:val="right"/>
              <w:rPr>
                <w:rFonts w:eastAsia="Times New Roman" w:cs="Arial"/>
                <w:b/>
                <w:bCs/>
                <w:color w:val="000000"/>
                <w:sz w:val="18"/>
                <w:szCs w:val="18"/>
              </w:rPr>
            </w:pPr>
            <w:r w:rsidRPr="0068149B">
              <w:rPr>
                <w:rFonts w:eastAsia="Times New Roman" w:cs="Arial"/>
                <w:b/>
                <w:bCs/>
                <w:color w:val="000000"/>
                <w:sz w:val="18"/>
                <w:szCs w:val="18"/>
              </w:rPr>
              <w:t>104,892,142.0</w:t>
            </w:r>
          </w:p>
        </w:tc>
      </w:tr>
      <w:tr w:rsidR="0068149B" w:rsidRPr="0068149B" w14:paraId="1CE99829" w14:textId="77777777" w:rsidTr="0068149B">
        <w:trPr>
          <w:trHeight w:val="300"/>
        </w:trPr>
        <w:tc>
          <w:tcPr>
            <w:tcW w:w="4459" w:type="pct"/>
            <w:gridSpan w:val="2"/>
            <w:tcBorders>
              <w:top w:val="nil"/>
              <w:left w:val="nil"/>
              <w:bottom w:val="nil"/>
              <w:right w:val="nil"/>
            </w:tcBorders>
            <w:shd w:val="clear" w:color="auto" w:fill="auto"/>
            <w:noWrap/>
            <w:vAlign w:val="bottom"/>
            <w:hideMark/>
          </w:tcPr>
          <w:p w14:paraId="75452D18" w14:textId="77777777" w:rsidR="0068149B" w:rsidRPr="0068149B" w:rsidRDefault="0068149B" w:rsidP="0068149B">
            <w:pPr>
              <w:jc w:val="left"/>
              <w:rPr>
                <w:rFonts w:eastAsia="Times New Roman" w:cs="Arial"/>
                <w:color w:val="000000"/>
                <w:sz w:val="18"/>
                <w:szCs w:val="18"/>
              </w:rPr>
            </w:pPr>
            <w:r w:rsidRPr="0068149B">
              <w:rPr>
                <w:rFonts w:eastAsia="Times New Roman" w:cs="Arial"/>
                <w:color w:val="000000"/>
                <w:sz w:val="18"/>
                <w:szCs w:val="18"/>
              </w:rPr>
              <w:t>Fuente: Estimación de Ingresos y Egresos 2023</w:t>
            </w:r>
          </w:p>
        </w:tc>
        <w:tc>
          <w:tcPr>
            <w:tcW w:w="541" w:type="pct"/>
            <w:tcBorders>
              <w:top w:val="nil"/>
              <w:left w:val="nil"/>
              <w:bottom w:val="nil"/>
              <w:right w:val="single" w:sz="4" w:space="0" w:color="FFFFFF"/>
            </w:tcBorders>
            <w:shd w:val="clear" w:color="auto" w:fill="auto"/>
            <w:noWrap/>
            <w:vAlign w:val="bottom"/>
            <w:hideMark/>
          </w:tcPr>
          <w:p w14:paraId="79DFE1E2" w14:textId="77777777" w:rsidR="0068149B" w:rsidRPr="0068149B" w:rsidRDefault="0068149B" w:rsidP="0068149B">
            <w:pPr>
              <w:jc w:val="left"/>
              <w:rPr>
                <w:rFonts w:ascii="Calibri" w:eastAsia="Times New Roman" w:hAnsi="Calibri" w:cs="Times New Roman"/>
                <w:color w:val="000000"/>
                <w:sz w:val="18"/>
                <w:szCs w:val="18"/>
              </w:rPr>
            </w:pPr>
            <w:r w:rsidRPr="0068149B">
              <w:rPr>
                <w:rFonts w:ascii="Calibri" w:eastAsia="Times New Roman" w:hAnsi="Calibri" w:cs="Times New Roman"/>
                <w:color w:val="000000"/>
                <w:sz w:val="18"/>
                <w:szCs w:val="18"/>
              </w:rPr>
              <w:t> </w:t>
            </w:r>
          </w:p>
        </w:tc>
      </w:tr>
    </w:tbl>
    <w:p w14:paraId="3FF31BA3" w14:textId="77777777" w:rsidR="00DB4170" w:rsidRPr="00A55906" w:rsidRDefault="00DB4170" w:rsidP="00A3747F">
      <w:pPr>
        <w:rPr>
          <w:rFonts w:cs="Arial"/>
          <w:b/>
          <w:bCs/>
        </w:rPr>
      </w:pPr>
    </w:p>
    <w:p w14:paraId="6B005DF8" w14:textId="77777777" w:rsidR="0061497B" w:rsidRDefault="0061497B">
      <w:pPr>
        <w:spacing w:after="160" w:line="259" w:lineRule="auto"/>
        <w:rPr>
          <w:rFonts w:cs="Arial"/>
          <w:b/>
          <w:bCs/>
        </w:rPr>
      </w:pPr>
      <w:r>
        <w:rPr>
          <w:rFonts w:cs="Arial"/>
          <w:b/>
          <w:bCs/>
        </w:rPr>
        <w:br w:type="page"/>
      </w:r>
    </w:p>
    <w:p w14:paraId="6C781980" w14:textId="7FBC5FA5" w:rsidR="00F40C0F" w:rsidRPr="00A55906" w:rsidRDefault="00D604A9" w:rsidP="00A65C89">
      <w:pPr>
        <w:pStyle w:val="Ttulo2"/>
      </w:pPr>
      <w:r>
        <w:lastRenderedPageBreak/>
        <w:t>2.</w:t>
      </w:r>
      <w:r w:rsidR="00F40C0F" w:rsidRPr="00A55906">
        <w:t xml:space="preserve">X. Asignaciones para la </w:t>
      </w:r>
      <w:r w:rsidR="00DB4170" w:rsidRPr="00A55906">
        <w:t>atención de desastres naturales</w:t>
      </w:r>
    </w:p>
    <w:p w14:paraId="58E15580" w14:textId="77777777" w:rsidR="00242C70" w:rsidRDefault="00242C70" w:rsidP="00A3747F">
      <w:pPr>
        <w:rPr>
          <w:rFonts w:cs="Arial"/>
          <w:bCs/>
        </w:rPr>
      </w:pPr>
    </w:p>
    <w:p w14:paraId="567722CF" w14:textId="6F7E3C6F" w:rsidR="00F40C0F" w:rsidRPr="00A55906" w:rsidRDefault="00F40C0F" w:rsidP="00A3747F">
      <w:pPr>
        <w:rPr>
          <w:rFonts w:cs="Arial"/>
          <w:bCs/>
        </w:rPr>
      </w:pPr>
      <w:r w:rsidRPr="00A55906">
        <w:rPr>
          <w:rFonts w:cs="Arial"/>
          <w:bCs/>
        </w:rPr>
        <w:t>Según lo previsto en la Ley General de Protección Civil, es obligación del Estado en sus tres órdenes de gobierno, reducir los riesgos sobre los agentes afectables y llevar a cabo las acciones necesarias para la identificación y el reconocimiento de la vulnerabilidad de las zonas bajo su jurisdicción.</w:t>
      </w:r>
    </w:p>
    <w:p w14:paraId="734CD216" w14:textId="77777777" w:rsidR="00242C70" w:rsidRDefault="00242C70" w:rsidP="00A3747F">
      <w:pPr>
        <w:autoSpaceDE w:val="0"/>
        <w:autoSpaceDN w:val="0"/>
        <w:adjustRightInd w:val="0"/>
        <w:rPr>
          <w:rFonts w:cs="Arial"/>
          <w:bCs/>
        </w:rPr>
      </w:pPr>
    </w:p>
    <w:p w14:paraId="337F3AD6" w14:textId="47751FAC" w:rsidR="00F40C0F" w:rsidRPr="00A55906" w:rsidRDefault="00F40C0F" w:rsidP="00A3747F">
      <w:pPr>
        <w:autoSpaceDE w:val="0"/>
        <w:autoSpaceDN w:val="0"/>
        <w:adjustRightInd w:val="0"/>
        <w:rPr>
          <w:rFonts w:cs="Arial"/>
          <w:bCs/>
        </w:rPr>
      </w:pPr>
      <w:r w:rsidRPr="00A55906">
        <w:rPr>
          <w:rFonts w:cs="Arial"/>
          <w:bCs/>
        </w:rPr>
        <w:t>En términos de lo establecido en el artículo 18 de la precitada Ley, es responsabilidad de los gobiernos de las entidades federativas, conforme a su disponibilidad presupuestaria, la contratación de seguros y demás instrumentos de administración y transferencia de riesgos para la cobertura de daños causados por un desastre natural en los bienes e infraestructura de sus entidades federativas.</w:t>
      </w:r>
    </w:p>
    <w:p w14:paraId="33010334" w14:textId="77777777" w:rsidR="00F40C0F" w:rsidRPr="00A55906" w:rsidRDefault="00F40C0F" w:rsidP="00A3747F">
      <w:pPr>
        <w:autoSpaceDE w:val="0"/>
        <w:autoSpaceDN w:val="0"/>
        <w:adjustRightInd w:val="0"/>
        <w:rPr>
          <w:rFonts w:cs="Arial"/>
          <w:bCs/>
        </w:rPr>
      </w:pPr>
    </w:p>
    <w:p w14:paraId="7ACEFC83" w14:textId="44A1D0EC" w:rsidR="00203564" w:rsidRPr="009F39B2" w:rsidRDefault="00203564" w:rsidP="00203564">
      <w:pPr>
        <w:spacing w:after="160" w:line="259" w:lineRule="auto"/>
        <w:rPr>
          <w:rFonts w:cs="Arial"/>
        </w:rPr>
      </w:pPr>
      <w:r w:rsidRPr="009F39B2">
        <w:rPr>
          <w:rFonts w:cs="Arial"/>
        </w:rPr>
        <w:t xml:space="preserve">Emergencia por Desastre Natural: Sismo 19S </w:t>
      </w:r>
      <w:r w:rsidR="0068149B" w:rsidRPr="009F39B2">
        <w:rPr>
          <w:rFonts w:cs="Arial"/>
        </w:rPr>
        <w:t>según nota de prensa del 26-09-22</w:t>
      </w:r>
      <w:r w:rsidR="0045406C" w:rsidRPr="009F39B2">
        <w:rPr>
          <w:rFonts w:cs="Arial"/>
        </w:rPr>
        <w:t xml:space="preserve">. </w:t>
      </w:r>
      <w:r w:rsidRPr="009F39B2">
        <w:rPr>
          <w:rFonts w:cs="Arial"/>
        </w:rPr>
        <w:t>El 19 de septiembre de 2022 se registró un sismo de magnitud 7.7 grados en escala de Richter con epicentro en Coalcomán, Michoacán; que tuvo un impacto importante en bienes públicos y privados, en los siguientes términos.</w:t>
      </w:r>
    </w:p>
    <w:p w14:paraId="71BA154A" w14:textId="7B31F44A" w:rsidR="00203564" w:rsidRPr="009F39B2" w:rsidRDefault="00203564" w:rsidP="00203564">
      <w:pPr>
        <w:spacing w:after="160" w:line="259" w:lineRule="auto"/>
        <w:rPr>
          <w:rFonts w:cs="Arial"/>
        </w:rPr>
      </w:pPr>
      <w:r w:rsidRPr="009F39B2">
        <w:rPr>
          <w:rFonts w:cs="Arial"/>
        </w:rPr>
        <w:t>Afectaciones a Inmuebles Gubernamentales. El Complejo Administrativo de acuerdo al peritaje no tuvo daño en su estructura, sin em</w:t>
      </w:r>
      <w:r w:rsidR="009F39B2">
        <w:rPr>
          <w:rFonts w:cs="Arial"/>
        </w:rPr>
        <w:t>bargo, se requiere</w:t>
      </w:r>
      <w:r w:rsidRPr="009F39B2">
        <w:rPr>
          <w:rFonts w:cs="Arial"/>
        </w:rPr>
        <w:t xml:space="preserve"> de reparaciones en escaleras de emergencia.</w:t>
      </w:r>
    </w:p>
    <w:p w14:paraId="0ACFA0B6" w14:textId="2A62C502" w:rsidR="00203564" w:rsidRPr="009F39B2" w:rsidRDefault="00203564" w:rsidP="00203564">
      <w:pPr>
        <w:spacing w:after="160" w:line="259" w:lineRule="auto"/>
        <w:rPr>
          <w:rFonts w:cs="Arial"/>
        </w:rPr>
      </w:pPr>
      <w:r w:rsidRPr="009F39B2">
        <w:rPr>
          <w:rFonts w:cs="Arial"/>
        </w:rPr>
        <w:t>Afectaciones a la Infraestructura de Salud. Consecuencia del sismo, resultaron afectadas 35 unidades de primer nivel, 9 de segundo nivel y ninguno de los 5 hospitales principales en la entidad tiene daños estructurales, lo que permitió la continuidad de los servicios tanto de la Secretaría de Salud, siendo el ISSSTE la única dependencia del sector que reportó restricciones respe</w:t>
      </w:r>
      <w:r w:rsidR="009F39B2">
        <w:rPr>
          <w:rFonts w:cs="Arial"/>
        </w:rPr>
        <w:t>cto a su atención hospitalaria.</w:t>
      </w:r>
    </w:p>
    <w:p w14:paraId="5A551E16" w14:textId="77777777" w:rsidR="00203564" w:rsidRPr="009F39B2" w:rsidRDefault="00203564" w:rsidP="00203564">
      <w:pPr>
        <w:spacing w:after="160" w:line="259" w:lineRule="auto"/>
        <w:rPr>
          <w:rFonts w:cs="Arial"/>
        </w:rPr>
      </w:pPr>
      <w:r w:rsidRPr="009F39B2">
        <w:rPr>
          <w:rFonts w:cs="Arial"/>
        </w:rPr>
        <w:t xml:space="preserve">Se presentaron afectaciones a las 3 jurisdicciones sanitarias, en 9 de los 10 municipios y se concentraron en 29 localidades y colonias, de las cuales 22 se localizan en zonas rurales y siete en zonas urbanas. </w:t>
      </w:r>
    </w:p>
    <w:p w14:paraId="0E702622" w14:textId="77777777" w:rsidR="00203564" w:rsidRPr="009F39B2" w:rsidRDefault="00203564" w:rsidP="00203564">
      <w:pPr>
        <w:spacing w:after="160" w:line="259" w:lineRule="auto"/>
        <w:rPr>
          <w:rFonts w:cs="Arial"/>
        </w:rPr>
      </w:pPr>
      <w:r w:rsidRPr="009F39B2">
        <w:rPr>
          <w:rFonts w:cs="Arial"/>
        </w:rPr>
        <w:t>Afectaciones a Planteles Educativos. Se reportaron 14 escuelas con posibles daños severos en diferentes municipios, entre preescolares, primarias y secundarias.</w:t>
      </w:r>
    </w:p>
    <w:p w14:paraId="7F73AEA7" w14:textId="77777777" w:rsidR="00203564" w:rsidRDefault="00203564" w:rsidP="00203564">
      <w:pPr>
        <w:spacing w:after="160" w:line="259" w:lineRule="auto"/>
        <w:rPr>
          <w:rFonts w:cs="Arial"/>
        </w:rPr>
      </w:pPr>
      <w:r w:rsidRPr="009F39B2">
        <w:rPr>
          <w:rFonts w:cs="Arial"/>
        </w:rPr>
        <w:t>Afectaciones en Carreteras y Puentes. Los puentes Cortés en Colima, el paso superior vial Santa Rosa, en Armería, el Viaducto II en la entrada a Campos en Manzanillo,</w:t>
      </w:r>
      <w:r>
        <w:rPr>
          <w:rFonts w:cs="Arial"/>
        </w:rPr>
        <w:t xml:space="preserve"> presentaron afectaciones, las que no representan daños estructurales.</w:t>
      </w:r>
    </w:p>
    <w:p w14:paraId="140047BD" w14:textId="77777777" w:rsidR="00203564" w:rsidRPr="00A90838" w:rsidRDefault="00203564" w:rsidP="00203564">
      <w:pPr>
        <w:spacing w:after="160" w:line="259" w:lineRule="auto"/>
        <w:rPr>
          <w:rFonts w:cs="Arial"/>
        </w:rPr>
      </w:pPr>
      <w:r>
        <w:rPr>
          <w:rFonts w:cs="Arial"/>
        </w:rPr>
        <w:t xml:space="preserve">El kilómetro 34 de la carretera Villa de Álvarez – Minatitlán registró un daño severo, derivado de un desplazamiento de materiales; la carretera Cerro de Ortega – Callejones, El Delirio – </w:t>
      </w:r>
      <w:r>
        <w:rPr>
          <w:rFonts w:cs="Arial"/>
        </w:rPr>
        <w:lastRenderedPageBreak/>
        <w:t>Tecuanillo, Ixtlahuacán – Las Conchas y Las Conchas – San Miguel del Ojo de Agua, requieren reconstrucción total en tramos afectados, la carretera Armería – El Paraíso, presentó un daño medio por hundimiento.</w:t>
      </w:r>
    </w:p>
    <w:p w14:paraId="69CCD5EE" w14:textId="432967D8" w:rsidR="00203564" w:rsidRDefault="00203564" w:rsidP="00203564">
      <w:pPr>
        <w:spacing w:after="160" w:line="259" w:lineRule="auto"/>
        <w:rPr>
          <w:rFonts w:cs="Arial"/>
        </w:rPr>
      </w:pPr>
      <w:r w:rsidRPr="009F39B2">
        <w:rPr>
          <w:rFonts w:cs="Arial"/>
        </w:rPr>
        <w:t>Afectaciones a la Población. De acuerdo al censo para incorporar a personas beneficiarias al Programa para el Bienestar de las Personas en Emergencia Social o Natural</w:t>
      </w:r>
      <w:r>
        <w:rPr>
          <w:rFonts w:cs="Arial"/>
        </w:rPr>
        <w:t xml:space="preserve">, se registraron 7 mil 007 viviendas afectadas dentro de cinco rangos: sin pérdidas, pérdida menor, pérdida media, pérdida mayor o pérdida total. De estas, 1,136 se localizan en Armería, 291 en Colima, 338 en Comala, 312 en Coquimatlán, 100 en Cuauhtémoc, 555 en Ixtlahuacán, 1,905 en Manzanillo, 57 en Minatitlán, 2,015 en Tecomán y 298 en Villa de Álvarez. </w:t>
      </w:r>
    </w:p>
    <w:p w14:paraId="2681A75B" w14:textId="3171028D" w:rsidR="0068149B" w:rsidRDefault="0068149B" w:rsidP="00203564">
      <w:pPr>
        <w:spacing w:after="160" w:line="259" w:lineRule="auto"/>
        <w:rPr>
          <w:rFonts w:cs="Arial"/>
        </w:rPr>
      </w:pPr>
      <w:r>
        <w:rPr>
          <w:rFonts w:cs="Arial"/>
        </w:rPr>
        <w:t xml:space="preserve">Programa para el Bienestar de las Personas en Emergencia Social o Natural. Después del Censo levantado para conocer el número de personas en el Estado afectadas por el Sismo del 19 de septiembre de 2022, el Gobierno Federal determinó apoyar a 7,515 personas damnificadas con una inversión social de 238 millones 365 mil pesos, mismos que fueron entregados directamente a los beneficiarios del programa del 26 al 29 de octubre, otorgando por pérdida parcial 30 mil pesos, pérdida total 60 mil pesos y en caso de local comercial 45 mil pesos. </w:t>
      </w:r>
    </w:p>
    <w:p w14:paraId="6A93F243" w14:textId="1D83340E" w:rsidR="00203564" w:rsidRPr="00A55906" w:rsidRDefault="0068149B" w:rsidP="00203564">
      <w:pPr>
        <w:autoSpaceDE w:val="0"/>
        <w:autoSpaceDN w:val="0"/>
        <w:adjustRightInd w:val="0"/>
        <w:rPr>
          <w:rFonts w:cs="Arial"/>
          <w:bCs/>
        </w:rPr>
      </w:pPr>
      <w:r>
        <w:rPr>
          <w:rFonts w:cs="Arial"/>
          <w:bCs/>
        </w:rPr>
        <w:t>P</w:t>
      </w:r>
      <w:r w:rsidRPr="0068149B">
        <w:rPr>
          <w:rFonts w:cs="Arial"/>
          <w:bCs/>
        </w:rPr>
        <w:t xml:space="preserve">ara el </w:t>
      </w:r>
      <w:r w:rsidR="009F39B2">
        <w:rPr>
          <w:rFonts w:cs="Arial"/>
          <w:bCs/>
        </w:rPr>
        <w:t>Ejercicio F</w:t>
      </w:r>
      <w:r w:rsidR="00203564" w:rsidRPr="0068149B">
        <w:rPr>
          <w:rFonts w:cs="Arial"/>
          <w:bCs/>
        </w:rPr>
        <w:t xml:space="preserve">iscal 2023 se estimó una cantidad de 25 millones de pesos en la partida 34502 denominada Seguro de Gastos Catastróficos que representa el monto destinado para la contratación del seguro </w:t>
      </w:r>
      <w:r>
        <w:rPr>
          <w:rFonts w:cs="Arial"/>
          <w:bCs/>
        </w:rPr>
        <w:t>contra gastos catastróficos</w:t>
      </w:r>
      <w:r w:rsidR="00203564" w:rsidRPr="0068149B">
        <w:rPr>
          <w:rFonts w:cs="Arial"/>
          <w:bCs/>
        </w:rPr>
        <w:t xml:space="preserve">, para la atención a la infraestructura </w:t>
      </w:r>
      <w:r w:rsidR="00203564" w:rsidRPr="00A55906">
        <w:rPr>
          <w:rFonts w:cs="Arial"/>
          <w:bCs/>
        </w:rPr>
        <w:t>dañada en caso de desastres naturales.</w:t>
      </w:r>
    </w:p>
    <w:p w14:paraId="48C1E7BB" w14:textId="77777777" w:rsidR="00203564" w:rsidRPr="00A55906" w:rsidRDefault="00203564" w:rsidP="00203564">
      <w:pPr>
        <w:rPr>
          <w:rFonts w:cs="Arial"/>
          <w:b/>
          <w:bCs/>
        </w:rPr>
      </w:pPr>
    </w:p>
    <w:p w14:paraId="588EBDA8" w14:textId="5708FBA6" w:rsidR="0068149B" w:rsidRDefault="00203564" w:rsidP="00203564">
      <w:pPr>
        <w:rPr>
          <w:rFonts w:cs="Arial"/>
        </w:rPr>
      </w:pPr>
      <w:r w:rsidRPr="0068149B">
        <w:rPr>
          <w:rFonts w:cs="Arial"/>
        </w:rPr>
        <w:t>Para el ejercicio fiscal 2023, se prevén en la partida 79101 Fondo de Desastres Naturales, 2,000,000.00 pesos de aportación</w:t>
      </w:r>
      <w:r w:rsidR="0068149B">
        <w:rPr>
          <w:rFonts w:cs="Arial"/>
        </w:rPr>
        <w:t xml:space="preserve"> al Fideicomiso, </w:t>
      </w:r>
      <w:r w:rsidRPr="0068149B">
        <w:rPr>
          <w:rFonts w:cs="Arial"/>
        </w:rPr>
        <w:t>con el fin de atender a la población afectada y los daños causados a la infraestructura</w:t>
      </w:r>
      <w:r w:rsidR="0094225A">
        <w:rPr>
          <w:rFonts w:cs="Arial"/>
        </w:rPr>
        <w:t xml:space="preserve"> pública estatal que se pudiese</w:t>
      </w:r>
      <w:r w:rsidRPr="0068149B">
        <w:rPr>
          <w:rFonts w:cs="Arial"/>
        </w:rPr>
        <w:t xml:space="preserve"> ocasionar por la ocurrencia de desastres naturales.</w:t>
      </w:r>
      <w:r w:rsidR="0068149B" w:rsidRPr="0068149B">
        <w:rPr>
          <w:rFonts w:cs="Arial"/>
        </w:rPr>
        <w:t xml:space="preserve"> </w:t>
      </w:r>
      <w:r w:rsidR="0068149B">
        <w:rPr>
          <w:rFonts w:cs="Arial"/>
        </w:rPr>
        <w:t>La aportación estatal podrá variar durante el Ejerci</w:t>
      </w:r>
      <w:r w:rsidR="0094225A">
        <w:rPr>
          <w:rFonts w:cs="Arial"/>
        </w:rPr>
        <w:t>cio Fiscal 2023 de acuerdo al cá</w:t>
      </w:r>
      <w:r w:rsidR="0068149B">
        <w:rPr>
          <w:rFonts w:cs="Arial"/>
        </w:rPr>
        <w:t>lculo que se realice</w:t>
      </w:r>
      <w:r w:rsidR="0094225A">
        <w:rPr>
          <w:rFonts w:cs="Arial"/>
        </w:rPr>
        <w:t xml:space="preserve"> con base a lo establecido en el artículo 9 de la Ley de Disciplina Financiera de las Entidades Federativas y los Municipios a causa de la declaratoria de emergencia por el sismo ya señalado. </w:t>
      </w:r>
    </w:p>
    <w:p w14:paraId="4FA74C7D" w14:textId="70F13CBD" w:rsidR="00677E65" w:rsidRDefault="00677E65" w:rsidP="00A3747F">
      <w:pPr>
        <w:rPr>
          <w:rFonts w:cs="Arial"/>
        </w:rPr>
      </w:pPr>
    </w:p>
    <w:p w14:paraId="1AD80804" w14:textId="6AF45BD6" w:rsidR="00677E65" w:rsidRPr="00A55906" w:rsidRDefault="00D604A9" w:rsidP="00A65C89">
      <w:pPr>
        <w:pStyle w:val="Ttulo2"/>
      </w:pPr>
      <w:r>
        <w:t>2.</w:t>
      </w:r>
      <w:r w:rsidR="00677E65" w:rsidRPr="00A55906">
        <w:t>X</w:t>
      </w:r>
      <w:r w:rsidR="00677E65">
        <w:t>I</w:t>
      </w:r>
      <w:r w:rsidR="00677E65" w:rsidRPr="00A55906">
        <w:t xml:space="preserve">. </w:t>
      </w:r>
      <w:r w:rsidR="00677E65">
        <w:t>Evaluación del Desempeño</w:t>
      </w:r>
    </w:p>
    <w:p w14:paraId="6CB8372D" w14:textId="77777777" w:rsidR="00677E65" w:rsidRDefault="00677E65" w:rsidP="00677E65">
      <w:pPr>
        <w:rPr>
          <w:rFonts w:cs="Arial"/>
          <w:bCs/>
        </w:rPr>
      </w:pPr>
    </w:p>
    <w:p w14:paraId="72299C40" w14:textId="7EE5C5A0" w:rsidR="00677E65" w:rsidRDefault="00D604A9" w:rsidP="00F04F65">
      <w:pPr>
        <w:autoSpaceDE w:val="0"/>
        <w:autoSpaceDN w:val="0"/>
        <w:adjustRightInd w:val="0"/>
        <w:rPr>
          <w:rFonts w:cs="Arial"/>
          <w:bCs/>
        </w:rPr>
      </w:pPr>
      <w:r>
        <w:rPr>
          <w:rFonts w:cs="Arial"/>
          <w:bCs/>
        </w:rPr>
        <w:t xml:space="preserve">En cumplimiento a lo dispuesto por el artículo 134 de la Constitución Política de los Estados Unidos Mexicanos, artículo 49 de la Ley de Coordinación Fiscal, 110 de la Ley Federal de Presupuesto y Responsabilidad Hacendaria, </w:t>
      </w:r>
      <w:r w:rsidR="00F04F65">
        <w:rPr>
          <w:rFonts w:cs="Arial"/>
          <w:bCs/>
        </w:rPr>
        <w:t>y artículos 17 y 28 de la Ley de Presupuesto Responsabilidad Hacendaria del Estado de C</w:t>
      </w:r>
      <w:r w:rsidR="00902A42">
        <w:rPr>
          <w:rFonts w:cs="Arial"/>
          <w:bCs/>
        </w:rPr>
        <w:t>olima, se realizaron las siguientes evaluaciones:</w:t>
      </w:r>
    </w:p>
    <w:p w14:paraId="4FDB852F" w14:textId="25CB1F40" w:rsidR="00902A42" w:rsidRDefault="00902A42" w:rsidP="00F04F65">
      <w:pPr>
        <w:autoSpaceDE w:val="0"/>
        <w:autoSpaceDN w:val="0"/>
        <w:adjustRightInd w:val="0"/>
        <w:rPr>
          <w:rFonts w:cs="Arial"/>
          <w:bCs/>
        </w:rPr>
      </w:pPr>
    </w:p>
    <w:tbl>
      <w:tblPr>
        <w:tblStyle w:val="Tabladelista6concolores-nfasis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1570"/>
        <w:gridCol w:w="1507"/>
        <w:gridCol w:w="1276"/>
      </w:tblGrid>
      <w:tr w:rsidR="00902A42" w:rsidRPr="00924CFD" w14:paraId="5C4639FC" w14:textId="77777777" w:rsidTr="00924CF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42" w:type="dxa"/>
            <w:gridSpan w:val="4"/>
            <w:tcBorders>
              <w:top w:val="nil"/>
              <w:left w:val="nil"/>
              <w:bottom w:val="single" w:sz="4" w:space="0" w:color="auto"/>
              <w:right w:val="nil"/>
            </w:tcBorders>
            <w:shd w:val="clear" w:color="auto" w:fill="auto"/>
            <w:vAlign w:val="center"/>
          </w:tcPr>
          <w:p w14:paraId="6598A8BB" w14:textId="435AE8EB" w:rsidR="00902A42" w:rsidRPr="00924CFD" w:rsidRDefault="00902A42" w:rsidP="00902A42">
            <w:pPr>
              <w:jc w:val="center"/>
              <w:rPr>
                <w:rFonts w:eastAsia="Arial" w:cs="Arial"/>
                <w:b w:val="0"/>
                <w:bCs w:val="0"/>
                <w:color w:val="auto"/>
                <w:sz w:val="20"/>
                <w:szCs w:val="20"/>
              </w:rPr>
            </w:pPr>
            <w:r w:rsidRPr="00924CFD">
              <w:rPr>
                <w:rFonts w:eastAsia="Arial" w:cs="Arial"/>
                <w:color w:val="auto"/>
                <w:sz w:val="20"/>
                <w:szCs w:val="20"/>
              </w:rPr>
              <w:t>Evaluaciones Realizadas</w:t>
            </w:r>
          </w:p>
          <w:p w14:paraId="2C8DF03E" w14:textId="77777777" w:rsidR="00902A42" w:rsidRPr="00924CFD" w:rsidRDefault="00902A42" w:rsidP="00902A42">
            <w:pPr>
              <w:jc w:val="center"/>
              <w:rPr>
                <w:rFonts w:eastAsia="Arial" w:cs="Arial"/>
                <w:color w:val="auto"/>
                <w:sz w:val="20"/>
                <w:szCs w:val="20"/>
              </w:rPr>
            </w:pPr>
            <w:r w:rsidRPr="00924CFD">
              <w:rPr>
                <w:rFonts w:eastAsia="Arial" w:cs="Arial"/>
                <w:color w:val="auto"/>
                <w:sz w:val="20"/>
                <w:szCs w:val="20"/>
              </w:rPr>
              <w:t>PAE ejercicio fiscal 2021</w:t>
            </w:r>
          </w:p>
        </w:tc>
      </w:tr>
      <w:tr w:rsidR="00902A42" w:rsidRPr="00924CFD" w14:paraId="58065C1C" w14:textId="77777777" w:rsidTr="00924C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tcBorders>
              <w:top w:val="single" w:sz="4" w:space="0" w:color="auto"/>
            </w:tcBorders>
            <w:shd w:val="clear" w:color="auto" w:fill="auto"/>
            <w:vAlign w:val="center"/>
          </w:tcPr>
          <w:p w14:paraId="0D2B72FC" w14:textId="376A0CF0" w:rsidR="00902A42" w:rsidRPr="00924CFD" w:rsidRDefault="00902A42" w:rsidP="00902A42">
            <w:pPr>
              <w:jc w:val="center"/>
              <w:rPr>
                <w:rFonts w:eastAsia="Arial" w:cs="Arial"/>
                <w:b w:val="0"/>
                <w:color w:val="auto"/>
                <w:sz w:val="18"/>
                <w:szCs w:val="18"/>
              </w:rPr>
            </w:pPr>
            <w:r w:rsidRPr="00924CFD">
              <w:rPr>
                <w:rFonts w:eastAsia="Arial" w:cs="Arial"/>
                <w:b w:val="0"/>
                <w:color w:val="auto"/>
                <w:sz w:val="18"/>
                <w:szCs w:val="18"/>
              </w:rPr>
              <w:t>Tipo de Evaluaciones</w:t>
            </w:r>
          </w:p>
        </w:tc>
        <w:tc>
          <w:tcPr>
            <w:tcW w:w="1570" w:type="dxa"/>
            <w:tcBorders>
              <w:top w:val="single" w:sz="4" w:space="0" w:color="auto"/>
            </w:tcBorders>
            <w:shd w:val="clear" w:color="auto" w:fill="auto"/>
            <w:vAlign w:val="center"/>
          </w:tcPr>
          <w:p w14:paraId="56E6D961" w14:textId="046EC89E"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color w:val="auto"/>
                <w:sz w:val="16"/>
                <w:szCs w:val="18"/>
              </w:rPr>
            </w:pPr>
            <w:r w:rsidRPr="00924CFD">
              <w:rPr>
                <w:rFonts w:eastAsia="Arial" w:cs="Arial"/>
                <w:color w:val="auto"/>
                <w:sz w:val="16"/>
                <w:szCs w:val="18"/>
              </w:rPr>
              <w:t>Número de Evaluaciones Realizadas</w:t>
            </w:r>
          </w:p>
        </w:tc>
        <w:tc>
          <w:tcPr>
            <w:tcW w:w="1507" w:type="dxa"/>
            <w:tcBorders>
              <w:top w:val="single" w:sz="4" w:space="0" w:color="auto"/>
            </w:tcBorders>
            <w:shd w:val="clear" w:color="auto" w:fill="auto"/>
            <w:vAlign w:val="center"/>
          </w:tcPr>
          <w:p w14:paraId="712E420A" w14:textId="1B0292AD"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color w:val="auto"/>
                <w:sz w:val="16"/>
                <w:szCs w:val="18"/>
              </w:rPr>
            </w:pPr>
            <w:r w:rsidRPr="00924CFD">
              <w:rPr>
                <w:rFonts w:eastAsia="Arial" w:cs="Arial"/>
                <w:color w:val="auto"/>
                <w:sz w:val="16"/>
                <w:szCs w:val="18"/>
              </w:rPr>
              <w:t>Número de Evaluaciones Reprogramadas</w:t>
            </w:r>
          </w:p>
        </w:tc>
        <w:tc>
          <w:tcPr>
            <w:tcW w:w="1276" w:type="dxa"/>
            <w:tcBorders>
              <w:top w:val="single" w:sz="4" w:space="0" w:color="auto"/>
            </w:tcBorders>
            <w:shd w:val="clear" w:color="auto" w:fill="auto"/>
            <w:vAlign w:val="center"/>
          </w:tcPr>
          <w:p w14:paraId="16A877BD" w14:textId="60821813"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color w:val="auto"/>
                <w:sz w:val="18"/>
                <w:szCs w:val="18"/>
              </w:rPr>
            </w:pPr>
            <w:r w:rsidRPr="00924CFD">
              <w:rPr>
                <w:rFonts w:eastAsia="Arial" w:cs="Arial"/>
                <w:color w:val="auto"/>
                <w:sz w:val="18"/>
                <w:szCs w:val="18"/>
              </w:rPr>
              <w:t>Total</w:t>
            </w:r>
          </w:p>
        </w:tc>
      </w:tr>
      <w:tr w:rsidR="00902A42" w:rsidRPr="00924CFD" w14:paraId="6B940CB9" w14:textId="77777777" w:rsidTr="00924CFD">
        <w:trPr>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07087ED5" w14:textId="77777777" w:rsidR="00902A42" w:rsidRPr="00924CFD" w:rsidRDefault="00902A42" w:rsidP="00902A42">
            <w:pPr>
              <w:rPr>
                <w:rFonts w:eastAsia="Arial" w:cs="Arial"/>
                <w:color w:val="auto"/>
                <w:sz w:val="18"/>
                <w:szCs w:val="18"/>
              </w:rPr>
            </w:pPr>
            <w:r w:rsidRPr="00924CFD">
              <w:rPr>
                <w:rFonts w:eastAsia="Arial" w:cs="Arial"/>
                <w:color w:val="auto"/>
                <w:sz w:val="18"/>
                <w:szCs w:val="18"/>
              </w:rPr>
              <w:t>Consistencia y Resultados.</w:t>
            </w:r>
          </w:p>
        </w:tc>
        <w:tc>
          <w:tcPr>
            <w:tcW w:w="1570" w:type="dxa"/>
            <w:shd w:val="clear" w:color="auto" w:fill="auto"/>
          </w:tcPr>
          <w:p w14:paraId="6BF670FE" w14:textId="77777777" w:rsidR="00902A42" w:rsidRPr="00924CFD" w:rsidRDefault="00902A42" w:rsidP="00902A42">
            <w:pPr>
              <w:jc w:val="center"/>
              <w:cnfStyle w:val="000000000000" w:firstRow="0" w:lastRow="0" w:firstColumn="0" w:lastColumn="0" w:oddVBand="0" w:evenVBand="0" w:oddHBand="0" w:evenHBand="0" w:firstRowFirstColumn="0" w:firstRowLastColumn="0" w:lastRowFirstColumn="0" w:lastRowLastColumn="0"/>
              <w:rPr>
                <w:rFonts w:eastAsia="Arial" w:cs="Arial"/>
                <w:b/>
                <w:bCs/>
                <w:color w:val="auto"/>
                <w:sz w:val="18"/>
                <w:szCs w:val="18"/>
              </w:rPr>
            </w:pPr>
            <w:r w:rsidRPr="00924CFD">
              <w:rPr>
                <w:rFonts w:eastAsia="Arial" w:cs="Arial"/>
                <w:b/>
                <w:bCs/>
                <w:color w:val="auto"/>
                <w:sz w:val="18"/>
                <w:szCs w:val="18"/>
              </w:rPr>
              <w:t>2</w:t>
            </w:r>
          </w:p>
        </w:tc>
        <w:tc>
          <w:tcPr>
            <w:tcW w:w="1507" w:type="dxa"/>
            <w:shd w:val="clear" w:color="auto" w:fill="auto"/>
          </w:tcPr>
          <w:p w14:paraId="6859A247" w14:textId="77777777" w:rsidR="00902A42" w:rsidRPr="00924CFD" w:rsidRDefault="00902A42" w:rsidP="00902A42">
            <w:pPr>
              <w:jc w:val="center"/>
              <w:cnfStyle w:val="000000000000" w:firstRow="0" w:lastRow="0" w:firstColumn="0" w:lastColumn="0" w:oddVBand="0" w:evenVBand="0" w:oddHBand="0" w:evenHBand="0" w:firstRowFirstColumn="0" w:firstRowLastColumn="0" w:lastRowFirstColumn="0" w:lastRowLastColumn="0"/>
              <w:rPr>
                <w:rFonts w:eastAsia="Arial" w:cs="Arial"/>
                <w:b/>
                <w:bCs/>
                <w:color w:val="auto"/>
                <w:sz w:val="18"/>
                <w:szCs w:val="18"/>
              </w:rPr>
            </w:pPr>
            <w:r w:rsidRPr="00924CFD">
              <w:rPr>
                <w:rFonts w:eastAsia="Arial" w:cs="Arial"/>
                <w:b/>
                <w:bCs/>
                <w:color w:val="auto"/>
                <w:sz w:val="18"/>
                <w:szCs w:val="18"/>
              </w:rPr>
              <w:t>2</w:t>
            </w:r>
          </w:p>
        </w:tc>
        <w:tc>
          <w:tcPr>
            <w:tcW w:w="1276" w:type="dxa"/>
            <w:shd w:val="clear" w:color="auto" w:fill="auto"/>
          </w:tcPr>
          <w:p w14:paraId="51B36E1C" w14:textId="77777777" w:rsidR="00902A42" w:rsidRPr="00924CFD" w:rsidRDefault="00902A42" w:rsidP="00902A42">
            <w:pPr>
              <w:jc w:val="center"/>
              <w:cnfStyle w:val="000000000000" w:firstRow="0" w:lastRow="0" w:firstColumn="0" w:lastColumn="0" w:oddVBand="0" w:evenVBand="0" w:oddHBand="0" w:evenHBand="0" w:firstRowFirstColumn="0" w:firstRowLastColumn="0" w:lastRowFirstColumn="0" w:lastRowLastColumn="0"/>
              <w:rPr>
                <w:rFonts w:eastAsia="Arial" w:cs="Arial"/>
                <w:b/>
                <w:bCs/>
                <w:color w:val="auto"/>
                <w:sz w:val="18"/>
                <w:szCs w:val="18"/>
              </w:rPr>
            </w:pPr>
            <w:r w:rsidRPr="00924CFD">
              <w:rPr>
                <w:rFonts w:eastAsia="Arial" w:cs="Arial"/>
                <w:b/>
                <w:bCs/>
                <w:color w:val="auto"/>
                <w:sz w:val="18"/>
                <w:szCs w:val="18"/>
              </w:rPr>
              <w:t>4</w:t>
            </w:r>
          </w:p>
        </w:tc>
      </w:tr>
      <w:tr w:rsidR="00902A42" w:rsidRPr="00924CFD" w14:paraId="3C51B59B" w14:textId="77777777" w:rsidTr="00924C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9B90C45" w14:textId="77777777" w:rsidR="00902A42" w:rsidRPr="00924CFD" w:rsidRDefault="00902A42" w:rsidP="00902A42">
            <w:pPr>
              <w:rPr>
                <w:rFonts w:eastAsia="Arial" w:cs="Arial"/>
                <w:color w:val="auto"/>
                <w:sz w:val="18"/>
                <w:szCs w:val="18"/>
              </w:rPr>
            </w:pPr>
            <w:r w:rsidRPr="00924CFD">
              <w:rPr>
                <w:rFonts w:eastAsia="Arial" w:cs="Arial"/>
                <w:color w:val="auto"/>
                <w:sz w:val="18"/>
                <w:szCs w:val="18"/>
              </w:rPr>
              <w:t>Específicas:</w:t>
            </w:r>
          </w:p>
        </w:tc>
        <w:tc>
          <w:tcPr>
            <w:tcW w:w="1570" w:type="dxa"/>
            <w:shd w:val="clear" w:color="auto" w:fill="auto"/>
          </w:tcPr>
          <w:p w14:paraId="3B187EAB" w14:textId="77777777"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 w:val="18"/>
                <w:szCs w:val="18"/>
              </w:rPr>
            </w:pPr>
            <w:r w:rsidRPr="00924CFD">
              <w:rPr>
                <w:rFonts w:eastAsia="Arial" w:cs="Arial"/>
                <w:b/>
                <w:bCs/>
                <w:color w:val="auto"/>
                <w:sz w:val="18"/>
                <w:szCs w:val="18"/>
              </w:rPr>
              <w:t>4</w:t>
            </w:r>
          </w:p>
        </w:tc>
        <w:tc>
          <w:tcPr>
            <w:tcW w:w="1507" w:type="dxa"/>
            <w:shd w:val="clear" w:color="auto" w:fill="auto"/>
          </w:tcPr>
          <w:p w14:paraId="35C04A87" w14:textId="77777777"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 w:val="18"/>
                <w:szCs w:val="18"/>
              </w:rPr>
            </w:pPr>
            <w:r w:rsidRPr="00924CFD">
              <w:rPr>
                <w:rFonts w:eastAsia="Arial" w:cs="Arial"/>
                <w:b/>
                <w:bCs/>
                <w:color w:val="auto"/>
                <w:sz w:val="18"/>
                <w:szCs w:val="18"/>
              </w:rPr>
              <w:t>1</w:t>
            </w:r>
          </w:p>
        </w:tc>
        <w:tc>
          <w:tcPr>
            <w:tcW w:w="1276" w:type="dxa"/>
            <w:shd w:val="clear" w:color="auto" w:fill="auto"/>
          </w:tcPr>
          <w:p w14:paraId="2CF7DFCE" w14:textId="77777777"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 w:val="18"/>
                <w:szCs w:val="18"/>
              </w:rPr>
            </w:pPr>
            <w:r w:rsidRPr="00924CFD">
              <w:rPr>
                <w:rFonts w:eastAsia="Arial" w:cs="Arial"/>
                <w:b/>
                <w:bCs/>
                <w:color w:val="auto"/>
                <w:sz w:val="18"/>
                <w:szCs w:val="18"/>
              </w:rPr>
              <w:t>5</w:t>
            </w:r>
          </w:p>
        </w:tc>
      </w:tr>
      <w:tr w:rsidR="00902A42" w:rsidRPr="00924CFD" w14:paraId="4F1494BE" w14:textId="77777777" w:rsidTr="00924CFD">
        <w:trPr>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25B0D7FF" w14:textId="77777777" w:rsidR="00902A42" w:rsidRPr="00924CFD" w:rsidRDefault="00902A42" w:rsidP="00902A42">
            <w:pPr>
              <w:rPr>
                <w:rFonts w:eastAsia="Arial" w:cs="Arial"/>
                <w:b w:val="0"/>
                <w:bCs w:val="0"/>
                <w:color w:val="auto"/>
                <w:sz w:val="18"/>
                <w:szCs w:val="18"/>
              </w:rPr>
            </w:pPr>
            <w:r w:rsidRPr="00924CFD">
              <w:rPr>
                <w:rFonts w:eastAsia="Arial" w:cs="Arial"/>
                <w:b w:val="0"/>
                <w:bCs w:val="0"/>
                <w:color w:val="auto"/>
                <w:sz w:val="18"/>
                <w:szCs w:val="18"/>
              </w:rPr>
              <w:t>De Cierre.</w:t>
            </w:r>
          </w:p>
        </w:tc>
        <w:tc>
          <w:tcPr>
            <w:tcW w:w="1570" w:type="dxa"/>
            <w:shd w:val="clear" w:color="auto" w:fill="auto"/>
          </w:tcPr>
          <w:p w14:paraId="0C5B1F91" w14:textId="77777777" w:rsidR="00902A42" w:rsidRPr="00924CFD" w:rsidRDefault="00902A42" w:rsidP="00902A42">
            <w:pPr>
              <w:jc w:val="center"/>
              <w:cnfStyle w:val="000000000000" w:firstRow="0" w:lastRow="0" w:firstColumn="0" w:lastColumn="0" w:oddVBand="0" w:evenVBand="0" w:oddHBand="0" w:evenHBand="0" w:firstRowFirstColumn="0" w:firstRowLastColumn="0" w:lastRowFirstColumn="0" w:lastRowLastColumn="0"/>
              <w:rPr>
                <w:rFonts w:eastAsia="Arial" w:cs="Arial"/>
                <w:color w:val="auto"/>
                <w:sz w:val="18"/>
                <w:szCs w:val="18"/>
              </w:rPr>
            </w:pPr>
            <w:r w:rsidRPr="00924CFD">
              <w:rPr>
                <w:rFonts w:eastAsia="Arial" w:cs="Arial"/>
                <w:color w:val="auto"/>
                <w:sz w:val="18"/>
                <w:szCs w:val="18"/>
              </w:rPr>
              <w:t>1</w:t>
            </w:r>
          </w:p>
        </w:tc>
        <w:tc>
          <w:tcPr>
            <w:tcW w:w="1507" w:type="dxa"/>
            <w:shd w:val="clear" w:color="auto" w:fill="auto"/>
          </w:tcPr>
          <w:p w14:paraId="1ED6AD8F" w14:textId="77777777" w:rsidR="00902A42" w:rsidRPr="00924CFD" w:rsidRDefault="00902A42" w:rsidP="00902A42">
            <w:pPr>
              <w:jc w:val="center"/>
              <w:cnfStyle w:val="000000000000" w:firstRow="0" w:lastRow="0" w:firstColumn="0" w:lastColumn="0" w:oddVBand="0" w:evenVBand="0" w:oddHBand="0" w:evenHBand="0" w:firstRowFirstColumn="0" w:firstRowLastColumn="0" w:lastRowFirstColumn="0" w:lastRowLastColumn="0"/>
              <w:rPr>
                <w:rFonts w:eastAsia="Arial" w:cs="Arial"/>
                <w:color w:val="auto"/>
                <w:sz w:val="18"/>
                <w:szCs w:val="18"/>
              </w:rPr>
            </w:pPr>
            <w:r w:rsidRPr="00924CFD">
              <w:rPr>
                <w:rFonts w:eastAsia="Arial" w:cs="Arial"/>
                <w:color w:val="auto"/>
                <w:sz w:val="18"/>
                <w:szCs w:val="18"/>
              </w:rPr>
              <w:t>1</w:t>
            </w:r>
          </w:p>
        </w:tc>
        <w:tc>
          <w:tcPr>
            <w:tcW w:w="1276" w:type="dxa"/>
            <w:shd w:val="clear" w:color="auto" w:fill="auto"/>
          </w:tcPr>
          <w:p w14:paraId="2CCCFD0D" w14:textId="77777777" w:rsidR="00902A42" w:rsidRPr="00924CFD" w:rsidRDefault="00902A42" w:rsidP="00902A42">
            <w:pPr>
              <w:jc w:val="center"/>
              <w:cnfStyle w:val="000000000000" w:firstRow="0" w:lastRow="0" w:firstColumn="0" w:lastColumn="0" w:oddVBand="0" w:evenVBand="0" w:oddHBand="0" w:evenHBand="0" w:firstRowFirstColumn="0" w:firstRowLastColumn="0" w:lastRowFirstColumn="0" w:lastRowLastColumn="0"/>
              <w:rPr>
                <w:rFonts w:eastAsia="Arial" w:cs="Arial"/>
                <w:color w:val="auto"/>
                <w:sz w:val="18"/>
                <w:szCs w:val="18"/>
              </w:rPr>
            </w:pPr>
            <w:r w:rsidRPr="00924CFD">
              <w:rPr>
                <w:rFonts w:eastAsia="Arial" w:cs="Arial"/>
                <w:color w:val="auto"/>
                <w:sz w:val="18"/>
                <w:szCs w:val="18"/>
              </w:rPr>
              <w:t>2</w:t>
            </w:r>
          </w:p>
        </w:tc>
      </w:tr>
      <w:tr w:rsidR="00902A42" w:rsidRPr="00924CFD" w14:paraId="61C7524B" w14:textId="77777777" w:rsidTr="00924C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39B1FA1" w14:textId="77777777" w:rsidR="00902A42" w:rsidRPr="00924CFD" w:rsidRDefault="00902A42" w:rsidP="00902A42">
            <w:pPr>
              <w:rPr>
                <w:rFonts w:eastAsia="Arial" w:cs="Arial"/>
                <w:b w:val="0"/>
                <w:bCs w:val="0"/>
                <w:color w:val="auto"/>
                <w:sz w:val="18"/>
                <w:szCs w:val="18"/>
              </w:rPr>
            </w:pPr>
            <w:r w:rsidRPr="00924CFD">
              <w:rPr>
                <w:rFonts w:eastAsia="Arial" w:cs="Arial"/>
                <w:b w:val="0"/>
                <w:bCs w:val="0"/>
                <w:color w:val="auto"/>
                <w:sz w:val="18"/>
                <w:szCs w:val="18"/>
              </w:rPr>
              <w:t>De Indicadores.</w:t>
            </w:r>
          </w:p>
        </w:tc>
        <w:tc>
          <w:tcPr>
            <w:tcW w:w="1570" w:type="dxa"/>
            <w:shd w:val="clear" w:color="auto" w:fill="auto"/>
          </w:tcPr>
          <w:p w14:paraId="51193ED3" w14:textId="77777777"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color w:val="auto"/>
                <w:sz w:val="18"/>
                <w:szCs w:val="18"/>
              </w:rPr>
            </w:pPr>
            <w:r w:rsidRPr="00924CFD">
              <w:rPr>
                <w:rFonts w:eastAsia="Arial" w:cs="Arial"/>
                <w:color w:val="auto"/>
                <w:sz w:val="18"/>
                <w:szCs w:val="18"/>
              </w:rPr>
              <w:t>1</w:t>
            </w:r>
          </w:p>
        </w:tc>
        <w:tc>
          <w:tcPr>
            <w:tcW w:w="1507" w:type="dxa"/>
            <w:shd w:val="clear" w:color="auto" w:fill="auto"/>
          </w:tcPr>
          <w:p w14:paraId="508C0E9A" w14:textId="1BD81866"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color w:val="auto"/>
                <w:sz w:val="18"/>
                <w:szCs w:val="18"/>
              </w:rPr>
            </w:pPr>
            <w:r w:rsidRPr="00924CFD">
              <w:rPr>
                <w:rFonts w:eastAsia="Arial" w:cs="Arial"/>
                <w:color w:val="auto"/>
                <w:sz w:val="18"/>
                <w:szCs w:val="18"/>
              </w:rPr>
              <w:t>0</w:t>
            </w:r>
          </w:p>
        </w:tc>
        <w:tc>
          <w:tcPr>
            <w:tcW w:w="1276" w:type="dxa"/>
            <w:shd w:val="clear" w:color="auto" w:fill="auto"/>
          </w:tcPr>
          <w:p w14:paraId="2818FDA4" w14:textId="77777777"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color w:val="auto"/>
                <w:sz w:val="18"/>
                <w:szCs w:val="18"/>
              </w:rPr>
            </w:pPr>
            <w:r w:rsidRPr="00924CFD">
              <w:rPr>
                <w:rFonts w:eastAsia="Arial" w:cs="Arial"/>
                <w:color w:val="auto"/>
                <w:sz w:val="18"/>
                <w:szCs w:val="18"/>
              </w:rPr>
              <w:t>1</w:t>
            </w:r>
          </w:p>
        </w:tc>
      </w:tr>
      <w:tr w:rsidR="00902A42" w:rsidRPr="00924CFD" w14:paraId="201F2A36" w14:textId="77777777" w:rsidTr="00924CFD">
        <w:trPr>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36ACFFA8" w14:textId="77777777" w:rsidR="00902A42" w:rsidRPr="00924CFD" w:rsidRDefault="00902A42" w:rsidP="00902A42">
            <w:pPr>
              <w:rPr>
                <w:rFonts w:eastAsia="Arial" w:cs="Arial"/>
                <w:b w:val="0"/>
                <w:bCs w:val="0"/>
                <w:color w:val="auto"/>
                <w:sz w:val="18"/>
                <w:szCs w:val="18"/>
              </w:rPr>
            </w:pPr>
            <w:r w:rsidRPr="00924CFD">
              <w:rPr>
                <w:rFonts w:eastAsia="Arial" w:cs="Arial"/>
                <w:b w:val="0"/>
                <w:bCs w:val="0"/>
                <w:color w:val="auto"/>
                <w:sz w:val="18"/>
                <w:szCs w:val="18"/>
              </w:rPr>
              <w:t>De Resultados.</w:t>
            </w:r>
          </w:p>
        </w:tc>
        <w:tc>
          <w:tcPr>
            <w:tcW w:w="1570" w:type="dxa"/>
            <w:shd w:val="clear" w:color="auto" w:fill="auto"/>
          </w:tcPr>
          <w:p w14:paraId="25D8A5E7" w14:textId="77777777" w:rsidR="00902A42" w:rsidRPr="00924CFD" w:rsidRDefault="00902A42" w:rsidP="00902A42">
            <w:pPr>
              <w:jc w:val="center"/>
              <w:cnfStyle w:val="000000000000" w:firstRow="0" w:lastRow="0" w:firstColumn="0" w:lastColumn="0" w:oddVBand="0" w:evenVBand="0" w:oddHBand="0" w:evenHBand="0" w:firstRowFirstColumn="0" w:firstRowLastColumn="0" w:lastRowFirstColumn="0" w:lastRowLastColumn="0"/>
              <w:rPr>
                <w:rFonts w:eastAsia="Arial" w:cs="Arial"/>
                <w:color w:val="auto"/>
                <w:sz w:val="18"/>
                <w:szCs w:val="18"/>
              </w:rPr>
            </w:pPr>
            <w:r w:rsidRPr="00924CFD">
              <w:rPr>
                <w:rFonts w:eastAsia="Arial" w:cs="Arial"/>
                <w:color w:val="auto"/>
                <w:sz w:val="18"/>
                <w:szCs w:val="18"/>
              </w:rPr>
              <w:t>2</w:t>
            </w:r>
          </w:p>
        </w:tc>
        <w:tc>
          <w:tcPr>
            <w:tcW w:w="1507" w:type="dxa"/>
            <w:shd w:val="clear" w:color="auto" w:fill="auto"/>
          </w:tcPr>
          <w:p w14:paraId="0361488B" w14:textId="5053C377" w:rsidR="00902A42" w:rsidRPr="00924CFD" w:rsidRDefault="00902A42" w:rsidP="00902A42">
            <w:pPr>
              <w:jc w:val="center"/>
              <w:cnfStyle w:val="000000000000" w:firstRow="0" w:lastRow="0" w:firstColumn="0" w:lastColumn="0" w:oddVBand="0" w:evenVBand="0" w:oddHBand="0" w:evenHBand="0" w:firstRowFirstColumn="0" w:firstRowLastColumn="0" w:lastRowFirstColumn="0" w:lastRowLastColumn="0"/>
              <w:rPr>
                <w:rFonts w:eastAsia="Arial" w:cs="Arial"/>
                <w:color w:val="auto"/>
                <w:sz w:val="18"/>
                <w:szCs w:val="18"/>
              </w:rPr>
            </w:pPr>
            <w:r w:rsidRPr="00924CFD">
              <w:rPr>
                <w:rFonts w:eastAsia="Arial" w:cs="Arial"/>
                <w:color w:val="auto"/>
                <w:sz w:val="18"/>
                <w:szCs w:val="18"/>
              </w:rPr>
              <w:t>0</w:t>
            </w:r>
          </w:p>
        </w:tc>
        <w:tc>
          <w:tcPr>
            <w:tcW w:w="1276" w:type="dxa"/>
            <w:shd w:val="clear" w:color="auto" w:fill="auto"/>
          </w:tcPr>
          <w:p w14:paraId="4628A3C2" w14:textId="77777777" w:rsidR="00902A42" w:rsidRPr="00924CFD" w:rsidRDefault="00902A42" w:rsidP="00902A42">
            <w:pPr>
              <w:jc w:val="center"/>
              <w:cnfStyle w:val="000000000000" w:firstRow="0" w:lastRow="0" w:firstColumn="0" w:lastColumn="0" w:oddVBand="0" w:evenVBand="0" w:oddHBand="0" w:evenHBand="0" w:firstRowFirstColumn="0" w:firstRowLastColumn="0" w:lastRowFirstColumn="0" w:lastRowLastColumn="0"/>
              <w:rPr>
                <w:rFonts w:eastAsia="Arial" w:cs="Arial"/>
                <w:color w:val="auto"/>
                <w:sz w:val="18"/>
                <w:szCs w:val="18"/>
              </w:rPr>
            </w:pPr>
            <w:r w:rsidRPr="00924CFD">
              <w:rPr>
                <w:rFonts w:eastAsia="Arial" w:cs="Arial"/>
                <w:color w:val="auto"/>
                <w:sz w:val="18"/>
                <w:szCs w:val="18"/>
              </w:rPr>
              <w:t>2</w:t>
            </w:r>
          </w:p>
        </w:tc>
      </w:tr>
      <w:tr w:rsidR="00902A42" w:rsidRPr="00924CFD" w14:paraId="0EED2E64" w14:textId="77777777" w:rsidTr="00924CF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89" w:type="dxa"/>
            <w:shd w:val="clear" w:color="auto" w:fill="auto"/>
          </w:tcPr>
          <w:p w14:paraId="66A32033" w14:textId="3EB9E2DB" w:rsidR="00902A42" w:rsidRPr="00924CFD" w:rsidRDefault="00902A42" w:rsidP="00902A42">
            <w:pPr>
              <w:jc w:val="center"/>
              <w:rPr>
                <w:rFonts w:eastAsia="Arial" w:cs="Arial"/>
                <w:color w:val="auto"/>
                <w:sz w:val="18"/>
                <w:szCs w:val="18"/>
              </w:rPr>
            </w:pPr>
            <w:r w:rsidRPr="00924CFD">
              <w:rPr>
                <w:rFonts w:eastAsia="Arial" w:cs="Arial"/>
                <w:color w:val="auto"/>
                <w:sz w:val="18"/>
                <w:szCs w:val="18"/>
              </w:rPr>
              <w:t>Total</w:t>
            </w:r>
          </w:p>
        </w:tc>
        <w:tc>
          <w:tcPr>
            <w:tcW w:w="1570" w:type="dxa"/>
            <w:shd w:val="clear" w:color="auto" w:fill="auto"/>
          </w:tcPr>
          <w:p w14:paraId="1B17226A" w14:textId="77777777"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 w:val="18"/>
                <w:szCs w:val="18"/>
              </w:rPr>
            </w:pPr>
            <w:r w:rsidRPr="00924CFD">
              <w:rPr>
                <w:rFonts w:eastAsia="Arial" w:cs="Arial"/>
                <w:b/>
                <w:bCs/>
                <w:color w:val="auto"/>
                <w:sz w:val="18"/>
                <w:szCs w:val="18"/>
              </w:rPr>
              <w:t>6</w:t>
            </w:r>
          </w:p>
        </w:tc>
        <w:tc>
          <w:tcPr>
            <w:tcW w:w="1507" w:type="dxa"/>
            <w:shd w:val="clear" w:color="auto" w:fill="auto"/>
          </w:tcPr>
          <w:p w14:paraId="619006D6" w14:textId="77777777"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 w:val="18"/>
                <w:szCs w:val="18"/>
              </w:rPr>
            </w:pPr>
            <w:r w:rsidRPr="00924CFD">
              <w:rPr>
                <w:rFonts w:eastAsia="Arial" w:cs="Arial"/>
                <w:b/>
                <w:bCs/>
                <w:color w:val="auto"/>
                <w:sz w:val="18"/>
                <w:szCs w:val="18"/>
              </w:rPr>
              <w:t>3</w:t>
            </w:r>
          </w:p>
        </w:tc>
        <w:tc>
          <w:tcPr>
            <w:tcW w:w="1276" w:type="dxa"/>
            <w:shd w:val="clear" w:color="auto" w:fill="auto"/>
          </w:tcPr>
          <w:p w14:paraId="6D6320C6" w14:textId="77777777" w:rsidR="00902A42" w:rsidRPr="00924CFD" w:rsidRDefault="00902A42" w:rsidP="00902A42">
            <w:pPr>
              <w:jc w:val="center"/>
              <w:cnfStyle w:val="000000100000" w:firstRow="0" w:lastRow="0" w:firstColumn="0" w:lastColumn="0" w:oddVBand="0" w:evenVBand="0" w:oddHBand="1" w:evenHBand="0" w:firstRowFirstColumn="0" w:firstRowLastColumn="0" w:lastRowFirstColumn="0" w:lastRowLastColumn="0"/>
              <w:rPr>
                <w:rFonts w:eastAsia="Arial" w:cs="Arial"/>
                <w:b/>
                <w:bCs/>
                <w:color w:val="auto"/>
                <w:sz w:val="18"/>
                <w:szCs w:val="18"/>
              </w:rPr>
            </w:pPr>
            <w:r w:rsidRPr="00924CFD">
              <w:rPr>
                <w:rFonts w:eastAsia="Arial" w:cs="Arial"/>
                <w:b/>
                <w:bCs/>
                <w:color w:val="auto"/>
                <w:sz w:val="18"/>
                <w:szCs w:val="18"/>
              </w:rPr>
              <w:t>9</w:t>
            </w:r>
          </w:p>
        </w:tc>
      </w:tr>
    </w:tbl>
    <w:p w14:paraId="46A37B7C" w14:textId="77777777" w:rsidR="007F1FE3" w:rsidRDefault="007F1FE3" w:rsidP="00902A42">
      <w:pPr>
        <w:rPr>
          <w:rFonts w:eastAsia="Arial" w:cs="Arial"/>
        </w:rPr>
      </w:pPr>
    </w:p>
    <w:p w14:paraId="0C9250C7" w14:textId="1BEF4E81" w:rsidR="00902A42" w:rsidRPr="003A5CA8" w:rsidRDefault="00902A42" w:rsidP="00902A42">
      <w:pPr>
        <w:rPr>
          <w:rFonts w:eastAsia="Arial" w:cs="Arial"/>
        </w:rPr>
      </w:pPr>
      <w:r>
        <w:rPr>
          <w:rFonts w:eastAsia="Arial" w:cs="Arial"/>
        </w:rPr>
        <w:t>Los principales resultados son los siguientes:</w:t>
      </w:r>
    </w:p>
    <w:p w14:paraId="643194CB" w14:textId="5C698743" w:rsidR="00902A42" w:rsidRPr="00902A42" w:rsidRDefault="00902A42" w:rsidP="0045406C">
      <w:pPr>
        <w:pStyle w:val="Ttulo3"/>
      </w:pPr>
      <w:r>
        <w:t>2.</w:t>
      </w:r>
      <w:r w:rsidRPr="00A55906">
        <w:t>X</w:t>
      </w:r>
      <w:r>
        <w:t>I.</w:t>
      </w:r>
      <w:r w:rsidRPr="00902A42">
        <w:t>1. Evaluación de Consistencia y Resultados al Programa presupuestario I32 Asistencia al Sistema Estatal de Seguridad Pública financiado principalmente por el Fondo de Aportaciones para la Seguridad Pública FASP, ejercicio fiscal 2021. Unidad Responsable: Secretariado Ejecutivo del Sistema Estatal de Seguridad Pública (SESESP).</w:t>
      </w:r>
    </w:p>
    <w:p w14:paraId="4A18A04D" w14:textId="77777777" w:rsidR="00902A42" w:rsidRPr="00902A42" w:rsidRDefault="00902A42" w:rsidP="00902A42">
      <w:pPr>
        <w:autoSpaceDE w:val="0"/>
        <w:autoSpaceDN w:val="0"/>
        <w:adjustRightInd w:val="0"/>
        <w:rPr>
          <w:rFonts w:cs="Arial"/>
          <w:bCs/>
        </w:rPr>
      </w:pPr>
    </w:p>
    <w:p w14:paraId="19BD34F9" w14:textId="1BE323CB" w:rsidR="00902A42" w:rsidRPr="004E718E" w:rsidRDefault="00902A42" w:rsidP="00902A42">
      <w:pPr>
        <w:rPr>
          <w:rFonts w:eastAsia="Arial" w:cs="Arial"/>
        </w:rPr>
      </w:pPr>
      <w:r w:rsidRPr="004E718E">
        <w:rPr>
          <w:rFonts w:eastAsia="Arial" w:cs="Arial"/>
          <w:bCs/>
        </w:rPr>
        <w:t xml:space="preserve">Descripción del Programa. </w:t>
      </w:r>
      <w:r w:rsidRPr="004E718E">
        <w:rPr>
          <w:rFonts w:eastAsia="Arial" w:cs="Arial"/>
        </w:rPr>
        <w:t>El Programa presupuestario I32 Asistencia al Sistema Estatal de Seguridad Pública financiado principalmente por el Fondo de Aportaciones para la Seguridad Pública FASP, el cual es un fondo presupuestal perteneciente al ramo 33, por tanto constituyen recursos destinados a las entidades federativas para la implementación de estrategias nacionales, las cuales en materia de Seguridad Pública tienen como base 10 Programas con Prioridad Nacional (PPN) establecidos por el Secretariado Ejecutivo del Sistema Nacional de Seguridad Pública (SESNSP), cuyo seguimiento sobre la aplicación de los recursos en el estado de Colima es responsabilidad del Secretariado Ejecutivo del Sistema Estatal de Seguridad Pública, de conformidad con las metas convenidas en el anexo técnico celebrado entre la entidad federativa y el SESNSP.</w:t>
      </w:r>
    </w:p>
    <w:p w14:paraId="3F5D5C27" w14:textId="77777777" w:rsidR="00902A42" w:rsidRPr="004E718E" w:rsidRDefault="00902A42" w:rsidP="00902A42">
      <w:pPr>
        <w:rPr>
          <w:rFonts w:eastAsia="Arial" w:cs="Arial"/>
          <w:bCs/>
        </w:rPr>
      </w:pPr>
    </w:p>
    <w:p w14:paraId="2CF4E29A" w14:textId="01D6CAD2" w:rsidR="00902A42" w:rsidRPr="004E718E" w:rsidRDefault="00902A42" w:rsidP="00902A42">
      <w:pPr>
        <w:rPr>
          <w:rFonts w:eastAsia="Arial" w:cs="Arial"/>
        </w:rPr>
      </w:pPr>
      <w:r w:rsidRPr="004E718E">
        <w:rPr>
          <w:rFonts w:eastAsia="Arial" w:cs="Arial"/>
          <w:bCs/>
        </w:rPr>
        <w:t xml:space="preserve">Presupuesto. </w:t>
      </w:r>
      <w:r w:rsidRPr="004E718E">
        <w:rPr>
          <w:rFonts w:eastAsia="Arial" w:cs="Arial"/>
        </w:rPr>
        <w:t>Se asignó un presupuesto por financiamiento conjunto de 255 millones 385 mil 778 pesos, el 80 por ciento corresponde a aportaciones federales y el 20 por ciento son aportaciones que realiza el gobierno del estado en materia de seguridad pública.</w:t>
      </w:r>
      <w:r w:rsidR="003F4C6E" w:rsidRPr="004E718E">
        <w:rPr>
          <w:rFonts w:eastAsia="Arial" w:cs="Arial"/>
        </w:rPr>
        <w:t xml:space="preserve"> </w:t>
      </w:r>
      <w:r w:rsidRPr="004E718E">
        <w:rPr>
          <w:rFonts w:eastAsia="Arial" w:cs="Arial"/>
        </w:rPr>
        <w:t>Al corte de la evaluación (31 de diciembre de 2021) el 26.4 por ciento del presupuesto se encontraba ejercido, el 72.2 por ciento se encontraba pagado y el 1.4 por ciento restante se encontraba comprometido o pendiente de aplicar.</w:t>
      </w:r>
    </w:p>
    <w:p w14:paraId="3F4B578C" w14:textId="77777777" w:rsidR="00902A42" w:rsidRPr="004E718E" w:rsidRDefault="00902A42" w:rsidP="00902A42">
      <w:pPr>
        <w:rPr>
          <w:rFonts w:eastAsia="Arial" w:cs="Arial"/>
        </w:rPr>
      </w:pPr>
    </w:p>
    <w:p w14:paraId="7EED7990" w14:textId="52C94BF8" w:rsidR="00902A42" w:rsidRDefault="00902A42" w:rsidP="00902A42">
      <w:pPr>
        <w:rPr>
          <w:rFonts w:eastAsia="Arial" w:cs="Arial"/>
        </w:rPr>
      </w:pPr>
      <w:r w:rsidRPr="004E718E">
        <w:rPr>
          <w:rFonts w:eastAsia="Arial" w:cs="Arial"/>
          <w:bCs/>
        </w:rPr>
        <w:t xml:space="preserve">Principales Resultados de la Evaluación. </w:t>
      </w:r>
      <w:r w:rsidRPr="004E718E">
        <w:rPr>
          <w:rFonts w:eastAsia="Arial" w:cs="Arial"/>
        </w:rPr>
        <w:t>Para el ejercicio fiscal 2021, se ejecutaron 6 Programas con prioridad nacional y 19 subprogramas de los cuales fue posible valorar 16 de los 19 subprogramas ejecutados.</w:t>
      </w:r>
      <w:r w:rsidRPr="00902A42">
        <w:rPr>
          <w:rFonts w:eastAsia="Arial" w:cs="Arial"/>
        </w:rPr>
        <w:t xml:space="preserve"> En el análisis FODA de la evaluación se identificaron </w:t>
      </w:r>
      <w:r w:rsidRPr="00902A42">
        <w:rPr>
          <w:rFonts w:eastAsia="Arial" w:cs="Arial"/>
        </w:rPr>
        <w:lastRenderedPageBreak/>
        <w:t>16 fortalezas, ninguna oportunidad, 5 debilidades y 2 amenazas. A partir de lo cual se emitieron las siguientes recomendaciones principales:</w:t>
      </w:r>
    </w:p>
    <w:p w14:paraId="0F7448DB" w14:textId="77777777" w:rsidR="00902A42" w:rsidRPr="00902A42" w:rsidRDefault="00902A42" w:rsidP="00902A42">
      <w:pPr>
        <w:rPr>
          <w:rFonts w:eastAsia="Arial" w:cs="Arial"/>
        </w:rPr>
      </w:pPr>
    </w:p>
    <w:p w14:paraId="775D81F2" w14:textId="77777777" w:rsidR="00902A42" w:rsidRPr="00902A42" w:rsidRDefault="00902A42" w:rsidP="00902A42">
      <w:pPr>
        <w:pStyle w:val="Prrafodelista"/>
        <w:numPr>
          <w:ilvl w:val="0"/>
          <w:numId w:val="23"/>
        </w:numPr>
        <w:rPr>
          <w:rFonts w:eastAsia="Arial" w:cs="Arial"/>
        </w:rPr>
      </w:pPr>
      <w:r w:rsidRPr="00902A42">
        <w:rPr>
          <w:rFonts w:eastAsia="Arial" w:cs="Arial"/>
        </w:rPr>
        <w:t>Ampliar la clasificación de perfiles del personal de las instituciones de seguridad pública del estado.</w:t>
      </w:r>
    </w:p>
    <w:p w14:paraId="594F0BD6" w14:textId="77777777" w:rsidR="00902A42" w:rsidRPr="00902A42" w:rsidRDefault="00902A42" w:rsidP="00902A42">
      <w:pPr>
        <w:pStyle w:val="Prrafodelista"/>
        <w:numPr>
          <w:ilvl w:val="0"/>
          <w:numId w:val="23"/>
        </w:numPr>
        <w:rPr>
          <w:rFonts w:eastAsia="Arial" w:cs="Arial"/>
        </w:rPr>
      </w:pPr>
      <w:r w:rsidRPr="00902A42">
        <w:rPr>
          <w:rFonts w:eastAsia="Arial" w:cs="Arial"/>
        </w:rPr>
        <w:t>Mantener un estricto seguimiento y control sobre el cumplimiento de las metas convenidas.</w:t>
      </w:r>
    </w:p>
    <w:p w14:paraId="4885F260" w14:textId="77777777" w:rsidR="00902A42" w:rsidRPr="00902A42" w:rsidRDefault="00902A42" w:rsidP="00902A42">
      <w:pPr>
        <w:pStyle w:val="Prrafodelista"/>
        <w:numPr>
          <w:ilvl w:val="0"/>
          <w:numId w:val="23"/>
        </w:numPr>
        <w:rPr>
          <w:rFonts w:eastAsia="Arial" w:cs="Arial"/>
        </w:rPr>
      </w:pPr>
      <w:r w:rsidRPr="00902A42">
        <w:rPr>
          <w:rFonts w:eastAsia="Arial" w:cs="Arial"/>
        </w:rPr>
        <w:t>Incluir en el proyecto de inversión, metas en términos de mejoramiento de infraestructura y dotación de equipo para la Comisión Ejecutiva Estatal a Víctimas (CEEAV).</w:t>
      </w:r>
    </w:p>
    <w:p w14:paraId="55B01A5A" w14:textId="77777777" w:rsidR="00902A42" w:rsidRPr="00902A42" w:rsidRDefault="00902A42" w:rsidP="00902A42">
      <w:pPr>
        <w:pStyle w:val="Prrafodelista"/>
        <w:numPr>
          <w:ilvl w:val="0"/>
          <w:numId w:val="23"/>
        </w:numPr>
        <w:rPr>
          <w:rFonts w:eastAsia="Arial" w:cs="Arial"/>
        </w:rPr>
      </w:pPr>
      <w:r w:rsidRPr="00902A42">
        <w:rPr>
          <w:rFonts w:eastAsia="Arial" w:cs="Arial"/>
        </w:rPr>
        <w:t>Revisar que las metas definidas en el proyecto de inversión se puedan materializar.</w:t>
      </w:r>
    </w:p>
    <w:p w14:paraId="5FEFC17D" w14:textId="77777777" w:rsidR="00902A42" w:rsidRPr="00902A42" w:rsidRDefault="00902A42" w:rsidP="00902A42">
      <w:pPr>
        <w:pStyle w:val="Prrafodelista"/>
        <w:numPr>
          <w:ilvl w:val="0"/>
          <w:numId w:val="23"/>
        </w:numPr>
        <w:rPr>
          <w:rFonts w:eastAsia="Arial" w:cs="Arial"/>
        </w:rPr>
      </w:pPr>
      <w:r w:rsidRPr="00902A42">
        <w:rPr>
          <w:rFonts w:eastAsia="Arial" w:cs="Arial"/>
        </w:rPr>
        <w:t>Incrementar el número de acciones y estrategias para el buen uso de los servicios telefónicos 911 y 089.</w:t>
      </w:r>
    </w:p>
    <w:p w14:paraId="3D47CE57" w14:textId="77777777" w:rsidR="003F4C6E" w:rsidRDefault="003F4C6E" w:rsidP="00902A42">
      <w:pPr>
        <w:rPr>
          <w:rFonts w:cs="Arial"/>
          <w:b/>
          <w:bCs/>
        </w:rPr>
      </w:pPr>
    </w:p>
    <w:p w14:paraId="0BDECD9A" w14:textId="65C12225" w:rsidR="00902A42" w:rsidRPr="005A511A" w:rsidRDefault="00902A42" w:rsidP="0045406C">
      <w:pPr>
        <w:pStyle w:val="Ttulo3"/>
      </w:pPr>
      <w:r w:rsidRPr="005A511A">
        <w:t>2.XI.2. Evaluación de Consistencia y Resultados, al Programa presupuestario I64 Educación Básica. Servicio de Educación Física a Escuelas Federalizadas de Educación Básica financiado principalmente por el F</w:t>
      </w:r>
      <w:r w:rsidRPr="005A511A">
        <w:rPr>
          <w:iCs/>
        </w:rPr>
        <w:t>ondo</w:t>
      </w:r>
      <w:r w:rsidRPr="005A511A">
        <w:t xml:space="preserve"> de Aportaciones para la Nómina Educativa y Gasto Operativo FONE, ejercicio fiscal 2021. Unidad Responsable: Secretaría de Educación (SE).</w:t>
      </w:r>
    </w:p>
    <w:p w14:paraId="191BD065" w14:textId="77777777" w:rsidR="00902A42" w:rsidRDefault="00902A42" w:rsidP="00902A42">
      <w:pPr>
        <w:rPr>
          <w:rFonts w:cs="Arial"/>
          <w:b/>
          <w:bCs/>
          <w:shd w:val="clear" w:color="auto" w:fill="FFFFFF"/>
        </w:rPr>
      </w:pPr>
    </w:p>
    <w:p w14:paraId="2B571103" w14:textId="5D2B38BF" w:rsidR="00902A42" w:rsidRPr="004E718E" w:rsidRDefault="00902A42" w:rsidP="00902A42">
      <w:pPr>
        <w:rPr>
          <w:rFonts w:cs="Arial"/>
        </w:rPr>
      </w:pPr>
      <w:r w:rsidRPr="004E718E">
        <w:rPr>
          <w:rFonts w:cs="Arial"/>
          <w:bCs/>
          <w:shd w:val="clear" w:color="auto" w:fill="FFFFFF"/>
        </w:rPr>
        <w:t xml:space="preserve">Descripción del Programa. </w:t>
      </w:r>
      <w:r w:rsidRPr="004E718E">
        <w:rPr>
          <w:rFonts w:cs="Arial"/>
        </w:rPr>
        <w:t>El Programa de Educación Física es una forma de intervención pedagógica que contribuye a la formación integral de niñas, niños y adolescentes al desarrollar su motricidad e integrar su corporeidad.</w:t>
      </w:r>
      <w:r w:rsidR="003F4C6E" w:rsidRPr="004E718E">
        <w:rPr>
          <w:rFonts w:cs="Arial"/>
        </w:rPr>
        <w:t xml:space="preserve"> </w:t>
      </w:r>
      <w:r w:rsidRPr="004E718E">
        <w:rPr>
          <w:rFonts w:cs="Arial"/>
        </w:rPr>
        <w:t>Su función principal es que se imparta el servicio de las clases de Educación Física en el estado de Colima, así como el promover el deporte escolar, el fomento de los valores, el amor a los Símbolos Patrios y la buena práctica de estilos saludables, a través de sus diferentes áreas.</w:t>
      </w:r>
    </w:p>
    <w:p w14:paraId="4C1B9BDC" w14:textId="77777777" w:rsidR="00902A42" w:rsidRPr="004E718E" w:rsidRDefault="00902A42" w:rsidP="00902A42">
      <w:pPr>
        <w:rPr>
          <w:rFonts w:cs="Arial"/>
        </w:rPr>
      </w:pPr>
    </w:p>
    <w:p w14:paraId="63D50947" w14:textId="00824588" w:rsidR="00902A42" w:rsidRPr="004E718E" w:rsidRDefault="00902A42" w:rsidP="00902A42">
      <w:pPr>
        <w:rPr>
          <w:rFonts w:cs="Arial"/>
          <w:shd w:val="clear" w:color="auto" w:fill="FFFFFF"/>
        </w:rPr>
      </w:pPr>
      <w:r w:rsidRPr="004E718E">
        <w:rPr>
          <w:rFonts w:cs="Arial"/>
          <w:bCs/>
          <w:shd w:val="clear" w:color="auto" w:fill="FFFFFF"/>
        </w:rPr>
        <w:t xml:space="preserve">Presupuesto. </w:t>
      </w:r>
      <w:r w:rsidRPr="004E718E">
        <w:rPr>
          <w:rFonts w:cs="Arial"/>
          <w:shd w:val="clear" w:color="auto" w:fill="FFFFFF"/>
        </w:rPr>
        <w:t>En el Programa de Educación Física, se ejercieron al cuarto trimestre 140 millones 115 mil 225 pesos al 31 de diciembre del 2021, principalmente en el capítulo de gasto de Servicios Personales con el 99.28 por ciento del total de los recursos, Servicios Generales 0.71 por ciento y 0.01 en Materiales y Suministros, de manera que la distribución fue congruente con la normatividad.</w:t>
      </w:r>
    </w:p>
    <w:p w14:paraId="3736B169" w14:textId="77777777" w:rsidR="00902A42" w:rsidRPr="004E718E" w:rsidRDefault="00902A42" w:rsidP="00902A42">
      <w:pPr>
        <w:rPr>
          <w:rFonts w:cs="Arial"/>
          <w:shd w:val="clear" w:color="auto" w:fill="FFFFFF"/>
        </w:rPr>
      </w:pPr>
    </w:p>
    <w:p w14:paraId="62FD67E8" w14:textId="2572CF27" w:rsidR="00902A42" w:rsidRDefault="00902A42" w:rsidP="00902A42">
      <w:pPr>
        <w:rPr>
          <w:rFonts w:cs="Arial"/>
          <w:shd w:val="clear" w:color="auto" w:fill="FFFFFF"/>
        </w:rPr>
      </w:pPr>
      <w:r w:rsidRPr="004E718E">
        <w:rPr>
          <w:rFonts w:cs="Arial"/>
          <w:bCs/>
          <w:shd w:val="clear" w:color="auto" w:fill="FFFFFF"/>
        </w:rPr>
        <w:t xml:space="preserve">Principales Resultados de la Evaluación.  </w:t>
      </w:r>
      <w:r w:rsidRPr="004E718E">
        <w:rPr>
          <w:rFonts w:cs="Arial"/>
          <w:shd w:val="clear" w:color="auto" w:fill="FFFFFF"/>
        </w:rPr>
        <w:t>En la evaluación hace referencia al cumplimento del 82 por ciento de las Escuelas</w:t>
      </w:r>
      <w:r w:rsidRPr="00902A42">
        <w:rPr>
          <w:rFonts w:cs="Arial"/>
          <w:shd w:val="clear" w:color="auto" w:fill="FFFFFF"/>
        </w:rPr>
        <w:t xml:space="preserve"> con servicio de Educación Física con sostenimiento federal transferido en Colima.</w:t>
      </w:r>
      <w:r>
        <w:rPr>
          <w:rFonts w:cs="Arial"/>
          <w:shd w:val="clear" w:color="auto" w:fill="FFFFFF"/>
        </w:rPr>
        <w:t xml:space="preserve"> </w:t>
      </w:r>
      <w:r w:rsidRPr="00902A42">
        <w:rPr>
          <w:rFonts w:cs="Arial"/>
          <w:shd w:val="clear" w:color="auto" w:fill="FFFFFF"/>
        </w:rPr>
        <w:t>Recomendaciones principales:</w:t>
      </w:r>
    </w:p>
    <w:p w14:paraId="4081D86B" w14:textId="77777777" w:rsidR="00902A42" w:rsidRPr="00902A42" w:rsidRDefault="00902A42" w:rsidP="00902A42">
      <w:pPr>
        <w:rPr>
          <w:rFonts w:cs="Arial"/>
          <w:shd w:val="clear" w:color="auto" w:fill="FFFFFF"/>
        </w:rPr>
      </w:pPr>
    </w:p>
    <w:p w14:paraId="2E8827EB" w14:textId="77777777" w:rsidR="00902A42" w:rsidRPr="00902A42" w:rsidRDefault="00902A42" w:rsidP="00902A42">
      <w:pPr>
        <w:pStyle w:val="Prrafodelista"/>
        <w:numPr>
          <w:ilvl w:val="0"/>
          <w:numId w:val="27"/>
        </w:numPr>
        <w:rPr>
          <w:rFonts w:cs="Arial"/>
          <w:shd w:val="clear" w:color="auto" w:fill="FFFFFF"/>
        </w:rPr>
      </w:pPr>
      <w:r w:rsidRPr="00902A42">
        <w:rPr>
          <w:rFonts w:cs="Arial"/>
          <w:shd w:val="clear" w:color="auto" w:fill="FFFFFF"/>
        </w:rPr>
        <w:t>Integrar información sobre las poblaciones potencial, objetivo y atendida, que incluyan la definición, método de cálculo y cuantificación, así como los plazos para su revisión. Esta información debe integrarse al diagnóstico del Programa.</w:t>
      </w:r>
    </w:p>
    <w:p w14:paraId="387026C8" w14:textId="77777777" w:rsidR="00902A42" w:rsidRPr="00902A42" w:rsidRDefault="00902A42" w:rsidP="00902A42">
      <w:pPr>
        <w:pStyle w:val="Prrafodelista"/>
        <w:numPr>
          <w:ilvl w:val="0"/>
          <w:numId w:val="27"/>
        </w:numPr>
        <w:rPr>
          <w:rFonts w:cs="Arial"/>
          <w:shd w:val="clear" w:color="auto" w:fill="FFFFFF"/>
        </w:rPr>
      </w:pPr>
      <w:r w:rsidRPr="00902A42">
        <w:rPr>
          <w:rFonts w:cs="Arial"/>
          <w:shd w:val="clear" w:color="auto" w:fill="FFFFFF"/>
        </w:rPr>
        <w:lastRenderedPageBreak/>
        <w:t>Complementar información faltante en los indicadores de gestión y estratégicos como la definición del indicador, frecuencia de medición, sentido del indicador, dimensión y tipo de indicador, así como parámetros de semaforización; para ello, se recomienda apegarse a la Guía para el Diseño de la Matriz de Indicadores para Resultados de la SHCP y la Guía para la Elaboración de la Matriz de Indicadores del CONEVAL.</w:t>
      </w:r>
    </w:p>
    <w:p w14:paraId="418C9A47" w14:textId="77777777" w:rsidR="00902A42" w:rsidRPr="00902A42" w:rsidRDefault="00902A42" w:rsidP="00902A42">
      <w:pPr>
        <w:pStyle w:val="Prrafodelista"/>
        <w:numPr>
          <w:ilvl w:val="0"/>
          <w:numId w:val="27"/>
        </w:numPr>
        <w:rPr>
          <w:rFonts w:cs="Arial"/>
          <w:shd w:val="clear" w:color="auto" w:fill="FFFFFF"/>
        </w:rPr>
      </w:pPr>
      <w:r w:rsidRPr="00902A42">
        <w:rPr>
          <w:rFonts w:cs="Arial"/>
          <w:shd w:val="clear" w:color="auto" w:fill="FFFFFF"/>
        </w:rPr>
        <w:t>Realizar la publicación en los portales oficiales sobre los avances del Programa Anual de Trabajo, así como de los indicadores de gestión y estratégicos vinculados al Programa.</w:t>
      </w:r>
    </w:p>
    <w:p w14:paraId="4A07648B" w14:textId="77777777" w:rsidR="00902A42" w:rsidRPr="00902A42" w:rsidRDefault="00902A42" w:rsidP="00902A42">
      <w:pPr>
        <w:pStyle w:val="Prrafodelista"/>
        <w:numPr>
          <w:ilvl w:val="0"/>
          <w:numId w:val="27"/>
        </w:numPr>
        <w:rPr>
          <w:rFonts w:cs="Arial"/>
          <w:shd w:val="clear" w:color="auto" w:fill="FFFFFF"/>
        </w:rPr>
      </w:pPr>
      <w:r w:rsidRPr="00902A42">
        <w:rPr>
          <w:rFonts w:cs="Arial"/>
          <w:shd w:val="clear" w:color="auto" w:fill="FFFFFF"/>
        </w:rPr>
        <w:t>Implementar un plan de acción para atender las causas que impiden el avance positivo de los indicadores del Programa de Educación Física; para tal efecto, es necesario que el Departamento de Educación Física elabore un análisis de la situación actual para definir líneas de acción puntuales.</w:t>
      </w:r>
    </w:p>
    <w:p w14:paraId="18A8FEAB" w14:textId="77777777" w:rsidR="00902A42" w:rsidRPr="00902A42" w:rsidRDefault="00902A42" w:rsidP="00902A42">
      <w:pPr>
        <w:rPr>
          <w:rFonts w:eastAsia="Arial" w:cs="Arial"/>
        </w:rPr>
      </w:pPr>
    </w:p>
    <w:p w14:paraId="263E9541" w14:textId="66636E92" w:rsidR="00902A42" w:rsidRPr="005A511A" w:rsidRDefault="00902A42" w:rsidP="0045406C">
      <w:pPr>
        <w:pStyle w:val="Ttulo3"/>
      </w:pPr>
      <w:r>
        <w:t>2.</w:t>
      </w:r>
      <w:r w:rsidRPr="00A55906">
        <w:t>X</w:t>
      </w:r>
      <w:r>
        <w:t>I.</w:t>
      </w:r>
      <w:r w:rsidRPr="005A511A">
        <w:t>3. Evaluación Específica de Resultados al Programa presupuestario E82 Educación para Adultos, financiado principalmente por recursos del Fondo de Aportaciones para la Educación Tecnológica y de Adultos-Educación para Adultos, FAETA–EA, ejercicio fiscal 2021. Unidad Responsable: Instituto Estatal de Educación para Adultos (IEEA).</w:t>
      </w:r>
    </w:p>
    <w:p w14:paraId="54BCA2D7" w14:textId="77777777" w:rsidR="00902A42" w:rsidRPr="00902A42" w:rsidRDefault="00902A42" w:rsidP="00902A42">
      <w:pPr>
        <w:rPr>
          <w:rFonts w:eastAsia="Arial" w:cs="Arial"/>
          <w:b/>
          <w:bCs/>
        </w:rPr>
      </w:pPr>
    </w:p>
    <w:p w14:paraId="033697D5" w14:textId="0994A402" w:rsidR="00902A42" w:rsidRDefault="00902A42" w:rsidP="00902A42">
      <w:pPr>
        <w:rPr>
          <w:rFonts w:eastAsia="Arial" w:cs="Arial"/>
        </w:rPr>
      </w:pPr>
      <w:r w:rsidRPr="004E718E">
        <w:rPr>
          <w:rFonts w:eastAsia="Arial" w:cs="Arial"/>
          <w:bCs/>
        </w:rPr>
        <w:t xml:space="preserve">Descripción del Programa. </w:t>
      </w:r>
      <w:r w:rsidRPr="004E718E">
        <w:rPr>
          <w:rFonts w:eastAsia="Arial" w:cs="Arial"/>
        </w:rPr>
        <w:t>El programa</w:t>
      </w:r>
      <w:r w:rsidRPr="004E718E">
        <w:rPr>
          <w:rFonts w:cs="Arial"/>
        </w:rPr>
        <w:t xml:space="preserve"> </w:t>
      </w:r>
      <w:r w:rsidRPr="004E718E">
        <w:rPr>
          <w:rFonts w:eastAsia="Arial" w:cs="Arial"/>
        </w:rPr>
        <w:t>E82 Educación para Adultos, es operado principalmente con recursos del Fondo de Aportaciones para la Educación Tecnológica y de Adultos-Educación para Adultos FAETA–EA. El objeto del FAETA-EA consiste en contribuir al fortalecimiento</w:t>
      </w:r>
      <w:r w:rsidRPr="00902A42">
        <w:rPr>
          <w:rFonts w:eastAsia="Arial" w:cs="Arial"/>
        </w:rPr>
        <w:t xml:space="preserve"> de los recursos presupuestales que permitan al estado prestar servicios de calidad en educación para adultos.</w:t>
      </w:r>
      <w:r w:rsidR="003F4C6E">
        <w:rPr>
          <w:rFonts w:eastAsia="Arial" w:cs="Arial"/>
        </w:rPr>
        <w:t xml:space="preserve"> </w:t>
      </w:r>
      <w:r w:rsidRPr="00902A42">
        <w:rPr>
          <w:rFonts w:eastAsia="Arial" w:cs="Arial"/>
        </w:rPr>
        <w:t>En este sentido, el programa E82 Educación para Adultos FAETA-EA, tiene como objeto aportar recursos para el abatimiento del rezago educativo en la entidad, teniendo como base acciones orientadas a la alfabetización y conclusión de la educación básica en adultos.</w:t>
      </w:r>
    </w:p>
    <w:p w14:paraId="39F2FFCB" w14:textId="77777777" w:rsidR="00902A42" w:rsidRPr="004E718E" w:rsidRDefault="00902A42" w:rsidP="00902A42">
      <w:pPr>
        <w:rPr>
          <w:rFonts w:eastAsia="Arial" w:cs="Arial"/>
        </w:rPr>
      </w:pPr>
    </w:p>
    <w:p w14:paraId="12C348EA" w14:textId="2FE15D03" w:rsidR="00902A42" w:rsidRDefault="00902A42" w:rsidP="00902A42">
      <w:pPr>
        <w:rPr>
          <w:rFonts w:eastAsia="Arial" w:cs="Arial"/>
        </w:rPr>
      </w:pPr>
      <w:r w:rsidRPr="004E718E">
        <w:rPr>
          <w:rFonts w:eastAsia="Arial" w:cs="Arial"/>
          <w:bCs/>
        </w:rPr>
        <w:t xml:space="preserve">Presupuesto. </w:t>
      </w:r>
      <w:r w:rsidRPr="004E718E">
        <w:rPr>
          <w:rFonts w:eastAsia="Arial" w:cs="Arial"/>
        </w:rPr>
        <w:t>El presupuesto de egresos de la federación aprobado para</w:t>
      </w:r>
      <w:r w:rsidRPr="004E718E">
        <w:rPr>
          <w:rFonts w:cs="Arial"/>
        </w:rPr>
        <w:t xml:space="preserve"> la operación de </w:t>
      </w:r>
      <w:r w:rsidRPr="004E718E">
        <w:rPr>
          <w:rFonts w:eastAsia="Arial" w:cs="Arial"/>
        </w:rPr>
        <w:t>FAETA-EA en Colima en el ejercicio fiscal 2019 fue de 34 millones 833 mil 658 pesos, obteniendo 39 millones 647 mil 039 pesos para 2020 y 39 millones 672 mil 433 pesos en 2021 una mayor captación de recursos un 1.48 por ciento y 1.43 por ciento respectivamente, sobre el total de los recursos destinados en el Ramo 33 a Educación para Adultos.</w:t>
      </w:r>
      <w:r w:rsidR="003F4C6E" w:rsidRPr="004E718E">
        <w:rPr>
          <w:rFonts w:eastAsia="Arial" w:cs="Arial"/>
        </w:rPr>
        <w:t xml:space="preserve"> </w:t>
      </w:r>
      <w:r w:rsidRPr="004E718E">
        <w:rPr>
          <w:rFonts w:eastAsia="Arial" w:cs="Arial"/>
        </w:rPr>
        <w:t>Cabe destacar que durante</w:t>
      </w:r>
      <w:r w:rsidRPr="00902A42">
        <w:rPr>
          <w:rFonts w:eastAsia="Arial" w:cs="Arial"/>
        </w:rPr>
        <w:t xml:space="preserve"> el periodo 2019-2021 el FAETA-EA Colima concentró entre el 75 por ciento y el 77 por ciento de los recursos del Fondo en la canalización de recursos para Servicios Personales, consistentes en sueldos y honorarios, entre otras prestaciones y aportaciones de seguridad social. Los servicios generales correspondieron en el periodo de evaluación entre el 13 por ciento y el 16 por ciento; estos recursos se canalizan principalmente al pago de servicios básicos y arrendamientos, entre otros servicios.</w:t>
      </w:r>
    </w:p>
    <w:p w14:paraId="434B3D38" w14:textId="77777777" w:rsidR="00902A42" w:rsidRPr="004E718E" w:rsidRDefault="00902A42" w:rsidP="00902A42">
      <w:pPr>
        <w:rPr>
          <w:rFonts w:eastAsia="Arial" w:cs="Arial"/>
        </w:rPr>
      </w:pPr>
    </w:p>
    <w:p w14:paraId="7BA8FCE1" w14:textId="2B678041" w:rsidR="00902A42" w:rsidRDefault="00902A42" w:rsidP="00902A42">
      <w:pPr>
        <w:rPr>
          <w:rFonts w:eastAsia="Arial" w:cs="Arial"/>
        </w:rPr>
      </w:pPr>
      <w:r w:rsidRPr="004E718E">
        <w:rPr>
          <w:rFonts w:eastAsia="Arial" w:cs="Arial"/>
          <w:bCs/>
        </w:rPr>
        <w:t xml:space="preserve">Principales Resultados de la Evaluación. </w:t>
      </w:r>
      <w:r w:rsidRPr="004E718E">
        <w:rPr>
          <w:rFonts w:eastAsia="Arial" w:cs="Arial"/>
        </w:rPr>
        <w:t>Dentro del Análisis FODA (Fortalezas, Oportunidades, Debilidades y Amenazas) realizado en la evaluación algunas de las grandes fortalezas con las que el programa cuenta son la disposición de instrumentos normativos que dan certeza a la programación y presupuestación del fondo, y el contar con un anteproyecto y plan anual de trabajo para la gestión de metas y objetivos.</w:t>
      </w:r>
      <w:r w:rsidR="003F4C6E" w:rsidRPr="004E718E">
        <w:rPr>
          <w:rFonts w:eastAsia="Arial" w:cs="Arial"/>
        </w:rPr>
        <w:t xml:space="preserve"> </w:t>
      </w:r>
      <w:r w:rsidRPr="004E718E">
        <w:rPr>
          <w:rFonts w:eastAsia="Arial" w:cs="Arial"/>
        </w:rPr>
        <w:t>En el programa se identificaron 11 fortalezas</w:t>
      </w:r>
      <w:r w:rsidRPr="00902A42">
        <w:rPr>
          <w:rFonts w:eastAsia="Arial" w:cs="Arial"/>
        </w:rPr>
        <w:t>, 5 oportunidades, 10 debilidades y 3 amenazas. A partir de ellas se emitieron recomendaciones, siendo las más relevantes con una gran oportunidad de mejora las siguientes:</w:t>
      </w:r>
    </w:p>
    <w:p w14:paraId="1D9EDCA7" w14:textId="77777777" w:rsidR="00902A42" w:rsidRPr="00902A42" w:rsidRDefault="00902A42" w:rsidP="00902A42">
      <w:pPr>
        <w:rPr>
          <w:rFonts w:eastAsia="Arial" w:cs="Arial"/>
        </w:rPr>
      </w:pPr>
    </w:p>
    <w:p w14:paraId="1CFA2DEA" w14:textId="77777777" w:rsidR="00902A42" w:rsidRPr="00902A42" w:rsidRDefault="00902A42" w:rsidP="00902A42">
      <w:pPr>
        <w:pStyle w:val="Prrafodelista"/>
        <w:numPr>
          <w:ilvl w:val="0"/>
          <w:numId w:val="25"/>
        </w:numPr>
        <w:rPr>
          <w:rFonts w:eastAsia="Arial" w:cs="Arial"/>
        </w:rPr>
      </w:pPr>
      <w:r w:rsidRPr="00902A42">
        <w:rPr>
          <w:rFonts w:eastAsia="Arial" w:cs="Arial"/>
        </w:rPr>
        <w:t>Hacer un diagnóstico de la problemática que aborda el Fondo para comprender las causas y efectos producidos por el problema, así como la teoría del cambio.</w:t>
      </w:r>
    </w:p>
    <w:p w14:paraId="44C02C52" w14:textId="77777777" w:rsidR="00902A42" w:rsidRPr="00902A42" w:rsidRDefault="00902A42" w:rsidP="00902A42">
      <w:pPr>
        <w:pStyle w:val="Prrafodelista"/>
        <w:numPr>
          <w:ilvl w:val="0"/>
          <w:numId w:val="25"/>
        </w:numPr>
        <w:rPr>
          <w:rFonts w:eastAsia="Arial" w:cs="Arial"/>
        </w:rPr>
      </w:pPr>
      <w:r w:rsidRPr="00902A42">
        <w:rPr>
          <w:rFonts w:eastAsia="Arial" w:cs="Arial"/>
        </w:rPr>
        <w:t>Incluir indicadores de gestión operativa que permitan medir los entregables que genera la intervención.</w:t>
      </w:r>
    </w:p>
    <w:p w14:paraId="1B71161D" w14:textId="77777777" w:rsidR="00902A42" w:rsidRPr="00902A42" w:rsidRDefault="00902A42" w:rsidP="00902A42">
      <w:pPr>
        <w:pStyle w:val="Prrafodelista"/>
        <w:numPr>
          <w:ilvl w:val="0"/>
          <w:numId w:val="25"/>
        </w:numPr>
        <w:rPr>
          <w:rFonts w:eastAsia="Arial" w:cs="Arial"/>
        </w:rPr>
      </w:pPr>
      <w:r w:rsidRPr="00902A42">
        <w:rPr>
          <w:rFonts w:eastAsia="Arial" w:cs="Arial"/>
        </w:rPr>
        <w:t>Generar un mecanismo de monitoreo y seguimiento del Programa Anual de Trabajo (PAT) para medir el cumplimiento de dicho PAT a través de indicadores.</w:t>
      </w:r>
    </w:p>
    <w:p w14:paraId="5C6A2595" w14:textId="77777777" w:rsidR="00902A42" w:rsidRPr="00902A42" w:rsidRDefault="00902A42" w:rsidP="00902A42">
      <w:pPr>
        <w:pStyle w:val="Prrafodelista"/>
        <w:numPr>
          <w:ilvl w:val="0"/>
          <w:numId w:val="25"/>
        </w:numPr>
        <w:rPr>
          <w:rFonts w:eastAsia="Arial" w:cs="Arial"/>
        </w:rPr>
      </w:pPr>
      <w:r w:rsidRPr="00902A42">
        <w:rPr>
          <w:rFonts w:eastAsia="Arial" w:cs="Arial"/>
        </w:rPr>
        <w:t>Contar con un procedimiento documentado para la entrega de materiales.</w:t>
      </w:r>
    </w:p>
    <w:p w14:paraId="6F30B72B" w14:textId="77777777" w:rsidR="00902A42" w:rsidRPr="00902A42" w:rsidRDefault="00902A42" w:rsidP="00902A42">
      <w:pPr>
        <w:pStyle w:val="Prrafodelista"/>
        <w:numPr>
          <w:ilvl w:val="0"/>
          <w:numId w:val="25"/>
        </w:numPr>
        <w:rPr>
          <w:rFonts w:eastAsia="Arial" w:cs="Arial"/>
        </w:rPr>
      </w:pPr>
      <w:r w:rsidRPr="00902A42">
        <w:rPr>
          <w:rFonts w:eastAsia="Arial" w:cs="Arial"/>
        </w:rPr>
        <w:t>Generar las acciones pertinentes para mejorar el número de figuras solidarias en función del establecimiento de metas y la atención de la población potencial y objetivo.</w:t>
      </w:r>
    </w:p>
    <w:p w14:paraId="3AEFD7FE" w14:textId="799D9B55" w:rsidR="00902A42" w:rsidRPr="00902A42" w:rsidRDefault="00902A42" w:rsidP="00902A42">
      <w:pPr>
        <w:pStyle w:val="Prrafodelista"/>
        <w:numPr>
          <w:ilvl w:val="0"/>
          <w:numId w:val="25"/>
        </w:numPr>
        <w:rPr>
          <w:rFonts w:eastAsia="Arial" w:cs="Arial"/>
        </w:rPr>
      </w:pPr>
      <w:r w:rsidRPr="00902A42">
        <w:rPr>
          <w:rFonts w:eastAsia="Arial" w:cs="Arial"/>
        </w:rPr>
        <w:t>Establecer un mecanismo de atención para apoyar a los educandos(as) a entender y superar los temas incluidos en el programa de estudios.</w:t>
      </w:r>
    </w:p>
    <w:p w14:paraId="1E3E105B" w14:textId="77777777" w:rsidR="00902A42" w:rsidRPr="00902A42" w:rsidRDefault="00902A42" w:rsidP="00902A42">
      <w:pPr>
        <w:rPr>
          <w:rFonts w:eastAsia="Arial" w:cs="Arial"/>
        </w:rPr>
      </w:pPr>
    </w:p>
    <w:p w14:paraId="4E0627CF" w14:textId="2EAE6C2B" w:rsidR="00902A42" w:rsidRPr="005A511A" w:rsidRDefault="00902A42" w:rsidP="0045406C">
      <w:pPr>
        <w:pStyle w:val="Ttulo3"/>
      </w:pPr>
      <w:r w:rsidRPr="00902A42">
        <w:t>2.XI.</w:t>
      </w:r>
      <w:r w:rsidRPr="005A511A">
        <w:t xml:space="preserve">4. Evaluación Específica de Resultados al Programa presupuestario S05 Desarrollo Social y Humano. Mejorando tu Hogar, financiado con recursos estatales, ejercicio fiscal 2019. Unidad Responsable: Secretaría de Desarrollo Social (SEDESCOL). </w:t>
      </w:r>
    </w:p>
    <w:p w14:paraId="7478783F" w14:textId="77777777" w:rsidR="00902A42" w:rsidRPr="00902A42" w:rsidRDefault="00902A42" w:rsidP="00902A42">
      <w:pPr>
        <w:rPr>
          <w:rFonts w:eastAsia="Arial" w:cs="Arial"/>
          <w:b/>
          <w:bCs/>
          <w:iCs/>
        </w:rPr>
      </w:pPr>
    </w:p>
    <w:p w14:paraId="62FFFB94" w14:textId="20B8BBD3" w:rsidR="00902A42" w:rsidRPr="004E718E" w:rsidRDefault="00902A42" w:rsidP="00902A42">
      <w:pPr>
        <w:rPr>
          <w:rFonts w:eastAsia="Arial" w:cs="Arial"/>
        </w:rPr>
      </w:pPr>
      <w:r w:rsidRPr="004E718E">
        <w:rPr>
          <w:rFonts w:eastAsia="Arial" w:cs="Arial"/>
          <w:bCs/>
        </w:rPr>
        <w:t xml:space="preserve">Descripción del Programa. </w:t>
      </w:r>
      <w:r w:rsidRPr="004E718E">
        <w:rPr>
          <w:rFonts w:eastAsia="Arial" w:cs="Arial"/>
        </w:rPr>
        <w:t>El programa Mejorando Tu Hogar fue parte de una política pública del sexenio pasado, implementada por la Secretaría de Desarrollo Social desde 2017 con el objetivo de contribuir a mejorar la calidad y espacios de vivienda de las familias colimenses a través del subsidio total de materiales para la construcción y equipos para el hogar de manera que se mejoren sus viviendas.</w:t>
      </w:r>
    </w:p>
    <w:p w14:paraId="6A0A4685" w14:textId="77777777" w:rsidR="00902A42" w:rsidRPr="004E718E" w:rsidRDefault="00902A42" w:rsidP="00902A42">
      <w:pPr>
        <w:rPr>
          <w:rFonts w:eastAsia="Arial" w:cs="Arial"/>
        </w:rPr>
      </w:pPr>
    </w:p>
    <w:p w14:paraId="2749DE41" w14:textId="679BC206" w:rsidR="00902A42" w:rsidRPr="004E718E" w:rsidRDefault="00902A42" w:rsidP="00902A42">
      <w:pPr>
        <w:rPr>
          <w:rFonts w:eastAsia="Arial" w:cs="Arial"/>
        </w:rPr>
      </w:pPr>
      <w:r w:rsidRPr="004E718E">
        <w:rPr>
          <w:rFonts w:eastAsia="Arial" w:cs="Arial"/>
          <w:bCs/>
        </w:rPr>
        <w:t xml:space="preserve">Principales Resultados de la Evaluación. </w:t>
      </w:r>
      <w:r w:rsidRPr="004E718E">
        <w:rPr>
          <w:rFonts w:eastAsia="Arial" w:cs="Arial"/>
        </w:rPr>
        <w:t xml:space="preserve">Los beneficiarios presentaban mayor carencia por servicios básicos que por calidad y espacios en la vivienda. </w:t>
      </w:r>
    </w:p>
    <w:p w14:paraId="57E01956" w14:textId="0A6B149A" w:rsidR="00902A42" w:rsidRPr="004E718E" w:rsidRDefault="00902A42" w:rsidP="00902A42">
      <w:pPr>
        <w:rPr>
          <w:rFonts w:eastAsia="Arial" w:cs="Arial"/>
        </w:rPr>
      </w:pPr>
      <w:r w:rsidRPr="004E718E">
        <w:rPr>
          <w:rFonts w:eastAsia="Arial" w:cs="Arial"/>
        </w:rPr>
        <w:t>Recomendaciones principales:</w:t>
      </w:r>
    </w:p>
    <w:p w14:paraId="49020A72" w14:textId="77777777" w:rsidR="00902A42" w:rsidRPr="00902A42" w:rsidRDefault="00902A42" w:rsidP="00902A42">
      <w:pPr>
        <w:rPr>
          <w:rFonts w:eastAsia="Arial" w:cs="Arial"/>
        </w:rPr>
      </w:pPr>
    </w:p>
    <w:p w14:paraId="4B38DB26" w14:textId="77777777" w:rsidR="00902A42" w:rsidRPr="00902A42" w:rsidRDefault="00902A42" w:rsidP="00902A42">
      <w:pPr>
        <w:pStyle w:val="Prrafodelista"/>
        <w:numPr>
          <w:ilvl w:val="0"/>
          <w:numId w:val="24"/>
        </w:numPr>
        <w:rPr>
          <w:rFonts w:eastAsia="Arial" w:cs="Arial"/>
        </w:rPr>
      </w:pPr>
      <w:r w:rsidRPr="00902A42">
        <w:rPr>
          <w:rFonts w:eastAsia="Arial" w:cs="Arial"/>
        </w:rPr>
        <w:t xml:space="preserve">Desarrollar acciones e implementar programas que abonen a la reducción tanto de carencias por calidad y espacios en la vivienda como por acceso a los servicios </w:t>
      </w:r>
      <w:r w:rsidRPr="00902A42">
        <w:rPr>
          <w:rFonts w:eastAsia="Arial" w:cs="Arial"/>
        </w:rPr>
        <w:lastRenderedPageBreak/>
        <w:t>básicos en la vivienda, considerando los componentes que tienen mayor presencia en la población (hacinamiento y vivienda que cocinan con fogón sin chimenea).</w:t>
      </w:r>
    </w:p>
    <w:p w14:paraId="5F3C11A7" w14:textId="77777777" w:rsidR="00902A42" w:rsidRPr="00902A42" w:rsidRDefault="00902A42" w:rsidP="00902A42">
      <w:pPr>
        <w:pStyle w:val="Prrafodelista"/>
        <w:numPr>
          <w:ilvl w:val="0"/>
          <w:numId w:val="24"/>
        </w:numPr>
        <w:rPr>
          <w:rFonts w:eastAsia="Arial" w:cs="Arial"/>
        </w:rPr>
      </w:pPr>
      <w:r w:rsidRPr="00902A42">
        <w:rPr>
          <w:rFonts w:eastAsia="Arial" w:cs="Arial"/>
        </w:rPr>
        <w:t>Implementar programas que contribuyan a incrementar el número de cuartos disponibles respecto al total de habitantes de la vivienda.</w:t>
      </w:r>
    </w:p>
    <w:p w14:paraId="1E7E0D22" w14:textId="77777777" w:rsidR="00902A42" w:rsidRPr="00902A42" w:rsidRDefault="00902A42" w:rsidP="00902A42">
      <w:pPr>
        <w:pStyle w:val="Prrafodelista"/>
        <w:numPr>
          <w:ilvl w:val="0"/>
          <w:numId w:val="24"/>
        </w:numPr>
        <w:rPr>
          <w:rFonts w:eastAsia="Arial" w:cs="Arial"/>
        </w:rPr>
      </w:pPr>
      <w:r w:rsidRPr="00902A42">
        <w:rPr>
          <w:rFonts w:eastAsia="Arial" w:cs="Arial"/>
        </w:rPr>
        <w:t xml:space="preserve">A fin de optimizar la utilización de los recursos públicos, focalizar los programas de vivienda a municipios y localidades con mayor presencia de las carencias asociadas a la vivienda con alto o muy alto grado de marginación. </w:t>
      </w:r>
    </w:p>
    <w:p w14:paraId="64CAA68B" w14:textId="77777777" w:rsidR="00902A42" w:rsidRPr="00902A42" w:rsidRDefault="00902A42" w:rsidP="00902A42">
      <w:pPr>
        <w:rPr>
          <w:rFonts w:eastAsia="Arial" w:cs="Arial"/>
        </w:rPr>
      </w:pPr>
    </w:p>
    <w:p w14:paraId="12D97E21" w14:textId="29F5BB0D" w:rsidR="00902A42" w:rsidRPr="005A511A" w:rsidRDefault="00902A42" w:rsidP="0045406C">
      <w:pPr>
        <w:pStyle w:val="Ttulo3"/>
      </w:pPr>
      <w:r>
        <w:t>2.</w:t>
      </w:r>
      <w:r w:rsidRPr="00A55906">
        <w:t>X</w:t>
      </w:r>
      <w:r>
        <w:t>I.</w:t>
      </w:r>
      <w:r w:rsidRPr="005A511A">
        <w:t>5. Evaluación Especifica de Indicadores al Programa presupuestario F25 Modernización del Sector Agropecuario, Acuícola, Pesquero y Forestal. Sanidad e Inocuidad Agroalimentaria, ejercicio fiscal 2021. Unidad Responsable: Secretaría de Desarrollo Rural (SEDER).</w:t>
      </w:r>
    </w:p>
    <w:p w14:paraId="5315AC93" w14:textId="77777777" w:rsidR="00902A42" w:rsidRPr="00902A42" w:rsidRDefault="00902A42" w:rsidP="00902A42">
      <w:pPr>
        <w:rPr>
          <w:rFonts w:eastAsia="Arial" w:cs="Arial"/>
          <w:b/>
          <w:bCs/>
        </w:rPr>
      </w:pPr>
    </w:p>
    <w:p w14:paraId="70569FD2" w14:textId="79CEF929" w:rsidR="00902A42" w:rsidRPr="004E718E" w:rsidRDefault="00924CFD" w:rsidP="00902A42">
      <w:pPr>
        <w:rPr>
          <w:rFonts w:eastAsia="Arial" w:cs="Arial"/>
        </w:rPr>
      </w:pPr>
      <w:r w:rsidRPr="004E718E">
        <w:rPr>
          <w:rFonts w:eastAsia="Arial" w:cs="Arial"/>
          <w:bCs/>
        </w:rPr>
        <w:t>Descripción del Programa</w:t>
      </w:r>
      <w:r w:rsidR="00902A42" w:rsidRPr="004E718E">
        <w:rPr>
          <w:rFonts w:eastAsia="Arial" w:cs="Arial"/>
          <w:bCs/>
        </w:rPr>
        <w:t xml:space="preserve">. </w:t>
      </w:r>
      <w:r w:rsidR="00902A42" w:rsidRPr="004E718E">
        <w:rPr>
          <w:rFonts w:eastAsia="Arial" w:cs="Arial"/>
        </w:rPr>
        <w:t xml:space="preserve">El programa Sanidad e Inocuidad Agroalimentaria tiene como objetivo contribuir en la conservación y mejora del patrimonio fitozoosanitario y de inocuidad agroalimentaria, acuícola y pesquera en las regiones agroalimentarias del país. </w:t>
      </w:r>
    </w:p>
    <w:p w14:paraId="6BC31855" w14:textId="77777777" w:rsidR="00902A42" w:rsidRPr="004E718E" w:rsidRDefault="00902A42" w:rsidP="00902A42">
      <w:pPr>
        <w:rPr>
          <w:rFonts w:eastAsia="Arial" w:cs="Arial"/>
        </w:rPr>
      </w:pPr>
    </w:p>
    <w:p w14:paraId="6D187631" w14:textId="0E0B705E" w:rsidR="00902A42" w:rsidRPr="004E718E" w:rsidRDefault="00902A42" w:rsidP="00902A42">
      <w:pPr>
        <w:rPr>
          <w:rFonts w:eastAsia="Arial" w:cs="Arial"/>
        </w:rPr>
      </w:pPr>
      <w:r w:rsidRPr="004E718E">
        <w:rPr>
          <w:rFonts w:eastAsia="Arial" w:cs="Arial"/>
          <w:bCs/>
        </w:rPr>
        <w:t xml:space="preserve">Presupuesto. </w:t>
      </w:r>
      <w:r w:rsidRPr="004E718E">
        <w:rPr>
          <w:rFonts w:eastAsia="Arial" w:cs="Arial"/>
        </w:rPr>
        <w:t>El presupuesto asignado conforme los datos señalados en la evaluación corresponden a vigilancia epidemiológica de riesgos fitosanitarios 2 millones 779 mil 250 pes</w:t>
      </w:r>
      <w:r w:rsidR="003F4C6E" w:rsidRPr="004E718E">
        <w:rPr>
          <w:rFonts w:eastAsia="Arial" w:cs="Arial"/>
        </w:rPr>
        <w:t xml:space="preserve">os, Campañas Fitozoosanitarias; </w:t>
      </w:r>
      <w:r w:rsidRPr="004E718E">
        <w:rPr>
          <w:rFonts w:eastAsia="Arial" w:cs="Arial"/>
        </w:rPr>
        <w:t>I.- Servicio fitosanitario en apoyo a la Producción para el Bienestar y prevención, control o erradicación de plagas fitosanitarias 10 millones 052 mil 826 pesos y II.- Control o erradicación de plagas y enfermedades zoosanitarias reglamentadas 3 millones 847 mil 157 pesos.</w:t>
      </w:r>
      <w:r w:rsidR="003F4C6E" w:rsidRPr="004E718E">
        <w:rPr>
          <w:rFonts w:eastAsia="Arial" w:cs="Arial"/>
        </w:rPr>
        <w:t xml:space="preserve"> </w:t>
      </w:r>
      <w:r w:rsidRPr="004E718E">
        <w:rPr>
          <w:rFonts w:eastAsia="Arial" w:cs="Arial"/>
        </w:rPr>
        <w:t>A la fecha de la evaluación se tenían recursos ejercidos por un monto total de 10 millones 534 mil 375 pesos.</w:t>
      </w:r>
    </w:p>
    <w:p w14:paraId="1E32FFD1" w14:textId="77777777" w:rsidR="00902A42" w:rsidRPr="004E718E" w:rsidRDefault="00902A42" w:rsidP="00902A42">
      <w:pPr>
        <w:rPr>
          <w:rFonts w:eastAsia="Arial" w:cs="Arial"/>
        </w:rPr>
      </w:pPr>
    </w:p>
    <w:p w14:paraId="41EE566D" w14:textId="5C122868" w:rsidR="00902A42" w:rsidRDefault="00902A42" w:rsidP="00902A42">
      <w:pPr>
        <w:rPr>
          <w:rFonts w:cs="Arial"/>
          <w:shd w:val="clear" w:color="auto" w:fill="FFFFFF"/>
        </w:rPr>
      </w:pPr>
      <w:r w:rsidRPr="004E718E">
        <w:rPr>
          <w:rFonts w:eastAsia="Arial" w:cs="Arial"/>
          <w:bCs/>
        </w:rPr>
        <w:t xml:space="preserve">Principales Resultados de la Evaluación. </w:t>
      </w:r>
      <w:r w:rsidRPr="004E718E">
        <w:rPr>
          <w:rFonts w:cs="Arial"/>
        </w:rPr>
        <w:t>El sentir en general de los productores es un abandono al campo, existen pérdidas considerables en los cultivos a causa de plagas y enfermedades, en esta fase post pandemia que afectó de manera significativa a la mayoría de los cultivos y productos atendidos; por tanto, es necesaria</w:t>
      </w:r>
      <w:r w:rsidRPr="00902A42">
        <w:rPr>
          <w:rFonts w:cs="Arial"/>
        </w:rPr>
        <w:t xml:space="preserve"> una revisión en las estrategias utilizadas en las campañas, planear las acciones en función de las necesidades del productor, así como el tipo de productos otorgados para el combate de plagas y enfermedades, además del tipo de producto, hacer énfasis en el tiempo de entrega de acuerdo a las necesidades de las etapas productivas.</w:t>
      </w:r>
      <w:r>
        <w:rPr>
          <w:rFonts w:cs="Arial"/>
        </w:rPr>
        <w:t xml:space="preserve"> </w:t>
      </w:r>
      <w:r w:rsidRPr="00902A42">
        <w:rPr>
          <w:rFonts w:cs="Arial"/>
          <w:shd w:val="clear" w:color="auto" w:fill="FFFFFF"/>
        </w:rPr>
        <w:t>Recomendaciones principales:</w:t>
      </w:r>
    </w:p>
    <w:p w14:paraId="376D78E0" w14:textId="77777777" w:rsidR="00902A42" w:rsidRPr="00902A42" w:rsidRDefault="00902A42" w:rsidP="00902A42">
      <w:pPr>
        <w:rPr>
          <w:rFonts w:cs="Arial"/>
          <w:shd w:val="clear" w:color="auto" w:fill="FFFFFF"/>
        </w:rPr>
      </w:pPr>
    </w:p>
    <w:p w14:paraId="6F765CA6" w14:textId="77777777" w:rsidR="00902A42" w:rsidRPr="00902A42" w:rsidRDefault="00902A42" w:rsidP="00902A42">
      <w:pPr>
        <w:pStyle w:val="Prrafodelista"/>
        <w:numPr>
          <w:ilvl w:val="0"/>
          <w:numId w:val="28"/>
        </w:numPr>
        <w:rPr>
          <w:rFonts w:cs="Arial"/>
        </w:rPr>
      </w:pPr>
      <w:r w:rsidRPr="00902A42">
        <w:rPr>
          <w:rFonts w:cs="Arial"/>
        </w:rPr>
        <w:t>Se requiere sensibilizar e involucrar a los productores en las campañas fitozoosanitarias y en el Programa de Inocuidad de manera que estén familiarizados con el objetivo de las campañas.</w:t>
      </w:r>
    </w:p>
    <w:p w14:paraId="2ACD5054" w14:textId="77777777" w:rsidR="00902A42" w:rsidRPr="00902A42" w:rsidRDefault="00902A42" w:rsidP="00902A42">
      <w:pPr>
        <w:pStyle w:val="Prrafodelista"/>
        <w:numPr>
          <w:ilvl w:val="0"/>
          <w:numId w:val="28"/>
        </w:numPr>
        <w:rPr>
          <w:rFonts w:cs="Arial"/>
          <w:lang w:val="es-419"/>
        </w:rPr>
      </w:pPr>
      <w:r w:rsidRPr="00902A42">
        <w:rPr>
          <w:rFonts w:cs="Arial"/>
          <w:lang w:val="es-419"/>
        </w:rPr>
        <w:t>De manera general se deben actualizar los padrones de productores.</w:t>
      </w:r>
    </w:p>
    <w:p w14:paraId="7B8EBE90" w14:textId="77777777" w:rsidR="005F3529" w:rsidRPr="005F3529" w:rsidRDefault="00902A42" w:rsidP="00E46D7A">
      <w:pPr>
        <w:pStyle w:val="Prrafodelista"/>
        <w:numPr>
          <w:ilvl w:val="0"/>
          <w:numId w:val="28"/>
        </w:numPr>
        <w:rPr>
          <w:rFonts w:eastAsia="Arial" w:cs="Arial"/>
        </w:rPr>
      </w:pPr>
      <w:r w:rsidRPr="005F3529">
        <w:rPr>
          <w:rFonts w:cs="Arial"/>
          <w:lang w:val="es-419"/>
        </w:rPr>
        <w:t>Dar mayor difusión sobre las campañas realizadas.</w:t>
      </w:r>
    </w:p>
    <w:p w14:paraId="198C711D" w14:textId="0AD72AB9" w:rsidR="00902A42" w:rsidRPr="005F3529" w:rsidRDefault="00902A42" w:rsidP="00E46D7A">
      <w:pPr>
        <w:pStyle w:val="Prrafodelista"/>
        <w:numPr>
          <w:ilvl w:val="0"/>
          <w:numId w:val="28"/>
        </w:numPr>
        <w:rPr>
          <w:rFonts w:eastAsia="Arial" w:cs="Arial"/>
        </w:rPr>
      </w:pPr>
      <w:r w:rsidRPr="005F3529">
        <w:rPr>
          <w:rFonts w:cs="Arial"/>
          <w:lang w:val="es-419"/>
        </w:rPr>
        <w:lastRenderedPageBreak/>
        <w:t>Realizar un programa de trabajo acorde a las necesidades de los productores definidas por el destino de su producción, capacidad de inversión al cultivo, edad entre otras características.</w:t>
      </w:r>
    </w:p>
    <w:p w14:paraId="3BDC1843" w14:textId="3361ABD4" w:rsidR="00902A42" w:rsidRPr="00902A42" w:rsidRDefault="00902A42" w:rsidP="00902A42">
      <w:pPr>
        <w:rPr>
          <w:rFonts w:eastAsia="Arial" w:cs="Arial"/>
          <w:b/>
          <w:bCs/>
        </w:rPr>
      </w:pPr>
    </w:p>
    <w:p w14:paraId="059B9B0F" w14:textId="2E22E17D" w:rsidR="00902A42" w:rsidRPr="004A4F52" w:rsidRDefault="004A4F52" w:rsidP="0045406C">
      <w:pPr>
        <w:pStyle w:val="Ttulo3"/>
        <w:rPr>
          <w:rFonts w:eastAsia="Arial"/>
        </w:rPr>
      </w:pPr>
      <w:r w:rsidRPr="004A4F52">
        <w:t>2.XI.</w:t>
      </w:r>
      <w:r w:rsidRPr="004A4F52">
        <w:rPr>
          <w:rFonts w:eastAsia="Arial"/>
        </w:rPr>
        <w:t xml:space="preserve">6. </w:t>
      </w:r>
      <w:r w:rsidR="00902A42" w:rsidRPr="004A4F52">
        <w:rPr>
          <w:rFonts w:eastAsia="Arial"/>
        </w:rPr>
        <w:t xml:space="preserve">Evaluación Específica de Cierre al Programa presupuestario E84 Educación Media Superior CONALEP, financiado principalmente por el Fondo de Aportaciones para la Educación Tecnológica y de Adultos-Educación Tecnológica, FAETA-ET 2021. </w:t>
      </w:r>
      <w:r w:rsidR="00902A42" w:rsidRPr="004A4F52">
        <w:rPr>
          <w:rFonts w:eastAsia="Arial"/>
          <w:iCs/>
        </w:rPr>
        <w:t>Unidad Responsable: Colegio de Educación Profesional Técnica (CONALEP).</w:t>
      </w:r>
    </w:p>
    <w:p w14:paraId="622D6A7F" w14:textId="77777777" w:rsidR="004A4F52" w:rsidRPr="004E718E" w:rsidRDefault="004A4F52" w:rsidP="00902A42">
      <w:pPr>
        <w:rPr>
          <w:rFonts w:eastAsia="Arial" w:cs="Arial"/>
          <w:bCs/>
        </w:rPr>
      </w:pPr>
    </w:p>
    <w:p w14:paraId="1581EEA2" w14:textId="5C21A6F4" w:rsidR="00902A42" w:rsidRPr="004E718E" w:rsidRDefault="004A4F52" w:rsidP="004A4F52">
      <w:pPr>
        <w:rPr>
          <w:rFonts w:eastAsia="Arial" w:cs="Arial"/>
        </w:rPr>
      </w:pPr>
      <w:r w:rsidRPr="004E718E">
        <w:rPr>
          <w:rFonts w:eastAsia="Arial" w:cs="Arial"/>
          <w:bCs/>
        </w:rPr>
        <w:t xml:space="preserve">Descripción del Programa. </w:t>
      </w:r>
      <w:r w:rsidR="00902A42" w:rsidRPr="004E718E">
        <w:rPr>
          <w:rFonts w:eastAsia="Arial" w:cs="Arial"/>
        </w:rPr>
        <w:t>El Programa presupuestario E84 Educación Media Superior CONALEP operado principalmente con el Fondo de Aportaciones para la Educación Tecnológica y de Adultos-Educación Tecnológica FAETA-ET, tiene como objeto contribuir a la educación con calidad de la enseñanza e investigación científica y tecnológica para el bienestar mediante la formación de Profesionales Técnicos y Profesionales Técnicos bachiller, en programas de calidad a través de un modelo basado en competencias.</w:t>
      </w:r>
    </w:p>
    <w:p w14:paraId="120ECF7C" w14:textId="77777777" w:rsidR="004A4F52" w:rsidRPr="004E718E" w:rsidRDefault="004A4F52" w:rsidP="004A4F52">
      <w:pPr>
        <w:rPr>
          <w:rFonts w:eastAsia="Arial" w:cs="Arial"/>
        </w:rPr>
      </w:pPr>
    </w:p>
    <w:p w14:paraId="5988B3B7" w14:textId="3FB83BF3" w:rsidR="00902A42" w:rsidRPr="004E718E" w:rsidRDefault="004A4F52" w:rsidP="004A4F52">
      <w:pPr>
        <w:rPr>
          <w:rFonts w:eastAsia="Arial" w:cs="Arial"/>
        </w:rPr>
      </w:pPr>
      <w:r w:rsidRPr="004E718E">
        <w:rPr>
          <w:rFonts w:eastAsia="Arial" w:cs="Arial"/>
          <w:bCs/>
        </w:rPr>
        <w:t>Presupuesto</w:t>
      </w:r>
      <w:r w:rsidR="00902A42" w:rsidRPr="004E718E">
        <w:rPr>
          <w:rFonts w:eastAsia="Arial" w:cs="Arial"/>
          <w:bCs/>
        </w:rPr>
        <w:t>.</w:t>
      </w:r>
      <w:r w:rsidRPr="004E718E">
        <w:rPr>
          <w:rFonts w:eastAsia="Arial" w:cs="Arial"/>
          <w:bCs/>
        </w:rPr>
        <w:t xml:space="preserve"> </w:t>
      </w:r>
      <w:r w:rsidR="00902A42" w:rsidRPr="004E718E">
        <w:rPr>
          <w:rFonts w:eastAsia="Arial" w:cs="Arial"/>
        </w:rPr>
        <w:t>La asignación de recursos para la ejecución de sus actividades en el ejercicio fiscal 2020 recibió un monto de 44 millones 253 mil 518 pesos, mientras que para el 2021 el monto aprobado se incrementó a 44 millones 993mil 189 pesos para la ejecución del programa.</w:t>
      </w:r>
    </w:p>
    <w:p w14:paraId="19E0A256" w14:textId="77777777" w:rsidR="004A4F52" w:rsidRPr="004E718E" w:rsidRDefault="004A4F52" w:rsidP="004A4F52">
      <w:pPr>
        <w:rPr>
          <w:rFonts w:eastAsia="Arial" w:cs="Arial"/>
        </w:rPr>
      </w:pPr>
    </w:p>
    <w:p w14:paraId="3C99666C" w14:textId="637DCC98" w:rsidR="00902A42" w:rsidRDefault="004A4F52" w:rsidP="00902A42">
      <w:pPr>
        <w:rPr>
          <w:rFonts w:eastAsia="Arial" w:cs="Arial"/>
        </w:rPr>
      </w:pPr>
      <w:r w:rsidRPr="004E718E">
        <w:rPr>
          <w:rFonts w:eastAsia="Arial" w:cs="Arial"/>
          <w:bCs/>
        </w:rPr>
        <w:t xml:space="preserve">Principales Resultados de la Evaluación. </w:t>
      </w:r>
      <w:r w:rsidR="00902A42" w:rsidRPr="004E718E">
        <w:rPr>
          <w:rFonts w:eastAsia="Arial" w:cs="Arial"/>
        </w:rPr>
        <w:t>Dentro del análisis FODA realizado al programa E84 Educación Media Superior CONALEP se identificaron 5 fortalezas, 3 oportunidades, 1 debilidad y 1 amenaza; a partir de ellas se emitieron recomendaciones, siendo las más</w:t>
      </w:r>
      <w:r w:rsidR="00902A42" w:rsidRPr="00902A42">
        <w:rPr>
          <w:rFonts w:eastAsia="Arial" w:cs="Arial"/>
        </w:rPr>
        <w:t xml:space="preserve"> relevantes las siguientes:</w:t>
      </w:r>
    </w:p>
    <w:p w14:paraId="6C1ECB71" w14:textId="77777777" w:rsidR="004A4F52" w:rsidRPr="00902A42" w:rsidRDefault="004A4F52" w:rsidP="00902A42">
      <w:pPr>
        <w:rPr>
          <w:rFonts w:eastAsia="Arial" w:cs="Arial"/>
        </w:rPr>
      </w:pPr>
    </w:p>
    <w:p w14:paraId="63FB0D7B" w14:textId="77777777" w:rsidR="00902A42" w:rsidRPr="00902A42" w:rsidRDefault="00902A42" w:rsidP="00902A42">
      <w:pPr>
        <w:pStyle w:val="Prrafodelista"/>
        <w:numPr>
          <w:ilvl w:val="0"/>
          <w:numId w:val="26"/>
        </w:numPr>
        <w:rPr>
          <w:rFonts w:eastAsia="Arial" w:cs="Arial"/>
        </w:rPr>
      </w:pPr>
      <w:r w:rsidRPr="00902A42">
        <w:rPr>
          <w:rFonts w:eastAsia="Arial" w:cs="Arial"/>
        </w:rPr>
        <w:t xml:space="preserve">Mantener la cultura de la evaluación, para fortalecer el programa y dar cumplimiento a la normatividad </w:t>
      </w:r>
    </w:p>
    <w:p w14:paraId="31411621" w14:textId="77777777" w:rsidR="00902A42" w:rsidRPr="00902A42" w:rsidRDefault="00902A42" w:rsidP="00902A42">
      <w:pPr>
        <w:pStyle w:val="Prrafodelista"/>
        <w:numPr>
          <w:ilvl w:val="0"/>
          <w:numId w:val="26"/>
        </w:numPr>
        <w:rPr>
          <w:rFonts w:eastAsia="Arial" w:cs="Arial"/>
        </w:rPr>
      </w:pPr>
      <w:r w:rsidRPr="00902A42">
        <w:rPr>
          <w:rFonts w:cs="Arial"/>
        </w:rPr>
        <w:t>Al inicio de la administración (2016-2021) se contaba con una absorción del 11 por ciento y al primer trimestre de 2021 se tuvieron 4 puntos porcentuales por debajo por lo que, se recomienda que se considere la tendencia del indicador ya que es descendente. Así como, revisar las acciones llevadas a cabo, para cambiar la estrategia.</w:t>
      </w:r>
    </w:p>
    <w:p w14:paraId="28FABFCA" w14:textId="77777777" w:rsidR="00902A42" w:rsidRPr="00902A42" w:rsidRDefault="00902A42" w:rsidP="00902A42">
      <w:pPr>
        <w:pStyle w:val="Prrafodelista"/>
        <w:numPr>
          <w:ilvl w:val="0"/>
          <w:numId w:val="26"/>
        </w:numPr>
        <w:rPr>
          <w:rFonts w:eastAsia="Arial" w:cs="Arial"/>
        </w:rPr>
      </w:pPr>
      <w:r w:rsidRPr="00902A42">
        <w:rPr>
          <w:rFonts w:cs="Arial"/>
        </w:rPr>
        <w:t>Dar seguimiento en tiempo y forma a la publicación de los formatos establecidos en los Mecanismos para el Seguimiento a los Aspectos Susceptibles de Mejora.</w:t>
      </w:r>
    </w:p>
    <w:p w14:paraId="369C6D05" w14:textId="6A557E5A" w:rsidR="00902A42" w:rsidRDefault="00902A42" w:rsidP="00F35724">
      <w:pPr>
        <w:pStyle w:val="Prrafodelista"/>
        <w:numPr>
          <w:ilvl w:val="0"/>
          <w:numId w:val="26"/>
        </w:numPr>
        <w:rPr>
          <w:rFonts w:eastAsia="Arial" w:cs="Arial"/>
        </w:rPr>
      </w:pPr>
      <w:r w:rsidRPr="0094225A">
        <w:rPr>
          <w:rFonts w:eastAsia="Arial" w:cs="Arial"/>
        </w:rPr>
        <w:t>Se sugiere se analicen las alternativas, para mitigar los efectos de la contingencia sanitaria en este sector.</w:t>
      </w:r>
    </w:p>
    <w:p w14:paraId="6CDD26DF" w14:textId="14DA63E9" w:rsidR="0094225A" w:rsidRDefault="0094225A" w:rsidP="0094225A">
      <w:pPr>
        <w:rPr>
          <w:rFonts w:eastAsia="Arial" w:cs="Arial"/>
        </w:rPr>
      </w:pPr>
    </w:p>
    <w:p w14:paraId="1937A755" w14:textId="157958C7" w:rsidR="0094225A" w:rsidRDefault="0094225A" w:rsidP="0094225A">
      <w:pPr>
        <w:rPr>
          <w:rFonts w:eastAsia="Arial" w:cs="Arial"/>
        </w:rPr>
      </w:pPr>
    </w:p>
    <w:p w14:paraId="6B4F82B6" w14:textId="0E866DF4" w:rsidR="00D868AB" w:rsidRDefault="00D868AB" w:rsidP="0094225A">
      <w:pPr>
        <w:rPr>
          <w:rFonts w:eastAsia="Arial" w:cs="Arial"/>
        </w:rPr>
      </w:pPr>
    </w:p>
    <w:p w14:paraId="027E6569" w14:textId="77777777" w:rsidR="00D868AB" w:rsidRPr="00D868AB" w:rsidRDefault="00D868AB" w:rsidP="00D868AB">
      <w:pPr>
        <w:rPr>
          <w:rFonts w:cs="Arial"/>
          <w:b/>
        </w:rPr>
      </w:pPr>
      <w:r w:rsidRPr="00D868AB">
        <w:rPr>
          <w:rFonts w:cs="Arial"/>
          <w:b/>
        </w:rPr>
        <w:lastRenderedPageBreak/>
        <w:t xml:space="preserve">Por lo anteriormente expuesto y fundado, someto a la consideración de esta Honorable Asamblea, la siguiente Iniciativa con Proyecto de Decreto por el que: </w:t>
      </w:r>
    </w:p>
    <w:p w14:paraId="46051D06" w14:textId="77777777" w:rsidR="00D868AB" w:rsidRPr="00D868AB" w:rsidRDefault="00D868AB" w:rsidP="00D868AB">
      <w:pPr>
        <w:ind w:left="708" w:hanging="708"/>
        <w:rPr>
          <w:rFonts w:eastAsia="Calibri" w:cs="Arial"/>
          <w:b/>
          <w:lang w:eastAsia="en-US"/>
        </w:rPr>
      </w:pPr>
      <w:bookmarkStart w:id="1" w:name="_Toc465292955"/>
      <w:bookmarkStart w:id="2" w:name="_Toc465292883"/>
    </w:p>
    <w:p w14:paraId="4D374BA5" w14:textId="77777777" w:rsidR="00D868AB" w:rsidRPr="00D868AB" w:rsidRDefault="00D868AB" w:rsidP="00D868AB">
      <w:pPr>
        <w:ind w:left="708" w:hanging="708"/>
        <w:rPr>
          <w:rFonts w:eastAsia="Calibri" w:cs="Arial"/>
          <w:lang w:eastAsia="en-US"/>
        </w:rPr>
      </w:pPr>
      <w:r w:rsidRPr="00D868AB">
        <w:rPr>
          <w:rFonts w:eastAsia="Calibri" w:cs="Arial"/>
          <w:b/>
          <w:lang w:eastAsia="en-US"/>
        </w:rPr>
        <w:t>ÚNICO</w:t>
      </w:r>
      <w:r w:rsidRPr="00D868AB">
        <w:rPr>
          <w:rFonts w:eastAsia="Calibri" w:cs="Arial"/>
          <w:lang w:eastAsia="en-US"/>
        </w:rPr>
        <w:t xml:space="preserve">. Se aprueba el </w:t>
      </w:r>
      <w:r w:rsidRPr="00D868AB">
        <w:rPr>
          <w:rFonts w:eastAsia="Calibri" w:cs="Arial"/>
          <w:b/>
          <w:lang w:eastAsia="en-US"/>
        </w:rPr>
        <w:t>Presupuesto de Egresos del Estado de Colima para el Ejercicio Fiscal 2023</w:t>
      </w:r>
      <w:r w:rsidRPr="00D868AB">
        <w:rPr>
          <w:rFonts w:eastAsia="Calibri" w:cs="Arial"/>
          <w:lang w:eastAsia="en-US"/>
        </w:rPr>
        <w:t xml:space="preserve">, en los siguientes términos: </w:t>
      </w:r>
    </w:p>
    <w:p w14:paraId="5D5DC8F7" w14:textId="77777777" w:rsidR="00D868AB" w:rsidRPr="00D868AB" w:rsidRDefault="00D868AB" w:rsidP="00D868AB">
      <w:pPr>
        <w:rPr>
          <w:rFonts w:eastAsia="Calibri" w:cs="Arial"/>
          <w:lang w:eastAsia="en-US"/>
        </w:rPr>
      </w:pPr>
    </w:p>
    <w:p w14:paraId="71F38544" w14:textId="77777777" w:rsidR="00D868AB" w:rsidRPr="00D868AB" w:rsidRDefault="00D868AB" w:rsidP="00D868AB">
      <w:pPr>
        <w:rPr>
          <w:rFonts w:eastAsia="Times New Roman" w:cs="Arial"/>
          <w:lang w:val="es-ES" w:eastAsia="es-ES"/>
        </w:rPr>
      </w:pPr>
    </w:p>
    <w:p w14:paraId="264C843B" w14:textId="77777777" w:rsidR="00D868AB" w:rsidRPr="00D868AB" w:rsidRDefault="00D868AB" w:rsidP="00D868AB">
      <w:pPr>
        <w:autoSpaceDE w:val="0"/>
        <w:autoSpaceDN w:val="0"/>
        <w:adjustRightInd w:val="0"/>
        <w:jc w:val="center"/>
        <w:rPr>
          <w:rFonts w:cs="Arial"/>
          <w:b/>
          <w:bCs/>
        </w:rPr>
      </w:pPr>
      <w:r w:rsidRPr="00D868AB">
        <w:rPr>
          <w:rFonts w:cs="Arial"/>
          <w:b/>
          <w:bCs/>
        </w:rPr>
        <w:t xml:space="preserve">PRESUPUESTO DE EGRESOS DEL ESTADO DE COLIMA </w:t>
      </w:r>
    </w:p>
    <w:p w14:paraId="60798F18" w14:textId="77777777" w:rsidR="00D868AB" w:rsidRPr="00D868AB" w:rsidRDefault="00D868AB" w:rsidP="00D868AB">
      <w:pPr>
        <w:autoSpaceDE w:val="0"/>
        <w:autoSpaceDN w:val="0"/>
        <w:adjustRightInd w:val="0"/>
        <w:jc w:val="center"/>
        <w:rPr>
          <w:rFonts w:cs="Arial"/>
          <w:b/>
          <w:bCs/>
        </w:rPr>
      </w:pPr>
      <w:r w:rsidRPr="00D868AB">
        <w:rPr>
          <w:rFonts w:cs="Arial"/>
          <w:b/>
          <w:bCs/>
        </w:rPr>
        <w:t>PARA EL EJERCICIO FISCAL 2023</w:t>
      </w:r>
    </w:p>
    <w:p w14:paraId="32736662" w14:textId="77777777" w:rsidR="00D868AB" w:rsidRPr="00D868AB" w:rsidRDefault="00D868AB" w:rsidP="00D868AB">
      <w:pPr>
        <w:rPr>
          <w:rFonts w:cs="Arial"/>
          <w:lang w:val="es-ES"/>
        </w:rPr>
      </w:pPr>
    </w:p>
    <w:p w14:paraId="102B8F34" w14:textId="77777777" w:rsidR="00D868AB" w:rsidRPr="00D868AB" w:rsidRDefault="00D868AB" w:rsidP="00D868AB">
      <w:pPr>
        <w:jc w:val="center"/>
        <w:rPr>
          <w:rFonts w:cs="Arial"/>
          <w:b/>
          <w:lang w:val="es-ES"/>
        </w:rPr>
      </w:pPr>
      <w:r w:rsidRPr="00D868AB">
        <w:rPr>
          <w:rFonts w:cs="Arial"/>
          <w:b/>
          <w:lang w:val="es-ES"/>
        </w:rPr>
        <w:t>TÍTULO PRIMERO</w:t>
      </w:r>
    </w:p>
    <w:p w14:paraId="722169F2" w14:textId="77777777" w:rsidR="00D868AB" w:rsidRPr="00D868AB" w:rsidRDefault="00D868AB" w:rsidP="00D868AB">
      <w:pPr>
        <w:jc w:val="center"/>
        <w:rPr>
          <w:rFonts w:cs="Arial"/>
          <w:b/>
          <w:lang w:val="es-ES"/>
        </w:rPr>
      </w:pPr>
      <w:r w:rsidRPr="00D868AB">
        <w:rPr>
          <w:rFonts w:cs="Arial"/>
          <w:b/>
          <w:lang w:val="es-ES"/>
        </w:rPr>
        <w:t>DE LAS ASIGNACIONES DEL PRESUPUESTO DE EGRESOS DEL ESTADO</w:t>
      </w:r>
    </w:p>
    <w:p w14:paraId="06EA61A1" w14:textId="77777777" w:rsidR="00D868AB" w:rsidRPr="00D868AB" w:rsidRDefault="00D868AB" w:rsidP="00D868AB">
      <w:pPr>
        <w:jc w:val="center"/>
        <w:rPr>
          <w:rFonts w:cs="Arial"/>
          <w:lang w:val="es-ES"/>
        </w:rPr>
      </w:pPr>
    </w:p>
    <w:p w14:paraId="68B00293" w14:textId="77777777" w:rsidR="00D868AB" w:rsidRPr="00D868AB" w:rsidRDefault="00D868AB" w:rsidP="00D868AB">
      <w:pPr>
        <w:jc w:val="center"/>
        <w:rPr>
          <w:rFonts w:eastAsia="Times New Roman" w:cs="Arial"/>
          <w:b/>
          <w:lang w:val="es-ES"/>
        </w:rPr>
      </w:pPr>
      <w:bookmarkStart w:id="3" w:name="_Toc522869226"/>
      <w:bookmarkStart w:id="4" w:name="_Toc526757432"/>
      <w:bookmarkStart w:id="5" w:name="_Toc22021870"/>
      <w:bookmarkStart w:id="6" w:name="_Toc22983148"/>
      <w:r w:rsidRPr="00D868AB">
        <w:rPr>
          <w:rFonts w:eastAsia="Times New Roman" w:cs="Arial"/>
          <w:b/>
          <w:lang w:val="es-ES"/>
        </w:rPr>
        <w:t>CAPÍTULO I</w:t>
      </w:r>
      <w:bookmarkEnd w:id="3"/>
      <w:bookmarkEnd w:id="4"/>
      <w:bookmarkEnd w:id="5"/>
      <w:bookmarkEnd w:id="6"/>
    </w:p>
    <w:p w14:paraId="435FBE3C" w14:textId="77777777" w:rsidR="00D868AB" w:rsidRPr="00D868AB" w:rsidRDefault="00D868AB" w:rsidP="00D868AB">
      <w:pPr>
        <w:keepNext/>
        <w:keepLines/>
        <w:jc w:val="center"/>
        <w:outlineLvl w:val="0"/>
        <w:rPr>
          <w:rFonts w:eastAsia="Times New Roman" w:cs="Arial"/>
          <w:b/>
          <w:lang w:val="es-ES"/>
        </w:rPr>
      </w:pPr>
      <w:bookmarkStart w:id="7" w:name="_Toc522869227"/>
      <w:bookmarkStart w:id="8" w:name="_Toc526757433"/>
      <w:bookmarkStart w:id="9" w:name="_Toc22021871"/>
      <w:bookmarkStart w:id="10" w:name="_Toc22983149"/>
      <w:r w:rsidRPr="00D868AB">
        <w:rPr>
          <w:rFonts w:eastAsia="Times New Roman" w:cs="Arial"/>
          <w:b/>
          <w:lang w:val="es-ES"/>
        </w:rPr>
        <w:t>DISPOSICIONES GENERALES</w:t>
      </w:r>
      <w:bookmarkEnd w:id="7"/>
      <w:bookmarkEnd w:id="8"/>
      <w:bookmarkEnd w:id="9"/>
      <w:bookmarkEnd w:id="10"/>
    </w:p>
    <w:p w14:paraId="4B11CECD" w14:textId="77777777" w:rsidR="00D868AB" w:rsidRPr="00D868AB" w:rsidRDefault="00D868AB" w:rsidP="00D868AB">
      <w:pPr>
        <w:rPr>
          <w:rFonts w:cs="Arial"/>
          <w:b/>
        </w:rPr>
      </w:pPr>
    </w:p>
    <w:p w14:paraId="0537617F" w14:textId="77777777" w:rsidR="00D868AB" w:rsidRPr="00D868AB" w:rsidRDefault="00D868AB" w:rsidP="00D868AB">
      <w:pPr>
        <w:rPr>
          <w:rFonts w:cs="Arial"/>
        </w:rPr>
      </w:pPr>
      <w:r w:rsidRPr="00D868AB">
        <w:rPr>
          <w:rFonts w:cs="Arial"/>
          <w:b/>
        </w:rPr>
        <w:t>Artículo 1</w:t>
      </w:r>
      <w:r w:rsidRPr="00D868AB">
        <w:rPr>
          <w:rFonts w:cs="Arial"/>
        </w:rPr>
        <w:t>. El presente Decreto tiene por objeto regular la asignación, ejercicio, control y evaluación del gasto público del Estado de Colima para el Ejercicio Fiscal 2023.</w:t>
      </w:r>
    </w:p>
    <w:p w14:paraId="38A40281" w14:textId="77777777" w:rsidR="00D868AB" w:rsidRPr="00D868AB" w:rsidRDefault="00D868AB" w:rsidP="00D868AB">
      <w:pPr>
        <w:rPr>
          <w:rFonts w:cs="Arial"/>
        </w:rPr>
      </w:pPr>
    </w:p>
    <w:p w14:paraId="0700DFA4" w14:textId="77777777" w:rsidR="00D868AB" w:rsidRPr="00D868AB" w:rsidRDefault="00D868AB" w:rsidP="00D868AB">
      <w:pPr>
        <w:rPr>
          <w:rFonts w:cs="Arial"/>
        </w:rPr>
      </w:pPr>
      <w:r w:rsidRPr="00D868AB">
        <w:rPr>
          <w:rFonts w:cs="Arial"/>
        </w:rPr>
        <w:t xml:space="preserve">La asignación, ejercicio, control y evaluación del gasto público del Gobierno del Estado de Colima para el Ejercicio 2023, se sujetará a las disposiciones contenidas en el presente Decreto, así como en: la Ley General de Contabilidad Gubernamental; la Ley de Disciplina Financiera de las Entidades Federativas y los Municipios; la Ley de Coordinación Fiscal; la </w:t>
      </w:r>
      <w:r w:rsidRPr="00D868AB">
        <w:rPr>
          <w:rFonts w:eastAsia="Times New Roman" w:cs="Arial"/>
        </w:rPr>
        <w:t xml:space="preserve">Ley General de Responsabilidades Administrativas; </w:t>
      </w:r>
      <w:r w:rsidRPr="00D868AB">
        <w:rPr>
          <w:rFonts w:cs="Arial"/>
        </w:rPr>
        <w:t>la Ley de Presupuesto y Responsabilidad Hacendaria del Estado de Colima; la Ley Orgánica del Poder Ejecutivo y de la Administración Pública del Estado de Colima; la Ley de las Entidades Paraestatales del Estado de Colima; la Ley de Fiscalización Superior y Rendición de Cuentas del Estado de Colima; la Ley de Coordinación Fiscal del Estado; la Ley de Justicia Administrativa del Estado de Colima; la Ley de Adquisiciones, Arrendamientos y Servicios del Sector Público del Estado de Colima; la Ley que Fija las Bases para las Remuneraciones de los Servidores Públicos del Estado y los Municipios; la Ley Estatal de Obras Públicas, Ley de Austeridad del Estado de Colima y las demás disposiciones aplicables en la materia.</w:t>
      </w:r>
    </w:p>
    <w:p w14:paraId="479042B6" w14:textId="77777777" w:rsidR="00D868AB" w:rsidRPr="00D868AB" w:rsidRDefault="00D868AB" w:rsidP="00D868AB">
      <w:pPr>
        <w:rPr>
          <w:rFonts w:cs="Arial"/>
        </w:rPr>
      </w:pPr>
    </w:p>
    <w:p w14:paraId="045C1970" w14:textId="77777777" w:rsidR="00D868AB" w:rsidRPr="00D868AB" w:rsidRDefault="00D868AB" w:rsidP="00D868AB">
      <w:pPr>
        <w:rPr>
          <w:rFonts w:cs="Arial"/>
        </w:rPr>
      </w:pPr>
      <w:r w:rsidRPr="00D868AB">
        <w:rPr>
          <w:rFonts w:cs="Arial"/>
        </w:rPr>
        <w:t>Será responsabilidad de la Secretaría de Planeación, Finanzas y Administración y de la Contraloría General del Estado, en el ámbito de sus respectivas competencias, cumplir y hacer cumplir las disposiciones establecidas en el presente Decreto, así como determinar las normas y procedimientos administrativos tendientes a armonizar, transparentar, racionalizar y llevar a cabo un mejor control del gasto público estatal.</w:t>
      </w:r>
    </w:p>
    <w:p w14:paraId="5C487E94" w14:textId="77777777" w:rsidR="00D868AB" w:rsidRPr="00D868AB" w:rsidRDefault="00D868AB" w:rsidP="00D868AB">
      <w:pPr>
        <w:rPr>
          <w:rFonts w:cs="Arial"/>
        </w:rPr>
      </w:pPr>
    </w:p>
    <w:p w14:paraId="642CEA00" w14:textId="77777777" w:rsidR="00D868AB" w:rsidRPr="00D868AB" w:rsidRDefault="00D868AB" w:rsidP="00D868AB">
      <w:pPr>
        <w:rPr>
          <w:rFonts w:cs="Arial"/>
        </w:rPr>
      </w:pPr>
      <w:r w:rsidRPr="00D868AB">
        <w:rPr>
          <w:rFonts w:cs="Arial"/>
        </w:rPr>
        <w:lastRenderedPageBreak/>
        <w:t>La interpretación del presente Presupuesto de Egresos para efectos administrativos y exclusivamente en el ámbito de competencia del Ejecutivo Estatal, corresponde a la Secretaría de Planeación, Finanzas y Administración</w:t>
      </w:r>
      <w:r w:rsidRPr="00D868AB">
        <w:rPr>
          <w:rFonts w:cs="Arial"/>
          <w:color w:val="FF0000"/>
        </w:rPr>
        <w:t xml:space="preserve"> </w:t>
      </w:r>
      <w:r w:rsidRPr="00D868AB">
        <w:rPr>
          <w:rFonts w:cs="Arial"/>
        </w:rPr>
        <w:t>y a la Contraloría General del Estado en el ámbito de sus atribuciones, conforme a las disposiciones y definiciones que establezca la Ley de Presupuesto y Responsabilidad Hacendaria del Estado de Colima. Lo anterior, sin perjuicio de la interpretación que corresponda a otros poderes estatales en el ámbito de sus respectivas competencias.</w:t>
      </w:r>
    </w:p>
    <w:p w14:paraId="2A19F3F8" w14:textId="77777777" w:rsidR="00D868AB" w:rsidRPr="00D868AB" w:rsidRDefault="00D868AB" w:rsidP="00D868AB">
      <w:pPr>
        <w:rPr>
          <w:rFonts w:cs="Arial"/>
        </w:rPr>
      </w:pPr>
    </w:p>
    <w:p w14:paraId="40B12F22" w14:textId="77777777" w:rsidR="00D868AB" w:rsidRPr="00D868AB" w:rsidRDefault="00D868AB" w:rsidP="00D868AB">
      <w:pPr>
        <w:rPr>
          <w:rFonts w:cs="Arial"/>
        </w:rPr>
      </w:pPr>
    </w:p>
    <w:p w14:paraId="686A1479" w14:textId="77777777" w:rsidR="00D868AB" w:rsidRPr="00D868AB" w:rsidRDefault="00D868AB" w:rsidP="00D868AB">
      <w:pPr>
        <w:rPr>
          <w:rFonts w:cs="Arial"/>
          <w:lang w:val="es-ES"/>
        </w:rPr>
      </w:pPr>
      <w:r w:rsidRPr="00D868AB">
        <w:rPr>
          <w:rFonts w:cs="Arial"/>
          <w:b/>
          <w:lang w:val="es-ES"/>
        </w:rPr>
        <w:t>Artículo 2</w:t>
      </w:r>
      <w:r w:rsidRPr="00D868AB">
        <w:rPr>
          <w:rFonts w:cs="Arial"/>
          <w:lang w:val="es-ES"/>
        </w:rPr>
        <w:t>.  Para los efectos de este Decreto, en singular o plural, se entenderá por:</w:t>
      </w:r>
    </w:p>
    <w:p w14:paraId="48A06017" w14:textId="77777777" w:rsidR="00D868AB" w:rsidRPr="00D868AB" w:rsidRDefault="00D868AB" w:rsidP="00D868AB">
      <w:pPr>
        <w:rPr>
          <w:rFonts w:cs="Arial"/>
          <w:lang w:val="es-ES"/>
        </w:rPr>
      </w:pPr>
    </w:p>
    <w:p w14:paraId="4B932F0B"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Adecuaciones Presupuestarias</w:t>
      </w:r>
      <w:r w:rsidRPr="00D868AB">
        <w:rPr>
          <w:rFonts w:eastAsia="Times New Roman" w:cs="Arial"/>
        </w:rPr>
        <w:t>: Las modificaciones a los calendarios presupuestales, las ampliaciones y reducciones al Presupuesto de Egresos del Estado mediante movimientos compensados y las liberaciones anticipadas de recursos públicos calendarizados realizadas por el Ejecutivo Estatal a través de la Secretaría de Planeación, Finanzas y Administración, siempre que permitan un mejor cumplimiento de los objetivos y metas de los Programas Presupuestarios a cargo de los Ejecutores de Gasto.</w:t>
      </w:r>
    </w:p>
    <w:p w14:paraId="688086EB"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Adeudos de Ejercicios Fiscales Anteriores (ADEFAS)</w:t>
      </w:r>
      <w:r w:rsidRPr="00D868AB">
        <w:rPr>
          <w:rFonts w:eastAsia="Times New Roman" w:cs="Arial"/>
        </w:rPr>
        <w:t>: Las asignaciones destinadas a cubrir las erogaciones devengadas y pendientes de liquidar al cierre del ejercicio fiscal anterior, derivadas de la contratación de bienes y servicios requeridos en el desempeño de las funciones de los Entes Públicos, para las cuales existió asignación presupuestal con saldo disponible al cierre del ejercicio fiscal en que se devengaron.</w:t>
      </w:r>
    </w:p>
    <w:p w14:paraId="25C4E1FB"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Administración Pública Centralizada</w:t>
      </w:r>
      <w:r w:rsidRPr="00D868AB">
        <w:rPr>
          <w:rFonts w:eastAsia="Times New Roman" w:cs="Arial"/>
        </w:rPr>
        <w:t>: La Oficina de la Gubernatura, las Secretarías, la Consejería Jurídica y la Contraloría General, a las que se les denominará genéricamente Dependencias.</w:t>
      </w:r>
    </w:p>
    <w:p w14:paraId="0D1E1049"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Administración Pública Paraestatal</w:t>
      </w:r>
      <w:r w:rsidRPr="00D868AB">
        <w:rPr>
          <w:rFonts w:eastAsia="Times New Roman" w:cs="Arial"/>
        </w:rPr>
        <w:t>: Los organismos descentralizados, empresas de participación estatal mayoritaria y los fideicomisos públicos, a los que se les denominará genéricamente como entidades.</w:t>
      </w:r>
    </w:p>
    <w:p w14:paraId="5563798A"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Agenda 2030 y los Objetivos del Desarrollo Sostenible</w:t>
      </w:r>
      <w:r w:rsidRPr="00D868AB">
        <w:rPr>
          <w:rFonts w:eastAsia="Times New Roman" w:cs="Arial"/>
        </w:rPr>
        <w:t>: La Agenda 2030 para el Desarrollo Sostenible es una hoja de ruta para erradicar la pobreza, proteger al planeta y asegurar la prosperidad para todos sin comprometer los recursos para las futuras generaciones. Consiste en 17 Objetivos de Desarrollo Sostenible, con metas específicas, que constituyen una agenda integral y multisectorial.</w:t>
      </w:r>
    </w:p>
    <w:p w14:paraId="643A85BD"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Amortización de la Deuda y Disminución de Pasivos</w:t>
      </w:r>
      <w:r w:rsidRPr="00D868AB">
        <w:rPr>
          <w:rFonts w:eastAsia="Times New Roman" w:cs="Arial"/>
        </w:rPr>
        <w:t>: Representa la cancelación mediante pago o cualquier forma por la cual se extinga la obligación principal de los pasivos contraídos por el Gobierno del Estado.</w:t>
      </w:r>
    </w:p>
    <w:p w14:paraId="34297F00"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Asignaciones Presupuestales</w:t>
      </w:r>
      <w:r w:rsidRPr="00D868AB">
        <w:rPr>
          <w:rFonts w:eastAsia="Times New Roman" w:cs="Arial"/>
        </w:rPr>
        <w:t xml:space="preserve">: Las previsiones de Gasto Público aprobadas, mediante el Presupuesto de Egresos del Estado, que realiza el Titular del Poder </w:t>
      </w:r>
      <w:r w:rsidRPr="00D868AB">
        <w:rPr>
          <w:rFonts w:eastAsia="Times New Roman" w:cs="Arial"/>
        </w:rPr>
        <w:lastRenderedPageBreak/>
        <w:t>Ejecutivo del Estado a través de la Secretaría de Planeación, Finanzas y Administración y los Ejecutores de Gasto;</w:t>
      </w:r>
    </w:p>
    <w:p w14:paraId="36F9E696"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Ayudas</w:t>
      </w:r>
      <w:r w:rsidRPr="00D868AB">
        <w:rPr>
          <w:rFonts w:eastAsia="Times New Roman" w:cs="Arial"/>
        </w:rPr>
        <w:t>: Las aportaciones de recursos públicos en numerario o en especie otorgadas por el Gobierno del Estado con base en los objetivos y metas de los Programas Presupuestarios.</w:t>
      </w:r>
    </w:p>
    <w:p w14:paraId="2C0FDC30"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Balance Presupuestario</w:t>
      </w:r>
      <w:r w:rsidRPr="00D868AB">
        <w:rPr>
          <w:rFonts w:eastAsia="Times New Roman" w:cs="Arial"/>
        </w:rPr>
        <w:t>: La diferencia entre los Ingresos totales incluidos en la Ley de Ingresos, y los gastos totales considerados en el Presupuesto de Egresos, con excepción de la amortización de la deuda.</w:t>
      </w:r>
    </w:p>
    <w:p w14:paraId="777EF327"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Balance Presupuestario de Recursos Disponibles</w:t>
      </w:r>
      <w:r w:rsidRPr="00D868AB">
        <w:rPr>
          <w:rFonts w:eastAsia="Times New Roman" w:cs="Arial"/>
        </w:rPr>
        <w:t>: La diferencia entre los Ingresos de Libre Disposición, incluidos en la Ley de Ingresos, más el Financiamiento Neto y los Gastos No Etiquetados considerados en el Presupuesto de Egresos, con excepción de la amortización de la deuda;</w:t>
      </w:r>
    </w:p>
    <w:p w14:paraId="5C431794"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Capítulo de Gasto</w:t>
      </w:r>
      <w:r w:rsidRPr="00D868AB">
        <w:rPr>
          <w:rFonts w:eastAsia="Times New Roman" w:cs="Arial"/>
        </w:rPr>
        <w:t>: Al mayor nivel de agregación que identifica el conjunto homogéneo y ordenado de los bienes y servicios requeridos por los Entes Públicos.</w:t>
      </w:r>
    </w:p>
    <w:p w14:paraId="14EC5EB6"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Clasificación Funcional del Gasto</w:t>
      </w:r>
      <w:r w:rsidRPr="00D868AB">
        <w:rPr>
          <w:rFonts w:eastAsia="Times New Roman" w:cs="Arial"/>
        </w:rPr>
        <w:t>: La que agrupa los gastos según los propósitos u objetivos socioeconómicos que persiguen los diferentes Entes Públicos. Presenta el gasto público según la naturaleza de los servicios gubernamentales brindados a la población. Con dicha clasificación se identifica el presupuesto destinado a finalidades de: Gobierno, Desarrollo Social, Desarrollo Económico y Otros no Clasificados; permitiendo determinar los objetivos generales de las políticas públicas y los recursos financieros que se asignan para alcanzarlos</w:t>
      </w:r>
    </w:p>
    <w:p w14:paraId="4AFA2CB4"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Clasificación por Objeto del Gasto</w:t>
      </w:r>
      <w:r w:rsidRPr="00D868AB">
        <w:rPr>
          <w:rFonts w:eastAsia="Times New Roman" w:cs="Arial"/>
        </w:rPr>
        <w:t>: La que resume, ordena y presenta los gastos programados en el presupuesto de acuerdo con la naturaleza de los bienes, servicios, activos y pasivos financieros. Alcanza a todas las transacciones que realizan los Entes Públicos para obtener bienes y servicios que se utilizan en la prestación de servicios públicos y en la realización de transferencias, en el marco del Presupuesto de Egresos.</w:t>
      </w:r>
    </w:p>
    <w:p w14:paraId="7A91E541"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Clasificación por Fuentes de Financiamiento</w:t>
      </w:r>
      <w:r w:rsidRPr="00D868AB">
        <w:rPr>
          <w:rFonts w:eastAsia="Times New Roman" w:cs="Arial"/>
        </w:rPr>
        <w:t>: La clasificación por fuentes de financiamiento consiste en presentar los gastos públicos según los agregados genéricos de los recursos empleados para su financiamiento. Esta clasificación permite identificar las fuentes u orígenes de los ingresos que financian los egresos y precisar la orientación específica de cada fuente a efecto de controlar su aplicación.</w:t>
      </w:r>
    </w:p>
    <w:p w14:paraId="4A14F615"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Clasificación Económica de los Ingresos, de los Gastos y del Financiamiento de los Entes Públicos</w:t>
      </w:r>
      <w:r w:rsidRPr="00D868AB">
        <w:rPr>
          <w:rFonts w:eastAsia="Times New Roman" w:cs="Arial"/>
        </w:rPr>
        <w:t>: La Clasificación Económica de las transacciones de los Entes Públicos permite ordenar a éstas de acuerdo con su naturaleza económica, con el propósito general de analizar y evaluar el impacto de la política y gestión fiscal y sus componentes sobre la economía en general.</w:t>
      </w:r>
    </w:p>
    <w:p w14:paraId="21316D0E"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Clasificación Administrativa</w:t>
      </w:r>
      <w:r w:rsidRPr="00D868AB">
        <w:rPr>
          <w:rFonts w:eastAsia="Times New Roman" w:cs="Arial"/>
        </w:rPr>
        <w:t xml:space="preserve">: La que tiene como objetivo identificar el agente que realiza la erogación de los recursos públicos, se desglosa a través de asignaciones </w:t>
      </w:r>
      <w:r w:rsidRPr="00D868AB">
        <w:rPr>
          <w:rFonts w:eastAsia="Times New Roman" w:cs="Arial"/>
        </w:rPr>
        <w:lastRenderedPageBreak/>
        <w:t>denominadas ramos presupuestarios como el de la Administración Pública, de los Poderes, o de los Órganos Autónomos del Estado.</w:t>
      </w:r>
    </w:p>
    <w:p w14:paraId="00317B5F"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Clasificación Programática</w:t>
      </w:r>
      <w:r w:rsidRPr="00D868AB">
        <w:rPr>
          <w:rFonts w:eastAsia="Times New Roman" w:cs="Arial"/>
        </w:rPr>
        <w:t>: Técnica presupuestaria que pone especial atención a las actividades que se realizan más que a los bienes y servicios que se adquieren. Contiene un conjunto armónico de programas, proyectos y metas que se deben realizar a corto plazo y permite la racionalización en el uso de recursos al determinar objetivos y metas; asimismo, identifica responsables del programa y establece las acciones concretas para obtener los fines deseados.</w:t>
      </w:r>
    </w:p>
    <w:p w14:paraId="0556915B"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Clasificación por Tipo de Gasto</w:t>
      </w:r>
      <w:r w:rsidRPr="00D868AB">
        <w:rPr>
          <w:rFonts w:eastAsia="Times New Roman" w:cs="Arial"/>
        </w:rPr>
        <w:t>: La que relaciona las transacciones públicas que generan los grandes agregados de la clasificación económica presentándolos en: Corriente, de Capital, Amortización de la Deuda y Disminución de Pasivos, Pensiones y Jubilaciones y Participaciones.</w:t>
      </w:r>
    </w:p>
    <w:p w14:paraId="6512F91E"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Criterios Generales de Política Económica</w:t>
      </w:r>
      <w:r w:rsidRPr="00D868AB">
        <w:rPr>
          <w:rFonts w:eastAsia="Times New Roman" w:cs="Arial"/>
        </w:rPr>
        <w:t>: El documento enviado por el Ejecutivo Federal al Congreso de la Unión, en los términos del artículo 42, fracción III, inciso a), de la Ley Federal de Presupuesto y Responsabilidad Hacendaria, que sirve de base para la elaboración de la Ley de Ingresos y el Presupuesto de Egresos de la Federación.</w:t>
      </w:r>
    </w:p>
    <w:p w14:paraId="23EBF0CB"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Concepto</w:t>
      </w:r>
      <w:r w:rsidRPr="00D868AB">
        <w:rPr>
          <w:rFonts w:eastAsia="Times New Roman" w:cs="Arial"/>
        </w:rPr>
        <w:t>: Los subconjuntos homogéneos y ordenados en forma específica, producto de la desagregación de los bienes y servicios, incluidos en cada capítulo de gasto.</w:t>
      </w:r>
    </w:p>
    <w:p w14:paraId="2D8156DE"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Congreso del Estado</w:t>
      </w:r>
      <w:r w:rsidRPr="00D868AB">
        <w:rPr>
          <w:rFonts w:eastAsia="Times New Roman" w:cs="Arial"/>
        </w:rPr>
        <w:t>: El H. Congreso del Estado Libre y Soberano de Colima.</w:t>
      </w:r>
    </w:p>
    <w:p w14:paraId="55EE4230"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Contraloría General</w:t>
      </w:r>
      <w:r w:rsidRPr="00D868AB">
        <w:rPr>
          <w:rFonts w:eastAsia="Times New Roman" w:cs="Arial"/>
        </w:rPr>
        <w:t>: La Contraloría General del Estado.</w:t>
      </w:r>
    </w:p>
    <w:p w14:paraId="306E067A"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Deuda Contingente</w:t>
      </w:r>
      <w:r w:rsidRPr="00D868AB">
        <w:rPr>
          <w:rFonts w:eastAsia="Times New Roman" w:cs="Arial"/>
        </w:rPr>
        <w:t xml:space="preserve">: Cualquier Financiamiento sin fuente o garantía de pago definida, que sea asumida de manera solidaria o subsidiaria por la Entidad Federativa con sus Municipios, Organismos Descentralizados y empresas de participación estatal mayoritaria y Fideicomisos. </w:t>
      </w:r>
    </w:p>
    <w:p w14:paraId="07FB4466"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Disciplina Financiera</w:t>
      </w:r>
      <w:r w:rsidRPr="00D868AB">
        <w:rPr>
          <w:rFonts w:eastAsia="Times New Roman" w:cs="Arial"/>
        </w:rPr>
        <w:t>: La observancia de los principios y las disposiciones en materia de responsabilidad hacendaria y financiera, la aplicación de reglas y criterios en el manejo de recursos y contratación de Obligaciones por los Entes Públicos, que aseguren una gestión responsable y sostenible de sus finanzas públicas, generando condiciones favorables para el crecimiento económico, el empleo y la estabilidad del sistema financiero.</w:t>
      </w:r>
    </w:p>
    <w:p w14:paraId="4D7BBADF" w14:textId="77777777" w:rsidR="00D868AB" w:rsidRPr="00D868AB" w:rsidRDefault="00D868AB" w:rsidP="00D868AB">
      <w:pPr>
        <w:numPr>
          <w:ilvl w:val="0"/>
          <w:numId w:val="5"/>
        </w:numPr>
        <w:ind w:left="851" w:hanging="851"/>
        <w:contextualSpacing/>
        <w:rPr>
          <w:rFonts w:eastAsia="Times New Roman" w:cs="Arial"/>
        </w:rPr>
      </w:pPr>
      <w:r w:rsidRPr="00D868AB">
        <w:rPr>
          <w:rFonts w:cs="Arial"/>
          <w:b/>
        </w:rPr>
        <w:t>Disponibilidades</w:t>
      </w:r>
      <w:r w:rsidRPr="00D868AB">
        <w:rPr>
          <w:rFonts w:cs="Arial"/>
        </w:rPr>
        <w:t>: Los recursos provenientes de los ingresos que durante los ejercicios fiscales anteriores no fueron pagados ni devengados para algún rubro del gasto presupuestado, excluyendo a las Transferencias Federales Etiquetadas.</w:t>
      </w:r>
    </w:p>
    <w:p w14:paraId="1EBCD13C" w14:textId="77777777" w:rsidR="00D868AB" w:rsidRPr="00D868AB" w:rsidRDefault="00D868AB" w:rsidP="00D868AB">
      <w:pPr>
        <w:numPr>
          <w:ilvl w:val="0"/>
          <w:numId w:val="5"/>
        </w:numPr>
        <w:ind w:left="851" w:hanging="851"/>
        <w:contextualSpacing/>
        <w:rPr>
          <w:rFonts w:cs="Arial"/>
        </w:rPr>
      </w:pPr>
      <w:r w:rsidRPr="00D868AB">
        <w:rPr>
          <w:rFonts w:cs="Arial"/>
          <w:b/>
        </w:rPr>
        <w:t>Economías o Ahorros Presupuestarios</w:t>
      </w:r>
      <w:r w:rsidRPr="00D868AB">
        <w:rPr>
          <w:rFonts w:cs="Arial"/>
        </w:rPr>
        <w:t>: Los remanentes de recursos públicos del Presupuesto de Egresos del Estado no comprometidos al término del Ejercicio Fiscal; así como los ahorros realizados en un período determinado.</w:t>
      </w:r>
    </w:p>
    <w:p w14:paraId="4CB3A491"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Entes Públicos</w:t>
      </w:r>
      <w:r w:rsidRPr="00D868AB">
        <w:rPr>
          <w:rFonts w:eastAsia="Times New Roman" w:cs="Arial"/>
        </w:rPr>
        <w:t xml:space="preserve">: Los Poderes Ejecutivo, Legislativo y Judicial, los Órganos Autónomos del Estado, los Organismos Descentralizados, Empresas de </w:t>
      </w:r>
      <w:r w:rsidRPr="00D868AB">
        <w:rPr>
          <w:rFonts w:eastAsia="Times New Roman" w:cs="Arial"/>
        </w:rPr>
        <w:lastRenderedPageBreak/>
        <w:t>Participación Estatal Mayoritaria y Fideicomisos del Estado, así como cualquier otro Ente sobre el que el Estado tenga control sobre sus decisiones o acciones.</w:t>
      </w:r>
    </w:p>
    <w:p w14:paraId="22BD2A3E"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Estado</w:t>
      </w:r>
      <w:r w:rsidRPr="00D868AB">
        <w:rPr>
          <w:rFonts w:eastAsia="Times New Roman" w:cs="Arial"/>
        </w:rPr>
        <w:t>: El Estado Libre y Soberano de Colima.</w:t>
      </w:r>
    </w:p>
    <w:p w14:paraId="4E0A3EA6" w14:textId="77777777" w:rsidR="00D868AB" w:rsidRPr="00D868AB" w:rsidRDefault="00D868AB" w:rsidP="00D868AB">
      <w:pPr>
        <w:numPr>
          <w:ilvl w:val="0"/>
          <w:numId w:val="5"/>
        </w:numPr>
        <w:tabs>
          <w:tab w:val="left" w:pos="851"/>
        </w:tabs>
        <w:ind w:left="851" w:hanging="851"/>
        <w:contextualSpacing/>
        <w:rPr>
          <w:rFonts w:eastAsia="Times New Roman" w:cs="Arial"/>
        </w:rPr>
      </w:pPr>
      <w:r w:rsidRPr="00D868AB">
        <w:rPr>
          <w:rFonts w:eastAsia="Times New Roman" w:cs="Arial"/>
          <w:b/>
        </w:rPr>
        <w:t>Fideicomisos Públicos</w:t>
      </w:r>
      <w:r w:rsidRPr="00D868AB">
        <w:rPr>
          <w:rFonts w:eastAsia="Times New Roman" w:cs="Arial"/>
        </w:rPr>
        <w:t>: Instrumentos que el Gobierno Estatal o alguna de las demás entidades paraestatales constituyen con el propósito de auxiliar al Ejecutivo del Estado en la realización de las funciones que le corresponden o en el impulso de áreas prioritarias del desarrollo, que cuenten con una estructura análoga a las otras entidades y que tengan comités técnicos.</w:t>
      </w:r>
    </w:p>
    <w:p w14:paraId="7A1253FF" w14:textId="77777777" w:rsidR="00D868AB" w:rsidRPr="00D868AB" w:rsidRDefault="00D868AB" w:rsidP="00D868AB">
      <w:pPr>
        <w:numPr>
          <w:ilvl w:val="0"/>
          <w:numId w:val="5"/>
        </w:numPr>
        <w:tabs>
          <w:tab w:val="left" w:pos="851"/>
        </w:tabs>
        <w:ind w:left="851" w:hanging="851"/>
        <w:contextualSpacing/>
        <w:rPr>
          <w:rFonts w:eastAsia="Times New Roman" w:cs="Arial"/>
        </w:rPr>
      </w:pPr>
      <w:r w:rsidRPr="00D868AB">
        <w:rPr>
          <w:rFonts w:cs="Arial"/>
          <w:b/>
        </w:rPr>
        <w:t>Financiamiento Neto</w:t>
      </w:r>
      <w:r w:rsidRPr="00D868AB">
        <w:rPr>
          <w:rFonts w:cs="Arial"/>
        </w:rPr>
        <w:t>: La suma de las disposiciones realizadas de un Financiamiento, y las Disponibilidades, menos las amortizaciones efectuadas de la Deuda Pública.</w:t>
      </w:r>
    </w:p>
    <w:p w14:paraId="2C2D5AD8" w14:textId="77777777" w:rsidR="00D868AB" w:rsidRPr="00D868AB" w:rsidRDefault="00D868AB" w:rsidP="00D868AB">
      <w:pPr>
        <w:numPr>
          <w:ilvl w:val="0"/>
          <w:numId w:val="5"/>
        </w:numPr>
        <w:tabs>
          <w:tab w:val="left" w:pos="993"/>
        </w:tabs>
        <w:ind w:left="851" w:hanging="851"/>
        <w:contextualSpacing/>
        <w:rPr>
          <w:rFonts w:eastAsia="Times New Roman" w:cs="Arial"/>
        </w:rPr>
      </w:pPr>
      <w:r w:rsidRPr="00D868AB">
        <w:rPr>
          <w:rFonts w:eastAsia="Times New Roman" w:cs="Arial"/>
          <w:b/>
        </w:rPr>
        <w:t>Gasto Corriente</w:t>
      </w:r>
      <w:r w:rsidRPr="00D868AB">
        <w:rPr>
          <w:rFonts w:eastAsia="Times New Roman" w:cs="Arial"/>
        </w:rPr>
        <w:t>: Al conjunto de erogaciones que no tienen como contrapartida la creación de activos, sino que constituyen un acto de consumo. Se refiere a los gastos en recursos humanos y de compra de bienes y servicios, necesarios para la administración y operación gubernamental.</w:t>
      </w:r>
    </w:p>
    <w:p w14:paraId="6302D806" w14:textId="77777777" w:rsidR="00D868AB" w:rsidRPr="00D868AB" w:rsidRDefault="00D868AB" w:rsidP="00D868AB">
      <w:pPr>
        <w:numPr>
          <w:ilvl w:val="0"/>
          <w:numId w:val="5"/>
        </w:numPr>
        <w:tabs>
          <w:tab w:val="left" w:pos="851"/>
        </w:tabs>
        <w:ind w:left="851" w:hanging="851"/>
        <w:contextualSpacing/>
        <w:rPr>
          <w:rFonts w:eastAsia="Times New Roman" w:cs="Arial"/>
        </w:rPr>
      </w:pPr>
      <w:r w:rsidRPr="00D868AB">
        <w:rPr>
          <w:rFonts w:eastAsia="Times New Roman" w:cs="Arial"/>
          <w:b/>
        </w:rPr>
        <w:t>Gasto Federalizado</w:t>
      </w:r>
      <w:r w:rsidRPr="00D868AB">
        <w:rPr>
          <w:rFonts w:eastAsia="Times New Roman" w:cs="Arial"/>
        </w:rPr>
        <w:t>. El gasto federalizado o descentralizado en México se integra por los recursos públicos que el Gobierno Federal transfiere a los Estados y Municipios del país para que estos últimos afronten sus necesidades de gasto en materia de educación, salud, infraestructura e inversión social, seguridad pública, entre otros rubros.</w:t>
      </w:r>
    </w:p>
    <w:p w14:paraId="7F2649EC" w14:textId="77777777" w:rsidR="00D868AB" w:rsidRPr="00D868AB" w:rsidRDefault="00D868AB" w:rsidP="00D868AB">
      <w:pPr>
        <w:numPr>
          <w:ilvl w:val="0"/>
          <w:numId w:val="5"/>
        </w:numPr>
        <w:tabs>
          <w:tab w:val="left" w:pos="851"/>
        </w:tabs>
        <w:ind w:left="851" w:hanging="851"/>
        <w:contextualSpacing/>
        <w:rPr>
          <w:rFonts w:eastAsia="Times New Roman" w:cs="Arial"/>
        </w:rPr>
      </w:pPr>
      <w:r w:rsidRPr="00D868AB">
        <w:rPr>
          <w:rFonts w:eastAsia="Times New Roman" w:cs="Arial"/>
          <w:b/>
        </w:rPr>
        <w:t>Gasto de Inversión o Capital</w:t>
      </w:r>
      <w:r w:rsidRPr="00D868AB">
        <w:rPr>
          <w:rFonts w:eastAsia="Times New Roman" w:cs="Arial"/>
        </w:rPr>
        <w:t>: Erogaciones que realizan las Dependencias de la Administración Pública Centralizada y Entidades de la Administración Pública Paraestatal tendientes a adquirir, ampliar, conservar y mejorar sus bienes de capital, incluyendo también la adquisición de acciones y títulos de crédito de terceros, construcción de obras públicas y desarrollo de acciones para promover el incremento de la capacidad productiva de los diversos sectores de la economía.</w:t>
      </w:r>
    </w:p>
    <w:p w14:paraId="7AEEEA93" w14:textId="77777777" w:rsidR="00D868AB" w:rsidRPr="00D868AB" w:rsidRDefault="00D868AB" w:rsidP="00D868AB">
      <w:pPr>
        <w:numPr>
          <w:ilvl w:val="0"/>
          <w:numId w:val="5"/>
        </w:numPr>
        <w:tabs>
          <w:tab w:val="left" w:pos="851"/>
        </w:tabs>
        <w:ind w:left="851" w:hanging="851"/>
        <w:contextualSpacing/>
        <w:rPr>
          <w:rFonts w:eastAsia="Times New Roman" w:cs="Arial"/>
        </w:rPr>
      </w:pPr>
      <w:r w:rsidRPr="00D868AB">
        <w:rPr>
          <w:rFonts w:eastAsia="Times New Roman" w:cs="Arial"/>
          <w:b/>
        </w:rPr>
        <w:t>Gasto Etiquetado</w:t>
      </w:r>
      <w:r w:rsidRPr="00D868AB">
        <w:rPr>
          <w:rFonts w:eastAsia="Times New Roman" w:cs="Arial"/>
        </w:rPr>
        <w:t>: Las erogaciones que realizan las Entidades Federativas y los Municipios con cargo a las Transferencias federales etiquetadas. En el caso de los Municipios, adicionalmente se incluyen las erogaciones que realizan con recursos de la Entidad Federativa con un destino específico.</w:t>
      </w:r>
    </w:p>
    <w:p w14:paraId="3AAA15BE" w14:textId="77777777" w:rsidR="00D868AB" w:rsidRPr="00D868AB" w:rsidRDefault="00D868AB" w:rsidP="00D868AB">
      <w:pPr>
        <w:numPr>
          <w:ilvl w:val="0"/>
          <w:numId w:val="5"/>
        </w:numPr>
        <w:tabs>
          <w:tab w:val="left" w:pos="851"/>
        </w:tabs>
        <w:ind w:left="851" w:hanging="851"/>
        <w:contextualSpacing/>
        <w:rPr>
          <w:rFonts w:eastAsia="Times New Roman" w:cs="Arial"/>
        </w:rPr>
      </w:pPr>
      <w:r w:rsidRPr="00D868AB">
        <w:rPr>
          <w:rFonts w:eastAsia="Times New Roman" w:cs="Arial"/>
          <w:b/>
        </w:rPr>
        <w:t>Gasto No Etiquetado</w:t>
      </w:r>
      <w:r w:rsidRPr="00D868AB">
        <w:rPr>
          <w:rFonts w:eastAsia="Times New Roman" w:cs="Arial"/>
        </w:rPr>
        <w:t xml:space="preserve">: Las erogaciones que realizan las Entidades Federativas y los Municipios con cargo a sus Ingresos de libre disposición y Financiamientos. </w:t>
      </w:r>
    </w:p>
    <w:p w14:paraId="2A10FC1B" w14:textId="77777777" w:rsidR="00D868AB" w:rsidRPr="00D868AB" w:rsidRDefault="00D868AB" w:rsidP="00D868AB">
      <w:pPr>
        <w:numPr>
          <w:ilvl w:val="0"/>
          <w:numId w:val="5"/>
        </w:numPr>
        <w:tabs>
          <w:tab w:val="left" w:pos="851"/>
        </w:tabs>
        <w:ind w:left="851" w:hanging="851"/>
        <w:contextualSpacing/>
        <w:rPr>
          <w:rFonts w:eastAsia="Times New Roman" w:cs="Arial"/>
        </w:rPr>
      </w:pPr>
      <w:r w:rsidRPr="00D868AB">
        <w:rPr>
          <w:rFonts w:eastAsia="Times New Roman" w:cs="Arial"/>
          <w:b/>
        </w:rPr>
        <w:t>Gasto Programable:</w:t>
      </w:r>
      <w:r w:rsidRPr="00D868AB">
        <w:rPr>
          <w:rFonts w:eastAsia="Times New Roman" w:cs="Arial"/>
        </w:rPr>
        <w:t xml:space="preserve"> Los recursos que se destinan al cumplimiento de los fines y funciones propias del Estado, por lo cual están directamente relacionadas con los programas a cargo de los Ejecutores de Gasto previamente establecidos para alcanzar los objetivos y metas, que tienen un efecto directo en la actividad económica y social.</w:t>
      </w:r>
    </w:p>
    <w:p w14:paraId="68A468BB" w14:textId="77777777" w:rsidR="00D868AB" w:rsidRPr="00D868AB" w:rsidRDefault="00D868AB" w:rsidP="00D868AB">
      <w:pPr>
        <w:numPr>
          <w:ilvl w:val="0"/>
          <w:numId w:val="5"/>
        </w:numPr>
        <w:tabs>
          <w:tab w:val="left" w:pos="851"/>
        </w:tabs>
        <w:ind w:left="851" w:hanging="851"/>
        <w:contextualSpacing/>
        <w:rPr>
          <w:rFonts w:eastAsia="Times New Roman" w:cs="Arial"/>
        </w:rPr>
      </w:pPr>
      <w:r w:rsidRPr="00D868AB">
        <w:rPr>
          <w:rFonts w:eastAsia="Times New Roman" w:cs="Arial"/>
          <w:b/>
        </w:rPr>
        <w:t>Gasto No Programable</w:t>
      </w:r>
      <w:r w:rsidRPr="00D868AB">
        <w:rPr>
          <w:rFonts w:eastAsia="Times New Roman" w:cs="Arial"/>
        </w:rPr>
        <w:t>: Los recursos que se destinan al cumplimiento de los fines y funciones propias del Estado y que por su naturaleza no están asociados a programas específicos.</w:t>
      </w:r>
    </w:p>
    <w:p w14:paraId="0652AE5F"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lastRenderedPageBreak/>
        <w:t>Ingresos de Libre Disposición</w:t>
      </w:r>
      <w:r w:rsidRPr="00D868AB">
        <w:rPr>
          <w:rFonts w:eastAsia="Times New Roman" w:cs="Arial"/>
        </w:rPr>
        <w:t>: Los ingresos locales y las participaciones federales, así como los recursos que, en su caso, reciban del Fondo de Estabilización de los Ingresos de las Entidades Federativas en los términos del artículo 19 de la Ley Federal de Presupuesto y Responsabilidad Hacendaria y cualquier otro recurso que no esté destinado a un fin específico.</w:t>
      </w:r>
    </w:p>
    <w:p w14:paraId="2CF81D39"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Ingresos Excedentes</w:t>
      </w:r>
      <w:r w:rsidRPr="00D868AB">
        <w:rPr>
          <w:rFonts w:eastAsia="Times New Roman" w:cs="Arial"/>
        </w:rPr>
        <w:t>: Los recursos públicos que durante el Ejercicio Fiscal se obtienen adicionalmente a los aprobados en la Ley de Ingresos del Estado vigente.</w:t>
      </w:r>
    </w:p>
    <w:p w14:paraId="4585DBB7"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Ley de Disciplina Financiera</w:t>
      </w:r>
      <w:r w:rsidRPr="00D868AB">
        <w:rPr>
          <w:rFonts w:eastAsia="Times New Roman" w:cs="Arial"/>
        </w:rPr>
        <w:t>: Ley de Disciplina Financiera de las Entidades Federativas y los Municipios.</w:t>
      </w:r>
    </w:p>
    <w:p w14:paraId="3B4AC450"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Ley General de Contabilidad</w:t>
      </w:r>
      <w:r w:rsidRPr="00D868AB">
        <w:rPr>
          <w:rFonts w:eastAsia="Times New Roman" w:cs="Arial"/>
        </w:rPr>
        <w:t>: La Ley General de Contabilidad Gubernamental.</w:t>
      </w:r>
    </w:p>
    <w:p w14:paraId="3E59F9D1"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Ley de Presupuesto</w:t>
      </w:r>
      <w:r w:rsidRPr="00D868AB">
        <w:rPr>
          <w:rFonts w:eastAsia="Times New Roman" w:cs="Arial"/>
        </w:rPr>
        <w:t>: La Ley de Presupuesto y Responsabilidad Hacendaria del Estado de Colima.</w:t>
      </w:r>
    </w:p>
    <w:p w14:paraId="1CD1AF14"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Matriz de Indicadores para Resultados</w:t>
      </w:r>
      <w:r w:rsidRPr="00D868AB">
        <w:rPr>
          <w:rFonts w:eastAsia="Times New Roman" w:cs="Arial"/>
        </w:rPr>
        <w:t>: La herramienta de planeación estratégica que en forma resumida, sencilla y armónica establece con claridad los objetivos del Programa Presupuestario y su alineación nacional, estatal, municipal y sectorial; incorpora los indicadores que miden los objetivos y resultados esperados; identifica los medios para obtener y verificar la información de los indicadores; describe los bienes y servicios a la sociedad, así como las actividades e insumos para producirlos; e incluye supuestos que son factores externos al programa que influyen en el cumplimiento de los objetivos.</w:t>
      </w:r>
    </w:p>
    <w:p w14:paraId="3336582D"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Órganos Autónomos del Estado:</w:t>
      </w:r>
      <w:r w:rsidRPr="00D868AB">
        <w:rPr>
          <w:rFonts w:eastAsia="Times New Roman" w:cs="Arial"/>
        </w:rPr>
        <w:t xml:space="preserve"> Las instituciones que expresamente se definen como tales por el artículo 22 de la Constitución Política del Estado Libre y Soberano de Colima.</w:t>
      </w:r>
    </w:p>
    <w:p w14:paraId="46E17BE2" w14:textId="77777777" w:rsidR="00D868AB" w:rsidRPr="00D868AB" w:rsidRDefault="00D868AB" w:rsidP="00D868AB">
      <w:pPr>
        <w:numPr>
          <w:ilvl w:val="0"/>
          <w:numId w:val="5"/>
        </w:numPr>
        <w:tabs>
          <w:tab w:val="left" w:pos="851"/>
        </w:tabs>
        <w:ind w:left="851" w:hanging="851"/>
        <w:contextualSpacing/>
        <w:rPr>
          <w:rFonts w:eastAsia="Times New Roman" w:cs="Arial"/>
        </w:rPr>
      </w:pPr>
      <w:r w:rsidRPr="00D868AB">
        <w:rPr>
          <w:rFonts w:eastAsia="Times New Roman" w:cs="Arial"/>
          <w:b/>
        </w:rPr>
        <w:t>Partida</w:t>
      </w:r>
      <w:r w:rsidRPr="00D868AB">
        <w:rPr>
          <w:rFonts w:eastAsia="Times New Roman" w:cs="Arial"/>
        </w:rPr>
        <w:t>: El nivel de agregación más específico en el cual se describen las expresiones concretas y detalladas de los bienes y servicios que se adquieren y se compone de: a) Partida Genérica, b) Partida Específica.</w:t>
      </w:r>
    </w:p>
    <w:p w14:paraId="535A5628"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Plan Estatal</w:t>
      </w:r>
      <w:r w:rsidRPr="00D868AB">
        <w:rPr>
          <w:rFonts w:eastAsia="Times New Roman" w:cs="Arial"/>
        </w:rPr>
        <w:t>: El Plan Estatal de Desarrollo vigente.</w:t>
      </w:r>
    </w:p>
    <w:p w14:paraId="4BA81A31"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Poder Judicial</w:t>
      </w:r>
      <w:r w:rsidRPr="00D868AB">
        <w:rPr>
          <w:rFonts w:eastAsia="Times New Roman" w:cs="Arial"/>
        </w:rPr>
        <w:t>: El Poder Judicial del Estado de Colima.</w:t>
      </w:r>
    </w:p>
    <w:p w14:paraId="0B01A597"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Programa</w:t>
      </w:r>
      <w:r w:rsidRPr="00D868AB">
        <w:rPr>
          <w:rFonts w:eastAsia="Times New Roman" w:cs="Arial"/>
        </w:rPr>
        <w:t>: Nivel o categoría que contiene un conjunto de acciones afines y coherentes a través de las cuales se pretende alcanzar objetivos y metas previamente determinadas por la planeación, para lo cual se requiere combinar recursos: humanos, tecnológicos, materiales, naturales, financieros; contienen un conjunto interdependiente de proyectos los cuales especifican tiempo y espacio en el que se van a desarrollar y atribuye responsabilidades a una o varias unidades ejecutoras debidamente coordinadas.</w:t>
      </w:r>
    </w:p>
    <w:p w14:paraId="593A58E3"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Secretaría</w:t>
      </w:r>
      <w:r w:rsidRPr="00D868AB">
        <w:rPr>
          <w:rFonts w:eastAsia="Times New Roman" w:cs="Arial"/>
          <w:color w:val="FF0000"/>
        </w:rPr>
        <w:t xml:space="preserve">: </w:t>
      </w:r>
      <w:r w:rsidRPr="00D868AB">
        <w:rPr>
          <w:rFonts w:eastAsia="Times New Roman" w:cs="Arial"/>
        </w:rPr>
        <w:t>La Secretaría de Planeación, Finanzas y Administración.</w:t>
      </w:r>
    </w:p>
    <w:p w14:paraId="2E70DDCC"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 xml:space="preserve">Secretario. </w:t>
      </w:r>
      <w:r w:rsidRPr="00D868AB">
        <w:rPr>
          <w:rFonts w:eastAsia="Times New Roman" w:cs="Arial"/>
        </w:rPr>
        <w:t>A la persona titular de la Secretaría de Planeación, Finanzas y Administración.</w:t>
      </w:r>
    </w:p>
    <w:p w14:paraId="3AF9B313"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Subsidios</w:t>
      </w:r>
      <w:r w:rsidRPr="00D868AB">
        <w:rPr>
          <w:rFonts w:eastAsia="Times New Roman" w:cs="Arial"/>
        </w:rPr>
        <w:t xml:space="preserve">: Las asignaciones de recursos públicos previstas en el Presupuesto de Egresos que, a través de las Dependencias de la Administración Pública </w:t>
      </w:r>
      <w:r w:rsidRPr="00D868AB">
        <w:rPr>
          <w:rFonts w:eastAsia="Times New Roman" w:cs="Arial"/>
        </w:rPr>
        <w:lastRenderedPageBreak/>
        <w:t>Centralizada, Entidades de la Administración Pública Paraestatal y Órganos Autónomos del Estado, se otorgan a los diferentes sectores de la sociedad o a organizaciones públicas y privadas para fomentar el desarrollo de actividades sociales o económicas prioritarias y de interés general.</w:t>
      </w:r>
    </w:p>
    <w:p w14:paraId="1857C32F"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Titular del Poder Ejecutivo</w:t>
      </w:r>
      <w:r w:rsidRPr="00D868AB">
        <w:rPr>
          <w:rFonts w:eastAsia="Times New Roman" w:cs="Arial"/>
        </w:rPr>
        <w:t>: El Gobernador (a) Constitucional del Estado Libre y Soberano de Colima.</w:t>
      </w:r>
    </w:p>
    <w:p w14:paraId="79E7AF66"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Transferencias</w:t>
      </w:r>
      <w:r w:rsidRPr="00D868AB">
        <w:rPr>
          <w:rFonts w:eastAsia="Times New Roman" w:cs="Arial"/>
        </w:rPr>
        <w:t>: los recursos públicos previstos en el Presupuesto de Egresos para el cumplimiento de los objetivos y metas de los programas y la prestación de los bienes y servicios a cargo de los Entes Públicos.</w:t>
      </w:r>
    </w:p>
    <w:p w14:paraId="4840C747" w14:textId="77777777" w:rsidR="00D868AB" w:rsidRPr="00D868AB" w:rsidRDefault="00D868AB" w:rsidP="00D868AB">
      <w:pPr>
        <w:numPr>
          <w:ilvl w:val="0"/>
          <w:numId w:val="5"/>
        </w:numPr>
        <w:ind w:left="851" w:hanging="851"/>
        <w:contextualSpacing/>
        <w:rPr>
          <w:rFonts w:eastAsia="Times New Roman" w:cs="Arial"/>
          <w:strike/>
        </w:rPr>
      </w:pPr>
      <w:r w:rsidRPr="00D868AB">
        <w:rPr>
          <w:rFonts w:eastAsia="Times New Roman" w:cs="Arial"/>
          <w:b/>
        </w:rPr>
        <w:t>Transferencias Federales Etiquetadas</w:t>
      </w:r>
      <w:r w:rsidRPr="00D868AB">
        <w:rPr>
          <w:rFonts w:eastAsia="Times New Roman" w:cs="Arial"/>
        </w:rPr>
        <w:t xml:space="preserve">: Los recursos que reciben de la Federación el Gobierno del Estado y los Municipios, que están destinados a un fin específico, entre los cuales se encuentran las aportaciones federales a que se refiere el Capítulo V de la Ley de Coordinación Fiscal, la Cuota Social y la Aportación Solidaria Federal previstas en el Título Tercero Bis de la Ley General de Salud, los Subsidios, Convenios de Reasignación y demás recursos con destino específico que se otorguen en términos de la Ley Federal de Presupuesto y Responsabilidad Hacendaria y el Presupuesto de Egresos de la Federación. </w:t>
      </w:r>
    </w:p>
    <w:p w14:paraId="7829C5EE" w14:textId="77777777" w:rsidR="00D868AB" w:rsidRPr="00D868AB" w:rsidRDefault="00D868AB" w:rsidP="00D868AB">
      <w:pPr>
        <w:numPr>
          <w:ilvl w:val="0"/>
          <w:numId w:val="5"/>
        </w:numPr>
        <w:ind w:left="851" w:hanging="851"/>
        <w:contextualSpacing/>
        <w:rPr>
          <w:rFonts w:eastAsia="Times New Roman" w:cs="Arial"/>
        </w:rPr>
      </w:pPr>
      <w:r w:rsidRPr="00D868AB">
        <w:rPr>
          <w:rFonts w:eastAsia="Times New Roman" w:cs="Arial"/>
          <w:b/>
        </w:rPr>
        <w:t>Unidad Presupuestal</w:t>
      </w:r>
      <w:r w:rsidRPr="00D868AB">
        <w:rPr>
          <w:rFonts w:eastAsia="Times New Roman" w:cs="Arial"/>
        </w:rPr>
        <w:t>: Las Dependencias de la Administración Pública Centralizada, Entidades de la Administración Pública Paraestatal y Órganos Autónomos del Estado que tiene a su cargo la administración de los recursos financieros, humanos, materiales y los servicios generales y sociales, a fin de cumplir con eficacia y eficiencia la misión que le ha sido conferida en las disposiciones legales y reglamentarias</w:t>
      </w:r>
    </w:p>
    <w:p w14:paraId="759B452D" w14:textId="77777777" w:rsidR="00D868AB" w:rsidRPr="00D868AB" w:rsidRDefault="00D868AB" w:rsidP="00D868AB">
      <w:pPr>
        <w:numPr>
          <w:ilvl w:val="0"/>
          <w:numId w:val="5"/>
        </w:numPr>
        <w:ind w:left="851" w:hanging="851"/>
        <w:contextualSpacing/>
        <w:rPr>
          <w:rFonts w:cs="Arial"/>
          <w:lang w:val="es-ES"/>
        </w:rPr>
      </w:pPr>
      <w:r w:rsidRPr="00D868AB">
        <w:rPr>
          <w:rFonts w:eastAsia="Times New Roman" w:cs="Arial"/>
          <w:b/>
        </w:rPr>
        <w:t>Unidad Responsable</w:t>
      </w:r>
      <w:r w:rsidRPr="00D868AB">
        <w:rPr>
          <w:rFonts w:eastAsia="Times New Roman" w:cs="Arial"/>
        </w:rPr>
        <w:t>: Cada una de las Unidades Administrativas subordinadas a las Unidades Presupuestales, en las que se desconcentran parte del ejercicio presupuestal y se les encomienda la ejecución de actividades, programas y proyectos para el cumplimiento de los objetivos, y metas establecidos en el Plan Estatal de Desarrollo.</w:t>
      </w:r>
    </w:p>
    <w:p w14:paraId="60B9CA27" w14:textId="77777777" w:rsidR="00D868AB" w:rsidRPr="00D868AB" w:rsidRDefault="00D868AB" w:rsidP="00D868AB">
      <w:pPr>
        <w:numPr>
          <w:ilvl w:val="0"/>
          <w:numId w:val="5"/>
        </w:numPr>
        <w:ind w:left="851" w:hanging="851"/>
        <w:contextualSpacing/>
        <w:rPr>
          <w:rFonts w:cs="Arial"/>
          <w:lang w:val="es-ES"/>
        </w:rPr>
      </w:pPr>
      <w:r w:rsidRPr="00D868AB">
        <w:rPr>
          <w:rFonts w:cs="Arial"/>
          <w:lang w:val="es-ES"/>
        </w:rPr>
        <w:t xml:space="preserve">Cualquier otro término no contemplado en el presente artículo, se deberá entender conforme al glosario de la Ley General de Contabilidad, Ley de Disciplina Financiera, </w:t>
      </w:r>
      <w:r w:rsidRPr="00D868AB">
        <w:rPr>
          <w:rFonts w:cs="Arial"/>
        </w:rPr>
        <w:t>Ley de Presupuesto</w:t>
      </w:r>
      <w:r w:rsidRPr="00D868AB">
        <w:rPr>
          <w:rFonts w:cs="Arial"/>
          <w:lang w:val="es-ES"/>
        </w:rPr>
        <w:t>, y las demás leyes de la materia.</w:t>
      </w:r>
    </w:p>
    <w:p w14:paraId="528D2F48" w14:textId="77777777" w:rsidR="00D868AB" w:rsidRPr="00D868AB" w:rsidRDefault="00D868AB" w:rsidP="00D868AB">
      <w:pPr>
        <w:tabs>
          <w:tab w:val="left" w:pos="993"/>
        </w:tabs>
        <w:rPr>
          <w:rFonts w:cs="Arial"/>
          <w:lang w:val="es-ES"/>
        </w:rPr>
      </w:pPr>
    </w:p>
    <w:p w14:paraId="0D5BB354" w14:textId="77777777" w:rsidR="00D868AB" w:rsidRPr="00D868AB" w:rsidRDefault="00D868AB" w:rsidP="00D868AB">
      <w:pPr>
        <w:rPr>
          <w:rFonts w:cs="Arial"/>
          <w:lang w:val="es-ES"/>
        </w:rPr>
      </w:pPr>
      <w:r w:rsidRPr="00D868AB">
        <w:rPr>
          <w:rFonts w:cs="Arial"/>
          <w:b/>
          <w:lang w:val="es-ES"/>
        </w:rPr>
        <w:t>Artículo 3.</w:t>
      </w:r>
      <w:r w:rsidRPr="00D868AB">
        <w:rPr>
          <w:rFonts w:cs="Arial"/>
          <w:lang w:val="es-ES"/>
        </w:rPr>
        <w:t xml:space="preserve"> En la celebración y suscripción de Convenios o Acuerdos en los que se comprometa el patrimonio económico, o el erario del Estado, será obligatoria la intervención de la Secretaría. </w:t>
      </w:r>
    </w:p>
    <w:p w14:paraId="11FB4CA6" w14:textId="77777777" w:rsidR="00D868AB" w:rsidRPr="00D868AB" w:rsidRDefault="00D868AB" w:rsidP="00D868AB">
      <w:pPr>
        <w:rPr>
          <w:rFonts w:cs="Arial"/>
          <w:lang w:val="es-ES"/>
        </w:rPr>
      </w:pPr>
    </w:p>
    <w:p w14:paraId="70B83972" w14:textId="77777777" w:rsidR="00D868AB" w:rsidRPr="00D868AB" w:rsidRDefault="00D868AB" w:rsidP="00D868AB">
      <w:pPr>
        <w:rPr>
          <w:rFonts w:cs="Arial"/>
          <w:lang w:val="es-ES"/>
        </w:rPr>
      </w:pPr>
      <w:r w:rsidRPr="00D868AB">
        <w:rPr>
          <w:rFonts w:cs="Arial"/>
          <w:lang w:val="es-ES"/>
        </w:rPr>
        <w:t>Los titulares de Administración Pública Centralizada y de la Administración Pública Paraestatal deberán precisar las fuentes de financiamiento de los recursos que sustentarán dichos Convenios o Acuerdos y deberán darlas a conocer con oportunidad a la Secretaría.</w:t>
      </w:r>
    </w:p>
    <w:p w14:paraId="6680ACA5" w14:textId="77777777" w:rsidR="00D868AB" w:rsidRPr="00D868AB" w:rsidRDefault="00D868AB" w:rsidP="00D868AB">
      <w:pPr>
        <w:rPr>
          <w:rFonts w:cs="Arial"/>
          <w:lang w:val="es-ES"/>
        </w:rPr>
      </w:pPr>
    </w:p>
    <w:p w14:paraId="716C14DF" w14:textId="77777777" w:rsidR="00D868AB" w:rsidRPr="00D868AB" w:rsidRDefault="00D868AB" w:rsidP="00D868AB">
      <w:pPr>
        <w:rPr>
          <w:rFonts w:cs="Arial"/>
          <w:lang w:val="es-ES"/>
        </w:rPr>
      </w:pPr>
      <w:r w:rsidRPr="00D868AB">
        <w:rPr>
          <w:rFonts w:cs="Arial"/>
          <w:lang w:val="es-ES"/>
        </w:rPr>
        <w:lastRenderedPageBreak/>
        <w:t xml:space="preserve">Asimismo, deberán informar oportunamente a la Secretaría, la celebración de convenios, contratos o cualquier otro instrumento jurídico, mediante los cuales se comprometan recursos públicos. </w:t>
      </w:r>
    </w:p>
    <w:p w14:paraId="5A69B488" w14:textId="77777777" w:rsidR="00D868AB" w:rsidRPr="00D868AB" w:rsidRDefault="00D868AB" w:rsidP="00D868AB">
      <w:pPr>
        <w:rPr>
          <w:rFonts w:cs="Arial"/>
          <w:lang w:val="es-ES"/>
        </w:rPr>
      </w:pPr>
    </w:p>
    <w:p w14:paraId="243FB99F" w14:textId="77777777" w:rsidR="00D868AB" w:rsidRPr="00D868AB" w:rsidRDefault="00D868AB" w:rsidP="00D868AB">
      <w:pPr>
        <w:rPr>
          <w:rFonts w:cs="Arial"/>
          <w:lang w:val="es-ES"/>
        </w:rPr>
      </w:pPr>
      <w:r w:rsidRPr="00D868AB">
        <w:rPr>
          <w:rFonts w:cs="Arial"/>
          <w:lang w:val="es-ES"/>
        </w:rPr>
        <w:t>Los compromisos contraídos por la Administración Pública Centralizada y la Administración Pública Paraestatal, se pagarán con cargo al Presupuesto de Egresos del Estado para el Ejercicio Fiscal 2023, siempre que en éste se haya previsto la suficiencia presupuestaria.</w:t>
      </w:r>
    </w:p>
    <w:p w14:paraId="3BC0D809" w14:textId="77777777" w:rsidR="00D868AB" w:rsidRPr="00D868AB" w:rsidRDefault="00D868AB" w:rsidP="00D868AB">
      <w:pPr>
        <w:rPr>
          <w:rFonts w:cs="Arial"/>
          <w:lang w:val="es-ES"/>
        </w:rPr>
      </w:pPr>
    </w:p>
    <w:p w14:paraId="702CB1D9" w14:textId="77777777" w:rsidR="00D868AB" w:rsidRPr="00D868AB" w:rsidRDefault="00D868AB" w:rsidP="00D868AB">
      <w:pPr>
        <w:rPr>
          <w:rFonts w:cs="Arial"/>
          <w:lang w:val="es-ES"/>
        </w:rPr>
      </w:pPr>
      <w:r w:rsidRPr="00D868AB">
        <w:rPr>
          <w:rFonts w:cs="Arial"/>
          <w:b/>
          <w:lang w:val="es-ES"/>
        </w:rPr>
        <w:t>Artículo 4.</w:t>
      </w:r>
      <w:r w:rsidRPr="00D868AB">
        <w:rPr>
          <w:rFonts w:cs="Arial"/>
          <w:lang w:val="es-ES"/>
        </w:rPr>
        <w:t xml:space="preserve">  Los Titulares de los Entes Públicos, en el ejercicio de sus presupuestos aprobados, sin menoscabo de las responsabilidades y atribuciones que les correspondan, serán directamente responsables de lo siguiente:</w:t>
      </w:r>
    </w:p>
    <w:p w14:paraId="7DAFD733" w14:textId="77777777" w:rsidR="00D868AB" w:rsidRPr="00D868AB" w:rsidRDefault="00D868AB" w:rsidP="00D868AB">
      <w:pPr>
        <w:numPr>
          <w:ilvl w:val="0"/>
          <w:numId w:val="19"/>
        </w:numPr>
        <w:contextualSpacing/>
        <w:rPr>
          <w:rFonts w:cs="Arial"/>
          <w:lang w:val="es-ES"/>
        </w:rPr>
      </w:pPr>
      <w:r w:rsidRPr="00D868AB">
        <w:rPr>
          <w:rFonts w:cs="Arial"/>
          <w:lang w:val="es-ES"/>
        </w:rPr>
        <w:t xml:space="preserve">El ejercicio del presupuesto se apegará a los principios de eficiencia, eficacia, economía, transparencia y honradez para satisfacer los objetivos a los que están destinados, </w:t>
      </w:r>
      <w:r w:rsidRPr="00D868AB">
        <w:rPr>
          <w:rFonts w:eastAsia="Times New Roman" w:cs="Arial"/>
        </w:rPr>
        <w:t xml:space="preserve">en apego a lo previsto en los artículos 134 de la Constitución Política de los Estados Unidos Mexicanos, 108 de la Constitución Política del Estado Libre y Soberano de Colima, y en lo dispuesto por la Ley de Disciplina Financiera, </w:t>
      </w:r>
      <w:r w:rsidRPr="00D868AB">
        <w:rPr>
          <w:rFonts w:cs="Arial"/>
          <w:lang w:val="es-ES"/>
        </w:rPr>
        <w:t>con base en lo siguiente:</w:t>
      </w:r>
    </w:p>
    <w:p w14:paraId="5DDFCC04" w14:textId="77777777" w:rsidR="00D868AB" w:rsidRPr="00D868AB" w:rsidRDefault="00D868AB" w:rsidP="00D868AB">
      <w:pPr>
        <w:ind w:left="720"/>
        <w:contextualSpacing/>
        <w:rPr>
          <w:rFonts w:cs="Arial"/>
          <w:lang w:val="es-ES"/>
        </w:rPr>
      </w:pPr>
    </w:p>
    <w:p w14:paraId="6DA2A578" w14:textId="77777777" w:rsidR="00D868AB" w:rsidRPr="00D868AB" w:rsidRDefault="00D868AB" w:rsidP="00D868AB">
      <w:pPr>
        <w:numPr>
          <w:ilvl w:val="0"/>
          <w:numId w:val="20"/>
        </w:numPr>
        <w:ind w:left="1134"/>
        <w:contextualSpacing/>
        <w:rPr>
          <w:rFonts w:cs="Arial"/>
          <w:lang w:val="es-ES"/>
        </w:rPr>
      </w:pPr>
      <w:r w:rsidRPr="00D868AB">
        <w:rPr>
          <w:rFonts w:cs="Arial"/>
          <w:lang w:val="es-ES"/>
        </w:rPr>
        <w:t>Priorizar la asignación de los recursos a los programas, obras y acciones de alto impacto y beneficio social que incidan en el desarrollo económico y social.</w:t>
      </w:r>
    </w:p>
    <w:p w14:paraId="13B2DBA4" w14:textId="77777777" w:rsidR="00D868AB" w:rsidRPr="00D868AB" w:rsidRDefault="00D868AB" w:rsidP="00D868AB">
      <w:pPr>
        <w:numPr>
          <w:ilvl w:val="0"/>
          <w:numId w:val="20"/>
        </w:numPr>
        <w:ind w:left="1134"/>
        <w:contextualSpacing/>
        <w:rPr>
          <w:rFonts w:cs="Arial"/>
          <w:lang w:val="es-ES"/>
        </w:rPr>
      </w:pPr>
      <w:r w:rsidRPr="00D868AB">
        <w:rPr>
          <w:rFonts w:cs="Arial"/>
          <w:lang w:val="es-ES"/>
        </w:rPr>
        <w:t>Garantizar la elevación de los niveles de calidad de vida de la población.</w:t>
      </w:r>
    </w:p>
    <w:p w14:paraId="4FA0DD8C" w14:textId="77777777" w:rsidR="00D868AB" w:rsidRPr="00D868AB" w:rsidRDefault="00D868AB" w:rsidP="00D868AB">
      <w:pPr>
        <w:numPr>
          <w:ilvl w:val="0"/>
          <w:numId w:val="20"/>
        </w:numPr>
        <w:ind w:left="1134"/>
        <w:contextualSpacing/>
        <w:rPr>
          <w:rFonts w:cs="Arial"/>
          <w:lang w:val="es-ES"/>
        </w:rPr>
      </w:pPr>
      <w:r w:rsidRPr="00D868AB">
        <w:rPr>
          <w:rFonts w:cs="Arial"/>
          <w:lang w:val="es-ES"/>
        </w:rPr>
        <w:t>Identificación de la población objetivo, procurando atender a la menor de ingresos.</w:t>
      </w:r>
    </w:p>
    <w:p w14:paraId="69601BD3" w14:textId="77777777" w:rsidR="00D868AB" w:rsidRPr="00D868AB" w:rsidRDefault="00D868AB" w:rsidP="00D868AB">
      <w:pPr>
        <w:numPr>
          <w:ilvl w:val="0"/>
          <w:numId w:val="20"/>
        </w:numPr>
        <w:ind w:left="1134"/>
        <w:contextualSpacing/>
        <w:rPr>
          <w:rFonts w:cs="Arial"/>
          <w:lang w:val="es-ES"/>
        </w:rPr>
      </w:pPr>
      <w:r w:rsidRPr="00D868AB">
        <w:rPr>
          <w:rFonts w:cs="Arial"/>
          <w:lang w:val="es-ES"/>
        </w:rPr>
        <w:t>Consolidar la estructura presupuestaria que facilite la ejecución de los programas.</w:t>
      </w:r>
    </w:p>
    <w:p w14:paraId="271850EF" w14:textId="77777777" w:rsidR="00D868AB" w:rsidRPr="00D868AB" w:rsidRDefault="00D868AB" w:rsidP="00D868AB">
      <w:pPr>
        <w:numPr>
          <w:ilvl w:val="0"/>
          <w:numId w:val="20"/>
        </w:numPr>
        <w:ind w:left="1134"/>
        <w:contextualSpacing/>
        <w:rPr>
          <w:rFonts w:cs="Arial"/>
          <w:lang w:val="es-ES"/>
        </w:rPr>
      </w:pPr>
      <w:r w:rsidRPr="00D868AB">
        <w:rPr>
          <w:rFonts w:cs="Arial"/>
          <w:lang w:val="es-ES"/>
        </w:rPr>
        <w:t>Afianzar un presupuesto basado en resultados.</w:t>
      </w:r>
    </w:p>
    <w:p w14:paraId="6AE5AE26" w14:textId="77777777" w:rsidR="00D868AB" w:rsidRPr="00D868AB" w:rsidRDefault="00D868AB" w:rsidP="00D868AB">
      <w:pPr>
        <w:rPr>
          <w:rFonts w:cs="Arial"/>
          <w:lang w:val="es-ES"/>
        </w:rPr>
      </w:pPr>
    </w:p>
    <w:p w14:paraId="0856D308" w14:textId="77777777" w:rsidR="00D868AB" w:rsidRPr="00D868AB" w:rsidRDefault="00D868AB" w:rsidP="00D868AB">
      <w:pPr>
        <w:numPr>
          <w:ilvl w:val="0"/>
          <w:numId w:val="19"/>
        </w:numPr>
        <w:contextualSpacing/>
        <w:rPr>
          <w:rFonts w:cs="Arial"/>
          <w:lang w:val="es-ES"/>
        </w:rPr>
      </w:pPr>
      <w:r w:rsidRPr="00D868AB">
        <w:rPr>
          <w:rFonts w:cs="Arial"/>
          <w:lang w:val="es-ES"/>
        </w:rPr>
        <w:t xml:space="preserve">En la ejecución del gasto público deberán considerar como único eje articulador el Plan Estatal, en apego a lo previsto en el artículo 12 de la Ley de Planeación Democrática para el Desarrollo del Estado de Colima. </w:t>
      </w:r>
    </w:p>
    <w:p w14:paraId="05EA8AB0" w14:textId="77777777" w:rsidR="00D868AB" w:rsidRPr="00D868AB" w:rsidRDefault="00D868AB" w:rsidP="00D868AB">
      <w:pPr>
        <w:rPr>
          <w:rFonts w:eastAsia="Times New Roman" w:cs="Arial"/>
        </w:rPr>
      </w:pPr>
    </w:p>
    <w:p w14:paraId="11D73EEF" w14:textId="77777777" w:rsidR="00D868AB" w:rsidRPr="00D868AB" w:rsidRDefault="00D868AB" w:rsidP="00D868AB">
      <w:pPr>
        <w:rPr>
          <w:rFonts w:cs="Arial"/>
          <w:lang w:val="es-ES"/>
        </w:rPr>
      </w:pPr>
      <w:r w:rsidRPr="00D868AB">
        <w:rPr>
          <w:rFonts w:cs="Arial"/>
          <w:b/>
          <w:lang w:val="es-ES"/>
        </w:rPr>
        <w:t xml:space="preserve">Artículo 5. </w:t>
      </w:r>
      <w:r w:rsidRPr="00D868AB">
        <w:rPr>
          <w:rFonts w:cs="Arial"/>
          <w:lang w:val="es-ES"/>
        </w:rPr>
        <w:t>Toda propuesta de aumento o creación de gasto del Presupuesto de Egresos, deberá acompañarse con la correspondiente fuente de ingresos distinta al Financiamiento, o compensarse con reducciones en otras previsiones de gasto.</w:t>
      </w:r>
    </w:p>
    <w:p w14:paraId="099604C2" w14:textId="77777777" w:rsidR="00D868AB" w:rsidRPr="00D868AB" w:rsidRDefault="00D868AB" w:rsidP="00D868AB">
      <w:pPr>
        <w:rPr>
          <w:rFonts w:cs="Arial"/>
          <w:lang w:val="es-ES"/>
        </w:rPr>
      </w:pPr>
    </w:p>
    <w:p w14:paraId="5B414737" w14:textId="77777777" w:rsidR="00D868AB" w:rsidRPr="00D868AB" w:rsidRDefault="00D868AB" w:rsidP="00D868AB">
      <w:pPr>
        <w:rPr>
          <w:rFonts w:cs="Arial"/>
          <w:lang w:val="es-ES"/>
        </w:rPr>
      </w:pPr>
      <w:r w:rsidRPr="00D868AB">
        <w:rPr>
          <w:rFonts w:cs="Arial"/>
          <w:b/>
          <w:lang w:val="es-ES"/>
        </w:rPr>
        <w:t xml:space="preserve">Artículo 6. </w:t>
      </w:r>
      <w:r w:rsidRPr="00D868AB">
        <w:rPr>
          <w:rFonts w:cs="Arial"/>
          <w:lang w:val="es-ES"/>
        </w:rPr>
        <w:t>La Secretaría realizará una estimación del impacto presupuestario de las iniciativas de Ley o Decreto que la persona Titular del Poder Ejecutivo presente a la consideración del Congreso del Estado, así como aquellas que el Congreso del Estado le solicite. Asimismo, realizar estimaciones sobre el impacto presupuestario de las disposiciones administrativas que impliquen costos para su implementación.</w:t>
      </w:r>
    </w:p>
    <w:p w14:paraId="7255E06B" w14:textId="77777777" w:rsidR="00D868AB" w:rsidRPr="00D868AB" w:rsidRDefault="00D868AB" w:rsidP="00D868AB">
      <w:pPr>
        <w:rPr>
          <w:rFonts w:cs="Arial"/>
          <w:color w:val="FF0000"/>
          <w:highlight w:val="yellow"/>
          <w:lang w:val="es-ES"/>
        </w:rPr>
      </w:pPr>
    </w:p>
    <w:p w14:paraId="638F6819" w14:textId="77777777" w:rsidR="00D868AB" w:rsidRPr="00D868AB" w:rsidRDefault="00D868AB" w:rsidP="00D868AB">
      <w:pPr>
        <w:rPr>
          <w:rFonts w:cs="Arial"/>
          <w:lang w:val="es-ES"/>
        </w:rPr>
      </w:pPr>
      <w:r w:rsidRPr="00D868AB">
        <w:rPr>
          <w:rFonts w:cs="Arial"/>
          <w:b/>
          <w:lang w:val="es-ES"/>
        </w:rPr>
        <w:t xml:space="preserve">Artículo 7. </w:t>
      </w:r>
      <w:r w:rsidRPr="00D868AB">
        <w:rPr>
          <w:rFonts w:cs="Arial"/>
          <w:lang w:val="es-ES"/>
        </w:rPr>
        <w:t>En caso de que el Congreso del Estado modifique la Ley de Ingresos del Estado de Colima para el Ejercicio Fiscal 2023 y el Presupuesto de Egresos del Estado de Colima para el Ejercicio Fiscal 2023 de tal manera que genere un Balance Presupuestario de recursos disponibles negativo, deberá motivar su decisión sujetándose a lo dispuesto en el artículo 6 fracciones I y II de la Ley de Disciplina Financiera.</w:t>
      </w:r>
    </w:p>
    <w:p w14:paraId="0F997169" w14:textId="77777777" w:rsidR="00D868AB" w:rsidRPr="00D868AB" w:rsidRDefault="00D868AB" w:rsidP="00D868AB">
      <w:pPr>
        <w:rPr>
          <w:rFonts w:cs="Arial"/>
          <w:lang w:val="es-ES"/>
        </w:rPr>
      </w:pPr>
    </w:p>
    <w:p w14:paraId="0CA072F5" w14:textId="77777777" w:rsidR="00D868AB" w:rsidRPr="00D868AB" w:rsidRDefault="00D868AB" w:rsidP="00D868AB">
      <w:pPr>
        <w:rPr>
          <w:rFonts w:cs="Arial"/>
          <w:lang w:val="es-ES"/>
        </w:rPr>
      </w:pPr>
      <w:r w:rsidRPr="00D868AB">
        <w:rPr>
          <w:rFonts w:cs="Arial"/>
          <w:b/>
          <w:lang w:val="es-ES"/>
        </w:rPr>
        <w:t>Artículo 8</w:t>
      </w:r>
      <w:r w:rsidRPr="00D868AB">
        <w:rPr>
          <w:rFonts w:cs="Arial"/>
          <w:lang w:val="es-ES"/>
        </w:rPr>
        <w:t xml:space="preserve">. La Secretaría garantizará que toda la información presupuestaria y de ingresos cumpla con lo previsto en la </w:t>
      </w:r>
      <w:r w:rsidRPr="00D868AB">
        <w:rPr>
          <w:rFonts w:cs="Arial"/>
        </w:rPr>
        <w:t>Ley de Presupuesto</w:t>
      </w:r>
      <w:r w:rsidRPr="00D868AB">
        <w:rPr>
          <w:rFonts w:cs="Arial"/>
          <w:lang w:val="es-ES"/>
        </w:rPr>
        <w:t>, en la Ley General de Contabilidad y en la Ley de Disciplina Financiera.</w:t>
      </w:r>
    </w:p>
    <w:p w14:paraId="0266E21F" w14:textId="77777777" w:rsidR="00D868AB" w:rsidRPr="00D868AB" w:rsidRDefault="00D868AB" w:rsidP="00D868AB">
      <w:pPr>
        <w:rPr>
          <w:rFonts w:cs="Arial"/>
          <w:lang w:val="es-ES"/>
        </w:rPr>
      </w:pPr>
    </w:p>
    <w:p w14:paraId="3FFD6CD2" w14:textId="77777777" w:rsidR="00D868AB" w:rsidRPr="00D868AB" w:rsidRDefault="00D868AB" w:rsidP="00D868AB">
      <w:pPr>
        <w:rPr>
          <w:rFonts w:cs="Arial"/>
          <w:lang w:val="es-ES"/>
        </w:rPr>
      </w:pPr>
      <w:r w:rsidRPr="00D868AB">
        <w:rPr>
          <w:rFonts w:cs="Arial"/>
          <w:lang w:val="es-ES"/>
        </w:rPr>
        <w:t>Todas las asignaciones presupuestarias del presente Decreto y de documentos de la materia deberán cumplir con lo dispuesto por la Ley de Transparencia y Acceso a la Información Pública del Estado de Colima.</w:t>
      </w:r>
    </w:p>
    <w:p w14:paraId="7844788C" w14:textId="77777777" w:rsidR="00D868AB" w:rsidRPr="00D868AB" w:rsidRDefault="00D868AB" w:rsidP="00D868AB">
      <w:pPr>
        <w:rPr>
          <w:rFonts w:cs="Arial"/>
          <w:lang w:val="es-ES"/>
        </w:rPr>
      </w:pPr>
    </w:p>
    <w:p w14:paraId="75D195E8" w14:textId="77777777" w:rsidR="00D868AB" w:rsidRPr="00D868AB" w:rsidRDefault="00D868AB" w:rsidP="00D868AB">
      <w:pPr>
        <w:rPr>
          <w:rFonts w:cs="Arial"/>
          <w:lang w:val="es-ES"/>
        </w:rPr>
      </w:pPr>
      <w:r w:rsidRPr="00D868AB">
        <w:rPr>
          <w:rFonts w:cs="Arial"/>
          <w:b/>
          <w:lang w:val="es-ES"/>
        </w:rPr>
        <w:t>Artículo 9</w:t>
      </w:r>
      <w:r w:rsidRPr="00D868AB">
        <w:rPr>
          <w:rFonts w:cs="Arial"/>
          <w:lang w:val="es-ES"/>
        </w:rPr>
        <w:t>. La Secretaría reportará en los informes trimestrales la información señalada en la Ley General de Contabilidad, Ley de Disciplina Financiera, Ley de Presupuesto y la Ley Fiscalización Superior y Rendición de Cuentas del Estado.</w:t>
      </w:r>
    </w:p>
    <w:p w14:paraId="0470D9A6" w14:textId="77777777" w:rsidR="00D868AB" w:rsidRPr="00D868AB" w:rsidRDefault="00D868AB" w:rsidP="00D868AB">
      <w:pPr>
        <w:rPr>
          <w:rFonts w:cs="Arial"/>
          <w:lang w:val="es-ES"/>
        </w:rPr>
      </w:pPr>
    </w:p>
    <w:p w14:paraId="785A6C39" w14:textId="77777777" w:rsidR="00D868AB" w:rsidRPr="00D868AB" w:rsidRDefault="00D868AB" w:rsidP="00D868AB">
      <w:pPr>
        <w:jc w:val="center"/>
        <w:rPr>
          <w:rFonts w:eastAsia="Times New Roman" w:cs="Arial"/>
          <w:b/>
          <w:lang w:val="es-ES"/>
        </w:rPr>
      </w:pPr>
      <w:r w:rsidRPr="00D868AB">
        <w:rPr>
          <w:rFonts w:eastAsia="Times New Roman" w:cs="Arial"/>
          <w:b/>
          <w:lang w:val="es-ES"/>
        </w:rPr>
        <w:t>CAPÍTULO II</w:t>
      </w:r>
    </w:p>
    <w:p w14:paraId="3FF6CC61" w14:textId="77777777" w:rsidR="00D868AB" w:rsidRPr="00D868AB" w:rsidRDefault="00D868AB" w:rsidP="00D868AB">
      <w:pPr>
        <w:keepNext/>
        <w:keepLines/>
        <w:jc w:val="center"/>
        <w:outlineLvl w:val="0"/>
        <w:rPr>
          <w:rFonts w:cs="Arial"/>
          <w:lang w:val="es-ES"/>
        </w:rPr>
      </w:pPr>
      <w:r w:rsidRPr="00D868AB">
        <w:rPr>
          <w:rFonts w:eastAsia="Times New Roman" w:cs="Arial"/>
          <w:b/>
          <w:lang w:val="es-ES"/>
        </w:rPr>
        <w:t>DE LAS EROGACIONES</w:t>
      </w:r>
    </w:p>
    <w:p w14:paraId="7A0B80DF" w14:textId="77777777" w:rsidR="00D868AB" w:rsidRPr="00D868AB" w:rsidRDefault="00D868AB" w:rsidP="00D868AB">
      <w:pPr>
        <w:rPr>
          <w:rFonts w:cs="Arial"/>
          <w:lang w:val="es-ES"/>
        </w:rPr>
      </w:pPr>
    </w:p>
    <w:p w14:paraId="265BF0D6" w14:textId="41678CFF" w:rsidR="00D868AB" w:rsidRPr="00D868AB" w:rsidRDefault="00D868AB" w:rsidP="00D868AB">
      <w:pPr>
        <w:rPr>
          <w:rFonts w:cs="Arial"/>
          <w:lang w:val="es-ES"/>
        </w:rPr>
      </w:pPr>
      <w:r w:rsidRPr="00D868AB">
        <w:rPr>
          <w:rFonts w:cs="Arial"/>
          <w:b/>
          <w:lang w:val="es-ES"/>
        </w:rPr>
        <w:t>Artículo 10</w:t>
      </w:r>
      <w:r w:rsidRPr="00D868AB">
        <w:rPr>
          <w:rFonts w:cs="Arial"/>
          <w:lang w:val="es-ES"/>
        </w:rPr>
        <w:t xml:space="preserve">. El </w:t>
      </w:r>
      <w:r w:rsidRPr="00D868AB">
        <w:rPr>
          <w:rFonts w:cs="Arial"/>
          <w:b/>
          <w:bCs/>
          <w:lang w:val="es-ES"/>
        </w:rPr>
        <w:t>gasto total</w:t>
      </w:r>
      <w:r w:rsidRPr="00D868AB">
        <w:rPr>
          <w:rFonts w:cs="Arial"/>
          <w:lang w:val="es-ES"/>
        </w:rPr>
        <w:t xml:space="preserve"> del Presupuesto de Egresos del Estado de Colima, para el Ejercicio Fiscal 2023, asciende a la cantidad de </w:t>
      </w:r>
      <w:r w:rsidRPr="00D868AB">
        <w:rPr>
          <w:rFonts w:cs="Arial"/>
          <w:b/>
          <w:lang w:val="es-ES"/>
        </w:rPr>
        <w:t xml:space="preserve">$20,555,300,000.00 </w:t>
      </w:r>
      <w:r w:rsidRPr="00D868AB">
        <w:rPr>
          <w:rFonts w:cs="Arial"/>
          <w:lang w:val="es-ES"/>
        </w:rPr>
        <w:t>(Veinte mil quinientos cincuenta y cinco millones trescientos mil pesos);</w:t>
      </w:r>
      <w:r w:rsidRPr="00D868AB">
        <w:rPr>
          <w:rFonts w:cs="Arial"/>
          <w:b/>
          <w:bCs/>
          <w:lang w:val="es-ES"/>
        </w:rPr>
        <w:t xml:space="preserve"> </w:t>
      </w:r>
      <w:r w:rsidRPr="00D868AB">
        <w:rPr>
          <w:rFonts w:cs="Arial"/>
          <w:lang w:val="es-ES"/>
        </w:rPr>
        <w:t xml:space="preserve">de los </w:t>
      </w:r>
      <w:r w:rsidRPr="00EC3AEA">
        <w:rPr>
          <w:rFonts w:cs="Arial"/>
          <w:lang w:val="es-ES"/>
        </w:rPr>
        <w:t xml:space="preserve">cuales </w:t>
      </w:r>
      <w:r w:rsidRPr="00EC3AEA">
        <w:rPr>
          <w:rFonts w:cs="Arial"/>
          <w:b/>
          <w:lang w:val="es-ES"/>
        </w:rPr>
        <w:t xml:space="preserve">$9,500,677,932.00 </w:t>
      </w:r>
      <w:r w:rsidRPr="00EC3AEA">
        <w:rPr>
          <w:rFonts w:cs="Arial"/>
          <w:lang w:val="es-ES"/>
        </w:rPr>
        <w:t>(Nueve mil quinientos millones seiscientos setenta y siete mil novecientos treinta y dos pesos</w:t>
      </w:r>
      <w:r w:rsidRPr="00D868AB">
        <w:rPr>
          <w:rFonts w:cs="Arial"/>
          <w:lang w:val="es-ES"/>
        </w:rPr>
        <w:t xml:space="preserve">) </w:t>
      </w:r>
      <w:r w:rsidRPr="00D868AB">
        <w:rPr>
          <w:rFonts w:eastAsia="Times New Roman" w:cs="Arial"/>
          <w:lang w:val="es-ES" w:eastAsia="es-ES"/>
        </w:rPr>
        <w:t xml:space="preserve">corresponden a </w:t>
      </w:r>
      <w:r w:rsidRPr="00D868AB">
        <w:rPr>
          <w:rFonts w:eastAsia="Times New Roman" w:cs="Arial"/>
          <w:b/>
          <w:lang w:val="es-ES" w:eastAsia="es-ES"/>
        </w:rPr>
        <w:t>Ingresos de Libre Disposición</w:t>
      </w:r>
      <w:r w:rsidRPr="00D868AB">
        <w:rPr>
          <w:rFonts w:eastAsia="Times New Roman" w:cs="Arial"/>
          <w:lang w:val="es-ES" w:eastAsia="es-ES"/>
        </w:rPr>
        <w:t xml:space="preserve"> (incluye participaciones a municipios), y financiaran el Gasto No Etiquetado; y </w:t>
      </w:r>
      <w:r w:rsidRPr="00D868AB">
        <w:rPr>
          <w:rFonts w:eastAsia="Times New Roman" w:cs="Arial"/>
          <w:b/>
          <w:bCs/>
          <w:lang w:val="es-ES" w:eastAsia="es-ES"/>
        </w:rPr>
        <w:t>$10,861,718,232.00</w:t>
      </w:r>
      <w:r w:rsidRPr="00D868AB">
        <w:rPr>
          <w:rFonts w:eastAsia="Times New Roman" w:cs="Arial"/>
          <w:lang w:val="es-ES" w:eastAsia="es-ES"/>
        </w:rPr>
        <w:t xml:space="preserve"> (Diez mil ochocientos sesenta y un millones setecientos dieciocho mil doscientos treinta y dos pesos) de </w:t>
      </w:r>
      <w:r w:rsidRPr="00EC3AEA">
        <w:rPr>
          <w:rFonts w:eastAsia="Times New Roman" w:cs="Arial"/>
          <w:b/>
          <w:lang w:val="es-ES" w:eastAsia="es-ES"/>
        </w:rPr>
        <w:t xml:space="preserve">transferencias federales etiquetadas, </w:t>
      </w:r>
      <w:r w:rsidRPr="00EC3AEA">
        <w:rPr>
          <w:rFonts w:eastAsia="Times New Roman" w:cs="Arial"/>
          <w:lang w:val="es-ES" w:eastAsia="es-ES"/>
        </w:rPr>
        <w:t xml:space="preserve">y financiaran el Gasto Etiquetado. Así como </w:t>
      </w:r>
      <w:r w:rsidRPr="00EC3AEA">
        <w:rPr>
          <w:rFonts w:eastAsia="Times New Roman" w:cs="Arial"/>
          <w:b/>
          <w:bCs/>
          <w:lang w:val="es-ES" w:eastAsia="es-ES"/>
        </w:rPr>
        <w:t>$192,903,836.00</w:t>
      </w:r>
      <w:r w:rsidRPr="00EC3AEA">
        <w:rPr>
          <w:rFonts w:eastAsia="Times New Roman" w:cs="Arial"/>
          <w:lang w:val="es-ES" w:eastAsia="es-ES"/>
        </w:rPr>
        <w:t xml:space="preserve"> (Ciento noventa y dos millones novecientos tres mil ochocientos treinta y seis pesos) de </w:t>
      </w:r>
      <w:r w:rsidRPr="00EC3AEA">
        <w:rPr>
          <w:rFonts w:eastAsia="Times New Roman" w:cs="Arial"/>
          <w:b/>
          <w:bCs/>
          <w:lang w:val="es-ES" w:eastAsia="es-ES"/>
        </w:rPr>
        <w:t>Financiamientos</w:t>
      </w:r>
      <w:r w:rsidR="00EC3AEA" w:rsidRPr="00EC3AEA">
        <w:rPr>
          <w:rFonts w:eastAsia="Times New Roman" w:cs="Arial"/>
          <w:lang w:val="es-ES" w:eastAsia="es-ES"/>
        </w:rPr>
        <w:t xml:space="preserve"> </w:t>
      </w:r>
      <w:r w:rsidR="00EC3AEA" w:rsidRPr="00EC3AEA">
        <w:rPr>
          <w:rFonts w:eastAsia="Times New Roman" w:cs="Arial"/>
          <w:b/>
          <w:lang w:val="es-ES" w:eastAsia="es-ES"/>
        </w:rPr>
        <w:t>de Corto Plazo.</w:t>
      </w:r>
      <w:r w:rsidR="00EC3AEA">
        <w:rPr>
          <w:rFonts w:eastAsia="Times New Roman" w:cs="Arial"/>
          <w:lang w:val="es-ES" w:eastAsia="es-ES"/>
        </w:rPr>
        <w:t xml:space="preserve"> </w:t>
      </w:r>
    </w:p>
    <w:p w14:paraId="3033051B" w14:textId="77777777" w:rsidR="00D868AB" w:rsidRPr="00D868AB" w:rsidRDefault="00D868AB" w:rsidP="00D868AB">
      <w:pPr>
        <w:shd w:val="clear" w:color="auto" w:fill="FFFFFF"/>
        <w:rPr>
          <w:rFonts w:eastAsia="Times New Roman" w:cs="Arial"/>
          <w:color w:val="FF0000"/>
          <w:highlight w:val="yellow"/>
          <w:lang w:val="es-ES" w:eastAsia="es-ES"/>
        </w:rPr>
      </w:pPr>
    </w:p>
    <w:p w14:paraId="30579B9A" w14:textId="7FC09981" w:rsidR="00D868AB" w:rsidRPr="00D868AB" w:rsidRDefault="00D868AB" w:rsidP="00D868AB">
      <w:pPr>
        <w:rPr>
          <w:rFonts w:eastAsia="Times New Roman" w:cs="Arial"/>
          <w:lang w:val="es-ES" w:eastAsia="es-ES"/>
        </w:rPr>
      </w:pPr>
      <w:r w:rsidRPr="00D868AB">
        <w:rPr>
          <w:rFonts w:eastAsia="Times New Roman" w:cs="Arial"/>
          <w:lang w:val="es-ES" w:eastAsia="es-ES"/>
        </w:rPr>
        <w:t xml:space="preserve">Una vez </w:t>
      </w:r>
      <w:r w:rsidRPr="00D868AB">
        <w:rPr>
          <w:rFonts w:eastAsia="Times New Roman" w:cs="Arial"/>
          <w:b/>
          <w:lang w:val="es-ES" w:eastAsia="es-ES"/>
        </w:rPr>
        <w:t>descontadas las participaciones a municipios</w:t>
      </w:r>
      <w:r w:rsidRPr="00D868AB">
        <w:rPr>
          <w:rFonts w:eastAsia="Times New Roman" w:cs="Arial"/>
          <w:lang w:val="es-ES" w:eastAsia="es-ES"/>
        </w:rPr>
        <w:t xml:space="preserve">, los </w:t>
      </w:r>
      <w:r w:rsidRPr="00D868AB">
        <w:rPr>
          <w:rFonts w:eastAsia="Times New Roman" w:cs="Arial"/>
          <w:b/>
          <w:lang w:val="es-ES" w:eastAsia="es-ES"/>
        </w:rPr>
        <w:t>Ingresos de Libre Disposición Netos</w:t>
      </w:r>
      <w:r w:rsidRPr="00D868AB">
        <w:rPr>
          <w:rFonts w:eastAsia="Times New Roman" w:cs="Arial"/>
          <w:lang w:val="es-ES" w:eastAsia="es-ES"/>
        </w:rPr>
        <w:t xml:space="preserve"> de los que dispondrá el Gobierno del Estado de Colima para el ejercicio fiscal 2023 ascienden a </w:t>
      </w:r>
      <w:r w:rsidR="00EC3AEA">
        <w:rPr>
          <w:rFonts w:eastAsia="Times New Roman" w:cs="Arial"/>
          <w:b/>
          <w:bCs/>
          <w:lang w:val="es-ES" w:eastAsia="es-ES"/>
        </w:rPr>
        <w:t>$7,454,6</w:t>
      </w:r>
      <w:r w:rsidR="00922EEE">
        <w:rPr>
          <w:rFonts w:eastAsia="Times New Roman" w:cs="Arial"/>
          <w:b/>
          <w:bCs/>
          <w:lang w:val="es-ES" w:eastAsia="es-ES"/>
        </w:rPr>
        <w:t>47,783</w:t>
      </w:r>
      <w:r w:rsidRPr="00D868AB">
        <w:rPr>
          <w:rFonts w:eastAsia="Times New Roman" w:cs="Arial"/>
          <w:b/>
          <w:bCs/>
          <w:lang w:val="es-ES" w:eastAsia="es-ES"/>
        </w:rPr>
        <w:t>.00</w:t>
      </w:r>
      <w:r w:rsidRPr="00D868AB">
        <w:rPr>
          <w:rFonts w:eastAsia="Times New Roman" w:cs="Arial"/>
          <w:lang w:val="es-ES" w:eastAsia="es-ES"/>
        </w:rPr>
        <w:t xml:space="preserve"> </w:t>
      </w:r>
      <w:r w:rsidR="00EC3AEA">
        <w:rPr>
          <w:rFonts w:eastAsia="Times New Roman" w:cs="Arial"/>
          <w:lang w:val="es-ES" w:eastAsia="es-ES"/>
        </w:rPr>
        <w:t xml:space="preserve">(Siete mil cuatrocientos cincuenta y cuatro millones seiscientos </w:t>
      </w:r>
      <w:r w:rsidRPr="00D868AB">
        <w:rPr>
          <w:rFonts w:eastAsia="Times New Roman" w:cs="Arial"/>
          <w:lang w:val="es-ES" w:eastAsia="es-ES"/>
        </w:rPr>
        <w:t xml:space="preserve">cuarenta y siete mil setecientos </w:t>
      </w:r>
      <w:r w:rsidR="00922EEE">
        <w:rPr>
          <w:rFonts w:eastAsia="Times New Roman" w:cs="Arial"/>
          <w:lang w:val="es-ES" w:eastAsia="es-ES"/>
        </w:rPr>
        <w:t xml:space="preserve">ochenta y tres </w:t>
      </w:r>
      <w:r w:rsidRPr="00D868AB">
        <w:rPr>
          <w:rFonts w:eastAsia="Times New Roman" w:cs="Arial"/>
          <w:lang w:val="es-ES" w:eastAsia="es-ES"/>
        </w:rPr>
        <w:t>pesos)</w:t>
      </w:r>
      <w:r w:rsidRPr="00D868AB">
        <w:rPr>
          <w:rFonts w:eastAsia="Times New Roman" w:cs="Arial"/>
          <w:b/>
          <w:lang w:val="es-ES" w:eastAsia="es-ES"/>
        </w:rPr>
        <w:t xml:space="preserve">, </w:t>
      </w:r>
      <w:r w:rsidRPr="00D868AB">
        <w:rPr>
          <w:rFonts w:eastAsia="Times New Roman" w:cs="Arial"/>
          <w:lang w:val="es-ES" w:eastAsia="es-ES"/>
        </w:rPr>
        <w:t>que se componen por ingresos locales, participaciones federales y cualquier otro fondo que no tengan un fin específico definido por Ley.</w:t>
      </w:r>
    </w:p>
    <w:p w14:paraId="2BF91EAA" w14:textId="77777777" w:rsidR="00D868AB" w:rsidRPr="00D868AB" w:rsidRDefault="00D868AB" w:rsidP="00D868AB">
      <w:pPr>
        <w:shd w:val="clear" w:color="auto" w:fill="FFFFFF"/>
        <w:rPr>
          <w:rFonts w:eastAsia="Times New Roman" w:cs="Arial"/>
          <w:lang w:val="es-ES" w:eastAsia="es-ES"/>
        </w:rPr>
      </w:pPr>
    </w:p>
    <w:p w14:paraId="0F1A30AF" w14:textId="77777777" w:rsidR="00D868AB" w:rsidRPr="00D868AB" w:rsidRDefault="00D868AB" w:rsidP="00D868AB">
      <w:pPr>
        <w:shd w:val="clear" w:color="auto" w:fill="FFFFFF"/>
        <w:rPr>
          <w:rFonts w:cs="Arial"/>
          <w:lang w:val="es-ES"/>
        </w:rPr>
      </w:pPr>
      <w:r w:rsidRPr="00D868AB">
        <w:rPr>
          <w:rFonts w:eastAsia="Times New Roman" w:cs="Arial"/>
          <w:lang w:val="es-ES" w:eastAsia="es-ES"/>
        </w:rPr>
        <w:lastRenderedPageBreak/>
        <w:t>El total del gasto c</w:t>
      </w:r>
      <w:r w:rsidRPr="00D868AB">
        <w:rPr>
          <w:rFonts w:cs="Arial"/>
          <w:lang w:val="es-ES"/>
        </w:rPr>
        <w:t xml:space="preserve">orresponde al total de los ingresos estimados en la iniciativa de </w:t>
      </w:r>
      <w:r w:rsidRPr="00D868AB">
        <w:rPr>
          <w:rFonts w:cs="Arial"/>
          <w:b/>
          <w:lang w:val="es-ES"/>
        </w:rPr>
        <w:t>Ley de Ingresos del Estado de Colima para el Ejercicio Fiscal 2023</w:t>
      </w:r>
      <w:r w:rsidRPr="00D868AB">
        <w:rPr>
          <w:rFonts w:cs="Arial"/>
          <w:lang w:val="es-ES"/>
        </w:rPr>
        <w:t>; su asignación se hará de acuerdo a lo estipulado en el presente Decreto.</w:t>
      </w:r>
    </w:p>
    <w:p w14:paraId="7ACA63A4" w14:textId="77777777" w:rsidR="00D868AB" w:rsidRPr="00D868AB" w:rsidRDefault="00D868AB" w:rsidP="00D868AB">
      <w:pPr>
        <w:shd w:val="clear" w:color="auto" w:fill="FFFFFF"/>
        <w:rPr>
          <w:rFonts w:cs="Arial"/>
          <w:lang w:val="es-ES"/>
        </w:rPr>
      </w:pPr>
    </w:p>
    <w:p w14:paraId="415D8204" w14:textId="77777777" w:rsidR="00D868AB" w:rsidRPr="00D868AB" w:rsidRDefault="00D868AB" w:rsidP="00D868AB">
      <w:pPr>
        <w:rPr>
          <w:rFonts w:cs="Arial"/>
          <w:lang w:val="es-ES"/>
        </w:rPr>
      </w:pPr>
      <w:r w:rsidRPr="00D868AB">
        <w:rPr>
          <w:rFonts w:cs="Arial"/>
          <w:b/>
          <w:lang w:val="es-ES"/>
        </w:rPr>
        <w:t>Artículo 11</w:t>
      </w:r>
      <w:r w:rsidRPr="00D868AB">
        <w:rPr>
          <w:rFonts w:cs="Arial"/>
          <w:lang w:val="es-ES"/>
        </w:rPr>
        <w:t xml:space="preserve">. La forma en que se integran los ingresos del Estado, de acuerdo con la </w:t>
      </w:r>
      <w:r w:rsidRPr="00D868AB">
        <w:rPr>
          <w:rFonts w:cs="Arial"/>
          <w:b/>
          <w:lang w:val="es-ES"/>
        </w:rPr>
        <w:t>Clasificación por Fuentes de Financiamiento</w:t>
      </w:r>
      <w:r w:rsidRPr="00D868AB">
        <w:rPr>
          <w:rFonts w:cs="Arial"/>
          <w:lang w:val="es-ES"/>
        </w:rPr>
        <w:t>, es la siguiente:</w:t>
      </w:r>
    </w:p>
    <w:p w14:paraId="3B519B9C" w14:textId="77777777" w:rsidR="00D868AB" w:rsidRPr="00D868AB" w:rsidRDefault="00D868AB" w:rsidP="00D868AB">
      <w:pPr>
        <w:rPr>
          <w:rFonts w:cs="Arial"/>
          <w:lang w:val="es-ES"/>
        </w:rPr>
      </w:pPr>
    </w:p>
    <w:p w14:paraId="44CB8670" w14:textId="77777777" w:rsidR="00D868AB" w:rsidRPr="00D868AB" w:rsidRDefault="00D868AB" w:rsidP="00D868AB">
      <w:pPr>
        <w:keepNext/>
        <w:keepLines/>
        <w:outlineLvl w:val="2"/>
        <w:rPr>
          <w:rFonts w:eastAsia="Times New Roman" w:cs="Arial"/>
          <w:b/>
          <w:szCs w:val="24"/>
          <w:lang w:val="es-ES" w:eastAsia="en-US"/>
        </w:rPr>
      </w:pPr>
    </w:p>
    <w:tbl>
      <w:tblPr>
        <w:tblW w:w="6784" w:type="dxa"/>
        <w:jc w:val="center"/>
        <w:tblCellMar>
          <w:left w:w="70" w:type="dxa"/>
          <w:right w:w="70" w:type="dxa"/>
        </w:tblCellMar>
        <w:tblLook w:val="04A0" w:firstRow="1" w:lastRow="0" w:firstColumn="1" w:lastColumn="0" w:noHBand="0" w:noVBand="1"/>
      </w:tblPr>
      <w:tblGrid>
        <w:gridCol w:w="674"/>
        <w:gridCol w:w="4293"/>
        <w:gridCol w:w="1809"/>
        <w:gridCol w:w="8"/>
      </w:tblGrid>
      <w:tr w:rsidR="00D868AB" w:rsidRPr="00D868AB" w14:paraId="1C9F4637" w14:textId="77777777" w:rsidTr="00A755A7">
        <w:trPr>
          <w:trHeight w:val="20"/>
          <w:tblHeader/>
          <w:jc w:val="center"/>
        </w:trPr>
        <w:tc>
          <w:tcPr>
            <w:tcW w:w="6784" w:type="dxa"/>
            <w:gridSpan w:val="4"/>
            <w:tcBorders>
              <w:bottom w:val="single" w:sz="4" w:space="0" w:color="auto"/>
            </w:tcBorders>
            <w:shd w:val="clear" w:color="auto" w:fill="auto"/>
            <w:vAlign w:val="center"/>
          </w:tcPr>
          <w:p w14:paraId="4EF15D90" w14:textId="77777777" w:rsidR="00D868AB" w:rsidRPr="00D868AB" w:rsidRDefault="00D868AB" w:rsidP="00D868AB">
            <w:pPr>
              <w:jc w:val="center"/>
              <w:rPr>
                <w:rFonts w:eastAsia="Times New Roman" w:cs="Arial"/>
                <w:b/>
                <w:bCs/>
                <w:sz w:val="20"/>
              </w:rPr>
            </w:pPr>
            <w:r w:rsidRPr="00D868AB">
              <w:rPr>
                <w:rFonts w:eastAsia="Times New Roman" w:cs="Arial"/>
                <w:b/>
                <w:sz w:val="20"/>
              </w:rPr>
              <w:t>Tabla 1. Clasificación por Fuentes de Financiamiento</w:t>
            </w:r>
          </w:p>
        </w:tc>
      </w:tr>
      <w:tr w:rsidR="00D868AB" w:rsidRPr="00D868AB" w14:paraId="622A1FB4" w14:textId="77777777" w:rsidTr="00A755A7">
        <w:trPr>
          <w:gridAfter w:val="1"/>
          <w:wAfter w:w="8" w:type="dxa"/>
          <w:trHeight w:val="20"/>
          <w:jc w:val="center"/>
        </w:trPr>
        <w:tc>
          <w:tcPr>
            <w:tcW w:w="6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56AD9"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Clave</w:t>
            </w:r>
          </w:p>
        </w:tc>
        <w:tc>
          <w:tcPr>
            <w:tcW w:w="4293" w:type="dxa"/>
            <w:tcBorders>
              <w:top w:val="single" w:sz="4" w:space="0" w:color="auto"/>
              <w:left w:val="nil"/>
              <w:bottom w:val="single" w:sz="4" w:space="0" w:color="auto"/>
              <w:right w:val="single" w:sz="4" w:space="0" w:color="auto"/>
            </w:tcBorders>
            <w:shd w:val="clear" w:color="auto" w:fill="auto"/>
            <w:vAlign w:val="center"/>
            <w:hideMark/>
          </w:tcPr>
          <w:p w14:paraId="58F0C984"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Concepto</w:t>
            </w:r>
          </w:p>
        </w:tc>
        <w:tc>
          <w:tcPr>
            <w:tcW w:w="1809" w:type="dxa"/>
            <w:tcBorders>
              <w:top w:val="single" w:sz="4" w:space="0" w:color="auto"/>
              <w:left w:val="nil"/>
              <w:bottom w:val="single" w:sz="4" w:space="0" w:color="auto"/>
              <w:right w:val="single" w:sz="4" w:space="0" w:color="auto"/>
            </w:tcBorders>
            <w:shd w:val="clear" w:color="auto" w:fill="auto"/>
            <w:vAlign w:val="center"/>
            <w:hideMark/>
          </w:tcPr>
          <w:p w14:paraId="286FC01F"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Asignación Presupuestal</w:t>
            </w:r>
          </w:p>
        </w:tc>
      </w:tr>
      <w:tr w:rsidR="00D868AB" w:rsidRPr="00D868AB" w14:paraId="4B34C951"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050F304F"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1</w:t>
            </w:r>
          </w:p>
        </w:tc>
        <w:tc>
          <w:tcPr>
            <w:tcW w:w="4293" w:type="dxa"/>
            <w:tcBorders>
              <w:top w:val="nil"/>
              <w:left w:val="nil"/>
              <w:bottom w:val="single" w:sz="4" w:space="0" w:color="auto"/>
              <w:right w:val="single" w:sz="4" w:space="0" w:color="auto"/>
            </w:tcBorders>
            <w:shd w:val="clear" w:color="auto" w:fill="auto"/>
            <w:vAlign w:val="center"/>
            <w:hideMark/>
          </w:tcPr>
          <w:p w14:paraId="32BCFA1A"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No Etiquetado.</w:t>
            </w:r>
          </w:p>
        </w:tc>
        <w:tc>
          <w:tcPr>
            <w:tcW w:w="1809" w:type="dxa"/>
            <w:tcBorders>
              <w:top w:val="nil"/>
              <w:left w:val="nil"/>
              <w:bottom w:val="single" w:sz="4" w:space="0" w:color="auto"/>
              <w:right w:val="single" w:sz="4" w:space="0" w:color="auto"/>
            </w:tcBorders>
            <w:shd w:val="clear" w:color="auto" w:fill="auto"/>
            <w:vAlign w:val="center"/>
          </w:tcPr>
          <w:p w14:paraId="16D38227"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9,693,581,768</w:t>
            </w:r>
          </w:p>
        </w:tc>
      </w:tr>
      <w:tr w:rsidR="00D868AB" w:rsidRPr="00D868AB" w14:paraId="05D8467D"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431BF647"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Cs/>
                <w:color w:val="000000"/>
                <w:sz w:val="20"/>
                <w:szCs w:val="20"/>
              </w:rPr>
              <w:t>11</w:t>
            </w:r>
          </w:p>
        </w:tc>
        <w:tc>
          <w:tcPr>
            <w:tcW w:w="4293" w:type="dxa"/>
            <w:tcBorders>
              <w:top w:val="nil"/>
              <w:left w:val="nil"/>
              <w:bottom w:val="single" w:sz="4" w:space="0" w:color="auto"/>
              <w:right w:val="single" w:sz="4" w:space="0" w:color="auto"/>
            </w:tcBorders>
            <w:shd w:val="clear" w:color="auto" w:fill="auto"/>
            <w:vAlign w:val="center"/>
            <w:hideMark/>
          </w:tcPr>
          <w:p w14:paraId="22C3D112" w14:textId="77777777" w:rsidR="00D868AB" w:rsidRPr="00D868AB" w:rsidRDefault="00D868AB" w:rsidP="00D868AB">
            <w:pPr>
              <w:rPr>
                <w:rFonts w:eastAsia="Times New Roman" w:cs="Arial"/>
                <w:bCs/>
                <w:color w:val="000000"/>
                <w:sz w:val="20"/>
                <w:szCs w:val="20"/>
              </w:rPr>
            </w:pPr>
            <w:r w:rsidRPr="00D868AB">
              <w:rPr>
                <w:rFonts w:eastAsia="Times New Roman" w:cs="Arial"/>
                <w:bCs/>
                <w:color w:val="000000"/>
                <w:sz w:val="20"/>
                <w:szCs w:val="20"/>
              </w:rPr>
              <w:t>Recursos Fiscales.</w:t>
            </w:r>
          </w:p>
        </w:tc>
        <w:tc>
          <w:tcPr>
            <w:tcW w:w="1809" w:type="dxa"/>
            <w:tcBorders>
              <w:top w:val="nil"/>
              <w:left w:val="nil"/>
              <w:bottom w:val="single" w:sz="4" w:space="0" w:color="auto"/>
              <w:right w:val="single" w:sz="4" w:space="0" w:color="auto"/>
            </w:tcBorders>
            <w:shd w:val="clear" w:color="auto" w:fill="auto"/>
            <w:vAlign w:val="center"/>
          </w:tcPr>
          <w:p w14:paraId="4D3859C2" w14:textId="77777777" w:rsidR="00D868AB" w:rsidRPr="00D868AB" w:rsidRDefault="00D868AB" w:rsidP="00D868AB">
            <w:pPr>
              <w:jc w:val="right"/>
              <w:rPr>
                <w:rFonts w:eastAsia="Times New Roman" w:cs="Arial"/>
                <w:bCs/>
                <w:color w:val="000000"/>
                <w:sz w:val="20"/>
                <w:szCs w:val="20"/>
              </w:rPr>
            </w:pPr>
            <w:r w:rsidRPr="00D868AB">
              <w:rPr>
                <w:rFonts w:cs="Arial"/>
                <w:color w:val="000000"/>
                <w:sz w:val="20"/>
                <w:szCs w:val="20"/>
              </w:rPr>
              <w:t>1,637,863,084</w:t>
            </w:r>
          </w:p>
        </w:tc>
      </w:tr>
      <w:tr w:rsidR="00D868AB" w:rsidRPr="00D868AB" w14:paraId="1C23454A"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5514E92C"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Cs/>
                <w:color w:val="000000"/>
                <w:sz w:val="20"/>
                <w:szCs w:val="20"/>
              </w:rPr>
              <w:t>12</w:t>
            </w:r>
          </w:p>
        </w:tc>
        <w:tc>
          <w:tcPr>
            <w:tcW w:w="4293" w:type="dxa"/>
            <w:tcBorders>
              <w:top w:val="nil"/>
              <w:left w:val="nil"/>
              <w:bottom w:val="single" w:sz="4" w:space="0" w:color="auto"/>
              <w:right w:val="single" w:sz="4" w:space="0" w:color="auto"/>
            </w:tcBorders>
            <w:shd w:val="clear" w:color="auto" w:fill="auto"/>
            <w:vAlign w:val="center"/>
            <w:hideMark/>
          </w:tcPr>
          <w:p w14:paraId="1E422CEE" w14:textId="77777777" w:rsidR="00D868AB" w:rsidRPr="00D868AB" w:rsidRDefault="00D868AB" w:rsidP="00D868AB">
            <w:pPr>
              <w:rPr>
                <w:rFonts w:eastAsia="Times New Roman" w:cs="Arial"/>
                <w:bCs/>
                <w:color w:val="000000"/>
                <w:sz w:val="20"/>
                <w:szCs w:val="20"/>
              </w:rPr>
            </w:pPr>
            <w:r w:rsidRPr="00D868AB">
              <w:rPr>
                <w:rFonts w:eastAsia="Times New Roman" w:cs="Arial"/>
                <w:bCs/>
                <w:color w:val="000000"/>
                <w:sz w:val="20"/>
                <w:szCs w:val="20"/>
              </w:rPr>
              <w:t>Financiamientos Internos.</w:t>
            </w:r>
          </w:p>
        </w:tc>
        <w:tc>
          <w:tcPr>
            <w:tcW w:w="1809" w:type="dxa"/>
            <w:tcBorders>
              <w:top w:val="nil"/>
              <w:left w:val="nil"/>
              <w:bottom w:val="single" w:sz="4" w:space="0" w:color="auto"/>
              <w:right w:val="single" w:sz="4" w:space="0" w:color="auto"/>
            </w:tcBorders>
            <w:shd w:val="clear" w:color="auto" w:fill="auto"/>
            <w:vAlign w:val="center"/>
          </w:tcPr>
          <w:p w14:paraId="6BC2682C" w14:textId="77777777" w:rsidR="00D868AB" w:rsidRPr="00D868AB" w:rsidRDefault="00D868AB" w:rsidP="00D868AB">
            <w:pPr>
              <w:jc w:val="right"/>
              <w:rPr>
                <w:rFonts w:eastAsia="Times New Roman" w:cs="Arial"/>
                <w:bCs/>
                <w:color w:val="000000"/>
                <w:sz w:val="20"/>
                <w:szCs w:val="20"/>
              </w:rPr>
            </w:pPr>
            <w:r w:rsidRPr="00D868AB">
              <w:rPr>
                <w:rFonts w:cs="Arial"/>
                <w:color w:val="000000"/>
                <w:sz w:val="20"/>
                <w:szCs w:val="20"/>
              </w:rPr>
              <w:t>192,903,836</w:t>
            </w:r>
          </w:p>
        </w:tc>
      </w:tr>
      <w:tr w:rsidR="00D868AB" w:rsidRPr="00D868AB" w14:paraId="275B206B"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1025F18A"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Cs/>
                <w:color w:val="000000"/>
                <w:sz w:val="20"/>
                <w:szCs w:val="20"/>
              </w:rPr>
              <w:t>13</w:t>
            </w:r>
          </w:p>
        </w:tc>
        <w:tc>
          <w:tcPr>
            <w:tcW w:w="4293" w:type="dxa"/>
            <w:tcBorders>
              <w:top w:val="nil"/>
              <w:left w:val="nil"/>
              <w:bottom w:val="single" w:sz="4" w:space="0" w:color="auto"/>
              <w:right w:val="single" w:sz="4" w:space="0" w:color="auto"/>
            </w:tcBorders>
            <w:shd w:val="clear" w:color="auto" w:fill="auto"/>
            <w:vAlign w:val="center"/>
            <w:hideMark/>
          </w:tcPr>
          <w:p w14:paraId="1AB003D1" w14:textId="77777777" w:rsidR="00D868AB" w:rsidRPr="00D868AB" w:rsidRDefault="00D868AB" w:rsidP="00D868AB">
            <w:pPr>
              <w:rPr>
                <w:rFonts w:eastAsia="Times New Roman" w:cs="Arial"/>
                <w:bCs/>
                <w:color w:val="000000"/>
                <w:sz w:val="20"/>
                <w:szCs w:val="20"/>
              </w:rPr>
            </w:pPr>
            <w:r w:rsidRPr="00D868AB">
              <w:rPr>
                <w:rFonts w:eastAsia="Times New Roman" w:cs="Arial"/>
                <w:bCs/>
                <w:color w:val="000000"/>
                <w:sz w:val="20"/>
                <w:szCs w:val="20"/>
              </w:rPr>
              <w:t>Financiamientos Externos.</w:t>
            </w:r>
          </w:p>
        </w:tc>
        <w:tc>
          <w:tcPr>
            <w:tcW w:w="1809" w:type="dxa"/>
            <w:tcBorders>
              <w:top w:val="nil"/>
              <w:left w:val="nil"/>
              <w:bottom w:val="single" w:sz="4" w:space="0" w:color="auto"/>
              <w:right w:val="single" w:sz="4" w:space="0" w:color="auto"/>
            </w:tcBorders>
            <w:shd w:val="clear" w:color="auto" w:fill="auto"/>
            <w:vAlign w:val="center"/>
          </w:tcPr>
          <w:p w14:paraId="6D8F23BE" w14:textId="77777777" w:rsidR="00D868AB" w:rsidRPr="00D868AB" w:rsidRDefault="00D868AB" w:rsidP="00D868AB">
            <w:pPr>
              <w:jc w:val="right"/>
              <w:rPr>
                <w:rFonts w:eastAsia="Times New Roman" w:cs="Arial"/>
                <w:bCs/>
                <w:color w:val="000000"/>
                <w:sz w:val="20"/>
                <w:szCs w:val="20"/>
              </w:rPr>
            </w:pPr>
            <w:r w:rsidRPr="00D868AB">
              <w:rPr>
                <w:rFonts w:cs="Arial"/>
                <w:color w:val="000000"/>
                <w:sz w:val="20"/>
                <w:szCs w:val="20"/>
              </w:rPr>
              <w:t>0</w:t>
            </w:r>
          </w:p>
        </w:tc>
      </w:tr>
      <w:tr w:rsidR="00D868AB" w:rsidRPr="00D868AB" w14:paraId="0FE240F0"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6DF76E07"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Cs/>
                <w:color w:val="000000"/>
                <w:sz w:val="20"/>
                <w:szCs w:val="20"/>
              </w:rPr>
              <w:t>14</w:t>
            </w:r>
          </w:p>
        </w:tc>
        <w:tc>
          <w:tcPr>
            <w:tcW w:w="4293" w:type="dxa"/>
            <w:tcBorders>
              <w:top w:val="nil"/>
              <w:left w:val="nil"/>
              <w:bottom w:val="single" w:sz="4" w:space="0" w:color="auto"/>
              <w:right w:val="single" w:sz="4" w:space="0" w:color="auto"/>
            </w:tcBorders>
            <w:shd w:val="clear" w:color="auto" w:fill="auto"/>
            <w:vAlign w:val="center"/>
            <w:hideMark/>
          </w:tcPr>
          <w:p w14:paraId="4844F57C" w14:textId="77777777" w:rsidR="00D868AB" w:rsidRPr="00D868AB" w:rsidRDefault="00D868AB" w:rsidP="00D868AB">
            <w:pPr>
              <w:rPr>
                <w:rFonts w:eastAsia="Times New Roman" w:cs="Arial"/>
                <w:bCs/>
                <w:color w:val="000000"/>
                <w:sz w:val="20"/>
                <w:szCs w:val="20"/>
              </w:rPr>
            </w:pPr>
            <w:r w:rsidRPr="00D868AB">
              <w:rPr>
                <w:rFonts w:eastAsia="Times New Roman" w:cs="Arial"/>
                <w:bCs/>
                <w:color w:val="000000"/>
                <w:sz w:val="20"/>
                <w:szCs w:val="20"/>
              </w:rPr>
              <w:t>Ingresos Propios.</w:t>
            </w:r>
          </w:p>
        </w:tc>
        <w:tc>
          <w:tcPr>
            <w:tcW w:w="1809" w:type="dxa"/>
            <w:tcBorders>
              <w:top w:val="nil"/>
              <w:left w:val="nil"/>
              <w:bottom w:val="single" w:sz="4" w:space="0" w:color="auto"/>
              <w:right w:val="single" w:sz="4" w:space="0" w:color="auto"/>
            </w:tcBorders>
            <w:shd w:val="clear" w:color="auto" w:fill="auto"/>
            <w:vAlign w:val="center"/>
          </w:tcPr>
          <w:p w14:paraId="188A621A" w14:textId="77777777" w:rsidR="00D868AB" w:rsidRPr="00D868AB" w:rsidRDefault="00D868AB" w:rsidP="00D868AB">
            <w:pPr>
              <w:jc w:val="right"/>
              <w:rPr>
                <w:rFonts w:eastAsia="Times New Roman" w:cs="Arial"/>
                <w:bCs/>
                <w:color w:val="000000"/>
                <w:sz w:val="20"/>
                <w:szCs w:val="20"/>
              </w:rPr>
            </w:pPr>
            <w:r w:rsidRPr="00D868AB">
              <w:rPr>
                <w:rFonts w:cs="Arial"/>
                <w:color w:val="000000"/>
                <w:sz w:val="20"/>
                <w:szCs w:val="20"/>
              </w:rPr>
              <w:t>0</w:t>
            </w:r>
          </w:p>
        </w:tc>
      </w:tr>
      <w:tr w:rsidR="00D868AB" w:rsidRPr="00D868AB" w14:paraId="657A2772"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75E1E138"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Cs/>
                <w:color w:val="000000"/>
                <w:sz w:val="20"/>
                <w:szCs w:val="20"/>
              </w:rPr>
              <w:t>15</w:t>
            </w:r>
          </w:p>
        </w:tc>
        <w:tc>
          <w:tcPr>
            <w:tcW w:w="4293" w:type="dxa"/>
            <w:tcBorders>
              <w:top w:val="nil"/>
              <w:left w:val="nil"/>
              <w:bottom w:val="single" w:sz="4" w:space="0" w:color="auto"/>
              <w:right w:val="single" w:sz="4" w:space="0" w:color="auto"/>
            </w:tcBorders>
            <w:shd w:val="clear" w:color="auto" w:fill="auto"/>
            <w:vAlign w:val="center"/>
            <w:hideMark/>
          </w:tcPr>
          <w:p w14:paraId="758A1DB9" w14:textId="77777777" w:rsidR="00D868AB" w:rsidRPr="00D868AB" w:rsidRDefault="00D868AB" w:rsidP="00D868AB">
            <w:pPr>
              <w:rPr>
                <w:rFonts w:eastAsia="Times New Roman" w:cs="Arial"/>
                <w:bCs/>
                <w:color w:val="000000"/>
                <w:sz w:val="20"/>
                <w:szCs w:val="20"/>
              </w:rPr>
            </w:pPr>
            <w:r w:rsidRPr="00D868AB">
              <w:rPr>
                <w:rFonts w:eastAsia="Times New Roman" w:cs="Arial"/>
                <w:bCs/>
                <w:color w:val="000000"/>
                <w:sz w:val="20"/>
                <w:szCs w:val="20"/>
              </w:rPr>
              <w:t>Recursos Federales.</w:t>
            </w:r>
          </w:p>
        </w:tc>
        <w:tc>
          <w:tcPr>
            <w:tcW w:w="1809" w:type="dxa"/>
            <w:tcBorders>
              <w:top w:val="nil"/>
              <w:left w:val="nil"/>
              <w:bottom w:val="single" w:sz="4" w:space="0" w:color="auto"/>
              <w:right w:val="single" w:sz="4" w:space="0" w:color="auto"/>
            </w:tcBorders>
            <w:shd w:val="clear" w:color="auto" w:fill="auto"/>
            <w:vAlign w:val="center"/>
          </w:tcPr>
          <w:p w14:paraId="4EA33020" w14:textId="77777777" w:rsidR="00D868AB" w:rsidRPr="00D868AB" w:rsidRDefault="00D868AB" w:rsidP="00D868AB">
            <w:pPr>
              <w:jc w:val="right"/>
              <w:rPr>
                <w:rFonts w:eastAsia="Times New Roman" w:cs="Arial"/>
                <w:bCs/>
                <w:color w:val="000000"/>
                <w:sz w:val="20"/>
                <w:szCs w:val="20"/>
              </w:rPr>
            </w:pPr>
            <w:r w:rsidRPr="00D868AB">
              <w:rPr>
                <w:rFonts w:cs="Arial"/>
                <w:color w:val="000000"/>
                <w:sz w:val="20"/>
                <w:szCs w:val="20"/>
              </w:rPr>
              <w:t>7,828,562,242</w:t>
            </w:r>
          </w:p>
        </w:tc>
      </w:tr>
      <w:tr w:rsidR="00D868AB" w:rsidRPr="00D868AB" w14:paraId="60CC9E68"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1A4828DE"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Cs/>
                <w:color w:val="000000"/>
                <w:sz w:val="20"/>
                <w:szCs w:val="20"/>
              </w:rPr>
              <w:t>16</w:t>
            </w:r>
          </w:p>
        </w:tc>
        <w:tc>
          <w:tcPr>
            <w:tcW w:w="4293" w:type="dxa"/>
            <w:tcBorders>
              <w:top w:val="nil"/>
              <w:left w:val="nil"/>
              <w:bottom w:val="single" w:sz="4" w:space="0" w:color="auto"/>
              <w:right w:val="single" w:sz="4" w:space="0" w:color="auto"/>
            </w:tcBorders>
            <w:shd w:val="clear" w:color="auto" w:fill="auto"/>
            <w:vAlign w:val="center"/>
            <w:hideMark/>
          </w:tcPr>
          <w:p w14:paraId="5D548811" w14:textId="77777777" w:rsidR="00D868AB" w:rsidRPr="00D868AB" w:rsidRDefault="00D868AB" w:rsidP="00D868AB">
            <w:pPr>
              <w:rPr>
                <w:rFonts w:eastAsia="Times New Roman" w:cs="Arial"/>
                <w:bCs/>
                <w:color w:val="000000"/>
                <w:sz w:val="20"/>
                <w:szCs w:val="20"/>
              </w:rPr>
            </w:pPr>
            <w:r w:rsidRPr="00D868AB">
              <w:rPr>
                <w:rFonts w:eastAsia="Times New Roman" w:cs="Arial"/>
                <w:bCs/>
                <w:color w:val="000000"/>
                <w:sz w:val="20"/>
                <w:szCs w:val="20"/>
              </w:rPr>
              <w:t>Recursos Estatales.</w:t>
            </w:r>
          </w:p>
        </w:tc>
        <w:tc>
          <w:tcPr>
            <w:tcW w:w="1809" w:type="dxa"/>
            <w:tcBorders>
              <w:top w:val="nil"/>
              <w:left w:val="nil"/>
              <w:bottom w:val="single" w:sz="4" w:space="0" w:color="auto"/>
              <w:right w:val="single" w:sz="4" w:space="0" w:color="auto"/>
            </w:tcBorders>
            <w:shd w:val="clear" w:color="auto" w:fill="auto"/>
            <w:vAlign w:val="center"/>
          </w:tcPr>
          <w:p w14:paraId="0EF4CF97" w14:textId="77777777" w:rsidR="00D868AB" w:rsidRPr="00D868AB" w:rsidRDefault="00D868AB" w:rsidP="00D868AB">
            <w:pPr>
              <w:jc w:val="right"/>
              <w:rPr>
                <w:rFonts w:eastAsia="Times New Roman" w:cs="Arial"/>
                <w:bCs/>
                <w:color w:val="000000"/>
                <w:sz w:val="20"/>
                <w:szCs w:val="20"/>
              </w:rPr>
            </w:pPr>
            <w:r w:rsidRPr="00D868AB">
              <w:rPr>
                <w:rFonts w:cs="Arial"/>
                <w:color w:val="000000"/>
                <w:sz w:val="20"/>
                <w:szCs w:val="20"/>
              </w:rPr>
              <w:t>0</w:t>
            </w:r>
          </w:p>
        </w:tc>
      </w:tr>
      <w:tr w:rsidR="00D868AB" w:rsidRPr="00D868AB" w14:paraId="78651BBD"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24E5F1B8"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Cs/>
                <w:color w:val="000000"/>
                <w:sz w:val="20"/>
                <w:szCs w:val="20"/>
              </w:rPr>
              <w:t>17</w:t>
            </w:r>
          </w:p>
        </w:tc>
        <w:tc>
          <w:tcPr>
            <w:tcW w:w="4293" w:type="dxa"/>
            <w:tcBorders>
              <w:top w:val="nil"/>
              <w:left w:val="nil"/>
              <w:bottom w:val="single" w:sz="4" w:space="0" w:color="auto"/>
              <w:right w:val="single" w:sz="4" w:space="0" w:color="auto"/>
            </w:tcBorders>
            <w:shd w:val="clear" w:color="auto" w:fill="auto"/>
            <w:vAlign w:val="center"/>
            <w:hideMark/>
          </w:tcPr>
          <w:p w14:paraId="2476F5F0" w14:textId="77777777" w:rsidR="00D868AB" w:rsidRPr="00D868AB" w:rsidRDefault="00D868AB" w:rsidP="00D868AB">
            <w:pPr>
              <w:rPr>
                <w:rFonts w:eastAsia="Times New Roman" w:cs="Arial"/>
                <w:bCs/>
                <w:color w:val="000000"/>
                <w:sz w:val="20"/>
                <w:szCs w:val="20"/>
              </w:rPr>
            </w:pPr>
            <w:r w:rsidRPr="00D868AB">
              <w:rPr>
                <w:rFonts w:eastAsia="Times New Roman" w:cs="Arial"/>
                <w:bCs/>
                <w:color w:val="000000"/>
                <w:sz w:val="20"/>
                <w:szCs w:val="20"/>
              </w:rPr>
              <w:t>Otros Recursos de Libre Disposición.</w:t>
            </w:r>
          </w:p>
        </w:tc>
        <w:tc>
          <w:tcPr>
            <w:tcW w:w="1809" w:type="dxa"/>
            <w:tcBorders>
              <w:top w:val="nil"/>
              <w:left w:val="nil"/>
              <w:bottom w:val="single" w:sz="4" w:space="0" w:color="auto"/>
              <w:right w:val="single" w:sz="4" w:space="0" w:color="auto"/>
            </w:tcBorders>
            <w:shd w:val="clear" w:color="auto" w:fill="auto"/>
            <w:vAlign w:val="center"/>
          </w:tcPr>
          <w:p w14:paraId="02C5C6B7" w14:textId="77777777" w:rsidR="00D868AB" w:rsidRPr="00D868AB" w:rsidRDefault="00D868AB" w:rsidP="00D868AB">
            <w:pPr>
              <w:jc w:val="right"/>
              <w:rPr>
                <w:rFonts w:eastAsia="Times New Roman" w:cs="Arial"/>
                <w:bCs/>
                <w:color w:val="000000"/>
                <w:sz w:val="20"/>
                <w:szCs w:val="20"/>
              </w:rPr>
            </w:pPr>
            <w:r w:rsidRPr="00D868AB">
              <w:rPr>
                <w:rFonts w:cs="Arial"/>
                <w:color w:val="000000"/>
                <w:sz w:val="20"/>
                <w:szCs w:val="20"/>
              </w:rPr>
              <w:t>34,252,606</w:t>
            </w:r>
          </w:p>
        </w:tc>
      </w:tr>
      <w:tr w:rsidR="00D868AB" w:rsidRPr="00D868AB" w14:paraId="34E478F0"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59E629E2"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2</w:t>
            </w:r>
          </w:p>
        </w:tc>
        <w:tc>
          <w:tcPr>
            <w:tcW w:w="4293" w:type="dxa"/>
            <w:tcBorders>
              <w:top w:val="nil"/>
              <w:left w:val="nil"/>
              <w:bottom w:val="single" w:sz="4" w:space="0" w:color="auto"/>
              <w:right w:val="single" w:sz="4" w:space="0" w:color="auto"/>
            </w:tcBorders>
            <w:shd w:val="clear" w:color="auto" w:fill="auto"/>
            <w:vAlign w:val="center"/>
            <w:hideMark/>
          </w:tcPr>
          <w:p w14:paraId="6DE19632"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Etiquetado.</w:t>
            </w:r>
          </w:p>
        </w:tc>
        <w:tc>
          <w:tcPr>
            <w:tcW w:w="1809" w:type="dxa"/>
            <w:tcBorders>
              <w:top w:val="nil"/>
              <w:left w:val="nil"/>
              <w:bottom w:val="single" w:sz="4" w:space="0" w:color="auto"/>
              <w:right w:val="single" w:sz="4" w:space="0" w:color="auto"/>
            </w:tcBorders>
            <w:shd w:val="clear" w:color="auto" w:fill="auto"/>
            <w:vAlign w:val="center"/>
          </w:tcPr>
          <w:p w14:paraId="024BE6DE"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10,861,718,232</w:t>
            </w:r>
          </w:p>
        </w:tc>
      </w:tr>
      <w:tr w:rsidR="00D868AB" w:rsidRPr="00D868AB" w14:paraId="44B99A63"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3C006210"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Cs/>
                <w:color w:val="000000"/>
                <w:sz w:val="20"/>
                <w:szCs w:val="20"/>
              </w:rPr>
              <w:t>25</w:t>
            </w:r>
          </w:p>
        </w:tc>
        <w:tc>
          <w:tcPr>
            <w:tcW w:w="4293" w:type="dxa"/>
            <w:tcBorders>
              <w:top w:val="nil"/>
              <w:left w:val="nil"/>
              <w:bottom w:val="single" w:sz="4" w:space="0" w:color="auto"/>
              <w:right w:val="single" w:sz="4" w:space="0" w:color="auto"/>
            </w:tcBorders>
            <w:shd w:val="clear" w:color="auto" w:fill="auto"/>
            <w:vAlign w:val="center"/>
            <w:hideMark/>
          </w:tcPr>
          <w:p w14:paraId="75BEC63E" w14:textId="77777777" w:rsidR="00D868AB" w:rsidRPr="00D868AB" w:rsidRDefault="00D868AB" w:rsidP="00D868AB">
            <w:pPr>
              <w:rPr>
                <w:rFonts w:eastAsia="Times New Roman" w:cs="Arial"/>
                <w:bCs/>
                <w:color w:val="000000"/>
                <w:sz w:val="20"/>
                <w:szCs w:val="20"/>
              </w:rPr>
            </w:pPr>
            <w:r w:rsidRPr="00D868AB">
              <w:rPr>
                <w:rFonts w:eastAsia="Times New Roman" w:cs="Arial"/>
                <w:bCs/>
                <w:color w:val="000000"/>
                <w:sz w:val="20"/>
                <w:szCs w:val="20"/>
              </w:rPr>
              <w:t>Recursos Federales.</w:t>
            </w:r>
          </w:p>
        </w:tc>
        <w:tc>
          <w:tcPr>
            <w:tcW w:w="1809" w:type="dxa"/>
            <w:tcBorders>
              <w:top w:val="nil"/>
              <w:left w:val="nil"/>
              <w:bottom w:val="single" w:sz="4" w:space="0" w:color="auto"/>
              <w:right w:val="single" w:sz="4" w:space="0" w:color="auto"/>
            </w:tcBorders>
            <w:shd w:val="clear" w:color="auto" w:fill="auto"/>
            <w:vAlign w:val="center"/>
          </w:tcPr>
          <w:p w14:paraId="32C82ED6" w14:textId="77777777" w:rsidR="00D868AB" w:rsidRPr="00D868AB" w:rsidRDefault="00D868AB" w:rsidP="00D868AB">
            <w:pPr>
              <w:jc w:val="right"/>
              <w:rPr>
                <w:rFonts w:eastAsia="Times New Roman" w:cs="Arial"/>
                <w:bCs/>
                <w:color w:val="000000"/>
                <w:sz w:val="20"/>
                <w:szCs w:val="20"/>
              </w:rPr>
            </w:pPr>
            <w:r w:rsidRPr="00D868AB">
              <w:rPr>
                <w:rFonts w:cs="Arial"/>
                <w:color w:val="000000"/>
                <w:sz w:val="20"/>
                <w:szCs w:val="20"/>
              </w:rPr>
              <w:t>10,861,718,232</w:t>
            </w:r>
          </w:p>
        </w:tc>
      </w:tr>
      <w:tr w:rsidR="00D868AB" w:rsidRPr="00D868AB" w14:paraId="64B368EB"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1F64AF38"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Cs/>
                <w:color w:val="000000"/>
                <w:sz w:val="20"/>
                <w:szCs w:val="20"/>
              </w:rPr>
              <w:t>26</w:t>
            </w:r>
          </w:p>
        </w:tc>
        <w:tc>
          <w:tcPr>
            <w:tcW w:w="4293" w:type="dxa"/>
            <w:tcBorders>
              <w:top w:val="nil"/>
              <w:left w:val="nil"/>
              <w:bottom w:val="single" w:sz="4" w:space="0" w:color="auto"/>
              <w:right w:val="single" w:sz="4" w:space="0" w:color="auto"/>
            </w:tcBorders>
            <w:shd w:val="clear" w:color="auto" w:fill="auto"/>
            <w:vAlign w:val="center"/>
            <w:hideMark/>
          </w:tcPr>
          <w:p w14:paraId="74A2B65B" w14:textId="77777777" w:rsidR="00D868AB" w:rsidRPr="00D868AB" w:rsidRDefault="00D868AB" w:rsidP="00D868AB">
            <w:pPr>
              <w:rPr>
                <w:rFonts w:eastAsia="Times New Roman" w:cs="Arial"/>
                <w:bCs/>
                <w:color w:val="000000"/>
                <w:sz w:val="20"/>
                <w:szCs w:val="20"/>
              </w:rPr>
            </w:pPr>
            <w:r w:rsidRPr="00D868AB">
              <w:rPr>
                <w:rFonts w:eastAsia="Times New Roman" w:cs="Arial"/>
                <w:bCs/>
                <w:color w:val="000000"/>
                <w:sz w:val="20"/>
                <w:szCs w:val="20"/>
              </w:rPr>
              <w:t>Recursos Estatales.</w:t>
            </w:r>
          </w:p>
        </w:tc>
        <w:tc>
          <w:tcPr>
            <w:tcW w:w="1809" w:type="dxa"/>
            <w:tcBorders>
              <w:top w:val="nil"/>
              <w:left w:val="nil"/>
              <w:bottom w:val="single" w:sz="4" w:space="0" w:color="auto"/>
              <w:right w:val="single" w:sz="4" w:space="0" w:color="auto"/>
            </w:tcBorders>
            <w:shd w:val="clear" w:color="auto" w:fill="auto"/>
            <w:vAlign w:val="center"/>
          </w:tcPr>
          <w:p w14:paraId="213AB80C" w14:textId="77777777" w:rsidR="00D868AB" w:rsidRPr="00D868AB" w:rsidRDefault="00D868AB" w:rsidP="00D868AB">
            <w:pPr>
              <w:jc w:val="right"/>
              <w:rPr>
                <w:rFonts w:eastAsia="Times New Roman" w:cs="Arial"/>
                <w:bCs/>
                <w:color w:val="000000"/>
                <w:sz w:val="20"/>
                <w:szCs w:val="20"/>
              </w:rPr>
            </w:pPr>
            <w:r w:rsidRPr="00D868AB">
              <w:rPr>
                <w:rFonts w:cs="Arial"/>
                <w:color w:val="000000"/>
                <w:sz w:val="20"/>
                <w:szCs w:val="20"/>
              </w:rPr>
              <w:t>0</w:t>
            </w:r>
          </w:p>
        </w:tc>
      </w:tr>
      <w:tr w:rsidR="00D868AB" w:rsidRPr="00D868AB" w14:paraId="5C15EE8A"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hideMark/>
          </w:tcPr>
          <w:p w14:paraId="51CCE0ED"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Cs/>
                <w:color w:val="000000"/>
                <w:sz w:val="20"/>
                <w:szCs w:val="20"/>
              </w:rPr>
              <w:t>27</w:t>
            </w:r>
          </w:p>
        </w:tc>
        <w:tc>
          <w:tcPr>
            <w:tcW w:w="4293" w:type="dxa"/>
            <w:tcBorders>
              <w:top w:val="nil"/>
              <w:left w:val="nil"/>
              <w:bottom w:val="single" w:sz="4" w:space="0" w:color="auto"/>
              <w:right w:val="single" w:sz="4" w:space="0" w:color="auto"/>
            </w:tcBorders>
            <w:shd w:val="clear" w:color="auto" w:fill="auto"/>
            <w:vAlign w:val="center"/>
            <w:hideMark/>
          </w:tcPr>
          <w:p w14:paraId="3BDDD0F8" w14:textId="77777777" w:rsidR="00D868AB" w:rsidRPr="00D868AB" w:rsidRDefault="00D868AB" w:rsidP="00D868AB">
            <w:pPr>
              <w:rPr>
                <w:rFonts w:eastAsia="Times New Roman" w:cs="Arial"/>
                <w:bCs/>
                <w:color w:val="000000"/>
                <w:sz w:val="20"/>
                <w:szCs w:val="20"/>
              </w:rPr>
            </w:pPr>
            <w:r w:rsidRPr="00D868AB">
              <w:rPr>
                <w:rFonts w:eastAsia="Times New Roman" w:cs="Arial"/>
                <w:bCs/>
                <w:color w:val="000000"/>
                <w:sz w:val="20"/>
                <w:szCs w:val="20"/>
              </w:rPr>
              <w:t>Otros Recursos de Transferencias Federales Etiquetadas.</w:t>
            </w:r>
          </w:p>
        </w:tc>
        <w:tc>
          <w:tcPr>
            <w:tcW w:w="1809" w:type="dxa"/>
            <w:tcBorders>
              <w:top w:val="nil"/>
              <w:left w:val="nil"/>
              <w:bottom w:val="single" w:sz="4" w:space="0" w:color="auto"/>
              <w:right w:val="single" w:sz="4" w:space="0" w:color="auto"/>
            </w:tcBorders>
            <w:shd w:val="clear" w:color="auto" w:fill="auto"/>
            <w:vAlign w:val="center"/>
          </w:tcPr>
          <w:p w14:paraId="47A69103" w14:textId="77777777" w:rsidR="00D868AB" w:rsidRPr="00D868AB" w:rsidRDefault="00D868AB" w:rsidP="00D868AB">
            <w:pPr>
              <w:jc w:val="right"/>
              <w:rPr>
                <w:rFonts w:eastAsia="Times New Roman" w:cs="Arial"/>
                <w:bCs/>
                <w:color w:val="000000"/>
                <w:sz w:val="20"/>
                <w:szCs w:val="20"/>
              </w:rPr>
            </w:pPr>
            <w:r w:rsidRPr="00D868AB">
              <w:rPr>
                <w:rFonts w:cs="Arial"/>
                <w:color w:val="000000"/>
                <w:sz w:val="20"/>
                <w:szCs w:val="20"/>
              </w:rPr>
              <w:t>0</w:t>
            </w:r>
          </w:p>
        </w:tc>
      </w:tr>
      <w:tr w:rsidR="00D868AB" w:rsidRPr="00D868AB" w14:paraId="3B143BEB" w14:textId="77777777" w:rsidTr="00A755A7">
        <w:trPr>
          <w:gridAfter w:val="1"/>
          <w:wAfter w:w="8" w:type="dxa"/>
          <w:trHeight w:val="20"/>
          <w:jc w:val="center"/>
        </w:trPr>
        <w:tc>
          <w:tcPr>
            <w:tcW w:w="674" w:type="dxa"/>
            <w:tcBorders>
              <w:top w:val="nil"/>
              <w:left w:val="single" w:sz="4" w:space="0" w:color="auto"/>
              <w:bottom w:val="single" w:sz="4" w:space="0" w:color="auto"/>
              <w:right w:val="single" w:sz="4" w:space="0" w:color="auto"/>
            </w:tcBorders>
            <w:shd w:val="clear" w:color="auto" w:fill="auto"/>
            <w:vAlign w:val="center"/>
          </w:tcPr>
          <w:p w14:paraId="506D04CA" w14:textId="77777777" w:rsidR="00D868AB" w:rsidRPr="00D868AB" w:rsidRDefault="00D868AB" w:rsidP="00D868AB">
            <w:pPr>
              <w:jc w:val="center"/>
              <w:rPr>
                <w:rFonts w:eastAsia="Times New Roman" w:cs="Arial"/>
                <w:bCs/>
                <w:color w:val="000000"/>
                <w:sz w:val="20"/>
                <w:szCs w:val="20"/>
              </w:rPr>
            </w:pPr>
          </w:p>
        </w:tc>
        <w:tc>
          <w:tcPr>
            <w:tcW w:w="4293" w:type="dxa"/>
            <w:tcBorders>
              <w:top w:val="nil"/>
              <w:left w:val="nil"/>
              <w:bottom w:val="single" w:sz="4" w:space="0" w:color="auto"/>
              <w:right w:val="single" w:sz="4" w:space="0" w:color="auto"/>
            </w:tcBorders>
            <w:shd w:val="clear" w:color="auto" w:fill="auto"/>
            <w:vAlign w:val="center"/>
          </w:tcPr>
          <w:p w14:paraId="015D9F5D" w14:textId="77777777" w:rsidR="00D868AB" w:rsidRPr="00D868AB" w:rsidRDefault="00D868AB" w:rsidP="00D868AB">
            <w:pPr>
              <w:jc w:val="center"/>
              <w:rPr>
                <w:rFonts w:eastAsia="Times New Roman" w:cs="Arial"/>
                <w:bCs/>
                <w:color w:val="000000"/>
                <w:sz w:val="20"/>
                <w:szCs w:val="20"/>
              </w:rPr>
            </w:pPr>
            <w:r w:rsidRPr="00D868AB">
              <w:rPr>
                <w:rFonts w:eastAsia="Times New Roman" w:cs="Arial"/>
                <w:b/>
                <w:bCs/>
                <w:color w:val="000000"/>
                <w:sz w:val="20"/>
                <w:szCs w:val="20"/>
              </w:rPr>
              <w:t>Total</w:t>
            </w:r>
          </w:p>
        </w:tc>
        <w:tc>
          <w:tcPr>
            <w:tcW w:w="1809" w:type="dxa"/>
            <w:tcBorders>
              <w:top w:val="nil"/>
              <w:left w:val="nil"/>
              <w:bottom w:val="single" w:sz="4" w:space="0" w:color="auto"/>
              <w:right w:val="single" w:sz="4" w:space="0" w:color="auto"/>
            </w:tcBorders>
            <w:shd w:val="clear" w:color="auto" w:fill="auto"/>
            <w:vAlign w:val="center"/>
          </w:tcPr>
          <w:p w14:paraId="7FB76E6D" w14:textId="77777777" w:rsidR="00D868AB" w:rsidRPr="00D868AB" w:rsidRDefault="00D868AB" w:rsidP="00D868AB">
            <w:pPr>
              <w:jc w:val="right"/>
              <w:rPr>
                <w:rFonts w:eastAsia="Times New Roman" w:cs="Arial"/>
                <w:bCs/>
                <w:color w:val="000000"/>
                <w:sz w:val="20"/>
                <w:szCs w:val="20"/>
              </w:rPr>
            </w:pPr>
            <w:r w:rsidRPr="00D868AB">
              <w:rPr>
                <w:rFonts w:cs="Arial"/>
                <w:b/>
                <w:bCs/>
                <w:color w:val="000000"/>
                <w:sz w:val="20"/>
                <w:szCs w:val="20"/>
              </w:rPr>
              <w:t>20,555,300,000</w:t>
            </w:r>
          </w:p>
        </w:tc>
      </w:tr>
    </w:tbl>
    <w:p w14:paraId="124B702E" w14:textId="77777777" w:rsidR="00D868AB" w:rsidRPr="00D868AB" w:rsidRDefault="00D868AB" w:rsidP="00D868AB">
      <w:pPr>
        <w:rPr>
          <w:rFonts w:cs="Arial"/>
          <w:b/>
          <w:lang w:val="es-ES"/>
        </w:rPr>
      </w:pPr>
    </w:p>
    <w:p w14:paraId="731B44F6" w14:textId="77777777" w:rsidR="00D868AB" w:rsidRPr="00D868AB" w:rsidRDefault="00D868AB" w:rsidP="00D868AB">
      <w:pPr>
        <w:rPr>
          <w:rFonts w:cs="Arial"/>
          <w:lang w:val="es-ES"/>
        </w:rPr>
      </w:pPr>
      <w:r w:rsidRPr="00D868AB">
        <w:rPr>
          <w:rFonts w:cs="Arial"/>
          <w:b/>
          <w:lang w:val="es-ES"/>
        </w:rPr>
        <w:t>Artículo 12</w:t>
      </w:r>
      <w:r w:rsidRPr="00D868AB">
        <w:rPr>
          <w:rFonts w:cs="Arial"/>
          <w:lang w:val="es-ES"/>
        </w:rPr>
        <w:t>. El Balance Presupuestario podrá modificarse en lo conducente para cubrir las erogaciones de los proyectos de inversión previstos en este Presupuesto de Egresos, siempre que ello sea necesario como consecuencia de que los entes públicos, soliciten autorización a la Secretaría, para que con cargo al mecanismo presupuestario y de pago correspondiente, se apliquen medidas para cubrir una compensación económica a los servidores públicos que decidan concluir la prestación de sus servicios en la Administración Pública Estatal, sin perjuicio de las prestaciones que les correspondan en materia de seguridad social; asimismo, para que se apliquen medidas para cubrir la indemnización que, en términos de la legislación aplicable, corresponda a los servidores públicos por la terminación de su relación laboral. Dichas medidas se sujetarán a las disposiciones específicas emitidas por la Secretaría.</w:t>
      </w:r>
    </w:p>
    <w:p w14:paraId="783190AB" w14:textId="77777777" w:rsidR="00D868AB" w:rsidRPr="00D868AB" w:rsidRDefault="00D868AB" w:rsidP="00D868AB">
      <w:pPr>
        <w:shd w:val="clear" w:color="auto" w:fill="FFFFFF"/>
        <w:rPr>
          <w:rFonts w:eastAsia="Times New Roman" w:cs="Arial"/>
          <w:lang w:val="es-ES" w:eastAsia="es-ES"/>
        </w:rPr>
      </w:pPr>
    </w:p>
    <w:p w14:paraId="2087E157" w14:textId="77777777" w:rsidR="00D868AB" w:rsidRPr="00D868AB" w:rsidRDefault="00D868AB" w:rsidP="00D868AB">
      <w:pPr>
        <w:rPr>
          <w:rFonts w:cs="Arial"/>
          <w:lang w:val="es-ES"/>
        </w:rPr>
      </w:pPr>
      <w:r w:rsidRPr="00D868AB">
        <w:rPr>
          <w:rFonts w:cs="Arial"/>
          <w:b/>
          <w:lang w:val="es-ES"/>
        </w:rPr>
        <w:t>Artículo 13</w:t>
      </w:r>
      <w:r w:rsidRPr="00D868AB">
        <w:rPr>
          <w:rFonts w:cs="Arial"/>
          <w:lang w:val="es-ES"/>
        </w:rPr>
        <w:t xml:space="preserve">. De acuerdo con la </w:t>
      </w:r>
      <w:r w:rsidRPr="00D868AB">
        <w:rPr>
          <w:rFonts w:cs="Arial"/>
          <w:b/>
          <w:lang w:val="es-ES"/>
        </w:rPr>
        <w:t>Clasificación por Tipo de Gasto</w:t>
      </w:r>
      <w:r w:rsidRPr="00D868AB">
        <w:rPr>
          <w:rFonts w:cs="Arial"/>
          <w:lang w:val="es-ES"/>
        </w:rPr>
        <w:t>, el Presupuesto de Egresos del Estado de Colima para el Ejercicio Fiscal 2023 se distribuye de la siguiente forma:</w:t>
      </w:r>
    </w:p>
    <w:p w14:paraId="17DC8BC4" w14:textId="77777777" w:rsidR="00D868AB" w:rsidRPr="00D868AB" w:rsidRDefault="00D868AB" w:rsidP="00D868AB">
      <w:pPr>
        <w:keepNext/>
        <w:keepLines/>
        <w:outlineLvl w:val="2"/>
        <w:rPr>
          <w:rFonts w:eastAsia="Times New Roman" w:cs="Arial"/>
          <w:b/>
          <w:szCs w:val="24"/>
          <w:lang w:val="es-ES"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5263"/>
        <w:gridCol w:w="1896"/>
      </w:tblGrid>
      <w:tr w:rsidR="00D868AB" w:rsidRPr="00D868AB" w14:paraId="7FA6868E" w14:textId="77777777" w:rsidTr="00A755A7">
        <w:trPr>
          <w:trHeight w:val="227"/>
          <w:tblHeader/>
        </w:trPr>
        <w:tc>
          <w:tcPr>
            <w:tcW w:w="7708" w:type="dxa"/>
            <w:gridSpan w:val="3"/>
            <w:tcBorders>
              <w:top w:val="nil"/>
              <w:left w:val="nil"/>
              <w:bottom w:val="single" w:sz="4" w:space="0" w:color="auto"/>
              <w:right w:val="nil"/>
            </w:tcBorders>
            <w:shd w:val="clear" w:color="auto" w:fill="auto"/>
            <w:vAlign w:val="center"/>
          </w:tcPr>
          <w:p w14:paraId="02EAAAC9" w14:textId="77777777" w:rsidR="00D868AB" w:rsidRPr="00D868AB" w:rsidRDefault="00D868AB" w:rsidP="00D868AB">
            <w:pPr>
              <w:jc w:val="center"/>
              <w:rPr>
                <w:rFonts w:cs="Arial"/>
                <w:b/>
                <w:bCs/>
                <w:sz w:val="20"/>
                <w:lang w:val="es-ES"/>
              </w:rPr>
            </w:pPr>
            <w:bookmarkStart w:id="11" w:name="_Toc522869231"/>
            <w:bookmarkStart w:id="12" w:name="_Toc526757437"/>
            <w:bookmarkStart w:id="13" w:name="_Toc22021878"/>
            <w:bookmarkStart w:id="14" w:name="_Toc22983153"/>
            <w:r w:rsidRPr="00D868AB">
              <w:rPr>
                <w:rFonts w:eastAsia="Times New Roman" w:cs="Arial"/>
                <w:b/>
                <w:sz w:val="20"/>
                <w:lang w:val="es-ES"/>
              </w:rPr>
              <w:t>Tabla 2. Clasificación por Tipo de Gasto</w:t>
            </w:r>
            <w:bookmarkEnd w:id="11"/>
            <w:bookmarkEnd w:id="12"/>
            <w:bookmarkEnd w:id="13"/>
            <w:bookmarkEnd w:id="14"/>
          </w:p>
        </w:tc>
      </w:tr>
      <w:tr w:rsidR="00D868AB" w:rsidRPr="00D868AB" w14:paraId="704D8F12" w14:textId="77777777" w:rsidTr="00A755A7">
        <w:trPr>
          <w:trHeight w:val="227"/>
          <w:tblHeader/>
        </w:trPr>
        <w:tc>
          <w:tcPr>
            <w:tcW w:w="5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84F5DE" w14:textId="77777777" w:rsidR="00D868AB" w:rsidRPr="00D868AB" w:rsidRDefault="00D868AB" w:rsidP="00D868AB">
            <w:pPr>
              <w:jc w:val="center"/>
              <w:rPr>
                <w:rFonts w:cs="Arial"/>
                <w:b/>
                <w:sz w:val="20"/>
                <w:szCs w:val="20"/>
                <w:lang w:val="es-ES"/>
              </w:rPr>
            </w:pPr>
            <w:r w:rsidRPr="00D868AB">
              <w:rPr>
                <w:rFonts w:cs="Arial"/>
                <w:b/>
                <w:sz w:val="20"/>
                <w:szCs w:val="20"/>
                <w:lang w:val="es-ES"/>
              </w:rPr>
              <w:t>No.</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90F01" w14:textId="77777777" w:rsidR="00D868AB" w:rsidRPr="00D868AB" w:rsidRDefault="00D868AB" w:rsidP="00D868AB">
            <w:pPr>
              <w:jc w:val="center"/>
              <w:rPr>
                <w:rFonts w:cs="Arial"/>
                <w:b/>
                <w:sz w:val="20"/>
                <w:szCs w:val="20"/>
                <w:lang w:val="es-ES"/>
              </w:rPr>
            </w:pPr>
            <w:r w:rsidRPr="00D868AB">
              <w:rPr>
                <w:rFonts w:cs="Arial"/>
                <w:b/>
                <w:sz w:val="20"/>
                <w:szCs w:val="20"/>
                <w:lang w:val="es-ES"/>
              </w:rPr>
              <w:t>Categorías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16C88" w14:textId="77777777" w:rsidR="00D868AB" w:rsidRPr="00D868AB" w:rsidRDefault="00D868AB" w:rsidP="00D868AB">
            <w:pPr>
              <w:jc w:val="center"/>
              <w:rPr>
                <w:rFonts w:cs="Arial"/>
                <w:b/>
                <w:sz w:val="20"/>
                <w:szCs w:val="20"/>
                <w:lang w:val="es-ES"/>
              </w:rPr>
            </w:pPr>
            <w:r w:rsidRPr="00D868AB">
              <w:rPr>
                <w:rFonts w:cs="Arial"/>
                <w:b/>
                <w:bCs/>
                <w:sz w:val="20"/>
                <w:szCs w:val="20"/>
                <w:lang w:val="es-ES"/>
              </w:rPr>
              <w:t>Asignación Presupuestal</w:t>
            </w:r>
          </w:p>
        </w:tc>
      </w:tr>
      <w:tr w:rsidR="00D868AB" w:rsidRPr="00D868AB" w14:paraId="174B4391" w14:textId="77777777" w:rsidTr="00A755A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A769481" w14:textId="77777777" w:rsidR="00D868AB" w:rsidRPr="00D868AB" w:rsidRDefault="00D868AB" w:rsidP="00D868AB">
            <w:pPr>
              <w:jc w:val="center"/>
              <w:rPr>
                <w:rFonts w:cs="Arial"/>
                <w:sz w:val="20"/>
                <w:szCs w:val="20"/>
                <w:lang w:val="es-ES"/>
              </w:rPr>
            </w:pPr>
            <w:r w:rsidRPr="00D868AB">
              <w:rPr>
                <w:rFonts w:cs="Arial"/>
                <w:sz w:val="20"/>
                <w:szCs w:val="20"/>
                <w:lang w:val="es-ES"/>
              </w:rPr>
              <w:t>1</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C1983" w14:textId="77777777" w:rsidR="00D868AB" w:rsidRPr="00D868AB" w:rsidRDefault="00D868AB" w:rsidP="00D868AB">
            <w:pPr>
              <w:rPr>
                <w:rFonts w:cs="Arial"/>
                <w:sz w:val="20"/>
                <w:szCs w:val="20"/>
                <w:lang w:val="es-ES"/>
              </w:rPr>
            </w:pPr>
            <w:r w:rsidRPr="00D868AB">
              <w:rPr>
                <w:rFonts w:cs="Arial"/>
                <w:sz w:val="20"/>
                <w:szCs w:val="20"/>
                <w:lang w:val="es-ES"/>
              </w:rPr>
              <w:t>Gasto Corriente.</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50DBB212" w14:textId="77777777" w:rsidR="00D868AB" w:rsidRPr="00D868AB" w:rsidRDefault="00D868AB" w:rsidP="00D868AB">
            <w:pPr>
              <w:jc w:val="right"/>
              <w:rPr>
                <w:rFonts w:cs="Arial"/>
                <w:sz w:val="20"/>
                <w:szCs w:val="20"/>
                <w:lang w:val="es-ES"/>
              </w:rPr>
            </w:pPr>
            <w:r w:rsidRPr="00D868AB">
              <w:rPr>
                <w:rFonts w:cs="Arial"/>
                <w:color w:val="000000"/>
                <w:sz w:val="20"/>
                <w:szCs w:val="20"/>
              </w:rPr>
              <w:t>15,078,511,069</w:t>
            </w:r>
          </w:p>
        </w:tc>
      </w:tr>
      <w:tr w:rsidR="00D868AB" w:rsidRPr="00D868AB" w14:paraId="0AD0CBD6" w14:textId="77777777" w:rsidTr="00A755A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D6BE226" w14:textId="77777777" w:rsidR="00D868AB" w:rsidRPr="00D868AB" w:rsidRDefault="00D868AB" w:rsidP="00D868AB">
            <w:pPr>
              <w:jc w:val="center"/>
              <w:rPr>
                <w:rFonts w:cs="Arial"/>
                <w:sz w:val="20"/>
                <w:szCs w:val="20"/>
                <w:lang w:val="es-ES"/>
              </w:rPr>
            </w:pPr>
            <w:r w:rsidRPr="00D868AB">
              <w:rPr>
                <w:rFonts w:cs="Arial"/>
                <w:sz w:val="20"/>
                <w:szCs w:val="20"/>
                <w:lang w:val="es-ES"/>
              </w:rPr>
              <w:t>2</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A8CA" w14:textId="77777777" w:rsidR="00D868AB" w:rsidRPr="00D868AB" w:rsidRDefault="00D868AB" w:rsidP="00D868AB">
            <w:pPr>
              <w:rPr>
                <w:rFonts w:cs="Arial"/>
                <w:sz w:val="20"/>
                <w:szCs w:val="20"/>
                <w:lang w:val="es-ES"/>
              </w:rPr>
            </w:pPr>
            <w:r w:rsidRPr="00D868AB">
              <w:rPr>
                <w:rFonts w:cs="Arial"/>
                <w:sz w:val="20"/>
                <w:szCs w:val="20"/>
                <w:lang w:val="es-ES"/>
              </w:rPr>
              <w:t>Gasto de Capital.</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2F8B372F" w14:textId="77777777" w:rsidR="00D868AB" w:rsidRPr="00D868AB" w:rsidRDefault="00D868AB" w:rsidP="00D868AB">
            <w:pPr>
              <w:jc w:val="right"/>
              <w:rPr>
                <w:rFonts w:cs="Arial"/>
                <w:sz w:val="20"/>
                <w:szCs w:val="20"/>
                <w:lang w:val="es-ES"/>
              </w:rPr>
            </w:pPr>
            <w:r w:rsidRPr="00D868AB">
              <w:rPr>
                <w:rFonts w:cs="Arial"/>
                <w:color w:val="000000"/>
                <w:sz w:val="20"/>
                <w:szCs w:val="20"/>
              </w:rPr>
              <w:t>152,480,079</w:t>
            </w:r>
          </w:p>
        </w:tc>
      </w:tr>
      <w:tr w:rsidR="00D868AB" w:rsidRPr="00D868AB" w14:paraId="70D0CBD8" w14:textId="77777777" w:rsidTr="00A755A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7288858" w14:textId="77777777" w:rsidR="00D868AB" w:rsidRPr="00D868AB" w:rsidRDefault="00D868AB" w:rsidP="00D868AB">
            <w:pPr>
              <w:jc w:val="center"/>
              <w:rPr>
                <w:rFonts w:cs="Arial"/>
                <w:sz w:val="20"/>
                <w:szCs w:val="20"/>
                <w:lang w:val="es-ES"/>
              </w:rPr>
            </w:pPr>
            <w:r w:rsidRPr="00D868AB">
              <w:rPr>
                <w:rFonts w:cs="Arial"/>
                <w:sz w:val="20"/>
                <w:szCs w:val="20"/>
                <w:lang w:val="es-ES"/>
              </w:rPr>
              <w:t>3</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342E7" w14:textId="77777777" w:rsidR="00D868AB" w:rsidRPr="00D868AB" w:rsidRDefault="00D868AB" w:rsidP="00D868AB">
            <w:pPr>
              <w:rPr>
                <w:rFonts w:cs="Arial"/>
                <w:sz w:val="20"/>
                <w:szCs w:val="20"/>
                <w:lang w:val="es-ES"/>
              </w:rPr>
            </w:pPr>
            <w:r w:rsidRPr="00D868AB">
              <w:rPr>
                <w:rFonts w:cs="Arial"/>
                <w:sz w:val="20"/>
                <w:szCs w:val="20"/>
                <w:lang w:val="es-ES"/>
              </w:rPr>
              <w:t>Amortización de la Deuda y Disminución de Pasivos.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D2A74D4" w14:textId="77777777" w:rsidR="00D868AB" w:rsidRPr="00D868AB" w:rsidRDefault="00D868AB" w:rsidP="00D868AB">
            <w:pPr>
              <w:jc w:val="right"/>
              <w:rPr>
                <w:rFonts w:cs="Arial"/>
                <w:sz w:val="20"/>
                <w:szCs w:val="20"/>
                <w:lang w:val="es-ES"/>
              </w:rPr>
            </w:pPr>
            <w:r w:rsidRPr="00D868AB">
              <w:rPr>
                <w:rFonts w:cs="Arial"/>
                <w:color w:val="000000"/>
                <w:sz w:val="20"/>
                <w:szCs w:val="20"/>
              </w:rPr>
              <w:t>887,247,433</w:t>
            </w:r>
          </w:p>
        </w:tc>
      </w:tr>
      <w:tr w:rsidR="00D868AB" w:rsidRPr="00D868AB" w14:paraId="01FB488E" w14:textId="77777777" w:rsidTr="00A755A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5290DB7" w14:textId="77777777" w:rsidR="00D868AB" w:rsidRPr="00D868AB" w:rsidRDefault="00D868AB" w:rsidP="00D868AB">
            <w:pPr>
              <w:jc w:val="center"/>
              <w:rPr>
                <w:rFonts w:cs="Arial"/>
                <w:sz w:val="20"/>
                <w:szCs w:val="20"/>
                <w:lang w:val="es-ES"/>
              </w:rPr>
            </w:pPr>
            <w:r w:rsidRPr="00D868AB">
              <w:rPr>
                <w:rFonts w:cs="Arial"/>
                <w:sz w:val="20"/>
                <w:szCs w:val="20"/>
                <w:lang w:val="es-ES"/>
              </w:rPr>
              <w:t>4</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FFDCDA" w14:textId="77777777" w:rsidR="00D868AB" w:rsidRPr="00D868AB" w:rsidRDefault="00D868AB" w:rsidP="00D868AB">
            <w:pPr>
              <w:rPr>
                <w:rFonts w:cs="Arial"/>
                <w:sz w:val="20"/>
                <w:szCs w:val="20"/>
                <w:lang w:val="es-ES"/>
              </w:rPr>
            </w:pPr>
            <w:r w:rsidRPr="00D868AB">
              <w:rPr>
                <w:rFonts w:cs="Arial"/>
                <w:sz w:val="20"/>
                <w:szCs w:val="20"/>
                <w:lang w:val="es-ES"/>
              </w:rPr>
              <w:t>Pensiones y Jubilaciones.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CC879F4" w14:textId="77777777" w:rsidR="00D868AB" w:rsidRPr="00D868AB" w:rsidRDefault="00D868AB" w:rsidP="00D868AB">
            <w:pPr>
              <w:jc w:val="right"/>
              <w:rPr>
                <w:rFonts w:cs="Arial"/>
                <w:sz w:val="20"/>
                <w:szCs w:val="20"/>
                <w:lang w:val="es-ES"/>
              </w:rPr>
            </w:pPr>
            <w:r w:rsidRPr="00D868AB">
              <w:rPr>
                <w:rFonts w:cs="Arial"/>
                <w:color w:val="000000"/>
                <w:sz w:val="20"/>
                <w:szCs w:val="20"/>
              </w:rPr>
              <w:t>1,139,437,158</w:t>
            </w:r>
          </w:p>
        </w:tc>
      </w:tr>
      <w:tr w:rsidR="00D868AB" w:rsidRPr="00D868AB" w14:paraId="2E08C880" w14:textId="77777777" w:rsidTr="00A755A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01B2AEE" w14:textId="77777777" w:rsidR="00D868AB" w:rsidRPr="00D868AB" w:rsidRDefault="00D868AB" w:rsidP="00D868AB">
            <w:pPr>
              <w:jc w:val="center"/>
              <w:rPr>
                <w:rFonts w:cs="Arial"/>
                <w:sz w:val="20"/>
                <w:szCs w:val="20"/>
                <w:lang w:val="es-ES"/>
              </w:rPr>
            </w:pPr>
            <w:r w:rsidRPr="00D868AB">
              <w:rPr>
                <w:rFonts w:cs="Arial"/>
                <w:sz w:val="20"/>
                <w:szCs w:val="20"/>
                <w:lang w:val="es-ES"/>
              </w:rPr>
              <w:t>5</w:t>
            </w: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AC0E8" w14:textId="77777777" w:rsidR="00D868AB" w:rsidRPr="00D868AB" w:rsidRDefault="00D868AB" w:rsidP="00D868AB">
            <w:pPr>
              <w:rPr>
                <w:rFonts w:cs="Arial"/>
                <w:sz w:val="20"/>
                <w:szCs w:val="20"/>
                <w:lang w:val="es-ES"/>
              </w:rPr>
            </w:pPr>
            <w:r w:rsidRPr="00D868AB">
              <w:rPr>
                <w:rFonts w:cs="Arial"/>
                <w:sz w:val="20"/>
                <w:szCs w:val="20"/>
                <w:lang w:val="es-ES"/>
              </w:rPr>
              <w:t>Participaciones.</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7D769F5" w14:textId="77777777" w:rsidR="00D868AB" w:rsidRPr="00D868AB" w:rsidRDefault="00D868AB" w:rsidP="00D868AB">
            <w:pPr>
              <w:jc w:val="right"/>
              <w:rPr>
                <w:rFonts w:cs="Arial"/>
                <w:sz w:val="20"/>
                <w:szCs w:val="20"/>
                <w:lang w:val="es-ES"/>
              </w:rPr>
            </w:pPr>
            <w:r w:rsidRPr="00D868AB">
              <w:rPr>
                <w:rFonts w:cs="Arial"/>
                <w:color w:val="000000"/>
                <w:sz w:val="20"/>
                <w:szCs w:val="20"/>
              </w:rPr>
              <w:t>3,297,624,261</w:t>
            </w:r>
          </w:p>
        </w:tc>
      </w:tr>
      <w:tr w:rsidR="00D868AB" w:rsidRPr="00D868AB" w14:paraId="100C26ED" w14:textId="77777777" w:rsidTr="00A755A7">
        <w:trPr>
          <w:trHeight w:val="227"/>
        </w:trPr>
        <w:tc>
          <w:tcPr>
            <w:tcW w:w="549" w:type="dxa"/>
            <w:tcBorders>
              <w:top w:val="single" w:sz="4" w:space="0" w:color="auto"/>
              <w:left w:val="single" w:sz="4" w:space="0" w:color="auto"/>
              <w:bottom w:val="single" w:sz="4" w:space="0" w:color="auto"/>
              <w:right w:val="single" w:sz="4" w:space="0" w:color="auto"/>
            </w:tcBorders>
            <w:shd w:val="clear" w:color="auto" w:fill="auto"/>
          </w:tcPr>
          <w:p w14:paraId="2200B0F1" w14:textId="77777777" w:rsidR="00D868AB" w:rsidRPr="00D868AB" w:rsidRDefault="00D868AB" w:rsidP="00D868AB">
            <w:pPr>
              <w:rPr>
                <w:rFonts w:cs="Arial"/>
                <w:b/>
                <w:sz w:val="20"/>
                <w:szCs w:val="20"/>
                <w:lang w:val="es-ES"/>
              </w:rPr>
            </w:pPr>
          </w:p>
        </w:tc>
        <w:tc>
          <w:tcPr>
            <w:tcW w:w="5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90CA3F" w14:textId="77777777" w:rsidR="00D868AB" w:rsidRPr="00D868AB" w:rsidRDefault="00D868AB" w:rsidP="00D868AB">
            <w:pPr>
              <w:jc w:val="center"/>
              <w:rPr>
                <w:rFonts w:cs="Arial"/>
                <w:b/>
                <w:sz w:val="20"/>
                <w:szCs w:val="20"/>
                <w:lang w:val="es-ES"/>
              </w:rPr>
            </w:pPr>
            <w:r w:rsidRPr="00D868AB">
              <w:rPr>
                <w:rFonts w:cs="Arial"/>
                <w:b/>
                <w:sz w:val="20"/>
                <w:szCs w:val="20"/>
                <w:lang w:val="es-ES"/>
              </w:rPr>
              <w:t>Total</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0AB8B4F"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20,555,300,000</w:t>
            </w:r>
          </w:p>
        </w:tc>
      </w:tr>
    </w:tbl>
    <w:p w14:paraId="3D3E01AD" w14:textId="77777777" w:rsidR="00D868AB" w:rsidRPr="00D868AB" w:rsidRDefault="00D868AB" w:rsidP="00D868AB">
      <w:pPr>
        <w:rPr>
          <w:rFonts w:cs="Arial"/>
          <w:b/>
          <w:lang w:val="es-ES"/>
        </w:rPr>
      </w:pPr>
    </w:p>
    <w:p w14:paraId="0ED330CD" w14:textId="77777777" w:rsidR="00D868AB" w:rsidRPr="00D868AB" w:rsidRDefault="00D868AB" w:rsidP="00D868AB">
      <w:pPr>
        <w:rPr>
          <w:rFonts w:cs="Arial"/>
          <w:lang w:val="es-ES"/>
        </w:rPr>
      </w:pPr>
      <w:r w:rsidRPr="00D868AB">
        <w:rPr>
          <w:rFonts w:cs="Arial"/>
          <w:b/>
          <w:lang w:val="es-ES"/>
        </w:rPr>
        <w:t>Artículo 14</w:t>
      </w:r>
      <w:r w:rsidRPr="00D868AB">
        <w:rPr>
          <w:rFonts w:cs="Arial"/>
          <w:lang w:val="es-ES"/>
        </w:rPr>
        <w:t xml:space="preserve">. Las asignaciones previstas en el Presupuesto de Egresos del Estado de Colima para el ejercicio fiscal 2023 se integran de la siguiente forma, de acuerdo con la </w:t>
      </w:r>
      <w:r w:rsidRPr="00D868AB">
        <w:rPr>
          <w:rFonts w:cs="Arial"/>
          <w:b/>
          <w:lang w:val="es-ES"/>
        </w:rPr>
        <w:t>Clasificación Económica de los Ingresos, de los Gastos y del Financiamiento</w:t>
      </w:r>
      <w:r w:rsidRPr="00D868AB">
        <w:rPr>
          <w:rFonts w:cs="Arial"/>
          <w:lang w:val="es-ES"/>
        </w:rPr>
        <w:t>.</w:t>
      </w:r>
    </w:p>
    <w:p w14:paraId="5703F1FA" w14:textId="77777777" w:rsidR="00D868AB" w:rsidRPr="00D868AB" w:rsidRDefault="00D868AB" w:rsidP="00D868AB">
      <w:pPr>
        <w:keepNext/>
        <w:keepLines/>
        <w:outlineLvl w:val="2"/>
        <w:rPr>
          <w:rFonts w:eastAsia="Times New Roman" w:cs="Arial"/>
          <w:b/>
          <w:szCs w:val="24"/>
          <w:lang w:val="es-ES" w:eastAsia="en-US"/>
        </w:rPr>
      </w:pPr>
    </w:p>
    <w:tbl>
      <w:tblPr>
        <w:tblW w:w="8647" w:type="dxa"/>
        <w:jc w:val="center"/>
        <w:tblLayout w:type="fixed"/>
        <w:tblCellMar>
          <w:left w:w="70" w:type="dxa"/>
          <w:right w:w="70" w:type="dxa"/>
        </w:tblCellMar>
        <w:tblLook w:val="04A0" w:firstRow="1" w:lastRow="0" w:firstColumn="1" w:lastColumn="0" w:noHBand="0" w:noVBand="1"/>
      </w:tblPr>
      <w:tblGrid>
        <w:gridCol w:w="851"/>
        <w:gridCol w:w="6379"/>
        <w:gridCol w:w="1417"/>
      </w:tblGrid>
      <w:tr w:rsidR="00D868AB" w:rsidRPr="00D868AB" w14:paraId="7F694185" w14:textId="77777777" w:rsidTr="00A755A7">
        <w:trPr>
          <w:trHeight w:val="20"/>
          <w:tblHeader/>
          <w:jc w:val="center"/>
        </w:trPr>
        <w:tc>
          <w:tcPr>
            <w:tcW w:w="8647" w:type="dxa"/>
            <w:gridSpan w:val="3"/>
            <w:tcBorders>
              <w:bottom w:val="single" w:sz="4" w:space="0" w:color="auto"/>
            </w:tcBorders>
            <w:shd w:val="clear" w:color="auto" w:fill="auto"/>
            <w:vAlign w:val="center"/>
          </w:tcPr>
          <w:p w14:paraId="4D66E4ED" w14:textId="77777777" w:rsidR="00D868AB" w:rsidRPr="00D868AB" w:rsidRDefault="00D868AB" w:rsidP="00D868AB">
            <w:pPr>
              <w:jc w:val="center"/>
              <w:rPr>
                <w:rFonts w:eastAsia="Times New Roman" w:cs="Arial"/>
                <w:b/>
                <w:bCs/>
                <w:sz w:val="20"/>
                <w:szCs w:val="18"/>
              </w:rPr>
            </w:pPr>
            <w:bookmarkStart w:id="15" w:name="_Toc22021881"/>
            <w:bookmarkStart w:id="16" w:name="_Toc22983154"/>
            <w:r w:rsidRPr="00D868AB">
              <w:rPr>
                <w:rFonts w:eastAsia="Times New Roman" w:cs="Arial"/>
                <w:b/>
                <w:sz w:val="20"/>
                <w:szCs w:val="18"/>
                <w:lang w:val="es-ES"/>
              </w:rPr>
              <w:t>Tabla 3. Clasificación Económica de los Ingresos, de los Gastos y del Financiamiento</w:t>
            </w:r>
            <w:bookmarkEnd w:id="15"/>
            <w:bookmarkEnd w:id="16"/>
          </w:p>
        </w:tc>
      </w:tr>
      <w:tr w:rsidR="00D868AB" w:rsidRPr="00D868AB" w14:paraId="6D89742A" w14:textId="77777777" w:rsidTr="00A755A7">
        <w:trPr>
          <w:trHeight w:val="20"/>
          <w:tblHeader/>
          <w:jc w:val="center"/>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37AF7" w14:textId="77777777" w:rsidR="00D868AB" w:rsidRPr="00D868AB" w:rsidRDefault="00D868AB" w:rsidP="00D868AB">
            <w:pPr>
              <w:jc w:val="center"/>
              <w:rPr>
                <w:rFonts w:eastAsia="Times New Roman" w:cs="Arial"/>
                <w:b/>
                <w:bCs/>
                <w:sz w:val="18"/>
                <w:szCs w:val="18"/>
              </w:rPr>
            </w:pPr>
            <w:r w:rsidRPr="00D868AB">
              <w:rPr>
                <w:rFonts w:eastAsia="Times New Roman" w:cs="Arial"/>
                <w:b/>
                <w:bCs/>
                <w:sz w:val="18"/>
                <w:szCs w:val="18"/>
              </w:rPr>
              <w:t>No.</w:t>
            </w:r>
          </w:p>
        </w:tc>
        <w:tc>
          <w:tcPr>
            <w:tcW w:w="6379" w:type="dxa"/>
            <w:tcBorders>
              <w:top w:val="single" w:sz="4" w:space="0" w:color="auto"/>
              <w:left w:val="nil"/>
              <w:bottom w:val="single" w:sz="4" w:space="0" w:color="auto"/>
              <w:right w:val="single" w:sz="4" w:space="0" w:color="auto"/>
            </w:tcBorders>
            <w:shd w:val="clear" w:color="auto" w:fill="auto"/>
            <w:vAlign w:val="center"/>
            <w:hideMark/>
          </w:tcPr>
          <w:p w14:paraId="1490FBB9" w14:textId="77777777" w:rsidR="00D868AB" w:rsidRPr="00D868AB" w:rsidRDefault="00D868AB" w:rsidP="00D868AB">
            <w:pPr>
              <w:jc w:val="center"/>
              <w:rPr>
                <w:rFonts w:eastAsia="Times New Roman" w:cs="Arial"/>
                <w:b/>
                <w:bCs/>
                <w:sz w:val="18"/>
                <w:szCs w:val="18"/>
              </w:rPr>
            </w:pPr>
            <w:r w:rsidRPr="00D868AB">
              <w:rPr>
                <w:rFonts w:eastAsia="Times New Roman" w:cs="Arial"/>
                <w:b/>
                <w:bCs/>
                <w:sz w:val="18"/>
                <w:szCs w:val="18"/>
              </w:rPr>
              <w:t>Concepto</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19159F35" w14:textId="77777777" w:rsidR="00D868AB" w:rsidRPr="00D868AB" w:rsidRDefault="00D868AB" w:rsidP="00D868AB">
            <w:pPr>
              <w:jc w:val="center"/>
              <w:rPr>
                <w:rFonts w:eastAsia="Times New Roman" w:cs="Arial"/>
                <w:b/>
                <w:bCs/>
                <w:sz w:val="18"/>
                <w:szCs w:val="18"/>
              </w:rPr>
            </w:pPr>
            <w:r w:rsidRPr="00D868AB">
              <w:rPr>
                <w:rFonts w:eastAsia="Times New Roman" w:cs="Arial"/>
                <w:b/>
                <w:bCs/>
                <w:sz w:val="18"/>
                <w:szCs w:val="18"/>
              </w:rPr>
              <w:t>Asignación Presupuestal</w:t>
            </w:r>
          </w:p>
        </w:tc>
      </w:tr>
      <w:tr w:rsidR="00D868AB" w:rsidRPr="00D868AB" w14:paraId="7F69E29E"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D3A6D23"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1</w:t>
            </w:r>
          </w:p>
        </w:tc>
        <w:tc>
          <w:tcPr>
            <w:tcW w:w="6379" w:type="dxa"/>
            <w:tcBorders>
              <w:top w:val="nil"/>
              <w:left w:val="nil"/>
              <w:bottom w:val="single" w:sz="4" w:space="0" w:color="auto"/>
              <w:right w:val="single" w:sz="4" w:space="0" w:color="auto"/>
            </w:tcBorders>
            <w:shd w:val="clear" w:color="auto" w:fill="auto"/>
            <w:vAlign w:val="center"/>
            <w:hideMark/>
          </w:tcPr>
          <w:p w14:paraId="5579B78C"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Ingresos.</w:t>
            </w:r>
          </w:p>
        </w:tc>
        <w:tc>
          <w:tcPr>
            <w:tcW w:w="1417" w:type="dxa"/>
            <w:tcBorders>
              <w:top w:val="nil"/>
              <w:left w:val="nil"/>
              <w:bottom w:val="single" w:sz="4" w:space="0" w:color="auto"/>
              <w:right w:val="single" w:sz="4" w:space="0" w:color="auto"/>
            </w:tcBorders>
            <w:shd w:val="clear" w:color="auto" w:fill="auto"/>
            <w:vAlign w:val="center"/>
            <w:hideMark/>
          </w:tcPr>
          <w:p w14:paraId="39835BEA" w14:textId="77777777" w:rsidR="00D868AB" w:rsidRPr="00D868AB" w:rsidRDefault="00D868AB" w:rsidP="00D868AB">
            <w:pPr>
              <w:jc w:val="right"/>
              <w:rPr>
                <w:rFonts w:eastAsia="Times New Roman" w:cs="Arial"/>
                <w:sz w:val="18"/>
                <w:szCs w:val="18"/>
              </w:rPr>
            </w:pPr>
            <w:r w:rsidRPr="00D868AB">
              <w:rPr>
                <w:rFonts w:eastAsia="Times New Roman" w:cs="Arial"/>
                <w:sz w:val="18"/>
                <w:szCs w:val="18"/>
              </w:rPr>
              <w:t> </w:t>
            </w:r>
          </w:p>
        </w:tc>
      </w:tr>
      <w:tr w:rsidR="00D868AB" w:rsidRPr="00D868AB" w14:paraId="423ACB78"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C27B399"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1.1</w:t>
            </w:r>
          </w:p>
        </w:tc>
        <w:tc>
          <w:tcPr>
            <w:tcW w:w="6379" w:type="dxa"/>
            <w:tcBorders>
              <w:top w:val="nil"/>
              <w:left w:val="nil"/>
              <w:bottom w:val="single" w:sz="4" w:space="0" w:color="auto"/>
              <w:right w:val="single" w:sz="4" w:space="0" w:color="auto"/>
            </w:tcBorders>
            <w:shd w:val="clear" w:color="auto" w:fill="auto"/>
            <w:vAlign w:val="center"/>
            <w:hideMark/>
          </w:tcPr>
          <w:p w14:paraId="3A21B326"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Ingresos Corrientes.</w:t>
            </w:r>
          </w:p>
        </w:tc>
        <w:tc>
          <w:tcPr>
            <w:tcW w:w="1417" w:type="dxa"/>
            <w:tcBorders>
              <w:top w:val="nil"/>
              <w:left w:val="nil"/>
              <w:bottom w:val="single" w:sz="4" w:space="0" w:color="auto"/>
              <w:right w:val="single" w:sz="4" w:space="0" w:color="auto"/>
            </w:tcBorders>
            <w:shd w:val="clear" w:color="auto" w:fill="auto"/>
          </w:tcPr>
          <w:p w14:paraId="39E285FB" w14:textId="77777777" w:rsidR="00D868AB" w:rsidRPr="00D868AB" w:rsidRDefault="00D868AB" w:rsidP="00D868AB">
            <w:pPr>
              <w:jc w:val="right"/>
              <w:rPr>
                <w:rFonts w:eastAsia="Times New Roman" w:cs="Arial"/>
                <w:b/>
                <w:bCs/>
                <w:sz w:val="18"/>
                <w:szCs w:val="18"/>
              </w:rPr>
            </w:pPr>
            <w:r w:rsidRPr="00D868AB">
              <w:rPr>
                <w:b/>
                <w:bCs/>
                <w:sz w:val="18"/>
                <w:szCs w:val="18"/>
              </w:rPr>
              <w:t>20,362,396,164</w:t>
            </w:r>
          </w:p>
        </w:tc>
      </w:tr>
      <w:tr w:rsidR="00D868AB" w:rsidRPr="00D868AB" w14:paraId="1D72B893"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9C99E7" w14:textId="77777777" w:rsidR="00D868AB" w:rsidRPr="00D868AB" w:rsidRDefault="00D868AB" w:rsidP="00D868AB">
            <w:pPr>
              <w:rPr>
                <w:rFonts w:eastAsia="Times New Roman" w:cs="Arial"/>
                <w:sz w:val="18"/>
                <w:szCs w:val="18"/>
              </w:rPr>
            </w:pPr>
            <w:r w:rsidRPr="00D868AB">
              <w:rPr>
                <w:rFonts w:eastAsia="Times New Roman" w:cs="Arial"/>
                <w:sz w:val="18"/>
                <w:szCs w:val="18"/>
              </w:rPr>
              <w:t>1.1.1</w:t>
            </w:r>
          </w:p>
        </w:tc>
        <w:tc>
          <w:tcPr>
            <w:tcW w:w="6379" w:type="dxa"/>
            <w:tcBorders>
              <w:top w:val="nil"/>
              <w:left w:val="nil"/>
              <w:bottom w:val="single" w:sz="4" w:space="0" w:color="auto"/>
              <w:right w:val="single" w:sz="4" w:space="0" w:color="auto"/>
            </w:tcBorders>
            <w:shd w:val="clear" w:color="auto" w:fill="auto"/>
            <w:vAlign w:val="center"/>
            <w:hideMark/>
          </w:tcPr>
          <w:p w14:paraId="66C90E8E" w14:textId="77777777" w:rsidR="00D868AB" w:rsidRPr="00D868AB" w:rsidRDefault="00D868AB" w:rsidP="00D868AB">
            <w:pPr>
              <w:rPr>
                <w:rFonts w:eastAsia="Times New Roman" w:cs="Arial"/>
                <w:sz w:val="18"/>
                <w:szCs w:val="18"/>
              </w:rPr>
            </w:pPr>
            <w:r w:rsidRPr="00D868AB">
              <w:rPr>
                <w:rFonts w:eastAsia="Times New Roman" w:cs="Arial"/>
                <w:sz w:val="18"/>
                <w:szCs w:val="18"/>
              </w:rPr>
              <w:t>Impuestos.</w:t>
            </w:r>
          </w:p>
        </w:tc>
        <w:tc>
          <w:tcPr>
            <w:tcW w:w="1417" w:type="dxa"/>
            <w:tcBorders>
              <w:top w:val="nil"/>
              <w:left w:val="nil"/>
              <w:bottom w:val="single" w:sz="4" w:space="0" w:color="auto"/>
              <w:right w:val="single" w:sz="4" w:space="0" w:color="auto"/>
            </w:tcBorders>
            <w:shd w:val="clear" w:color="auto" w:fill="auto"/>
          </w:tcPr>
          <w:p w14:paraId="4A403D0B" w14:textId="77777777" w:rsidR="00D868AB" w:rsidRPr="00D868AB" w:rsidRDefault="00D868AB" w:rsidP="00D868AB">
            <w:pPr>
              <w:jc w:val="right"/>
              <w:rPr>
                <w:rFonts w:eastAsia="Times New Roman" w:cs="Arial"/>
                <w:sz w:val="18"/>
                <w:szCs w:val="18"/>
              </w:rPr>
            </w:pPr>
            <w:r w:rsidRPr="00D868AB">
              <w:rPr>
                <w:sz w:val="18"/>
                <w:szCs w:val="18"/>
              </w:rPr>
              <w:t>1,072,407,441</w:t>
            </w:r>
          </w:p>
        </w:tc>
      </w:tr>
      <w:tr w:rsidR="00D868AB" w:rsidRPr="00D868AB" w14:paraId="528EEAE6"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51F9041" w14:textId="77777777" w:rsidR="00D868AB" w:rsidRPr="00D868AB" w:rsidRDefault="00D868AB" w:rsidP="00D868AB">
            <w:pPr>
              <w:rPr>
                <w:rFonts w:eastAsia="Times New Roman" w:cs="Arial"/>
                <w:sz w:val="18"/>
                <w:szCs w:val="18"/>
              </w:rPr>
            </w:pPr>
            <w:r w:rsidRPr="00D868AB">
              <w:rPr>
                <w:rFonts w:eastAsia="Times New Roman" w:cs="Arial"/>
                <w:sz w:val="18"/>
                <w:szCs w:val="18"/>
              </w:rPr>
              <w:t>1.1.2</w:t>
            </w:r>
          </w:p>
        </w:tc>
        <w:tc>
          <w:tcPr>
            <w:tcW w:w="6379" w:type="dxa"/>
            <w:tcBorders>
              <w:top w:val="nil"/>
              <w:left w:val="nil"/>
              <w:bottom w:val="single" w:sz="4" w:space="0" w:color="auto"/>
              <w:right w:val="single" w:sz="4" w:space="0" w:color="auto"/>
            </w:tcBorders>
            <w:shd w:val="clear" w:color="auto" w:fill="auto"/>
            <w:vAlign w:val="center"/>
            <w:hideMark/>
          </w:tcPr>
          <w:p w14:paraId="36EDF7F0" w14:textId="77777777" w:rsidR="00D868AB" w:rsidRPr="00D868AB" w:rsidRDefault="00D868AB" w:rsidP="00D868AB">
            <w:pPr>
              <w:rPr>
                <w:rFonts w:eastAsia="Times New Roman" w:cs="Arial"/>
                <w:sz w:val="18"/>
                <w:szCs w:val="18"/>
              </w:rPr>
            </w:pPr>
            <w:r w:rsidRPr="00D868AB">
              <w:rPr>
                <w:rFonts w:eastAsia="Times New Roman" w:cs="Arial"/>
                <w:sz w:val="18"/>
                <w:szCs w:val="18"/>
              </w:rPr>
              <w:t>Contribuciones a la Seguridad Social.</w:t>
            </w:r>
          </w:p>
        </w:tc>
        <w:tc>
          <w:tcPr>
            <w:tcW w:w="1417" w:type="dxa"/>
            <w:tcBorders>
              <w:top w:val="nil"/>
              <w:left w:val="nil"/>
              <w:bottom w:val="single" w:sz="4" w:space="0" w:color="auto"/>
              <w:right w:val="single" w:sz="4" w:space="0" w:color="auto"/>
            </w:tcBorders>
            <w:shd w:val="clear" w:color="auto" w:fill="auto"/>
          </w:tcPr>
          <w:p w14:paraId="624D825C"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4A3604B4"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FD64D79" w14:textId="77777777" w:rsidR="00D868AB" w:rsidRPr="00D868AB" w:rsidRDefault="00D868AB" w:rsidP="00D868AB">
            <w:pPr>
              <w:rPr>
                <w:rFonts w:eastAsia="Times New Roman" w:cs="Arial"/>
                <w:sz w:val="18"/>
                <w:szCs w:val="18"/>
              </w:rPr>
            </w:pPr>
            <w:r w:rsidRPr="00D868AB">
              <w:rPr>
                <w:rFonts w:eastAsia="Times New Roman" w:cs="Arial"/>
                <w:sz w:val="18"/>
                <w:szCs w:val="18"/>
              </w:rPr>
              <w:t>1.1.3</w:t>
            </w:r>
          </w:p>
        </w:tc>
        <w:tc>
          <w:tcPr>
            <w:tcW w:w="6379" w:type="dxa"/>
            <w:tcBorders>
              <w:top w:val="nil"/>
              <w:left w:val="nil"/>
              <w:bottom w:val="single" w:sz="4" w:space="0" w:color="auto"/>
              <w:right w:val="single" w:sz="4" w:space="0" w:color="auto"/>
            </w:tcBorders>
            <w:shd w:val="clear" w:color="auto" w:fill="auto"/>
            <w:vAlign w:val="center"/>
            <w:hideMark/>
          </w:tcPr>
          <w:p w14:paraId="6B670594" w14:textId="77777777" w:rsidR="00D868AB" w:rsidRPr="00D868AB" w:rsidRDefault="00D868AB" w:rsidP="00D868AB">
            <w:pPr>
              <w:rPr>
                <w:rFonts w:eastAsia="Times New Roman" w:cs="Arial"/>
                <w:sz w:val="18"/>
                <w:szCs w:val="18"/>
              </w:rPr>
            </w:pPr>
            <w:r w:rsidRPr="00D868AB">
              <w:rPr>
                <w:rFonts w:eastAsia="Times New Roman" w:cs="Arial"/>
                <w:sz w:val="18"/>
                <w:szCs w:val="18"/>
              </w:rPr>
              <w:t>Contribuciones de Mejoras.</w:t>
            </w:r>
          </w:p>
        </w:tc>
        <w:tc>
          <w:tcPr>
            <w:tcW w:w="1417" w:type="dxa"/>
            <w:tcBorders>
              <w:top w:val="nil"/>
              <w:left w:val="nil"/>
              <w:bottom w:val="single" w:sz="4" w:space="0" w:color="auto"/>
              <w:right w:val="single" w:sz="4" w:space="0" w:color="auto"/>
            </w:tcBorders>
            <w:shd w:val="clear" w:color="auto" w:fill="auto"/>
          </w:tcPr>
          <w:p w14:paraId="6A4DEACF"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4D2C8181"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5F50C0" w14:textId="77777777" w:rsidR="00D868AB" w:rsidRPr="00D868AB" w:rsidRDefault="00D868AB" w:rsidP="00D868AB">
            <w:pPr>
              <w:rPr>
                <w:rFonts w:eastAsia="Times New Roman" w:cs="Arial"/>
                <w:sz w:val="18"/>
                <w:szCs w:val="18"/>
              </w:rPr>
            </w:pPr>
            <w:r w:rsidRPr="00D868AB">
              <w:rPr>
                <w:rFonts w:eastAsia="Times New Roman" w:cs="Arial"/>
                <w:sz w:val="18"/>
                <w:szCs w:val="18"/>
              </w:rPr>
              <w:t>1.1.4</w:t>
            </w:r>
          </w:p>
        </w:tc>
        <w:tc>
          <w:tcPr>
            <w:tcW w:w="6379" w:type="dxa"/>
            <w:tcBorders>
              <w:top w:val="nil"/>
              <w:left w:val="nil"/>
              <w:bottom w:val="single" w:sz="4" w:space="0" w:color="auto"/>
              <w:right w:val="single" w:sz="4" w:space="0" w:color="auto"/>
            </w:tcBorders>
            <w:shd w:val="clear" w:color="auto" w:fill="auto"/>
            <w:vAlign w:val="center"/>
            <w:hideMark/>
          </w:tcPr>
          <w:p w14:paraId="04A983AF" w14:textId="77777777" w:rsidR="00D868AB" w:rsidRPr="00D868AB" w:rsidRDefault="00D868AB" w:rsidP="00D868AB">
            <w:pPr>
              <w:rPr>
                <w:rFonts w:eastAsia="Times New Roman" w:cs="Arial"/>
                <w:sz w:val="18"/>
                <w:szCs w:val="18"/>
              </w:rPr>
            </w:pPr>
            <w:r w:rsidRPr="00D868AB">
              <w:rPr>
                <w:rFonts w:eastAsia="Times New Roman" w:cs="Arial"/>
                <w:sz w:val="18"/>
                <w:szCs w:val="18"/>
              </w:rPr>
              <w:t>Derechos, Productos y Aprovechamientos Corrientes.</w:t>
            </w:r>
          </w:p>
        </w:tc>
        <w:tc>
          <w:tcPr>
            <w:tcW w:w="1417" w:type="dxa"/>
            <w:tcBorders>
              <w:top w:val="nil"/>
              <w:left w:val="nil"/>
              <w:bottom w:val="single" w:sz="4" w:space="0" w:color="auto"/>
              <w:right w:val="single" w:sz="4" w:space="0" w:color="auto"/>
            </w:tcBorders>
            <w:shd w:val="clear" w:color="auto" w:fill="auto"/>
          </w:tcPr>
          <w:p w14:paraId="762D914F" w14:textId="77777777" w:rsidR="00D868AB" w:rsidRPr="00D868AB" w:rsidRDefault="00D868AB" w:rsidP="00D868AB">
            <w:pPr>
              <w:jc w:val="right"/>
              <w:rPr>
                <w:rFonts w:eastAsia="Times New Roman" w:cs="Arial"/>
                <w:sz w:val="18"/>
                <w:szCs w:val="18"/>
              </w:rPr>
            </w:pPr>
            <w:r w:rsidRPr="00D868AB">
              <w:rPr>
                <w:sz w:val="18"/>
                <w:szCs w:val="18"/>
              </w:rPr>
              <w:t>599,708,249</w:t>
            </w:r>
          </w:p>
        </w:tc>
      </w:tr>
      <w:tr w:rsidR="00D868AB" w:rsidRPr="00D868AB" w14:paraId="524F53C2"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F710ACE" w14:textId="77777777" w:rsidR="00D868AB" w:rsidRPr="00D868AB" w:rsidRDefault="00D868AB" w:rsidP="00D868AB">
            <w:pPr>
              <w:rPr>
                <w:rFonts w:eastAsia="Times New Roman" w:cs="Arial"/>
                <w:sz w:val="18"/>
                <w:szCs w:val="18"/>
              </w:rPr>
            </w:pPr>
            <w:r w:rsidRPr="00D868AB">
              <w:rPr>
                <w:rFonts w:eastAsia="Times New Roman" w:cs="Arial"/>
                <w:sz w:val="18"/>
                <w:szCs w:val="18"/>
              </w:rPr>
              <w:t>1.1.5</w:t>
            </w:r>
          </w:p>
        </w:tc>
        <w:tc>
          <w:tcPr>
            <w:tcW w:w="6379" w:type="dxa"/>
            <w:tcBorders>
              <w:top w:val="nil"/>
              <w:left w:val="nil"/>
              <w:bottom w:val="single" w:sz="4" w:space="0" w:color="auto"/>
              <w:right w:val="single" w:sz="4" w:space="0" w:color="auto"/>
            </w:tcBorders>
            <w:shd w:val="clear" w:color="auto" w:fill="auto"/>
            <w:vAlign w:val="center"/>
            <w:hideMark/>
          </w:tcPr>
          <w:p w14:paraId="6EB84B9D" w14:textId="77777777" w:rsidR="00D868AB" w:rsidRPr="00D868AB" w:rsidRDefault="00D868AB" w:rsidP="00D868AB">
            <w:pPr>
              <w:rPr>
                <w:rFonts w:eastAsia="Times New Roman" w:cs="Arial"/>
                <w:sz w:val="18"/>
                <w:szCs w:val="18"/>
              </w:rPr>
            </w:pPr>
            <w:r w:rsidRPr="00D868AB">
              <w:rPr>
                <w:rFonts w:eastAsia="Times New Roman" w:cs="Arial"/>
                <w:sz w:val="18"/>
                <w:szCs w:val="18"/>
              </w:rPr>
              <w:t>Rentas de la Propiedad.</w:t>
            </w:r>
          </w:p>
        </w:tc>
        <w:tc>
          <w:tcPr>
            <w:tcW w:w="1417" w:type="dxa"/>
            <w:tcBorders>
              <w:top w:val="nil"/>
              <w:left w:val="nil"/>
              <w:bottom w:val="single" w:sz="4" w:space="0" w:color="auto"/>
              <w:right w:val="single" w:sz="4" w:space="0" w:color="auto"/>
            </w:tcBorders>
            <w:shd w:val="clear" w:color="auto" w:fill="auto"/>
          </w:tcPr>
          <w:p w14:paraId="2F39AA84"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20B76B77"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84D1018" w14:textId="77777777" w:rsidR="00D868AB" w:rsidRPr="00D868AB" w:rsidRDefault="00D868AB" w:rsidP="00D868AB">
            <w:pPr>
              <w:rPr>
                <w:rFonts w:eastAsia="Times New Roman" w:cs="Arial"/>
                <w:sz w:val="18"/>
                <w:szCs w:val="18"/>
              </w:rPr>
            </w:pPr>
            <w:r w:rsidRPr="00D868AB">
              <w:rPr>
                <w:rFonts w:eastAsia="Times New Roman" w:cs="Arial"/>
                <w:sz w:val="18"/>
                <w:szCs w:val="18"/>
              </w:rPr>
              <w:t>1.1.6</w:t>
            </w:r>
          </w:p>
        </w:tc>
        <w:tc>
          <w:tcPr>
            <w:tcW w:w="6379" w:type="dxa"/>
            <w:tcBorders>
              <w:top w:val="nil"/>
              <w:left w:val="nil"/>
              <w:bottom w:val="single" w:sz="4" w:space="0" w:color="auto"/>
              <w:right w:val="single" w:sz="4" w:space="0" w:color="auto"/>
            </w:tcBorders>
            <w:shd w:val="clear" w:color="auto" w:fill="auto"/>
            <w:vAlign w:val="center"/>
            <w:hideMark/>
          </w:tcPr>
          <w:p w14:paraId="4F6F41A8" w14:textId="77777777" w:rsidR="00D868AB" w:rsidRPr="00D868AB" w:rsidRDefault="00D868AB" w:rsidP="00D868AB">
            <w:pPr>
              <w:rPr>
                <w:rFonts w:eastAsia="Times New Roman" w:cs="Arial"/>
                <w:sz w:val="18"/>
                <w:szCs w:val="18"/>
              </w:rPr>
            </w:pPr>
            <w:r w:rsidRPr="00D868AB">
              <w:rPr>
                <w:rFonts w:eastAsia="Times New Roman" w:cs="Arial"/>
                <w:sz w:val="18"/>
                <w:szCs w:val="18"/>
              </w:rPr>
              <w:t>Venta de Bienes y Servicios de Entidades del Gobierno Federal/ Ingresos de Explotación de Entidades Empresariales.</w:t>
            </w:r>
          </w:p>
        </w:tc>
        <w:tc>
          <w:tcPr>
            <w:tcW w:w="1417" w:type="dxa"/>
            <w:tcBorders>
              <w:top w:val="nil"/>
              <w:left w:val="nil"/>
              <w:bottom w:val="single" w:sz="4" w:space="0" w:color="auto"/>
              <w:right w:val="single" w:sz="4" w:space="0" w:color="auto"/>
            </w:tcBorders>
            <w:shd w:val="clear" w:color="auto" w:fill="auto"/>
          </w:tcPr>
          <w:p w14:paraId="7A36BB2B"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1A6306A3"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7A27E09" w14:textId="77777777" w:rsidR="00D868AB" w:rsidRPr="00D868AB" w:rsidRDefault="00D868AB" w:rsidP="00D868AB">
            <w:pPr>
              <w:rPr>
                <w:rFonts w:eastAsia="Times New Roman" w:cs="Arial"/>
                <w:sz w:val="18"/>
                <w:szCs w:val="18"/>
              </w:rPr>
            </w:pPr>
            <w:r w:rsidRPr="00D868AB">
              <w:rPr>
                <w:rFonts w:eastAsia="Times New Roman" w:cs="Arial"/>
                <w:sz w:val="18"/>
                <w:szCs w:val="18"/>
              </w:rPr>
              <w:t>1.1.7</w:t>
            </w:r>
          </w:p>
        </w:tc>
        <w:tc>
          <w:tcPr>
            <w:tcW w:w="6379" w:type="dxa"/>
            <w:tcBorders>
              <w:top w:val="nil"/>
              <w:left w:val="nil"/>
              <w:bottom w:val="single" w:sz="4" w:space="0" w:color="auto"/>
              <w:right w:val="single" w:sz="4" w:space="0" w:color="auto"/>
            </w:tcBorders>
            <w:shd w:val="clear" w:color="auto" w:fill="auto"/>
            <w:vAlign w:val="center"/>
            <w:hideMark/>
          </w:tcPr>
          <w:p w14:paraId="6FC9F5E2" w14:textId="77777777" w:rsidR="00D868AB" w:rsidRPr="00D868AB" w:rsidRDefault="00D868AB" w:rsidP="00D868AB">
            <w:pPr>
              <w:rPr>
                <w:rFonts w:eastAsia="Times New Roman" w:cs="Arial"/>
                <w:sz w:val="18"/>
                <w:szCs w:val="18"/>
              </w:rPr>
            </w:pPr>
            <w:r w:rsidRPr="00D868AB">
              <w:rPr>
                <w:rFonts w:eastAsia="Times New Roman" w:cs="Arial"/>
                <w:sz w:val="18"/>
                <w:szCs w:val="18"/>
              </w:rPr>
              <w:t>Subsidios y Subvenciones Recibidos por las Entidades Empresariales Públicas.</w:t>
            </w:r>
          </w:p>
        </w:tc>
        <w:tc>
          <w:tcPr>
            <w:tcW w:w="1417" w:type="dxa"/>
            <w:tcBorders>
              <w:top w:val="nil"/>
              <w:left w:val="nil"/>
              <w:bottom w:val="single" w:sz="4" w:space="0" w:color="auto"/>
              <w:right w:val="single" w:sz="4" w:space="0" w:color="auto"/>
            </w:tcBorders>
            <w:shd w:val="clear" w:color="auto" w:fill="auto"/>
          </w:tcPr>
          <w:p w14:paraId="31EADE68" w14:textId="77777777" w:rsidR="00D868AB" w:rsidRPr="00D868AB" w:rsidRDefault="00D868AB" w:rsidP="00D868AB">
            <w:pPr>
              <w:jc w:val="right"/>
              <w:rPr>
                <w:rFonts w:eastAsia="Times New Roman" w:cs="Arial"/>
                <w:sz w:val="18"/>
                <w:szCs w:val="18"/>
              </w:rPr>
            </w:pPr>
            <w:r w:rsidRPr="00D868AB">
              <w:rPr>
                <w:sz w:val="18"/>
                <w:szCs w:val="18"/>
              </w:rPr>
              <w:t>1,823,437,183</w:t>
            </w:r>
          </w:p>
        </w:tc>
      </w:tr>
      <w:tr w:rsidR="00D868AB" w:rsidRPr="00D868AB" w14:paraId="46A3ACB5"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02604C" w14:textId="77777777" w:rsidR="00D868AB" w:rsidRPr="00D868AB" w:rsidRDefault="00D868AB" w:rsidP="00D868AB">
            <w:pPr>
              <w:rPr>
                <w:rFonts w:eastAsia="Times New Roman" w:cs="Arial"/>
                <w:sz w:val="18"/>
                <w:szCs w:val="18"/>
              </w:rPr>
            </w:pPr>
            <w:r w:rsidRPr="00D868AB">
              <w:rPr>
                <w:rFonts w:eastAsia="Times New Roman" w:cs="Arial"/>
                <w:sz w:val="18"/>
                <w:szCs w:val="18"/>
              </w:rPr>
              <w:t>1.1.8</w:t>
            </w:r>
          </w:p>
        </w:tc>
        <w:tc>
          <w:tcPr>
            <w:tcW w:w="6379" w:type="dxa"/>
            <w:tcBorders>
              <w:top w:val="nil"/>
              <w:left w:val="nil"/>
              <w:bottom w:val="single" w:sz="4" w:space="0" w:color="auto"/>
              <w:right w:val="single" w:sz="4" w:space="0" w:color="auto"/>
            </w:tcBorders>
            <w:shd w:val="clear" w:color="auto" w:fill="auto"/>
            <w:vAlign w:val="center"/>
            <w:hideMark/>
          </w:tcPr>
          <w:p w14:paraId="4A352F95" w14:textId="77777777" w:rsidR="00D868AB" w:rsidRPr="00D868AB" w:rsidRDefault="00D868AB" w:rsidP="00D868AB">
            <w:pPr>
              <w:rPr>
                <w:rFonts w:eastAsia="Times New Roman" w:cs="Arial"/>
                <w:sz w:val="18"/>
                <w:szCs w:val="18"/>
              </w:rPr>
            </w:pPr>
            <w:r w:rsidRPr="00D868AB">
              <w:rPr>
                <w:rFonts w:eastAsia="Times New Roman" w:cs="Arial"/>
                <w:sz w:val="18"/>
                <w:szCs w:val="18"/>
              </w:rPr>
              <w:t>Transferencias, Asignaciones y Donativos Corrientes Recibidos.</w:t>
            </w:r>
          </w:p>
        </w:tc>
        <w:tc>
          <w:tcPr>
            <w:tcW w:w="1417" w:type="dxa"/>
            <w:tcBorders>
              <w:top w:val="nil"/>
              <w:left w:val="nil"/>
              <w:bottom w:val="single" w:sz="4" w:space="0" w:color="auto"/>
              <w:right w:val="single" w:sz="4" w:space="0" w:color="auto"/>
            </w:tcBorders>
            <w:shd w:val="clear" w:color="auto" w:fill="auto"/>
          </w:tcPr>
          <w:p w14:paraId="756F3726" w14:textId="77777777" w:rsidR="00D868AB" w:rsidRPr="00D868AB" w:rsidRDefault="00D868AB" w:rsidP="00D868AB">
            <w:pPr>
              <w:jc w:val="right"/>
              <w:rPr>
                <w:rFonts w:eastAsia="Times New Roman" w:cs="Arial"/>
                <w:sz w:val="18"/>
                <w:szCs w:val="18"/>
              </w:rPr>
            </w:pPr>
            <w:r w:rsidRPr="00D868AB">
              <w:rPr>
                <w:sz w:val="18"/>
                <w:szCs w:val="18"/>
              </w:rPr>
              <w:t>9,038,281,049</w:t>
            </w:r>
          </w:p>
        </w:tc>
      </w:tr>
      <w:tr w:rsidR="00D868AB" w:rsidRPr="00D868AB" w14:paraId="60994E0E" w14:textId="77777777" w:rsidTr="00A755A7">
        <w:trPr>
          <w:trHeight w:val="246"/>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02577FE" w14:textId="77777777" w:rsidR="00D868AB" w:rsidRPr="00D868AB" w:rsidRDefault="00D868AB" w:rsidP="00D868AB">
            <w:pPr>
              <w:rPr>
                <w:rFonts w:eastAsia="Times New Roman" w:cs="Arial"/>
                <w:sz w:val="18"/>
                <w:szCs w:val="18"/>
              </w:rPr>
            </w:pPr>
            <w:r w:rsidRPr="00D868AB">
              <w:rPr>
                <w:rFonts w:eastAsia="Times New Roman" w:cs="Arial"/>
                <w:sz w:val="18"/>
                <w:szCs w:val="18"/>
              </w:rPr>
              <w:t>1.1.9</w:t>
            </w:r>
          </w:p>
        </w:tc>
        <w:tc>
          <w:tcPr>
            <w:tcW w:w="6379" w:type="dxa"/>
            <w:tcBorders>
              <w:top w:val="nil"/>
              <w:left w:val="nil"/>
              <w:bottom w:val="single" w:sz="4" w:space="0" w:color="auto"/>
              <w:right w:val="single" w:sz="4" w:space="0" w:color="auto"/>
            </w:tcBorders>
            <w:shd w:val="clear" w:color="auto" w:fill="auto"/>
            <w:vAlign w:val="center"/>
            <w:hideMark/>
          </w:tcPr>
          <w:p w14:paraId="087915C2" w14:textId="77777777" w:rsidR="00D868AB" w:rsidRPr="00D868AB" w:rsidRDefault="00D868AB" w:rsidP="00D868AB">
            <w:pPr>
              <w:rPr>
                <w:rFonts w:eastAsia="Times New Roman" w:cs="Arial"/>
                <w:sz w:val="18"/>
                <w:szCs w:val="18"/>
              </w:rPr>
            </w:pPr>
            <w:r w:rsidRPr="00D868AB">
              <w:rPr>
                <w:rFonts w:eastAsia="Times New Roman" w:cs="Arial"/>
                <w:sz w:val="18"/>
                <w:szCs w:val="18"/>
              </w:rPr>
              <w:t>Participaciones.</w:t>
            </w:r>
          </w:p>
        </w:tc>
        <w:tc>
          <w:tcPr>
            <w:tcW w:w="1417" w:type="dxa"/>
            <w:tcBorders>
              <w:top w:val="nil"/>
              <w:left w:val="nil"/>
              <w:bottom w:val="single" w:sz="4" w:space="0" w:color="auto"/>
              <w:right w:val="single" w:sz="4" w:space="0" w:color="auto"/>
            </w:tcBorders>
            <w:shd w:val="clear" w:color="auto" w:fill="auto"/>
          </w:tcPr>
          <w:p w14:paraId="284455B8" w14:textId="77777777" w:rsidR="00D868AB" w:rsidRPr="00D868AB" w:rsidRDefault="00D868AB" w:rsidP="00D868AB">
            <w:pPr>
              <w:jc w:val="right"/>
              <w:rPr>
                <w:rFonts w:eastAsia="Times New Roman" w:cs="Arial"/>
                <w:sz w:val="18"/>
                <w:szCs w:val="18"/>
              </w:rPr>
            </w:pPr>
            <w:r w:rsidRPr="00D868AB">
              <w:rPr>
                <w:sz w:val="18"/>
                <w:szCs w:val="18"/>
              </w:rPr>
              <w:t>7,828,562,242</w:t>
            </w:r>
          </w:p>
        </w:tc>
      </w:tr>
      <w:tr w:rsidR="00D868AB" w:rsidRPr="00D868AB" w14:paraId="42481828"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4546399"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1.2</w:t>
            </w:r>
          </w:p>
        </w:tc>
        <w:tc>
          <w:tcPr>
            <w:tcW w:w="6379" w:type="dxa"/>
            <w:tcBorders>
              <w:top w:val="nil"/>
              <w:left w:val="nil"/>
              <w:bottom w:val="single" w:sz="4" w:space="0" w:color="auto"/>
              <w:right w:val="single" w:sz="4" w:space="0" w:color="auto"/>
            </w:tcBorders>
            <w:shd w:val="clear" w:color="auto" w:fill="auto"/>
            <w:vAlign w:val="center"/>
            <w:hideMark/>
          </w:tcPr>
          <w:p w14:paraId="647DCFBA"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Ingresos De Capital.</w:t>
            </w:r>
          </w:p>
        </w:tc>
        <w:tc>
          <w:tcPr>
            <w:tcW w:w="1417" w:type="dxa"/>
            <w:tcBorders>
              <w:top w:val="nil"/>
              <w:left w:val="nil"/>
              <w:bottom w:val="single" w:sz="4" w:space="0" w:color="auto"/>
              <w:right w:val="single" w:sz="4" w:space="0" w:color="auto"/>
            </w:tcBorders>
            <w:shd w:val="clear" w:color="auto" w:fill="auto"/>
          </w:tcPr>
          <w:p w14:paraId="4997092E" w14:textId="77777777" w:rsidR="00D868AB" w:rsidRPr="00D868AB" w:rsidRDefault="00D868AB" w:rsidP="00D868AB">
            <w:pPr>
              <w:jc w:val="right"/>
              <w:rPr>
                <w:rFonts w:eastAsia="Times New Roman" w:cs="Arial"/>
                <w:b/>
                <w:bCs/>
                <w:sz w:val="18"/>
                <w:szCs w:val="18"/>
              </w:rPr>
            </w:pPr>
            <w:r w:rsidRPr="00D868AB">
              <w:rPr>
                <w:b/>
                <w:bCs/>
                <w:sz w:val="18"/>
                <w:szCs w:val="18"/>
              </w:rPr>
              <w:t>0</w:t>
            </w:r>
          </w:p>
        </w:tc>
      </w:tr>
      <w:tr w:rsidR="00D868AB" w:rsidRPr="00D868AB" w14:paraId="45744A49"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D38654" w14:textId="77777777" w:rsidR="00D868AB" w:rsidRPr="00D868AB" w:rsidRDefault="00D868AB" w:rsidP="00D868AB">
            <w:pPr>
              <w:rPr>
                <w:rFonts w:eastAsia="Times New Roman" w:cs="Arial"/>
                <w:sz w:val="18"/>
                <w:szCs w:val="18"/>
              </w:rPr>
            </w:pPr>
            <w:r w:rsidRPr="00D868AB">
              <w:rPr>
                <w:rFonts w:eastAsia="Times New Roman" w:cs="Arial"/>
                <w:sz w:val="18"/>
                <w:szCs w:val="18"/>
              </w:rPr>
              <w:t>1.2.1</w:t>
            </w:r>
          </w:p>
        </w:tc>
        <w:tc>
          <w:tcPr>
            <w:tcW w:w="6379" w:type="dxa"/>
            <w:tcBorders>
              <w:top w:val="nil"/>
              <w:left w:val="nil"/>
              <w:bottom w:val="single" w:sz="4" w:space="0" w:color="auto"/>
              <w:right w:val="single" w:sz="4" w:space="0" w:color="auto"/>
            </w:tcBorders>
            <w:shd w:val="clear" w:color="auto" w:fill="auto"/>
            <w:vAlign w:val="center"/>
            <w:hideMark/>
          </w:tcPr>
          <w:p w14:paraId="67D52F83" w14:textId="77777777" w:rsidR="00D868AB" w:rsidRPr="00D868AB" w:rsidRDefault="00D868AB" w:rsidP="00D868AB">
            <w:pPr>
              <w:rPr>
                <w:rFonts w:eastAsia="Times New Roman" w:cs="Arial"/>
                <w:sz w:val="18"/>
                <w:szCs w:val="18"/>
              </w:rPr>
            </w:pPr>
            <w:r w:rsidRPr="00D868AB">
              <w:rPr>
                <w:rFonts w:eastAsia="Times New Roman" w:cs="Arial"/>
                <w:sz w:val="18"/>
                <w:szCs w:val="18"/>
              </w:rPr>
              <w:t>Venta (Disposición) de Activos.</w:t>
            </w:r>
          </w:p>
        </w:tc>
        <w:tc>
          <w:tcPr>
            <w:tcW w:w="1417" w:type="dxa"/>
            <w:tcBorders>
              <w:top w:val="nil"/>
              <w:left w:val="nil"/>
              <w:bottom w:val="single" w:sz="4" w:space="0" w:color="auto"/>
              <w:right w:val="single" w:sz="4" w:space="0" w:color="auto"/>
            </w:tcBorders>
            <w:shd w:val="clear" w:color="auto" w:fill="auto"/>
          </w:tcPr>
          <w:p w14:paraId="788C9D1D"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61BC72E8"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952A9F7"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1.2.1.1 </w:t>
            </w:r>
          </w:p>
        </w:tc>
        <w:tc>
          <w:tcPr>
            <w:tcW w:w="6379" w:type="dxa"/>
            <w:tcBorders>
              <w:top w:val="nil"/>
              <w:left w:val="nil"/>
              <w:bottom w:val="single" w:sz="4" w:space="0" w:color="auto"/>
              <w:right w:val="single" w:sz="4" w:space="0" w:color="auto"/>
            </w:tcBorders>
            <w:shd w:val="clear" w:color="auto" w:fill="auto"/>
            <w:vAlign w:val="center"/>
            <w:hideMark/>
          </w:tcPr>
          <w:p w14:paraId="134F1B3C" w14:textId="77777777" w:rsidR="00D868AB" w:rsidRPr="00D868AB" w:rsidRDefault="00D868AB" w:rsidP="00D868AB">
            <w:pPr>
              <w:rPr>
                <w:rFonts w:eastAsia="Times New Roman" w:cs="Arial"/>
                <w:sz w:val="18"/>
                <w:szCs w:val="18"/>
              </w:rPr>
            </w:pPr>
            <w:r w:rsidRPr="00D868AB">
              <w:rPr>
                <w:rFonts w:eastAsia="Times New Roman" w:cs="Arial"/>
                <w:sz w:val="18"/>
                <w:szCs w:val="18"/>
              </w:rPr>
              <w:t>Venta de Activos Fijos.</w:t>
            </w:r>
          </w:p>
        </w:tc>
        <w:tc>
          <w:tcPr>
            <w:tcW w:w="1417" w:type="dxa"/>
            <w:tcBorders>
              <w:top w:val="nil"/>
              <w:left w:val="nil"/>
              <w:bottom w:val="single" w:sz="4" w:space="0" w:color="auto"/>
              <w:right w:val="single" w:sz="4" w:space="0" w:color="auto"/>
            </w:tcBorders>
            <w:shd w:val="clear" w:color="auto" w:fill="auto"/>
          </w:tcPr>
          <w:p w14:paraId="5CD4909B"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78F3177C"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5911E01"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1.2.1.2 </w:t>
            </w:r>
          </w:p>
        </w:tc>
        <w:tc>
          <w:tcPr>
            <w:tcW w:w="6379" w:type="dxa"/>
            <w:tcBorders>
              <w:top w:val="nil"/>
              <w:left w:val="nil"/>
              <w:bottom w:val="single" w:sz="4" w:space="0" w:color="auto"/>
              <w:right w:val="single" w:sz="4" w:space="0" w:color="auto"/>
            </w:tcBorders>
            <w:shd w:val="clear" w:color="auto" w:fill="auto"/>
            <w:vAlign w:val="center"/>
            <w:hideMark/>
          </w:tcPr>
          <w:p w14:paraId="7B38B92B" w14:textId="77777777" w:rsidR="00D868AB" w:rsidRPr="00D868AB" w:rsidRDefault="00D868AB" w:rsidP="00D868AB">
            <w:pPr>
              <w:rPr>
                <w:rFonts w:eastAsia="Times New Roman" w:cs="Arial"/>
                <w:sz w:val="18"/>
                <w:szCs w:val="18"/>
              </w:rPr>
            </w:pPr>
            <w:r w:rsidRPr="00D868AB">
              <w:rPr>
                <w:rFonts w:eastAsia="Times New Roman" w:cs="Arial"/>
                <w:sz w:val="18"/>
                <w:szCs w:val="18"/>
              </w:rPr>
              <w:t>Venta de Objetos de Valor.</w:t>
            </w:r>
          </w:p>
        </w:tc>
        <w:tc>
          <w:tcPr>
            <w:tcW w:w="1417" w:type="dxa"/>
            <w:tcBorders>
              <w:top w:val="nil"/>
              <w:left w:val="nil"/>
              <w:bottom w:val="single" w:sz="4" w:space="0" w:color="auto"/>
              <w:right w:val="single" w:sz="4" w:space="0" w:color="auto"/>
            </w:tcBorders>
            <w:shd w:val="clear" w:color="auto" w:fill="auto"/>
          </w:tcPr>
          <w:p w14:paraId="4A249849"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0B597DDE"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D8F0A0"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1.2.1.3 </w:t>
            </w:r>
          </w:p>
        </w:tc>
        <w:tc>
          <w:tcPr>
            <w:tcW w:w="6379" w:type="dxa"/>
            <w:tcBorders>
              <w:top w:val="nil"/>
              <w:left w:val="nil"/>
              <w:bottom w:val="single" w:sz="4" w:space="0" w:color="auto"/>
              <w:right w:val="single" w:sz="4" w:space="0" w:color="auto"/>
            </w:tcBorders>
            <w:shd w:val="clear" w:color="auto" w:fill="auto"/>
            <w:vAlign w:val="center"/>
            <w:hideMark/>
          </w:tcPr>
          <w:p w14:paraId="3D93F847" w14:textId="77777777" w:rsidR="00D868AB" w:rsidRPr="00D868AB" w:rsidRDefault="00D868AB" w:rsidP="00D868AB">
            <w:pPr>
              <w:rPr>
                <w:rFonts w:eastAsia="Times New Roman" w:cs="Arial"/>
                <w:sz w:val="18"/>
                <w:szCs w:val="18"/>
              </w:rPr>
            </w:pPr>
            <w:r w:rsidRPr="00D868AB">
              <w:rPr>
                <w:rFonts w:eastAsia="Times New Roman" w:cs="Arial"/>
                <w:sz w:val="18"/>
                <w:szCs w:val="18"/>
              </w:rPr>
              <w:t>Venta de Activos No Producidos.</w:t>
            </w:r>
          </w:p>
        </w:tc>
        <w:tc>
          <w:tcPr>
            <w:tcW w:w="1417" w:type="dxa"/>
            <w:tcBorders>
              <w:top w:val="nil"/>
              <w:left w:val="nil"/>
              <w:bottom w:val="single" w:sz="4" w:space="0" w:color="auto"/>
              <w:right w:val="single" w:sz="4" w:space="0" w:color="auto"/>
            </w:tcBorders>
            <w:shd w:val="clear" w:color="auto" w:fill="auto"/>
          </w:tcPr>
          <w:p w14:paraId="70A88093"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587A6A77"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33E67DF"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1.2.2 </w:t>
            </w:r>
          </w:p>
        </w:tc>
        <w:tc>
          <w:tcPr>
            <w:tcW w:w="6379" w:type="dxa"/>
            <w:tcBorders>
              <w:top w:val="nil"/>
              <w:left w:val="nil"/>
              <w:bottom w:val="single" w:sz="4" w:space="0" w:color="auto"/>
              <w:right w:val="single" w:sz="4" w:space="0" w:color="auto"/>
            </w:tcBorders>
            <w:shd w:val="clear" w:color="auto" w:fill="auto"/>
            <w:vAlign w:val="center"/>
            <w:hideMark/>
          </w:tcPr>
          <w:p w14:paraId="0C238EA9" w14:textId="77777777" w:rsidR="00D868AB" w:rsidRPr="00D868AB" w:rsidRDefault="00D868AB" w:rsidP="00D868AB">
            <w:pPr>
              <w:rPr>
                <w:rFonts w:eastAsia="Times New Roman" w:cs="Arial"/>
                <w:sz w:val="18"/>
                <w:szCs w:val="18"/>
              </w:rPr>
            </w:pPr>
            <w:r w:rsidRPr="00D868AB">
              <w:rPr>
                <w:rFonts w:eastAsia="Times New Roman" w:cs="Arial"/>
                <w:sz w:val="18"/>
                <w:szCs w:val="18"/>
              </w:rPr>
              <w:t>Disminución de Existencias.</w:t>
            </w:r>
          </w:p>
        </w:tc>
        <w:tc>
          <w:tcPr>
            <w:tcW w:w="1417" w:type="dxa"/>
            <w:tcBorders>
              <w:top w:val="nil"/>
              <w:left w:val="nil"/>
              <w:bottom w:val="single" w:sz="4" w:space="0" w:color="auto"/>
              <w:right w:val="single" w:sz="4" w:space="0" w:color="auto"/>
            </w:tcBorders>
            <w:shd w:val="clear" w:color="auto" w:fill="auto"/>
          </w:tcPr>
          <w:p w14:paraId="4B24A929"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125E3D58"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B534D51"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1.2.3 </w:t>
            </w:r>
          </w:p>
        </w:tc>
        <w:tc>
          <w:tcPr>
            <w:tcW w:w="6379" w:type="dxa"/>
            <w:tcBorders>
              <w:top w:val="nil"/>
              <w:left w:val="nil"/>
              <w:bottom w:val="single" w:sz="4" w:space="0" w:color="auto"/>
              <w:right w:val="single" w:sz="4" w:space="0" w:color="auto"/>
            </w:tcBorders>
            <w:shd w:val="clear" w:color="auto" w:fill="auto"/>
            <w:vAlign w:val="center"/>
            <w:hideMark/>
          </w:tcPr>
          <w:p w14:paraId="75CA0074" w14:textId="77777777" w:rsidR="00D868AB" w:rsidRPr="00D868AB" w:rsidRDefault="00D868AB" w:rsidP="00D868AB">
            <w:pPr>
              <w:rPr>
                <w:rFonts w:eastAsia="Times New Roman" w:cs="Arial"/>
                <w:sz w:val="18"/>
                <w:szCs w:val="18"/>
              </w:rPr>
            </w:pPr>
            <w:r w:rsidRPr="00D868AB">
              <w:rPr>
                <w:rFonts w:eastAsia="Times New Roman" w:cs="Arial"/>
                <w:sz w:val="18"/>
                <w:szCs w:val="18"/>
              </w:rPr>
              <w:t>Incremento de la depreciación, amortización, estimaciones y provisiones acumuladas.</w:t>
            </w:r>
          </w:p>
        </w:tc>
        <w:tc>
          <w:tcPr>
            <w:tcW w:w="1417" w:type="dxa"/>
            <w:tcBorders>
              <w:top w:val="nil"/>
              <w:left w:val="nil"/>
              <w:bottom w:val="single" w:sz="4" w:space="0" w:color="auto"/>
              <w:right w:val="single" w:sz="4" w:space="0" w:color="auto"/>
            </w:tcBorders>
            <w:shd w:val="clear" w:color="auto" w:fill="auto"/>
          </w:tcPr>
          <w:p w14:paraId="61804EDC"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1804842C"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641044"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1.2.4 </w:t>
            </w:r>
          </w:p>
        </w:tc>
        <w:tc>
          <w:tcPr>
            <w:tcW w:w="6379" w:type="dxa"/>
            <w:tcBorders>
              <w:top w:val="nil"/>
              <w:left w:val="nil"/>
              <w:bottom w:val="single" w:sz="4" w:space="0" w:color="auto"/>
              <w:right w:val="single" w:sz="4" w:space="0" w:color="auto"/>
            </w:tcBorders>
            <w:shd w:val="clear" w:color="auto" w:fill="auto"/>
            <w:vAlign w:val="center"/>
            <w:hideMark/>
          </w:tcPr>
          <w:p w14:paraId="4DD0DC7D" w14:textId="77777777" w:rsidR="00D868AB" w:rsidRPr="00D868AB" w:rsidRDefault="00D868AB" w:rsidP="00D868AB">
            <w:pPr>
              <w:rPr>
                <w:rFonts w:eastAsia="Times New Roman" w:cs="Arial"/>
                <w:sz w:val="18"/>
                <w:szCs w:val="18"/>
              </w:rPr>
            </w:pPr>
            <w:r w:rsidRPr="00D868AB">
              <w:rPr>
                <w:rFonts w:eastAsia="Times New Roman" w:cs="Arial"/>
                <w:sz w:val="18"/>
                <w:szCs w:val="18"/>
              </w:rPr>
              <w:t>Transferencias, asignaciones y donativos de capital recibidos.</w:t>
            </w:r>
          </w:p>
        </w:tc>
        <w:tc>
          <w:tcPr>
            <w:tcW w:w="1417" w:type="dxa"/>
            <w:tcBorders>
              <w:top w:val="nil"/>
              <w:left w:val="nil"/>
              <w:bottom w:val="single" w:sz="4" w:space="0" w:color="auto"/>
              <w:right w:val="single" w:sz="4" w:space="0" w:color="auto"/>
            </w:tcBorders>
            <w:shd w:val="clear" w:color="auto" w:fill="auto"/>
          </w:tcPr>
          <w:p w14:paraId="60A794CE"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451BE239"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4F3D97"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1.2.5 </w:t>
            </w:r>
          </w:p>
        </w:tc>
        <w:tc>
          <w:tcPr>
            <w:tcW w:w="6379" w:type="dxa"/>
            <w:tcBorders>
              <w:top w:val="nil"/>
              <w:left w:val="nil"/>
              <w:bottom w:val="single" w:sz="4" w:space="0" w:color="auto"/>
              <w:right w:val="single" w:sz="4" w:space="0" w:color="auto"/>
            </w:tcBorders>
            <w:shd w:val="clear" w:color="auto" w:fill="auto"/>
            <w:vAlign w:val="center"/>
            <w:hideMark/>
          </w:tcPr>
          <w:p w14:paraId="7AFA86C5" w14:textId="77777777" w:rsidR="00D868AB" w:rsidRPr="00D868AB" w:rsidRDefault="00D868AB" w:rsidP="00D868AB">
            <w:pPr>
              <w:rPr>
                <w:rFonts w:eastAsia="Times New Roman" w:cs="Arial"/>
                <w:sz w:val="18"/>
                <w:szCs w:val="18"/>
              </w:rPr>
            </w:pPr>
            <w:r w:rsidRPr="00D868AB">
              <w:rPr>
                <w:rFonts w:eastAsia="Times New Roman" w:cs="Arial"/>
                <w:sz w:val="18"/>
                <w:szCs w:val="18"/>
              </w:rPr>
              <w:t>Recuperación de inversiones financieras realizadas con fines de política.</w:t>
            </w:r>
          </w:p>
        </w:tc>
        <w:tc>
          <w:tcPr>
            <w:tcW w:w="1417" w:type="dxa"/>
            <w:tcBorders>
              <w:top w:val="nil"/>
              <w:left w:val="nil"/>
              <w:bottom w:val="single" w:sz="4" w:space="0" w:color="auto"/>
              <w:right w:val="single" w:sz="4" w:space="0" w:color="auto"/>
            </w:tcBorders>
            <w:shd w:val="clear" w:color="auto" w:fill="auto"/>
          </w:tcPr>
          <w:p w14:paraId="78112741"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1D6BC00F"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9C2770D"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 </w:t>
            </w:r>
          </w:p>
        </w:tc>
        <w:tc>
          <w:tcPr>
            <w:tcW w:w="6379" w:type="dxa"/>
            <w:tcBorders>
              <w:top w:val="nil"/>
              <w:left w:val="nil"/>
              <w:bottom w:val="single" w:sz="4" w:space="0" w:color="auto"/>
              <w:right w:val="single" w:sz="4" w:space="0" w:color="auto"/>
            </w:tcBorders>
            <w:shd w:val="clear" w:color="auto" w:fill="auto"/>
            <w:vAlign w:val="center"/>
            <w:hideMark/>
          </w:tcPr>
          <w:p w14:paraId="145E1F77"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Total de Ingresos</w:t>
            </w:r>
          </w:p>
        </w:tc>
        <w:tc>
          <w:tcPr>
            <w:tcW w:w="1417" w:type="dxa"/>
            <w:tcBorders>
              <w:top w:val="nil"/>
              <w:left w:val="nil"/>
              <w:bottom w:val="single" w:sz="4" w:space="0" w:color="auto"/>
              <w:right w:val="single" w:sz="4" w:space="0" w:color="auto"/>
            </w:tcBorders>
            <w:shd w:val="clear" w:color="auto" w:fill="auto"/>
          </w:tcPr>
          <w:p w14:paraId="79E9E7BA" w14:textId="77777777" w:rsidR="00D868AB" w:rsidRPr="00D868AB" w:rsidRDefault="00D868AB" w:rsidP="00D868AB">
            <w:pPr>
              <w:jc w:val="right"/>
              <w:rPr>
                <w:rFonts w:eastAsia="Times New Roman" w:cs="Arial"/>
                <w:b/>
                <w:bCs/>
                <w:sz w:val="18"/>
                <w:szCs w:val="18"/>
                <w:highlight w:val="yellow"/>
              </w:rPr>
            </w:pPr>
            <w:r w:rsidRPr="00D868AB">
              <w:rPr>
                <w:b/>
                <w:bCs/>
                <w:sz w:val="18"/>
                <w:szCs w:val="18"/>
              </w:rPr>
              <w:t>20,362,396,164</w:t>
            </w:r>
          </w:p>
        </w:tc>
      </w:tr>
      <w:tr w:rsidR="00D868AB" w:rsidRPr="00D868AB" w14:paraId="1BD23695"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9B3D218"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2</w:t>
            </w:r>
          </w:p>
        </w:tc>
        <w:tc>
          <w:tcPr>
            <w:tcW w:w="6379" w:type="dxa"/>
            <w:tcBorders>
              <w:top w:val="nil"/>
              <w:left w:val="nil"/>
              <w:bottom w:val="single" w:sz="4" w:space="0" w:color="auto"/>
              <w:right w:val="single" w:sz="4" w:space="0" w:color="auto"/>
            </w:tcBorders>
            <w:shd w:val="clear" w:color="auto" w:fill="auto"/>
            <w:vAlign w:val="center"/>
            <w:hideMark/>
          </w:tcPr>
          <w:p w14:paraId="128FC9F9"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Gastos</w:t>
            </w:r>
          </w:p>
        </w:tc>
        <w:tc>
          <w:tcPr>
            <w:tcW w:w="1417" w:type="dxa"/>
            <w:tcBorders>
              <w:top w:val="nil"/>
              <w:left w:val="nil"/>
              <w:bottom w:val="single" w:sz="4" w:space="0" w:color="auto"/>
              <w:right w:val="single" w:sz="4" w:space="0" w:color="auto"/>
            </w:tcBorders>
            <w:shd w:val="clear" w:color="auto" w:fill="auto"/>
          </w:tcPr>
          <w:p w14:paraId="31441479" w14:textId="77777777" w:rsidR="00D868AB" w:rsidRPr="00D868AB" w:rsidRDefault="00D868AB" w:rsidP="00D868AB">
            <w:pPr>
              <w:jc w:val="right"/>
              <w:rPr>
                <w:rFonts w:eastAsia="Times New Roman" w:cs="Arial"/>
                <w:sz w:val="18"/>
                <w:szCs w:val="18"/>
              </w:rPr>
            </w:pPr>
          </w:p>
        </w:tc>
      </w:tr>
      <w:tr w:rsidR="00D868AB" w:rsidRPr="00D868AB" w14:paraId="3EDDFDDC"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A84B6B0"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2.1</w:t>
            </w:r>
          </w:p>
        </w:tc>
        <w:tc>
          <w:tcPr>
            <w:tcW w:w="6379" w:type="dxa"/>
            <w:tcBorders>
              <w:top w:val="nil"/>
              <w:left w:val="nil"/>
              <w:bottom w:val="single" w:sz="4" w:space="0" w:color="auto"/>
              <w:right w:val="single" w:sz="4" w:space="0" w:color="auto"/>
            </w:tcBorders>
            <w:shd w:val="clear" w:color="auto" w:fill="auto"/>
            <w:vAlign w:val="center"/>
            <w:hideMark/>
          </w:tcPr>
          <w:p w14:paraId="00615F80"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Gastos Corrientes</w:t>
            </w:r>
          </w:p>
        </w:tc>
        <w:tc>
          <w:tcPr>
            <w:tcW w:w="1417" w:type="dxa"/>
            <w:tcBorders>
              <w:top w:val="nil"/>
              <w:left w:val="nil"/>
              <w:bottom w:val="single" w:sz="4" w:space="0" w:color="auto"/>
              <w:right w:val="single" w:sz="4" w:space="0" w:color="auto"/>
            </w:tcBorders>
            <w:shd w:val="clear" w:color="auto" w:fill="auto"/>
          </w:tcPr>
          <w:p w14:paraId="329951A5" w14:textId="77777777" w:rsidR="00D868AB" w:rsidRPr="00D868AB" w:rsidRDefault="00D868AB" w:rsidP="00D868AB">
            <w:pPr>
              <w:jc w:val="right"/>
              <w:rPr>
                <w:rFonts w:eastAsia="Times New Roman" w:cs="Arial"/>
                <w:b/>
                <w:bCs/>
                <w:sz w:val="18"/>
                <w:szCs w:val="18"/>
              </w:rPr>
            </w:pPr>
            <w:r w:rsidRPr="00D868AB">
              <w:rPr>
                <w:b/>
                <w:bCs/>
                <w:sz w:val="18"/>
                <w:szCs w:val="18"/>
              </w:rPr>
              <w:t>19,922,985,678</w:t>
            </w:r>
          </w:p>
        </w:tc>
      </w:tr>
      <w:tr w:rsidR="00D868AB" w:rsidRPr="00D868AB" w14:paraId="799EC184"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560BDC2" w14:textId="77777777" w:rsidR="00D868AB" w:rsidRPr="00D868AB" w:rsidRDefault="00D868AB" w:rsidP="00D868AB">
            <w:pPr>
              <w:rPr>
                <w:rFonts w:eastAsia="Times New Roman" w:cs="Arial"/>
                <w:sz w:val="18"/>
                <w:szCs w:val="18"/>
              </w:rPr>
            </w:pPr>
            <w:r w:rsidRPr="00D868AB">
              <w:rPr>
                <w:rFonts w:eastAsia="Times New Roman" w:cs="Arial"/>
                <w:sz w:val="18"/>
                <w:szCs w:val="18"/>
              </w:rPr>
              <w:lastRenderedPageBreak/>
              <w:t>2.1.1</w:t>
            </w:r>
          </w:p>
        </w:tc>
        <w:tc>
          <w:tcPr>
            <w:tcW w:w="6379" w:type="dxa"/>
            <w:tcBorders>
              <w:top w:val="nil"/>
              <w:left w:val="nil"/>
              <w:bottom w:val="single" w:sz="4" w:space="0" w:color="auto"/>
              <w:right w:val="single" w:sz="4" w:space="0" w:color="auto"/>
            </w:tcBorders>
            <w:shd w:val="clear" w:color="auto" w:fill="auto"/>
            <w:vAlign w:val="center"/>
            <w:hideMark/>
          </w:tcPr>
          <w:p w14:paraId="4B5C9757" w14:textId="77777777" w:rsidR="00D868AB" w:rsidRPr="00D868AB" w:rsidRDefault="00D868AB" w:rsidP="00D868AB">
            <w:pPr>
              <w:rPr>
                <w:rFonts w:eastAsia="Times New Roman" w:cs="Arial"/>
                <w:sz w:val="18"/>
                <w:szCs w:val="18"/>
              </w:rPr>
            </w:pPr>
            <w:r w:rsidRPr="00D868AB">
              <w:rPr>
                <w:rFonts w:eastAsia="Times New Roman" w:cs="Arial"/>
                <w:sz w:val="18"/>
                <w:szCs w:val="18"/>
              </w:rPr>
              <w:t>Gastos de consumo de los entes del Gobierno General/ Gastos de Explotación de las entidades empresariales.</w:t>
            </w:r>
          </w:p>
        </w:tc>
        <w:tc>
          <w:tcPr>
            <w:tcW w:w="1417" w:type="dxa"/>
            <w:tcBorders>
              <w:top w:val="nil"/>
              <w:left w:val="nil"/>
              <w:bottom w:val="single" w:sz="4" w:space="0" w:color="auto"/>
              <w:right w:val="single" w:sz="4" w:space="0" w:color="auto"/>
            </w:tcBorders>
            <w:shd w:val="clear" w:color="auto" w:fill="auto"/>
          </w:tcPr>
          <w:p w14:paraId="3A26B29B" w14:textId="77777777" w:rsidR="00D868AB" w:rsidRPr="00D868AB" w:rsidRDefault="00D868AB" w:rsidP="00D868AB">
            <w:pPr>
              <w:jc w:val="right"/>
              <w:rPr>
                <w:rFonts w:eastAsia="Times New Roman" w:cs="Arial"/>
                <w:sz w:val="18"/>
                <w:szCs w:val="18"/>
              </w:rPr>
            </w:pPr>
            <w:r w:rsidRPr="00D868AB">
              <w:rPr>
                <w:sz w:val="18"/>
                <w:szCs w:val="18"/>
              </w:rPr>
              <w:t>2,912,987,425</w:t>
            </w:r>
          </w:p>
        </w:tc>
      </w:tr>
      <w:tr w:rsidR="00D868AB" w:rsidRPr="00D868AB" w14:paraId="49BB1B37"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72E3A8"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2.1.1.1 </w:t>
            </w:r>
          </w:p>
        </w:tc>
        <w:tc>
          <w:tcPr>
            <w:tcW w:w="6379" w:type="dxa"/>
            <w:tcBorders>
              <w:top w:val="nil"/>
              <w:left w:val="nil"/>
              <w:bottom w:val="single" w:sz="4" w:space="0" w:color="auto"/>
              <w:right w:val="single" w:sz="4" w:space="0" w:color="auto"/>
            </w:tcBorders>
            <w:shd w:val="clear" w:color="auto" w:fill="auto"/>
            <w:vAlign w:val="center"/>
            <w:hideMark/>
          </w:tcPr>
          <w:p w14:paraId="049483DE" w14:textId="77777777" w:rsidR="00D868AB" w:rsidRPr="00D868AB" w:rsidRDefault="00D868AB" w:rsidP="00D868AB">
            <w:pPr>
              <w:rPr>
                <w:rFonts w:eastAsia="Times New Roman" w:cs="Arial"/>
                <w:sz w:val="18"/>
                <w:szCs w:val="18"/>
              </w:rPr>
            </w:pPr>
            <w:r w:rsidRPr="00D868AB">
              <w:rPr>
                <w:rFonts w:eastAsia="Times New Roman" w:cs="Arial"/>
                <w:sz w:val="18"/>
                <w:szCs w:val="18"/>
              </w:rPr>
              <w:t>Remuneraciones.</w:t>
            </w:r>
          </w:p>
        </w:tc>
        <w:tc>
          <w:tcPr>
            <w:tcW w:w="1417" w:type="dxa"/>
            <w:tcBorders>
              <w:top w:val="nil"/>
              <w:left w:val="nil"/>
              <w:bottom w:val="single" w:sz="4" w:space="0" w:color="auto"/>
              <w:right w:val="single" w:sz="4" w:space="0" w:color="auto"/>
            </w:tcBorders>
            <w:shd w:val="clear" w:color="auto" w:fill="auto"/>
          </w:tcPr>
          <w:p w14:paraId="50939B56" w14:textId="77777777" w:rsidR="00D868AB" w:rsidRPr="00D868AB" w:rsidRDefault="00D868AB" w:rsidP="00D868AB">
            <w:pPr>
              <w:jc w:val="right"/>
              <w:rPr>
                <w:rFonts w:eastAsia="Times New Roman" w:cs="Arial"/>
                <w:sz w:val="18"/>
                <w:szCs w:val="18"/>
              </w:rPr>
            </w:pPr>
            <w:r w:rsidRPr="00D868AB">
              <w:rPr>
                <w:sz w:val="18"/>
                <w:szCs w:val="18"/>
              </w:rPr>
              <w:t>2,179,669,974</w:t>
            </w:r>
          </w:p>
        </w:tc>
      </w:tr>
      <w:tr w:rsidR="00D868AB" w:rsidRPr="00D868AB" w14:paraId="53EF8F61"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A0FF92E"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2.1.1.2 </w:t>
            </w:r>
          </w:p>
        </w:tc>
        <w:tc>
          <w:tcPr>
            <w:tcW w:w="6379" w:type="dxa"/>
            <w:tcBorders>
              <w:top w:val="nil"/>
              <w:left w:val="nil"/>
              <w:bottom w:val="single" w:sz="4" w:space="0" w:color="auto"/>
              <w:right w:val="single" w:sz="4" w:space="0" w:color="auto"/>
            </w:tcBorders>
            <w:shd w:val="clear" w:color="auto" w:fill="auto"/>
            <w:vAlign w:val="center"/>
            <w:hideMark/>
          </w:tcPr>
          <w:p w14:paraId="41D71847" w14:textId="77777777" w:rsidR="00D868AB" w:rsidRPr="00D868AB" w:rsidRDefault="00D868AB" w:rsidP="00D868AB">
            <w:pPr>
              <w:rPr>
                <w:rFonts w:eastAsia="Times New Roman" w:cs="Arial"/>
                <w:sz w:val="18"/>
                <w:szCs w:val="18"/>
              </w:rPr>
            </w:pPr>
            <w:r w:rsidRPr="00D868AB">
              <w:rPr>
                <w:rFonts w:eastAsia="Times New Roman" w:cs="Arial"/>
                <w:sz w:val="18"/>
                <w:szCs w:val="18"/>
              </w:rPr>
              <w:t>Compra de bienes y servicios.</w:t>
            </w:r>
          </w:p>
        </w:tc>
        <w:tc>
          <w:tcPr>
            <w:tcW w:w="1417" w:type="dxa"/>
            <w:tcBorders>
              <w:top w:val="nil"/>
              <w:left w:val="nil"/>
              <w:bottom w:val="single" w:sz="4" w:space="0" w:color="auto"/>
              <w:right w:val="single" w:sz="4" w:space="0" w:color="auto"/>
            </w:tcBorders>
            <w:shd w:val="clear" w:color="auto" w:fill="auto"/>
          </w:tcPr>
          <w:p w14:paraId="73CB28F7" w14:textId="77777777" w:rsidR="00D868AB" w:rsidRPr="00D868AB" w:rsidRDefault="00D868AB" w:rsidP="00D868AB">
            <w:pPr>
              <w:jc w:val="right"/>
              <w:rPr>
                <w:rFonts w:eastAsia="Times New Roman" w:cs="Arial"/>
                <w:sz w:val="18"/>
                <w:szCs w:val="18"/>
              </w:rPr>
            </w:pPr>
            <w:r w:rsidRPr="00D868AB">
              <w:rPr>
                <w:sz w:val="18"/>
                <w:szCs w:val="18"/>
              </w:rPr>
              <w:t>694,655,755</w:t>
            </w:r>
          </w:p>
        </w:tc>
      </w:tr>
      <w:tr w:rsidR="00D868AB" w:rsidRPr="00D868AB" w14:paraId="19C5B913"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85C5BA0" w14:textId="77777777" w:rsidR="00D868AB" w:rsidRPr="00D868AB" w:rsidRDefault="00D868AB" w:rsidP="00D868AB">
            <w:pPr>
              <w:rPr>
                <w:rFonts w:eastAsia="Times New Roman" w:cs="Arial"/>
                <w:sz w:val="18"/>
                <w:szCs w:val="18"/>
              </w:rPr>
            </w:pPr>
            <w:r w:rsidRPr="00D868AB">
              <w:rPr>
                <w:rFonts w:eastAsia="Times New Roman" w:cs="Arial"/>
                <w:sz w:val="18"/>
                <w:szCs w:val="18"/>
              </w:rPr>
              <w:t>2.1.1.3</w:t>
            </w:r>
          </w:p>
        </w:tc>
        <w:tc>
          <w:tcPr>
            <w:tcW w:w="6379" w:type="dxa"/>
            <w:tcBorders>
              <w:top w:val="nil"/>
              <w:left w:val="nil"/>
              <w:bottom w:val="single" w:sz="4" w:space="0" w:color="auto"/>
              <w:right w:val="single" w:sz="4" w:space="0" w:color="auto"/>
            </w:tcBorders>
            <w:shd w:val="clear" w:color="auto" w:fill="auto"/>
            <w:vAlign w:val="center"/>
            <w:hideMark/>
          </w:tcPr>
          <w:p w14:paraId="7A33C55D" w14:textId="77777777" w:rsidR="00D868AB" w:rsidRPr="00D868AB" w:rsidRDefault="00D868AB" w:rsidP="00D868AB">
            <w:pPr>
              <w:rPr>
                <w:rFonts w:eastAsia="Times New Roman" w:cs="Arial"/>
                <w:sz w:val="18"/>
                <w:szCs w:val="18"/>
              </w:rPr>
            </w:pPr>
            <w:r w:rsidRPr="00D868AB">
              <w:rPr>
                <w:rFonts w:eastAsia="Times New Roman" w:cs="Arial"/>
                <w:sz w:val="18"/>
                <w:szCs w:val="18"/>
              </w:rPr>
              <w:t>Variación de Existencias (Disminución (+) Incremento (-)).</w:t>
            </w:r>
          </w:p>
        </w:tc>
        <w:tc>
          <w:tcPr>
            <w:tcW w:w="1417" w:type="dxa"/>
            <w:tcBorders>
              <w:top w:val="nil"/>
              <w:left w:val="nil"/>
              <w:bottom w:val="single" w:sz="4" w:space="0" w:color="auto"/>
              <w:right w:val="single" w:sz="4" w:space="0" w:color="auto"/>
            </w:tcBorders>
            <w:shd w:val="clear" w:color="auto" w:fill="auto"/>
          </w:tcPr>
          <w:p w14:paraId="2F27827D" w14:textId="77777777" w:rsidR="00D868AB" w:rsidRPr="00D868AB" w:rsidRDefault="00D868AB" w:rsidP="00D868AB">
            <w:pPr>
              <w:jc w:val="right"/>
              <w:rPr>
                <w:rFonts w:eastAsia="Times New Roman" w:cs="Arial"/>
                <w:sz w:val="18"/>
                <w:szCs w:val="18"/>
              </w:rPr>
            </w:pPr>
            <w:r w:rsidRPr="00D868AB">
              <w:rPr>
                <w:sz w:val="18"/>
                <w:szCs w:val="18"/>
              </w:rPr>
              <w:t>38,661,696</w:t>
            </w:r>
          </w:p>
        </w:tc>
      </w:tr>
      <w:tr w:rsidR="00D868AB" w:rsidRPr="00D868AB" w14:paraId="1F3C3CBA"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159C234" w14:textId="77777777" w:rsidR="00D868AB" w:rsidRPr="00D868AB" w:rsidRDefault="00D868AB" w:rsidP="00D868AB">
            <w:pPr>
              <w:rPr>
                <w:rFonts w:eastAsia="Times New Roman" w:cs="Arial"/>
                <w:sz w:val="18"/>
                <w:szCs w:val="18"/>
              </w:rPr>
            </w:pPr>
            <w:r w:rsidRPr="00D868AB">
              <w:rPr>
                <w:rFonts w:eastAsia="Times New Roman" w:cs="Arial"/>
                <w:sz w:val="18"/>
                <w:szCs w:val="18"/>
              </w:rPr>
              <w:t>2.1.1.4</w:t>
            </w:r>
          </w:p>
        </w:tc>
        <w:tc>
          <w:tcPr>
            <w:tcW w:w="6379" w:type="dxa"/>
            <w:tcBorders>
              <w:top w:val="nil"/>
              <w:left w:val="nil"/>
              <w:bottom w:val="single" w:sz="4" w:space="0" w:color="auto"/>
              <w:right w:val="single" w:sz="4" w:space="0" w:color="auto"/>
            </w:tcBorders>
            <w:shd w:val="clear" w:color="auto" w:fill="auto"/>
            <w:vAlign w:val="center"/>
            <w:hideMark/>
          </w:tcPr>
          <w:p w14:paraId="7B7C167C" w14:textId="77777777" w:rsidR="00D868AB" w:rsidRPr="00D868AB" w:rsidRDefault="00D868AB" w:rsidP="00D868AB">
            <w:pPr>
              <w:rPr>
                <w:rFonts w:eastAsia="Times New Roman" w:cs="Arial"/>
                <w:sz w:val="18"/>
                <w:szCs w:val="18"/>
              </w:rPr>
            </w:pPr>
            <w:r w:rsidRPr="00D868AB">
              <w:rPr>
                <w:rFonts w:eastAsia="Times New Roman" w:cs="Arial"/>
                <w:sz w:val="18"/>
                <w:szCs w:val="18"/>
              </w:rPr>
              <w:t>Depreciación y amortización (Consumo de Capital Fijo).</w:t>
            </w:r>
          </w:p>
        </w:tc>
        <w:tc>
          <w:tcPr>
            <w:tcW w:w="1417" w:type="dxa"/>
            <w:tcBorders>
              <w:top w:val="nil"/>
              <w:left w:val="nil"/>
              <w:bottom w:val="single" w:sz="4" w:space="0" w:color="auto"/>
              <w:right w:val="single" w:sz="4" w:space="0" w:color="auto"/>
            </w:tcBorders>
            <w:shd w:val="clear" w:color="auto" w:fill="auto"/>
          </w:tcPr>
          <w:p w14:paraId="62778BD4"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2C266785"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4F276F2" w14:textId="77777777" w:rsidR="00D868AB" w:rsidRPr="00D868AB" w:rsidRDefault="00D868AB" w:rsidP="00D868AB">
            <w:pPr>
              <w:rPr>
                <w:rFonts w:eastAsia="Times New Roman" w:cs="Arial"/>
                <w:sz w:val="18"/>
                <w:szCs w:val="18"/>
              </w:rPr>
            </w:pPr>
            <w:r w:rsidRPr="00D868AB">
              <w:rPr>
                <w:rFonts w:eastAsia="Times New Roman" w:cs="Arial"/>
                <w:sz w:val="18"/>
                <w:szCs w:val="18"/>
              </w:rPr>
              <w:t>2.1.1.5</w:t>
            </w:r>
          </w:p>
        </w:tc>
        <w:tc>
          <w:tcPr>
            <w:tcW w:w="6379" w:type="dxa"/>
            <w:tcBorders>
              <w:top w:val="nil"/>
              <w:left w:val="nil"/>
              <w:bottom w:val="single" w:sz="4" w:space="0" w:color="auto"/>
              <w:right w:val="single" w:sz="4" w:space="0" w:color="auto"/>
            </w:tcBorders>
            <w:shd w:val="clear" w:color="auto" w:fill="auto"/>
            <w:vAlign w:val="center"/>
            <w:hideMark/>
          </w:tcPr>
          <w:p w14:paraId="44CA17C7" w14:textId="77777777" w:rsidR="00D868AB" w:rsidRPr="00D868AB" w:rsidRDefault="00D868AB" w:rsidP="00D868AB">
            <w:pPr>
              <w:rPr>
                <w:rFonts w:eastAsia="Times New Roman" w:cs="Arial"/>
                <w:sz w:val="18"/>
                <w:szCs w:val="18"/>
              </w:rPr>
            </w:pPr>
            <w:r w:rsidRPr="00D868AB">
              <w:rPr>
                <w:rFonts w:eastAsia="Times New Roman" w:cs="Arial"/>
                <w:sz w:val="18"/>
                <w:szCs w:val="18"/>
              </w:rPr>
              <w:t>Estimaciones por Deterioro de Inventarios.</w:t>
            </w:r>
          </w:p>
        </w:tc>
        <w:tc>
          <w:tcPr>
            <w:tcW w:w="1417" w:type="dxa"/>
            <w:tcBorders>
              <w:top w:val="nil"/>
              <w:left w:val="nil"/>
              <w:bottom w:val="single" w:sz="4" w:space="0" w:color="auto"/>
              <w:right w:val="single" w:sz="4" w:space="0" w:color="auto"/>
            </w:tcBorders>
            <w:shd w:val="clear" w:color="auto" w:fill="auto"/>
          </w:tcPr>
          <w:p w14:paraId="17FEFC6C"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67AF27DC"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85E1A34" w14:textId="77777777" w:rsidR="00D868AB" w:rsidRPr="00D868AB" w:rsidRDefault="00D868AB" w:rsidP="00D868AB">
            <w:pPr>
              <w:rPr>
                <w:rFonts w:eastAsia="Times New Roman" w:cs="Arial"/>
                <w:sz w:val="18"/>
                <w:szCs w:val="18"/>
              </w:rPr>
            </w:pPr>
            <w:r w:rsidRPr="00D868AB">
              <w:rPr>
                <w:rFonts w:eastAsia="Times New Roman" w:cs="Arial"/>
                <w:sz w:val="18"/>
                <w:szCs w:val="18"/>
              </w:rPr>
              <w:t>2.1.1.6</w:t>
            </w:r>
          </w:p>
        </w:tc>
        <w:tc>
          <w:tcPr>
            <w:tcW w:w="6379" w:type="dxa"/>
            <w:tcBorders>
              <w:top w:val="nil"/>
              <w:left w:val="nil"/>
              <w:bottom w:val="single" w:sz="4" w:space="0" w:color="auto"/>
              <w:right w:val="single" w:sz="4" w:space="0" w:color="auto"/>
            </w:tcBorders>
            <w:shd w:val="clear" w:color="auto" w:fill="auto"/>
            <w:vAlign w:val="center"/>
            <w:hideMark/>
          </w:tcPr>
          <w:p w14:paraId="2D202245" w14:textId="77777777" w:rsidR="00D868AB" w:rsidRPr="00D868AB" w:rsidRDefault="00D868AB" w:rsidP="00D868AB">
            <w:pPr>
              <w:rPr>
                <w:rFonts w:eastAsia="Times New Roman" w:cs="Arial"/>
                <w:sz w:val="18"/>
                <w:szCs w:val="18"/>
              </w:rPr>
            </w:pPr>
            <w:r w:rsidRPr="00D868AB">
              <w:rPr>
                <w:rFonts w:eastAsia="Times New Roman" w:cs="Arial"/>
                <w:sz w:val="18"/>
                <w:szCs w:val="18"/>
              </w:rPr>
              <w:t>Impuestos sobre los productos, la producción y las importaciones de las entidades empresariales.</w:t>
            </w:r>
          </w:p>
        </w:tc>
        <w:tc>
          <w:tcPr>
            <w:tcW w:w="1417" w:type="dxa"/>
            <w:tcBorders>
              <w:top w:val="nil"/>
              <w:left w:val="nil"/>
              <w:bottom w:val="single" w:sz="4" w:space="0" w:color="auto"/>
              <w:right w:val="single" w:sz="4" w:space="0" w:color="auto"/>
            </w:tcBorders>
            <w:shd w:val="clear" w:color="auto" w:fill="auto"/>
          </w:tcPr>
          <w:p w14:paraId="44CF81B0"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040FC84C"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599047A" w14:textId="77777777" w:rsidR="00D868AB" w:rsidRPr="00D868AB" w:rsidRDefault="00D868AB" w:rsidP="00D868AB">
            <w:pPr>
              <w:rPr>
                <w:rFonts w:eastAsia="Times New Roman" w:cs="Arial"/>
                <w:sz w:val="18"/>
                <w:szCs w:val="18"/>
              </w:rPr>
            </w:pPr>
            <w:r w:rsidRPr="00D868AB">
              <w:rPr>
                <w:rFonts w:eastAsia="Times New Roman" w:cs="Arial"/>
                <w:sz w:val="18"/>
                <w:szCs w:val="18"/>
              </w:rPr>
              <w:t>2.1.2</w:t>
            </w:r>
          </w:p>
        </w:tc>
        <w:tc>
          <w:tcPr>
            <w:tcW w:w="6379" w:type="dxa"/>
            <w:tcBorders>
              <w:top w:val="nil"/>
              <w:left w:val="nil"/>
              <w:bottom w:val="single" w:sz="4" w:space="0" w:color="auto"/>
              <w:right w:val="single" w:sz="4" w:space="0" w:color="auto"/>
            </w:tcBorders>
            <w:shd w:val="clear" w:color="auto" w:fill="auto"/>
            <w:vAlign w:val="center"/>
            <w:hideMark/>
          </w:tcPr>
          <w:p w14:paraId="1A4DA932" w14:textId="77777777" w:rsidR="00D868AB" w:rsidRPr="00D868AB" w:rsidRDefault="00D868AB" w:rsidP="00D868AB">
            <w:pPr>
              <w:rPr>
                <w:rFonts w:eastAsia="Times New Roman" w:cs="Arial"/>
                <w:sz w:val="18"/>
                <w:szCs w:val="18"/>
              </w:rPr>
            </w:pPr>
            <w:r w:rsidRPr="00D868AB">
              <w:rPr>
                <w:rFonts w:eastAsia="Times New Roman" w:cs="Arial"/>
                <w:sz w:val="18"/>
                <w:szCs w:val="18"/>
              </w:rPr>
              <w:t>Prestaciones de la Seguridad Social.</w:t>
            </w:r>
          </w:p>
        </w:tc>
        <w:tc>
          <w:tcPr>
            <w:tcW w:w="1417" w:type="dxa"/>
            <w:tcBorders>
              <w:top w:val="nil"/>
              <w:left w:val="nil"/>
              <w:bottom w:val="single" w:sz="4" w:space="0" w:color="auto"/>
              <w:right w:val="single" w:sz="4" w:space="0" w:color="auto"/>
            </w:tcBorders>
            <w:shd w:val="clear" w:color="auto" w:fill="auto"/>
          </w:tcPr>
          <w:p w14:paraId="306093B8" w14:textId="77777777" w:rsidR="00D868AB" w:rsidRPr="00D868AB" w:rsidRDefault="00D868AB" w:rsidP="00D868AB">
            <w:pPr>
              <w:jc w:val="right"/>
              <w:rPr>
                <w:rFonts w:eastAsia="Times New Roman" w:cs="Arial"/>
                <w:sz w:val="18"/>
                <w:szCs w:val="18"/>
              </w:rPr>
            </w:pPr>
            <w:r w:rsidRPr="00D868AB">
              <w:rPr>
                <w:sz w:val="18"/>
                <w:szCs w:val="18"/>
              </w:rPr>
              <w:t>1,139,437,158</w:t>
            </w:r>
          </w:p>
        </w:tc>
      </w:tr>
      <w:tr w:rsidR="00D868AB" w:rsidRPr="00D868AB" w14:paraId="154E895B"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83C5E7" w14:textId="77777777" w:rsidR="00D868AB" w:rsidRPr="00D868AB" w:rsidRDefault="00D868AB" w:rsidP="00D868AB">
            <w:pPr>
              <w:rPr>
                <w:rFonts w:eastAsia="Times New Roman" w:cs="Arial"/>
                <w:sz w:val="18"/>
                <w:szCs w:val="18"/>
              </w:rPr>
            </w:pPr>
            <w:r w:rsidRPr="00D868AB">
              <w:rPr>
                <w:rFonts w:eastAsia="Times New Roman" w:cs="Arial"/>
                <w:sz w:val="18"/>
                <w:szCs w:val="18"/>
              </w:rPr>
              <w:t>2.1.3</w:t>
            </w:r>
          </w:p>
        </w:tc>
        <w:tc>
          <w:tcPr>
            <w:tcW w:w="6379" w:type="dxa"/>
            <w:tcBorders>
              <w:top w:val="nil"/>
              <w:left w:val="nil"/>
              <w:bottom w:val="single" w:sz="4" w:space="0" w:color="auto"/>
              <w:right w:val="single" w:sz="4" w:space="0" w:color="auto"/>
            </w:tcBorders>
            <w:shd w:val="clear" w:color="auto" w:fill="auto"/>
            <w:vAlign w:val="center"/>
            <w:hideMark/>
          </w:tcPr>
          <w:p w14:paraId="164C14E6" w14:textId="77777777" w:rsidR="00D868AB" w:rsidRPr="00D868AB" w:rsidRDefault="00D868AB" w:rsidP="00D868AB">
            <w:pPr>
              <w:rPr>
                <w:rFonts w:eastAsia="Times New Roman" w:cs="Arial"/>
                <w:sz w:val="18"/>
                <w:szCs w:val="18"/>
              </w:rPr>
            </w:pPr>
            <w:r w:rsidRPr="00D868AB">
              <w:rPr>
                <w:rFonts w:eastAsia="Times New Roman" w:cs="Arial"/>
                <w:sz w:val="18"/>
                <w:szCs w:val="18"/>
              </w:rPr>
              <w:t>Gastos de la propiedad.</w:t>
            </w:r>
          </w:p>
        </w:tc>
        <w:tc>
          <w:tcPr>
            <w:tcW w:w="1417" w:type="dxa"/>
            <w:tcBorders>
              <w:top w:val="nil"/>
              <w:left w:val="nil"/>
              <w:bottom w:val="single" w:sz="4" w:space="0" w:color="auto"/>
              <w:right w:val="single" w:sz="4" w:space="0" w:color="auto"/>
            </w:tcBorders>
            <w:shd w:val="clear" w:color="auto" w:fill="auto"/>
          </w:tcPr>
          <w:p w14:paraId="7FCA7745" w14:textId="77777777" w:rsidR="00D868AB" w:rsidRPr="00D868AB" w:rsidRDefault="00D868AB" w:rsidP="00D868AB">
            <w:pPr>
              <w:jc w:val="right"/>
              <w:rPr>
                <w:rFonts w:eastAsia="Times New Roman" w:cs="Arial"/>
                <w:sz w:val="18"/>
                <w:szCs w:val="18"/>
              </w:rPr>
            </w:pPr>
            <w:r w:rsidRPr="00D868AB">
              <w:rPr>
                <w:sz w:val="18"/>
                <w:szCs w:val="18"/>
              </w:rPr>
              <w:t>430,560,861</w:t>
            </w:r>
          </w:p>
        </w:tc>
      </w:tr>
      <w:tr w:rsidR="00D868AB" w:rsidRPr="00D868AB" w14:paraId="70AF6A95"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0F82222" w14:textId="77777777" w:rsidR="00D868AB" w:rsidRPr="00D868AB" w:rsidRDefault="00D868AB" w:rsidP="00D868AB">
            <w:pPr>
              <w:rPr>
                <w:rFonts w:eastAsia="Times New Roman" w:cs="Arial"/>
                <w:sz w:val="18"/>
                <w:szCs w:val="18"/>
              </w:rPr>
            </w:pPr>
            <w:r w:rsidRPr="00D868AB">
              <w:rPr>
                <w:rFonts w:eastAsia="Times New Roman" w:cs="Arial"/>
                <w:sz w:val="18"/>
                <w:szCs w:val="18"/>
              </w:rPr>
              <w:t>2.1.3.1</w:t>
            </w:r>
          </w:p>
        </w:tc>
        <w:tc>
          <w:tcPr>
            <w:tcW w:w="6379" w:type="dxa"/>
            <w:tcBorders>
              <w:top w:val="nil"/>
              <w:left w:val="nil"/>
              <w:bottom w:val="single" w:sz="4" w:space="0" w:color="auto"/>
              <w:right w:val="single" w:sz="4" w:space="0" w:color="auto"/>
            </w:tcBorders>
            <w:shd w:val="clear" w:color="auto" w:fill="auto"/>
            <w:vAlign w:val="center"/>
            <w:hideMark/>
          </w:tcPr>
          <w:p w14:paraId="4A421D0F" w14:textId="77777777" w:rsidR="00D868AB" w:rsidRPr="00D868AB" w:rsidRDefault="00D868AB" w:rsidP="00D868AB">
            <w:pPr>
              <w:rPr>
                <w:rFonts w:eastAsia="Times New Roman" w:cs="Arial"/>
                <w:sz w:val="18"/>
                <w:szCs w:val="18"/>
              </w:rPr>
            </w:pPr>
            <w:r w:rsidRPr="00D868AB">
              <w:rPr>
                <w:rFonts w:eastAsia="Times New Roman" w:cs="Arial"/>
                <w:sz w:val="18"/>
                <w:szCs w:val="18"/>
              </w:rPr>
              <w:t>Intereses.</w:t>
            </w:r>
          </w:p>
        </w:tc>
        <w:tc>
          <w:tcPr>
            <w:tcW w:w="1417" w:type="dxa"/>
            <w:tcBorders>
              <w:top w:val="nil"/>
              <w:left w:val="nil"/>
              <w:bottom w:val="single" w:sz="4" w:space="0" w:color="auto"/>
              <w:right w:val="single" w:sz="4" w:space="0" w:color="auto"/>
            </w:tcBorders>
            <w:shd w:val="clear" w:color="auto" w:fill="auto"/>
          </w:tcPr>
          <w:p w14:paraId="6561B6D1" w14:textId="77777777" w:rsidR="00D868AB" w:rsidRPr="00D868AB" w:rsidRDefault="00D868AB" w:rsidP="00D868AB">
            <w:pPr>
              <w:jc w:val="right"/>
              <w:rPr>
                <w:rFonts w:eastAsia="Times New Roman" w:cs="Arial"/>
                <w:sz w:val="18"/>
                <w:szCs w:val="18"/>
              </w:rPr>
            </w:pPr>
            <w:r w:rsidRPr="00D868AB">
              <w:rPr>
                <w:sz w:val="18"/>
                <w:szCs w:val="18"/>
              </w:rPr>
              <w:t>422,355,861</w:t>
            </w:r>
          </w:p>
        </w:tc>
      </w:tr>
      <w:tr w:rsidR="00D868AB" w:rsidRPr="00D868AB" w14:paraId="77CDDF55"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1498BD3C" w14:textId="77777777" w:rsidR="00D868AB" w:rsidRPr="00D868AB" w:rsidRDefault="00D868AB" w:rsidP="00D868AB">
            <w:pPr>
              <w:rPr>
                <w:rFonts w:eastAsia="Times New Roman" w:cs="Arial"/>
                <w:sz w:val="18"/>
                <w:szCs w:val="18"/>
              </w:rPr>
            </w:pPr>
            <w:r w:rsidRPr="00D868AB">
              <w:rPr>
                <w:rFonts w:eastAsia="Times New Roman" w:cs="Arial"/>
                <w:sz w:val="18"/>
                <w:szCs w:val="18"/>
              </w:rPr>
              <w:t>2.1.3.2</w:t>
            </w:r>
          </w:p>
        </w:tc>
        <w:tc>
          <w:tcPr>
            <w:tcW w:w="6379" w:type="dxa"/>
            <w:tcBorders>
              <w:top w:val="nil"/>
              <w:left w:val="nil"/>
              <w:bottom w:val="single" w:sz="4" w:space="0" w:color="auto"/>
              <w:right w:val="single" w:sz="4" w:space="0" w:color="auto"/>
            </w:tcBorders>
            <w:shd w:val="clear" w:color="auto" w:fill="auto"/>
            <w:vAlign w:val="center"/>
            <w:hideMark/>
          </w:tcPr>
          <w:p w14:paraId="42A057E0" w14:textId="77777777" w:rsidR="00D868AB" w:rsidRPr="00D868AB" w:rsidRDefault="00D868AB" w:rsidP="00D868AB">
            <w:pPr>
              <w:rPr>
                <w:rFonts w:eastAsia="Times New Roman" w:cs="Arial"/>
                <w:sz w:val="18"/>
                <w:szCs w:val="18"/>
              </w:rPr>
            </w:pPr>
            <w:r w:rsidRPr="00D868AB">
              <w:rPr>
                <w:rFonts w:eastAsia="Times New Roman" w:cs="Arial"/>
                <w:sz w:val="18"/>
                <w:szCs w:val="18"/>
              </w:rPr>
              <w:t>Gastos de la Propiedad Distintos de Intereses.</w:t>
            </w:r>
          </w:p>
        </w:tc>
        <w:tc>
          <w:tcPr>
            <w:tcW w:w="1417" w:type="dxa"/>
            <w:tcBorders>
              <w:top w:val="nil"/>
              <w:left w:val="nil"/>
              <w:bottom w:val="single" w:sz="4" w:space="0" w:color="auto"/>
              <w:right w:val="single" w:sz="4" w:space="0" w:color="auto"/>
            </w:tcBorders>
            <w:shd w:val="clear" w:color="auto" w:fill="auto"/>
          </w:tcPr>
          <w:p w14:paraId="1C58053E" w14:textId="77777777" w:rsidR="00D868AB" w:rsidRPr="00D868AB" w:rsidRDefault="00D868AB" w:rsidP="00D868AB">
            <w:pPr>
              <w:jc w:val="right"/>
              <w:rPr>
                <w:rFonts w:eastAsia="Times New Roman" w:cs="Arial"/>
                <w:sz w:val="18"/>
                <w:szCs w:val="18"/>
              </w:rPr>
            </w:pPr>
            <w:r w:rsidRPr="00D868AB">
              <w:rPr>
                <w:sz w:val="18"/>
                <w:szCs w:val="18"/>
              </w:rPr>
              <w:t>8,205,000</w:t>
            </w:r>
          </w:p>
        </w:tc>
      </w:tr>
      <w:tr w:rsidR="00D868AB" w:rsidRPr="00D868AB" w14:paraId="429AB424"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FFDA87B" w14:textId="77777777" w:rsidR="00D868AB" w:rsidRPr="00D868AB" w:rsidRDefault="00D868AB" w:rsidP="00D868AB">
            <w:pPr>
              <w:rPr>
                <w:rFonts w:eastAsia="Times New Roman" w:cs="Arial"/>
                <w:sz w:val="18"/>
                <w:szCs w:val="18"/>
              </w:rPr>
            </w:pPr>
            <w:r w:rsidRPr="00D868AB">
              <w:rPr>
                <w:rFonts w:eastAsia="Times New Roman" w:cs="Arial"/>
                <w:sz w:val="18"/>
                <w:szCs w:val="18"/>
              </w:rPr>
              <w:t>2.1.4</w:t>
            </w:r>
          </w:p>
        </w:tc>
        <w:tc>
          <w:tcPr>
            <w:tcW w:w="6379" w:type="dxa"/>
            <w:tcBorders>
              <w:top w:val="nil"/>
              <w:left w:val="nil"/>
              <w:bottom w:val="single" w:sz="4" w:space="0" w:color="auto"/>
              <w:right w:val="single" w:sz="4" w:space="0" w:color="auto"/>
            </w:tcBorders>
            <w:shd w:val="clear" w:color="auto" w:fill="auto"/>
            <w:vAlign w:val="center"/>
            <w:hideMark/>
          </w:tcPr>
          <w:p w14:paraId="3135400A" w14:textId="77777777" w:rsidR="00D868AB" w:rsidRPr="00D868AB" w:rsidRDefault="00D868AB" w:rsidP="00D868AB">
            <w:pPr>
              <w:rPr>
                <w:rFonts w:eastAsia="Times New Roman" w:cs="Arial"/>
                <w:sz w:val="18"/>
                <w:szCs w:val="18"/>
              </w:rPr>
            </w:pPr>
            <w:r w:rsidRPr="00D868AB">
              <w:rPr>
                <w:rFonts w:eastAsia="Times New Roman" w:cs="Arial"/>
                <w:sz w:val="18"/>
                <w:szCs w:val="18"/>
              </w:rPr>
              <w:t>Subsidios y Subvenciones a Empresas.</w:t>
            </w:r>
          </w:p>
        </w:tc>
        <w:tc>
          <w:tcPr>
            <w:tcW w:w="1417" w:type="dxa"/>
            <w:tcBorders>
              <w:top w:val="nil"/>
              <w:left w:val="nil"/>
              <w:bottom w:val="single" w:sz="4" w:space="0" w:color="auto"/>
              <w:right w:val="single" w:sz="4" w:space="0" w:color="auto"/>
            </w:tcBorders>
            <w:shd w:val="clear" w:color="auto" w:fill="auto"/>
          </w:tcPr>
          <w:p w14:paraId="62E692CD"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233DA381"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3FD919C" w14:textId="77777777" w:rsidR="00D868AB" w:rsidRPr="00D868AB" w:rsidRDefault="00D868AB" w:rsidP="00D868AB">
            <w:pPr>
              <w:rPr>
                <w:rFonts w:eastAsia="Times New Roman" w:cs="Arial"/>
                <w:sz w:val="18"/>
                <w:szCs w:val="18"/>
              </w:rPr>
            </w:pPr>
            <w:r w:rsidRPr="00D868AB">
              <w:rPr>
                <w:rFonts w:eastAsia="Times New Roman" w:cs="Arial"/>
                <w:sz w:val="18"/>
                <w:szCs w:val="18"/>
              </w:rPr>
              <w:t>2.1.5</w:t>
            </w:r>
          </w:p>
        </w:tc>
        <w:tc>
          <w:tcPr>
            <w:tcW w:w="6379" w:type="dxa"/>
            <w:tcBorders>
              <w:top w:val="nil"/>
              <w:left w:val="nil"/>
              <w:bottom w:val="single" w:sz="4" w:space="0" w:color="auto"/>
              <w:right w:val="single" w:sz="4" w:space="0" w:color="auto"/>
            </w:tcBorders>
            <w:shd w:val="clear" w:color="auto" w:fill="auto"/>
            <w:vAlign w:val="center"/>
            <w:hideMark/>
          </w:tcPr>
          <w:p w14:paraId="71C7E0EA" w14:textId="77777777" w:rsidR="00D868AB" w:rsidRPr="00D868AB" w:rsidRDefault="00D868AB" w:rsidP="00D868AB">
            <w:pPr>
              <w:rPr>
                <w:rFonts w:eastAsia="Times New Roman" w:cs="Arial"/>
                <w:sz w:val="18"/>
                <w:szCs w:val="18"/>
              </w:rPr>
            </w:pPr>
            <w:r w:rsidRPr="00D868AB">
              <w:rPr>
                <w:rFonts w:eastAsia="Times New Roman" w:cs="Arial"/>
                <w:sz w:val="18"/>
                <w:szCs w:val="18"/>
              </w:rPr>
              <w:t>Transferencias, asignaciones y donativos corrientes otorgados.</w:t>
            </w:r>
          </w:p>
        </w:tc>
        <w:tc>
          <w:tcPr>
            <w:tcW w:w="1417" w:type="dxa"/>
            <w:tcBorders>
              <w:top w:val="nil"/>
              <w:left w:val="nil"/>
              <w:bottom w:val="single" w:sz="4" w:space="0" w:color="auto"/>
              <w:right w:val="single" w:sz="4" w:space="0" w:color="auto"/>
            </w:tcBorders>
            <w:shd w:val="clear" w:color="auto" w:fill="auto"/>
          </w:tcPr>
          <w:p w14:paraId="1C0C69A5" w14:textId="77777777" w:rsidR="00D868AB" w:rsidRPr="00D868AB" w:rsidRDefault="00D868AB" w:rsidP="00D868AB">
            <w:pPr>
              <w:jc w:val="right"/>
              <w:rPr>
                <w:rFonts w:eastAsia="Times New Roman" w:cs="Arial"/>
                <w:sz w:val="18"/>
                <w:szCs w:val="18"/>
              </w:rPr>
            </w:pPr>
            <w:r w:rsidRPr="00D868AB">
              <w:rPr>
                <w:sz w:val="18"/>
                <w:szCs w:val="18"/>
              </w:rPr>
              <w:t>12,142,375,973</w:t>
            </w:r>
          </w:p>
        </w:tc>
      </w:tr>
      <w:tr w:rsidR="00D868AB" w:rsidRPr="00D868AB" w14:paraId="1DA1B530"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EB6470F" w14:textId="77777777" w:rsidR="00D868AB" w:rsidRPr="00D868AB" w:rsidRDefault="00D868AB" w:rsidP="00D868AB">
            <w:pPr>
              <w:rPr>
                <w:rFonts w:eastAsia="Times New Roman" w:cs="Arial"/>
                <w:sz w:val="18"/>
                <w:szCs w:val="18"/>
              </w:rPr>
            </w:pPr>
            <w:r w:rsidRPr="00D868AB">
              <w:rPr>
                <w:rFonts w:eastAsia="Times New Roman" w:cs="Arial"/>
                <w:sz w:val="18"/>
                <w:szCs w:val="18"/>
              </w:rPr>
              <w:t>2.1.6</w:t>
            </w:r>
          </w:p>
        </w:tc>
        <w:tc>
          <w:tcPr>
            <w:tcW w:w="6379" w:type="dxa"/>
            <w:tcBorders>
              <w:top w:val="nil"/>
              <w:left w:val="nil"/>
              <w:bottom w:val="single" w:sz="4" w:space="0" w:color="auto"/>
              <w:right w:val="single" w:sz="4" w:space="0" w:color="auto"/>
            </w:tcBorders>
            <w:shd w:val="clear" w:color="auto" w:fill="auto"/>
            <w:vAlign w:val="center"/>
            <w:hideMark/>
          </w:tcPr>
          <w:p w14:paraId="01D0D0F6" w14:textId="77777777" w:rsidR="00D868AB" w:rsidRPr="00D868AB" w:rsidRDefault="00D868AB" w:rsidP="00D868AB">
            <w:pPr>
              <w:rPr>
                <w:rFonts w:eastAsia="Times New Roman" w:cs="Arial"/>
                <w:sz w:val="18"/>
                <w:szCs w:val="18"/>
              </w:rPr>
            </w:pPr>
            <w:r w:rsidRPr="00D868AB">
              <w:rPr>
                <w:rFonts w:eastAsia="Times New Roman" w:cs="Arial"/>
                <w:sz w:val="18"/>
                <w:szCs w:val="18"/>
              </w:rPr>
              <w:t>Impuestos sobre los ingresos, la riqueza y otros a las entidades empresariales públicas.</w:t>
            </w:r>
          </w:p>
        </w:tc>
        <w:tc>
          <w:tcPr>
            <w:tcW w:w="1417" w:type="dxa"/>
            <w:tcBorders>
              <w:top w:val="nil"/>
              <w:left w:val="nil"/>
              <w:bottom w:val="single" w:sz="4" w:space="0" w:color="auto"/>
              <w:right w:val="single" w:sz="4" w:space="0" w:color="auto"/>
            </w:tcBorders>
            <w:shd w:val="clear" w:color="auto" w:fill="auto"/>
          </w:tcPr>
          <w:p w14:paraId="42ED1DEC"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0EC1F9E0"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FB0C3BC" w14:textId="77777777" w:rsidR="00D868AB" w:rsidRPr="00D868AB" w:rsidRDefault="00D868AB" w:rsidP="00D868AB">
            <w:pPr>
              <w:rPr>
                <w:rFonts w:eastAsia="Times New Roman" w:cs="Arial"/>
                <w:sz w:val="18"/>
                <w:szCs w:val="18"/>
              </w:rPr>
            </w:pPr>
            <w:r w:rsidRPr="00D868AB">
              <w:rPr>
                <w:rFonts w:eastAsia="Times New Roman" w:cs="Arial"/>
                <w:sz w:val="18"/>
                <w:szCs w:val="18"/>
              </w:rPr>
              <w:t>2.1.7</w:t>
            </w:r>
          </w:p>
        </w:tc>
        <w:tc>
          <w:tcPr>
            <w:tcW w:w="6379" w:type="dxa"/>
            <w:tcBorders>
              <w:top w:val="nil"/>
              <w:left w:val="nil"/>
              <w:bottom w:val="single" w:sz="4" w:space="0" w:color="auto"/>
              <w:right w:val="single" w:sz="4" w:space="0" w:color="auto"/>
            </w:tcBorders>
            <w:shd w:val="clear" w:color="auto" w:fill="auto"/>
            <w:vAlign w:val="center"/>
            <w:hideMark/>
          </w:tcPr>
          <w:p w14:paraId="1B51E036" w14:textId="77777777" w:rsidR="00D868AB" w:rsidRPr="00D868AB" w:rsidRDefault="00D868AB" w:rsidP="00D868AB">
            <w:pPr>
              <w:rPr>
                <w:rFonts w:eastAsia="Times New Roman" w:cs="Arial"/>
                <w:sz w:val="18"/>
                <w:szCs w:val="18"/>
              </w:rPr>
            </w:pPr>
            <w:r w:rsidRPr="00D868AB">
              <w:rPr>
                <w:rFonts w:eastAsia="Times New Roman" w:cs="Arial"/>
                <w:sz w:val="18"/>
                <w:szCs w:val="18"/>
              </w:rPr>
              <w:t>Participaciones.</w:t>
            </w:r>
          </w:p>
        </w:tc>
        <w:tc>
          <w:tcPr>
            <w:tcW w:w="1417" w:type="dxa"/>
            <w:tcBorders>
              <w:top w:val="nil"/>
              <w:left w:val="nil"/>
              <w:bottom w:val="single" w:sz="4" w:space="0" w:color="auto"/>
              <w:right w:val="single" w:sz="4" w:space="0" w:color="auto"/>
            </w:tcBorders>
            <w:shd w:val="clear" w:color="auto" w:fill="auto"/>
          </w:tcPr>
          <w:p w14:paraId="2F133416" w14:textId="77777777" w:rsidR="00D868AB" w:rsidRPr="00D868AB" w:rsidRDefault="00D868AB" w:rsidP="00D868AB">
            <w:pPr>
              <w:jc w:val="right"/>
              <w:rPr>
                <w:rFonts w:eastAsia="Times New Roman" w:cs="Arial"/>
                <w:sz w:val="18"/>
                <w:szCs w:val="18"/>
              </w:rPr>
            </w:pPr>
            <w:r w:rsidRPr="00D868AB">
              <w:rPr>
                <w:sz w:val="18"/>
                <w:szCs w:val="18"/>
              </w:rPr>
              <w:t>3,297,624,261</w:t>
            </w:r>
          </w:p>
        </w:tc>
      </w:tr>
      <w:tr w:rsidR="00D868AB" w:rsidRPr="00D868AB" w14:paraId="57FFD712"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9BBD99" w14:textId="77777777" w:rsidR="00D868AB" w:rsidRPr="00D868AB" w:rsidRDefault="00D868AB" w:rsidP="00D868AB">
            <w:pPr>
              <w:rPr>
                <w:rFonts w:eastAsia="Times New Roman" w:cs="Arial"/>
                <w:sz w:val="18"/>
                <w:szCs w:val="18"/>
              </w:rPr>
            </w:pPr>
            <w:r w:rsidRPr="00D868AB">
              <w:rPr>
                <w:rFonts w:eastAsia="Times New Roman" w:cs="Arial"/>
                <w:sz w:val="18"/>
                <w:szCs w:val="18"/>
              </w:rPr>
              <w:t>2.1.8</w:t>
            </w:r>
          </w:p>
        </w:tc>
        <w:tc>
          <w:tcPr>
            <w:tcW w:w="6379" w:type="dxa"/>
            <w:tcBorders>
              <w:top w:val="nil"/>
              <w:left w:val="nil"/>
              <w:bottom w:val="single" w:sz="4" w:space="0" w:color="auto"/>
              <w:right w:val="single" w:sz="4" w:space="0" w:color="auto"/>
            </w:tcBorders>
            <w:shd w:val="clear" w:color="auto" w:fill="auto"/>
            <w:vAlign w:val="center"/>
            <w:hideMark/>
          </w:tcPr>
          <w:p w14:paraId="6BC56B66" w14:textId="77777777" w:rsidR="00D868AB" w:rsidRPr="00D868AB" w:rsidRDefault="00D868AB" w:rsidP="00D868AB">
            <w:pPr>
              <w:rPr>
                <w:rFonts w:eastAsia="Times New Roman" w:cs="Arial"/>
                <w:sz w:val="18"/>
                <w:szCs w:val="18"/>
              </w:rPr>
            </w:pPr>
            <w:r w:rsidRPr="00D868AB">
              <w:rPr>
                <w:rFonts w:eastAsia="Times New Roman" w:cs="Arial"/>
                <w:sz w:val="18"/>
                <w:szCs w:val="18"/>
              </w:rPr>
              <w:t>Provisiones y Otras Estimaciones.</w:t>
            </w:r>
          </w:p>
        </w:tc>
        <w:tc>
          <w:tcPr>
            <w:tcW w:w="1417" w:type="dxa"/>
            <w:tcBorders>
              <w:top w:val="nil"/>
              <w:left w:val="nil"/>
              <w:bottom w:val="single" w:sz="4" w:space="0" w:color="auto"/>
              <w:right w:val="single" w:sz="4" w:space="0" w:color="auto"/>
            </w:tcBorders>
            <w:shd w:val="clear" w:color="auto" w:fill="auto"/>
          </w:tcPr>
          <w:p w14:paraId="0FB61993"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65C14FD0"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CEAB000"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2.2</w:t>
            </w:r>
          </w:p>
        </w:tc>
        <w:tc>
          <w:tcPr>
            <w:tcW w:w="6379" w:type="dxa"/>
            <w:tcBorders>
              <w:top w:val="nil"/>
              <w:left w:val="nil"/>
              <w:bottom w:val="single" w:sz="4" w:space="0" w:color="auto"/>
              <w:right w:val="single" w:sz="4" w:space="0" w:color="auto"/>
            </w:tcBorders>
            <w:shd w:val="clear" w:color="auto" w:fill="auto"/>
            <w:vAlign w:val="center"/>
            <w:hideMark/>
          </w:tcPr>
          <w:p w14:paraId="226E970A"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Gastos de Capital.</w:t>
            </w:r>
          </w:p>
        </w:tc>
        <w:tc>
          <w:tcPr>
            <w:tcW w:w="1417" w:type="dxa"/>
            <w:tcBorders>
              <w:top w:val="nil"/>
              <w:left w:val="nil"/>
              <w:bottom w:val="single" w:sz="4" w:space="0" w:color="auto"/>
              <w:right w:val="single" w:sz="4" w:space="0" w:color="auto"/>
            </w:tcBorders>
            <w:shd w:val="clear" w:color="auto" w:fill="auto"/>
          </w:tcPr>
          <w:p w14:paraId="07A52677" w14:textId="77777777" w:rsidR="00D868AB" w:rsidRPr="00D868AB" w:rsidRDefault="00D868AB" w:rsidP="00D868AB">
            <w:pPr>
              <w:jc w:val="right"/>
              <w:rPr>
                <w:rFonts w:eastAsia="Times New Roman" w:cs="Arial"/>
                <w:b/>
                <w:bCs/>
                <w:sz w:val="18"/>
                <w:szCs w:val="18"/>
              </w:rPr>
            </w:pPr>
            <w:r w:rsidRPr="00D868AB">
              <w:rPr>
                <w:b/>
                <w:bCs/>
                <w:sz w:val="18"/>
                <w:szCs w:val="18"/>
              </w:rPr>
              <w:t>170,886,262</w:t>
            </w:r>
          </w:p>
        </w:tc>
      </w:tr>
      <w:tr w:rsidR="00D868AB" w:rsidRPr="00D868AB" w14:paraId="44618585"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41FBB53"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2.2.1 </w:t>
            </w:r>
          </w:p>
        </w:tc>
        <w:tc>
          <w:tcPr>
            <w:tcW w:w="6379" w:type="dxa"/>
            <w:tcBorders>
              <w:top w:val="nil"/>
              <w:left w:val="nil"/>
              <w:bottom w:val="single" w:sz="4" w:space="0" w:color="auto"/>
              <w:right w:val="single" w:sz="4" w:space="0" w:color="auto"/>
            </w:tcBorders>
            <w:shd w:val="clear" w:color="auto" w:fill="auto"/>
            <w:vAlign w:val="center"/>
            <w:hideMark/>
          </w:tcPr>
          <w:p w14:paraId="1062340D" w14:textId="77777777" w:rsidR="00D868AB" w:rsidRPr="00D868AB" w:rsidRDefault="00D868AB" w:rsidP="00D868AB">
            <w:pPr>
              <w:rPr>
                <w:rFonts w:eastAsia="Times New Roman" w:cs="Arial"/>
                <w:sz w:val="18"/>
                <w:szCs w:val="18"/>
              </w:rPr>
            </w:pPr>
            <w:r w:rsidRPr="00D868AB">
              <w:rPr>
                <w:rFonts w:eastAsia="Times New Roman" w:cs="Arial"/>
                <w:sz w:val="18"/>
                <w:szCs w:val="18"/>
              </w:rPr>
              <w:t>Construcciones en Proceso.</w:t>
            </w:r>
          </w:p>
        </w:tc>
        <w:tc>
          <w:tcPr>
            <w:tcW w:w="1417" w:type="dxa"/>
            <w:tcBorders>
              <w:top w:val="nil"/>
              <w:left w:val="nil"/>
              <w:bottom w:val="single" w:sz="4" w:space="0" w:color="auto"/>
              <w:right w:val="single" w:sz="4" w:space="0" w:color="auto"/>
            </w:tcBorders>
            <w:shd w:val="clear" w:color="auto" w:fill="auto"/>
          </w:tcPr>
          <w:p w14:paraId="2273827C" w14:textId="77777777" w:rsidR="00D868AB" w:rsidRPr="00D868AB" w:rsidRDefault="00D868AB" w:rsidP="00D868AB">
            <w:pPr>
              <w:jc w:val="right"/>
              <w:rPr>
                <w:rFonts w:eastAsia="Times New Roman" w:cs="Arial"/>
                <w:sz w:val="18"/>
                <w:szCs w:val="18"/>
              </w:rPr>
            </w:pPr>
            <w:r w:rsidRPr="00D868AB">
              <w:rPr>
                <w:sz w:val="18"/>
                <w:szCs w:val="18"/>
              </w:rPr>
              <w:t>99,022,325</w:t>
            </w:r>
          </w:p>
        </w:tc>
      </w:tr>
      <w:tr w:rsidR="00D868AB" w:rsidRPr="00D868AB" w14:paraId="5C584EBA"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C4C1B2D"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2.2.2 </w:t>
            </w:r>
          </w:p>
        </w:tc>
        <w:tc>
          <w:tcPr>
            <w:tcW w:w="6379" w:type="dxa"/>
            <w:tcBorders>
              <w:top w:val="nil"/>
              <w:left w:val="nil"/>
              <w:bottom w:val="single" w:sz="4" w:space="0" w:color="auto"/>
              <w:right w:val="single" w:sz="4" w:space="0" w:color="auto"/>
            </w:tcBorders>
            <w:shd w:val="clear" w:color="auto" w:fill="auto"/>
            <w:vAlign w:val="center"/>
            <w:hideMark/>
          </w:tcPr>
          <w:p w14:paraId="3EBB81B6" w14:textId="77777777" w:rsidR="00D868AB" w:rsidRPr="00D868AB" w:rsidRDefault="00D868AB" w:rsidP="00D868AB">
            <w:pPr>
              <w:rPr>
                <w:rFonts w:eastAsia="Times New Roman" w:cs="Arial"/>
                <w:sz w:val="18"/>
                <w:szCs w:val="18"/>
              </w:rPr>
            </w:pPr>
            <w:r w:rsidRPr="00D868AB">
              <w:rPr>
                <w:rFonts w:eastAsia="Times New Roman" w:cs="Arial"/>
                <w:sz w:val="18"/>
                <w:szCs w:val="18"/>
              </w:rPr>
              <w:t>Activos Fijos (Formación bruta de capital fijo).</w:t>
            </w:r>
          </w:p>
        </w:tc>
        <w:tc>
          <w:tcPr>
            <w:tcW w:w="1417" w:type="dxa"/>
            <w:tcBorders>
              <w:top w:val="nil"/>
              <w:left w:val="nil"/>
              <w:bottom w:val="single" w:sz="4" w:space="0" w:color="auto"/>
              <w:right w:val="single" w:sz="4" w:space="0" w:color="auto"/>
            </w:tcBorders>
            <w:shd w:val="clear" w:color="auto" w:fill="auto"/>
          </w:tcPr>
          <w:p w14:paraId="3A6C0067" w14:textId="77777777" w:rsidR="00D868AB" w:rsidRPr="00D868AB" w:rsidRDefault="00D868AB" w:rsidP="00D868AB">
            <w:pPr>
              <w:jc w:val="right"/>
              <w:rPr>
                <w:rFonts w:eastAsia="Times New Roman" w:cs="Arial"/>
                <w:sz w:val="18"/>
                <w:szCs w:val="18"/>
              </w:rPr>
            </w:pPr>
            <w:r w:rsidRPr="00D868AB">
              <w:rPr>
                <w:sz w:val="18"/>
                <w:szCs w:val="18"/>
              </w:rPr>
              <w:t>49,657,754</w:t>
            </w:r>
          </w:p>
        </w:tc>
      </w:tr>
      <w:tr w:rsidR="00D868AB" w:rsidRPr="00D868AB" w14:paraId="66FF1584"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2D11135" w14:textId="77777777" w:rsidR="00D868AB" w:rsidRPr="00D868AB" w:rsidRDefault="00D868AB" w:rsidP="00D868AB">
            <w:pPr>
              <w:rPr>
                <w:rFonts w:eastAsia="Times New Roman" w:cs="Arial"/>
                <w:sz w:val="18"/>
                <w:szCs w:val="18"/>
              </w:rPr>
            </w:pPr>
            <w:r w:rsidRPr="00D868AB">
              <w:rPr>
                <w:rFonts w:eastAsia="Times New Roman" w:cs="Arial"/>
                <w:sz w:val="18"/>
                <w:szCs w:val="18"/>
              </w:rPr>
              <w:t>2.2.3</w:t>
            </w:r>
          </w:p>
        </w:tc>
        <w:tc>
          <w:tcPr>
            <w:tcW w:w="6379" w:type="dxa"/>
            <w:tcBorders>
              <w:top w:val="nil"/>
              <w:left w:val="nil"/>
              <w:bottom w:val="single" w:sz="4" w:space="0" w:color="auto"/>
              <w:right w:val="single" w:sz="4" w:space="0" w:color="auto"/>
            </w:tcBorders>
            <w:shd w:val="clear" w:color="auto" w:fill="auto"/>
            <w:vAlign w:val="center"/>
            <w:hideMark/>
          </w:tcPr>
          <w:p w14:paraId="698DFDB6" w14:textId="77777777" w:rsidR="00D868AB" w:rsidRPr="00D868AB" w:rsidRDefault="00D868AB" w:rsidP="00D868AB">
            <w:pPr>
              <w:rPr>
                <w:rFonts w:eastAsia="Times New Roman" w:cs="Arial"/>
                <w:sz w:val="18"/>
                <w:szCs w:val="18"/>
              </w:rPr>
            </w:pPr>
            <w:r w:rsidRPr="00D868AB">
              <w:rPr>
                <w:rFonts w:eastAsia="Times New Roman" w:cs="Arial"/>
                <w:sz w:val="18"/>
                <w:szCs w:val="18"/>
              </w:rPr>
              <w:t>Incremento de existencias.</w:t>
            </w:r>
          </w:p>
        </w:tc>
        <w:tc>
          <w:tcPr>
            <w:tcW w:w="1417" w:type="dxa"/>
            <w:tcBorders>
              <w:top w:val="nil"/>
              <w:left w:val="nil"/>
              <w:bottom w:val="single" w:sz="4" w:space="0" w:color="auto"/>
              <w:right w:val="single" w:sz="4" w:space="0" w:color="auto"/>
            </w:tcBorders>
            <w:shd w:val="clear" w:color="auto" w:fill="auto"/>
          </w:tcPr>
          <w:p w14:paraId="074B18B2" w14:textId="77777777" w:rsidR="00D868AB" w:rsidRPr="00D868AB" w:rsidRDefault="00D868AB" w:rsidP="00D868AB">
            <w:pPr>
              <w:jc w:val="right"/>
              <w:rPr>
                <w:rFonts w:eastAsia="Times New Roman" w:cs="Arial"/>
                <w:sz w:val="18"/>
                <w:szCs w:val="18"/>
              </w:rPr>
            </w:pPr>
            <w:r w:rsidRPr="00D868AB">
              <w:rPr>
                <w:sz w:val="18"/>
                <w:szCs w:val="18"/>
              </w:rPr>
              <w:t>18,406,183</w:t>
            </w:r>
          </w:p>
        </w:tc>
      </w:tr>
      <w:tr w:rsidR="00D868AB" w:rsidRPr="00D868AB" w14:paraId="67D00E2C"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2E95346"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2.2.4 </w:t>
            </w:r>
          </w:p>
        </w:tc>
        <w:tc>
          <w:tcPr>
            <w:tcW w:w="6379" w:type="dxa"/>
            <w:tcBorders>
              <w:top w:val="nil"/>
              <w:left w:val="nil"/>
              <w:bottom w:val="single" w:sz="4" w:space="0" w:color="auto"/>
              <w:right w:val="single" w:sz="4" w:space="0" w:color="auto"/>
            </w:tcBorders>
            <w:shd w:val="clear" w:color="auto" w:fill="auto"/>
            <w:vAlign w:val="center"/>
            <w:hideMark/>
          </w:tcPr>
          <w:p w14:paraId="2C2C9AF8" w14:textId="77777777" w:rsidR="00D868AB" w:rsidRPr="00D868AB" w:rsidRDefault="00D868AB" w:rsidP="00D868AB">
            <w:pPr>
              <w:rPr>
                <w:rFonts w:eastAsia="Times New Roman" w:cs="Arial"/>
                <w:sz w:val="18"/>
                <w:szCs w:val="18"/>
              </w:rPr>
            </w:pPr>
            <w:r w:rsidRPr="00D868AB">
              <w:rPr>
                <w:rFonts w:eastAsia="Times New Roman" w:cs="Arial"/>
                <w:sz w:val="18"/>
                <w:szCs w:val="18"/>
              </w:rPr>
              <w:t>Objetos de valor.</w:t>
            </w:r>
          </w:p>
        </w:tc>
        <w:tc>
          <w:tcPr>
            <w:tcW w:w="1417" w:type="dxa"/>
            <w:tcBorders>
              <w:top w:val="nil"/>
              <w:left w:val="nil"/>
              <w:bottom w:val="single" w:sz="4" w:space="0" w:color="auto"/>
              <w:right w:val="single" w:sz="4" w:space="0" w:color="auto"/>
            </w:tcBorders>
            <w:shd w:val="clear" w:color="auto" w:fill="auto"/>
          </w:tcPr>
          <w:p w14:paraId="4641DD35"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5CA7E824"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3BC989C"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2.2.5 </w:t>
            </w:r>
          </w:p>
        </w:tc>
        <w:tc>
          <w:tcPr>
            <w:tcW w:w="6379" w:type="dxa"/>
            <w:tcBorders>
              <w:top w:val="nil"/>
              <w:left w:val="nil"/>
              <w:bottom w:val="single" w:sz="4" w:space="0" w:color="auto"/>
              <w:right w:val="single" w:sz="4" w:space="0" w:color="auto"/>
            </w:tcBorders>
            <w:shd w:val="clear" w:color="auto" w:fill="auto"/>
            <w:vAlign w:val="center"/>
            <w:hideMark/>
          </w:tcPr>
          <w:p w14:paraId="65375E5A" w14:textId="77777777" w:rsidR="00D868AB" w:rsidRPr="00D868AB" w:rsidRDefault="00D868AB" w:rsidP="00D868AB">
            <w:pPr>
              <w:rPr>
                <w:rFonts w:eastAsia="Times New Roman" w:cs="Arial"/>
                <w:sz w:val="18"/>
                <w:szCs w:val="18"/>
              </w:rPr>
            </w:pPr>
            <w:r w:rsidRPr="00D868AB">
              <w:rPr>
                <w:rFonts w:eastAsia="Times New Roman" w:cs="Arial"/>
                <w:sz w:val="18"/>
                <w:szCs w:val="18"/>
              </w:rPr>
              <w:t>Activos no producidos.</w:t>
            </w:r>
          </w:p>
        </w:tc>
        <w:tc>
          <w:tcPr>
            <w:tcW w:w="1417" w:type="dxa"/>
            <w:tcBorders>
              <w:top w:val="nil"/>
              <w:left w:val="nil"/>
              <w:bottom w:val="single" w:sz="4" w:space="0" w:color="auto"/>
              <w:right w:val="single" w:sz="4" w:space="0" w:color="auto"/>
            </w:tcBorders>
            <w:shd w:val="clear" w:color="auto" w:fill="auto"/>
          </w:tcPr>
          <w:p w14:paraId="182BA00E"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2888BD91"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081899E" w14:textId="77777777" w:rsidR="00D868AB" w:rsidRPr="00D868AB" w:rsidRDefault="00D868AB" w:rsidP="00D868AB">
            <w:pPr>
              <w:rPr>
                <w:rFonts w:eastAsia="Times New Roman" w:cs="Arial"/>
                <w:sz w:val="18"/>
                <w:szCs w:val="18"/>
              </w:rPr>
            </w:pPr>
            <w:r w:rsidRPr="00D868AB">
              <w:rPr>
                <w:rFonts w:eastAsia="Times New Roman" w:cs="Arial"/>
                <w:sz w:val="18"/>
                <w:szCs w:val="18"/>
              </w:rPr>
              <w:t xml:space="preserve">2.2.6 </w:t>
            </w:r>
          </w:p>
        </w:tc>
        <w:tc>
          <w:tcPr>
            <w:tcW w:w="6379" w:type="dxa"/>
            <w:tcBorders>
              <w:top w:val="nil"/>
              <w:left w:val="nil"/>
              <w:bottom w:val="single" w:sz="4" w:space="0" w:color="auto"/>
              <w:right w:val="single" w:sz="4" w:space="0" w:color="auto"/>
            </w:tcBorders>
            <w:shd w:val="clear" w:color="auto" w:fill="auto"/>
            <w:vAlign w:val="center"/>
            <w:hideMark/>
          </w:tcPr>
          <w:p w14:paraId="74893262" w14:textId="77777777" w:rsidR="00D868AB" w:rsidRPr="00D868AB" w:rsidRDefault="00D868AB" w:rsidP="00D868AB">
            <w:pPr>
              <w:rPr>
                <w:rFonts w:eastAsia="Times New Roman" w:cs="Arial"/>
                <w:sz w:val="18"/>
                <w:szCs w:val="18"/>
              </w:rPr>
            </w:pPr>
            <w:r w:rsidRPr="00D868AB">
              <w:rPr>
                <w:rFonts w:eastAsia="Times New Roman" w:cs="Arial"/>
                <w:sz w:val="18"/>
                <w:szCs w:val="18"/>
              </w:rPr>
              <w:t>Transferencias, asignaciones y donativos de capital otorgados.</w:t>
            </w:r>
          </w:p>
        </w:tc>
        <w:tc>
          <w:tcPr>
            <w:tcW w:w="1417" w:type="dxa"/>
            <w:tcBorders>
              <w:top w:val="nil"/>
              <w:left w:val="nil"/>
              <w:bottom w:val="single" w:sz="4" w:space="0" w:color="auto"/>
              <w:right w:val="single" w:sz="4" w:space="0" w:color="auto"/>
            </w:tcBorders>
            <w:shd w:val="clear" w:color="auto" w:fill="auto"/>
          </w:tcPr>
          <w:p w14:paraId="4E5EDE73"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7A87EC48"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20DD2AB6" w14:textId="77777777" w:rsidR="00D868AB" w:rsidRPr="00D868AB" w:rsidRDefault="00D868AB" w:rsidP="00D868AB">
            <w:pPr>
              <w:rPr>
                <w:rFonts w:eastAsia="Times New Roman" w:cs="Arial"/>
                <w:bCs/>
                <w:sz w:val="18"/>
                <w:szCs w:val="18"/>
              </w:rPr>
            </w:pPr>
            <w:r w:rsidRPr="00D868AB">
              <w:rPr>
                <w:rFonts w:eastAsia="Times New Roman" w:cs="Arial"/>
                <w:bCs/>
                <w:sz w:val="18"/>
                <w:szCs w:val="18"/>
              </w:rPr>
              <w:t>2.2.7</w:t>
            </w:r>
          </w:p>
        </w:tc>
        <w:tc>
          <w:tcPr>
            <w:tcW w:w="6379" w:type="dxa"/>
            <w:tcBorders>
              <w:top w:val="nil"/>
              <w:left w:val="nil"/>
              <w:bottom w:val="single" w:sz="4" w:space="0" w:color="auto"/>
              <w:right w:val="single" w:sz="4" w:space="0" w:color="auto"/>
            </w:tcBorders>
            <w:shd w:val="clear" w:color="auto" w:fill="auto"/>
            <w:vAlign w:val="center"/>
            <w:hideMark/>
          </w:tcPr>
          <w:p w14:paraId="5FBC4316" w14:textId="77777777" w:rsidR="00D868AB" w:rsidRPr="00D868AB" w:rsidRDefault="00D868AB" w:rsidP="00D868AB">
            <w:pPr>
              <w:rPr>
                <w:rFonts w:eastAsia="Times New Roman" w:cs="Arial"/>
                <w:sz w:val="18"/>
                <w:szCs w:val="18"/>
              </w:rPr>
            </w:pPr>
            <w:r w:rsidRPr="00D868AB">
              <w:rPr>
                <w:rFonts w:eastAsia="Times New Roman" w:cs="Arial"/>
                <w:sz w:val="18"/>
                <w:szCs w:val="18"/>
              </w:rPr>
              <w:t>Inversiones financieras realizadas con fines de política económica.</w:t>
            </w:r>
          </w:p>
        </w:tc>
        <w:tc>
          <w:tcPr>
            <w:tcW w:w="1417" w:type="dxa"/>
            <w:tcBorders>
              <w:top w:val="nil"/>
              <w:left w:val="nil"/>
              <w:bottom w:val="single" w:sz="4" w:space="0" w:color="auto"/>
              <w:right w:val="single" w:sz="4" w:space="0" w:color="auto"/>
            </w:tcBorders>
            <w:shd w:val="clear" w:color="auto" w:fill="auto"/>
          </w:tcPr>
          <w:p w14:paraId="54667AF5" w14:textId="77777777" w:rsidR="00D868AB" w:rsidRPr="00D868AB" w:rsidRDefault="00D868AB" w:rsidP="00D868AB">
            <w:pPr>
              <w:jc w:val="right"/>
              <w:rPr>
                <w:rFonts w:eastAsia="Times New Roman" w:cs="Arial"/>
                <w:sz w:val="18"/>
                <w:szCs w:val="18"/>
              </w:rPr>
            </w:pPr>
            <w:r w:rsidRPr="00D868AB">
              <w:rPr>
                <w:sz w:val="18"/>
                <w:szCs w:val="18"/>
              </w:rPr>
              <w:t>3,800,000</w:t>
            </w:r>
          </w:p>
        </w:tc>
      </w:tr>
      <w:tr w:rsidR="00D868AB" w:rsidRPr="00D868AB" w14:paraId="1FB3698A"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B8079D8"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 </w:t>
            </w:r>
          </w:p>
        </w:tc>
        <w:tc>
          <w:tcPr>
            <w:tcW w:w="6379" w:type="dxa"/>
            <w:tcBorders>
              <w:top w:val="nil"/>
              <w:left w:val="nil"/>
              <w:bottom w:val="single" w:sz="4" w:space="0" w:color="auto"/>
              <w:right w:val="single" w:sz="4" w:space="0" w:color="auto"/>
            </w:tcBorders>
            <w:shd w:val="clear" w:color="auto" w:fill="auto"/>
            <w:vAlign w:val="center"/>
            <w:hideMark/>
          </w:tcPr>
          <w:p w14:paraId="1ACF3EB2"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Total del Gasto.</w:t>
            </w:r>
          </w:p>
        </w:tc>
        <w:tc>
          <w:tcPr>
            <w:tcW w:w="1417" w:type="dxa"/>
            <w:tcBorders>
              <w:top w:val="nil"/>
              <w:left w:val="nil"/>
              <w:bottom w:val="single" w:sz="4" w:space="0" w:color="auto"/>
              <w:right w:val="single" w:sz="4" w:space="0" w:color="auto"/>
            </w:tcBorders>
            <w:shd w:val="clear" w:color="auto" w:fill="auto"/>
          </w:tcPr>
          <w:p w14:paraId="1BA4E35F" w14:textId="77777777" w:rsidR="00D868AB" w:rsidRPr="00D868AB" w:rsidRDefault="00D868AB" w:rsidP="00D868AB">
            <w:pPr>
              <w:jc w:val="right"/>
              <w:rPr>
                <w:rFonts w:eastAsia="Times New Roman" w:cs="Arial"/>
                <w:b/>
                <w:bCs/>
                <w:sz w:val="18"/>
                <w:szCs w:val="18"/>
              </w:rPr>
            </w:pPr>
            <w:r w:rsidRPr="00D868AB">
              <w:rPr>
                <w:b/>
                <w:bCs/>
                <w:sz w:val="18"/>
                <w:szCs w:val="18"/>
              </w:rPr>
              <w:t>20,093,871,940</w:t>
            </w:r>
          </w:p>
        </w:tc>
      </w:tr>
      <w:tr w:rsidR="00D868AB" w:rsidRPr="00D868AB" w14:paraId="27B7C8CC"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40E4852F"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3</w:t>
            </w:r>
          </w:p>
        </w:tc>
        <w:tc>
          <w:tcPr>
            <w:tcW w:w="6379" w:type="dxa"/>
            <w:tcBorders>
              <w:top w:val="nil"/>
              <w:left w:val="nil"/>
              <w:bottom w:val="single" w:sz="4" w:space="0" w:color="auto"/>
              <w:right w:val="single" w:sz="4" w:space="0" w:color="auto"/>
            </w:tcBorders>
            <w:shd w:val="clear" w:color="auto" w:fill="auto"/>
            <w:vAlign w:val="center"/>
            <w:hideMark/>
          </w:tcPr>
          <w:p w14:paraId="19D642CE"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Financiamiento.</w:t>
            </w:r>
          </w:p>
        </w:tc>
        <w:tc>
          <w:tcPr>
            <w:tcW w:w="1417" w:type="dxa"/>
            <w:tcBorders>
              <w:top w:val="nil"/>
              <w:left w:val="nil"/>
              <w:bottom w:val="single" w:sz="4" w:space="0" w:color="auto"/>
              <w:right w:val="single" w:sz="4" w:space="0" w:color="auto"/>
            </w:tcBorders>
            <w:shd w:val="clear" w:color="auto" w:fill="auto"/>
          </w:tcPr>
          <w:p w14:paraId="4BCD8D6F" w14:textId="77777777" w:rsidR="00D868AB" w:rsidRPr="00D868AB" w:rsidRDefault="00D868AB" w:rsidP="00D868AB">
            <w:pPr>
              <w:jc w:val="right"/>
              <w:rPr>
                <w:rFonts w:eastAsia="Times New Roman" w:cs="Arial"/>
                <w:sz w:val="18"/>
                <w:szCs w:val="18"/>
              </w:rPr>
            </w:pPr>
          </w:p>
        </w:tc>
      </w:tr>
      <w:tr w:rsidR="00D868AB" w:rsidRPr="00D868AB" w14:paraId="6A0F86D0"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09EFC0C"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3.1</w:t>
            </w:r>
          </w:p>
        </w:tc>
        <w:tc>
          <w:tcPr>
            <w:tcW w:w="6379" w:type="dxa"/>
            <w:tcBorders>
              <w:top w:val="nil"/>
              <w:left w:val="nil"/>
              <w:bottom w:val="single" w:sz="4" w:space="0" w:color="auto"/>
              <w:right w:val="single" w:sz="4" w:space="0" w:color="auto"/>
            </w:tcBorders>
            <w:shd w:val="clear" w:color="auto" w:fill="auto"/>
            <w:vAlign w:val="center"/>
            <w:hideMark/>
          </w:tcPr>
          <w:p w14:paraId="7E382C33"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Fuentes Financieras.</w:t>
            </w:r>
          </w:p>
        </w:tc>
        <w:tc>
          <w:tcPr>
            <w:tcW w:w="1417" w:type="dxa"/>
            <w:tcBorders>
              <w:top w:val="nil"/>
              <w:left w:val="nil"/>
              <w:bottom w:val="single" w:sz="4" w:space="0" w:color="auto"/>
              <w:right w:val="single" w:sz="4" w:space="0" w:color="auto"/>
            </w:tcBorders>
            <w:shd w:val="clear" w:color="auto" w:fill="auto"/>
            <w:noWrap/>
          </w:tcPr>
          <w:p w14:paraId="4C04AA8B" w14:textId="77777777" w:rsidR="00D868AB" w:rsidRPr="00D868AB" w:rsidRDefault="00D868AB" w:rsidP="00D868AB">
            <w:pPr>
              <w:jc w:val="right"/>
              <w:rPr>
                <w:rFonts w:eastAsia="Times New Roman" w:cs="Arial"/>
                <w:b/>
                <w:bCs/>
                <w:sz w:val="18"/>
                <w:szCs w:val="18"/>
              </w:rPr>
            </w:pPr>
          </w:p>
        </w:tc>
      </w:tr>
      <w:tr w:rsidR="00D868AB" w:rsidRPr="00D868AB" w14:paraId="7760E17A"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0B3BE1D" w14:textId="77777777" w:rsidR="00D868AB" w:rsidRPr="00D868AB" w:rsidRDefault="00D868AB" w:rsidP="00D868AB">
            <w:pPr>
              <w:rPr>
                <w:rFonts w:eastAsia="Times New Roman" w:cs="Arial"/>
                <w:sz w:val="18"/>
                <w:szCs w:val="18"/>
              </w:rPr>
            </w:pPr>
            <w:r w:rsidRPr="00D868AB">
              <w:rPr>
                <w:rFonts w:eastAsia="Times New Roman" w:cs="Arial"/>
                <w:sz w:val="18"/>
                <w:szCs w:val="18"/>
              </w:rPr>
              <w:t>3.1.1</w:t>
            </w:r>
          </w:p>
        </w:tc>
        <w:tc>
          <w:tcPr>
            <w:tcW w:w="6379" w:type="dxa"/>
            <w:tcBorders>
              <w:top w:val="nil"/>
              <w:left w:val="nil"/>
              <w:bottom w:val="single" w:sz="4" w:space="0" w:color="auto"/>
              <w:right w:val="single" w:sz="4" w:space="0" w:color="auto"/>
            </w:tcBorders>
            <w:shd w:val="clear" w:color="auto" w:fill="auto"/>
            <w:vAlign w:val="center"/>
            <w:hideMark/>
          </w:tcPr>
          <w:p w14:paraId="3A915599" w14:textId="77777777" w:rsidR="00D868AB" w:rsidRPr="00D868AB" w:rsidRDefault="00D868AB" w:rsidP="00D868AB">
            <w:pPr>
              <w:rPr>
                <w:rFonts w:eastAsia="Times New Roman" w:cs="Arial"/>
                <w:sz w:val="18"/>
                <w:szCs w:val="18"/>
              </w:rPr>
            </w:pPr>
            <w:r w:rsidRPr="00D868AB">
              <w:rPr>
                <w:rFonts w:eastAsia="Times New Roman" w:cs="Arial"/>
                <w:sz w:val="18"/>
                <w:szCs w:val="18"/>
              </w:rPr>
              <w:t>Disminución de activos financieros.</w:t>
            </w:r>
          </w:p>
        </w:tc>
        <w:tc>
          <w:tcPr>
            <w:tcW w:w="1417" w:type="dxa"/>
            <w:tcBorders>
              <w:top w:val="nil"/>
              <w:left w:val="nil"/>
              <w:bottom w:val="single" w:sz="4" w:space="0" w:color="auto"/>
              <w:right w:val="single" w:sz="4" w:space="0" w:color="auto"/>
            </w:tcBorders>
            <w:shd w:val="clear" w:color="auto" w:fill="auto"/>
          </w:tcPr>
          <w:p w14:paraId="748D9A2F"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63F8F2A7"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5AB6EE72" w14:textId="77777777" w:rsidR="00D868AB" w:rsidRPr="00D868AB" w:rsidRDefault="00D868AB" w:rsidP="00D868AB">
            <w:pPr>
              <w:rPr>
                <w:rFonts w:eastAsia="Times New Roman" w:cs="Arial"/>
                <w:sz w:val="18"/>
                <w:szCs w:val="18"/>
              </w:rPr>
            </w:pPr>
            <w:r w:rsidRPr="00D868AB">
              <w:rPr>
                <w:rFonts w:eastAsia="Times New Roman" w:cs="Arial"/>
                <w:sz w:val="18"/>
                <w:szCs w:val="18"/>
              </w:rPr>
              <w:t>3.1.2</w:t>
            </w:r>
          </w:p>
        </w:tc>
        <w:tc>
          <w:tcPr>
            <w:tcW w:w="6379" w:type="dxa"/>
            <w:tcBorders>
              <w:top w:val="nil"/>
              <w:left w:val="nil"/>
              <w:bottom w:val="single" w:sz="4" w:space="0" w:color="auto"/>
              <w:right w:val="single" w:sz="4" w:space="0" w:color="auto"/>
            </w:tcBorders>
            <w:shd w:val="clear" w:color="auto" w:fill="auto"/>
            <w:vAlign w:val="center"/>
            <w:hideMark/>
          </w:tcPr>
          <w:p w14:paraId="36E65F42" w14:textId="77777777" w:rsidR="00D868AB" w:rsidRPr="00D868AB" w:rsidRDefault="00D868AB" w:rsidP="00D868AB">
            <w:pPr>
              <w:rPr>
                <w:rFonts w:eastAsia="Times New Roman" w:cs="Arial"/>
                <w:sz w:val="18"/>
                <w:szCs w:val="18"/>
              </w:rPr>
            </w:pPr>
            <w:r w:rsidRPr="00D868AB">
              <w:rPr>
                <w:rFonts w:eastAsia="Times New Roman" w:cs="Arial"/>
                <w:sz w:val="18"/>
                <w:szCs w:val="18"/>
              </w:rPr>
              <w:t>Incremento de pasivos.</w:t>
            </w:r>
          </w:p>
        </w:tc>
        <w:tc>
          <w:tcPr>
            <w:tcW w:w="1417" w:type="dxa"/>
            <w:tcBorders>
              <w:top w:val="nil"/>
              <w:left w:val="nil"/>
              <w:bottom w:val="single" w:sz="4" w:space="0" w:color="auto"/>
              <w:right w:val="single" w:sz="4" w:space="0" w:color="auto"/>
            </w:tcBorders>
            <w:shd w:val="clear" w:color="auto" w:fill="auto"/>
          </w:tcPr>
          <w:p w14:paraId="3EE14AA2" w14:textId="77777777" w:rsidR="00D868AB" w:rsidRPr="00D868AB" w:rsidRDefault="00D868AB" w:rsidP="00D868AB">
            <w:pPr>
              <w:jc w:val="right"/>
              <w:rPr>
                <w:rFonts w:eastAsia="Times New Roman" w:cs="Arial"/>
                <w:sz w:val="18"/>
                <w:szCs w:val="18"/>
                <w:highlight w:val="yellow"/>
              </w:rPr>
            </w:pPr>
            <w:r w:rsidRPr="00D868AB">
              <w:rPr>
                <w:sz w:val="18"/>
                <w:szCs w:val="18"/>
              </w:rPr>
              <w:t>192,903,836</w:t>
            </w:r>
          </w:p>
        </w:tc>
      </w:tr>
      <w:tr w:rsidR="00D868AB" w:rsidRPr="00D868AB" w14:paraId="2AE0AF63"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6081EDA6" w14:textId="77777777" w:rsidR="00D868AB" w:rsidRPr="00D868AB" w:rsidRDefault="00D868AB" w:rsidP="00D868AB">
            <w:pPr>
              <w:rPr>
                <w:rFonts w:eastAsia="Times New Roman" w:cs="Arial"/>
                <w:sz w:val="18"/>
                <w:szCs w:val="18"/>
              </w:rPr>
            </w:pPr>
            <w:r w:rsidRPr="00D868AB">
              <w:rPr>
                <w:rFonts w:eastAsia="Times New Roman" w:cs="Arial"/>
                <w:sz w:val="18"/>
                <w:szCs w:val="18"/>
              </w:rPr>
              <w:t>3.1.3</w:t>
            </w:r>
          </w:p>
        </w:tc>
        <w:tc>
          <w:tcPr>
            <w:tcW w:w="6379" w:type="dxa"/>
            <w:tcBorders>
              <w:top w:val="nil"/>
              <w:left w:val="nil"/>
              <w:bottom w:val="single" w:sz="4" w:space="0" w:color="auto"/>
              <w:right w:val="single" w:sz="4" w:space="0" w:color="auto"/>
            </w:tcBorders>
            <w:shd w:val="clear" w:color="auto" w:fill="auto"/>
            <w:vAlign w:val="center"/>
            <w:hideMark/>
          </w:tcPr>
          <w:p w14:paraId="7386D23E" w14:textId="77777777" w:rsidR="00D868AB" w:rsidRPr="00D868AB" w:rsidRDefault="00D868AB" w:rsidP="00D868AB">
            <w:pPr>
              <w:rPr>
                <w:rFonts w:eastAsia="Times New Roman" w:cs="Arial"/>
                <w:sz w:val="18"/>
                <w:szCs w:val="18"/>
              </w:rPr>
            </w:pPr>
            <w:r w:rsidRPr="00D868AB">
              <w:rPr>
                <w:rFonts w:eastAsia="Times New Roman" w:cs="Arial"/>
                <w:sz w:val="18"/>
                <w:szCs w:val="18"/>
              </w:rPr>
              <w:t>Incremento del patrimonio.</w:t>
            </w:r>
          </w:p>
        </w:tc>
        <w:tc>
          <w:tcPr>
            <w:tcW w:w="1417" w:type="dxa"/>
            <w:tcBorders>
              <w:top w:val="nil"/>
              <w:left w:val="nil"/>
              <w:bottom w:val="single" w:sz="4" w:space="0" w:color="auto"/>
              <w:right w:val="single" w:sz="4" w:space="0" w:color="auto"/>
            </w:tcBorders>
            <w:shd w:val="clear" w:color="auto" w:fill="auto"/>
          </w:tcPr>
          <w:p w14:paraId="163C85AB"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760D63BE"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08B540A2"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 </w:t>
            </w:r>
          </w:p>
        </w:tc>
        <w:tc>
          <w:tcPr>
            <w:tcW w:w="6379" w:type="dxa"/>
            <w:tcBorders>
              <w:top w:val="nil"/>
              <w:left w:val="nil"/>
              <w:bottom w:val="single" w:sz="4" w:space="0" w:color="auto"/>
              <w:right w:val="single" w:sz="4" w:space="0" w:color="auto"/>
            </w:tcBorders>
            <w:shd w:val="clear" w:color="auto" w:fill="auto"/>
            <w:vAlign w:val="center"/>
            <w:hideMark/>
          </w:tcPr>
          <w:p w14:paraId="2C7D4E42"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Total Fuentes Financieras.</w:t>
            </w:r>
          </w:p>
        </w:tc>
        <w:tc>
          <w:tcPr>
            <w:tcW w:w="1417" w:type="dxa"/>
            <w:tcBorders>
              <w:top w:val="nil"/>
              <w:left w:val="nil"/>
              <w:bottom w:val="single" w:sz="4" w:space="0" w:color="auto"/>
              <w:right w:val="single" w:sz="4" w:space="0" w:color="auto"/>
            </w:tcBorders>
            <w:shd w:val="clear" w:color="auto" w:fill="auto"/>
          </w:tcPr>
          <w:p w14:paraId="5E3017C9" w14:textId="77777777" w:rsidR="00D868AB" w:rsidRPr="00D868AB" w:rsidRDefault="00D868AB" w:rsidP="00D868AB">
            <w:pPr>
              <w:jc w:val="right"/>
              <w:rPr>
                <w:rFonts w:eastAsia="Times New Roman" w:cs="Arial"/>
                <w:b/>
                <w:bCs/>
                <w:sz w:val="18"/>
                <w:szCs w:val="18"/>
              </w:rPr>
            </w:pPr>
            <w:r w:rsidRPr="00D868AB">
              <w:rPr>
                <w:b/>
                <w:bCs/>
                <w:sz w:val="18"/>
                <w:szCs w:val="18"/>
              </w:rPr>
              <w:t>192,903,836</w:t>
            </w:r>
          </w:p>
        </w:tc>
      </w:tr>
      <w:tr w:rsidR="00D868AB" w:rsidRPr="00D868AB" w14:paraId="41355730"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AB8552C"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3.2</w:t>
            </w:r>
          </w:p>
        </w:tc>
        <w:tc>
          <w:tcPr>
            <w:tcW w:w="6379" w:type="dxa"/>
            <w:tcBorders>
              <w:top w:val="nil"/>
              <w:left w:val="nil"/>
              <w:bottom w:val="single" w:sz="4" w:space="0" w:color="auto"/>
              <w:right w:val="single" w:sz="4" w:space="0" w:color="auto"/>
            </w:tcBorders>
            <w:shd w:val="clear" w:color="auto" w:fill="auto"/>
            <w:vAlign w:val="center"/>
            <w:hideMark/>
          </w:tcPr>
          <w:p w14:paraId="0CA88195" w14:textId="77777777" w:rsidR="00D868AB" w:rsidRPr="00D868AB" w:rsidRDefault="00D868AB" w:rsidP="00D868AB">
            <w:pPr>
              <w:rPr>
                <w:rFonts w:eastAsia="Times New Roman" w:cs="Arial"/>
                <w:b/>
                <w:bCs/>
                <w:sz w:val="18"/>
                <w:szCs w:val="18"/>
              </w:rPr>
            </w:pPr>
            <w:r w:rsidRPr="00D868AB">
              <w:rPr>
                <w:rFonts w:eastAsia="Times New Roman" w:cs="Arial"/>
                <w:b/>
                <w:bCs/>
                <w:sz w:val="18"/>
                <w:szCs w:val="18"/>
              </w:rPr>
              <w:t>Aplicaciones Financieras (Usos).</w:t>
            </w:r>
          </w:p>
        </w:tc>
        <w:tc>
          <w:tcPr>
            <w:tcW w:w="1417" w:type="dxa"/>
            <w:tcBorders>
              <w:top w:val="nil"/>
              <w:left w:val="nil"/>
              <w:bottom w:val="single" w:sz="4" w:space="0" w:color="auto"/>
              <w:right w:val="single" w:sz="4" w:space="0" w:color="auto"/>
            </w:tcBorders>
            <w:shd w:val="clear" w:color="auto" w:fill="auto"/>
          </w:tcPr>
          <w:p w14:paraId="377FE9B3" w14:textId="77777777" w:rsidR="00D868AB" w:rsidRPr="00D868AB" w:rsidRDefault="00D868AB" w:rsidP="00D868AB">
            <w:pPr>
              <w:jc w:val="right"/>
              <w:rPr>
                <w:rFonts w:eastAsia="Times New Roman" w:cs="Arial"/>
                <w:b/>
                <w:bCs/>
                <w:sz w:val="18"/>
                <w:szCs w:val="18"/>
              </w:rPr>
            </w:pPr>
          </w:p>
        </w:tc>
      </w:tr>
      <w:tr w:rsidR="00D868AB" w:rsidRPr="00D868AB" w14:paraId="22283224"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365E9A24" w14:textId="77777777" w:rsidR="00D868AB" w:rsidRPr="00D868AB" w:rsidRDefault="00D868AB" w:rsidP="00D868AB">
            <w:pPr>
              <w:rPr>
                <w:rFonts w:eastAsia="Times New Roman" w:cs="Arial"/>
                <w:sz w:val="18"/>
                <w:szCs w:val="18"/>
              </w:rPr>
            </w:pPr>
            <w:r w:rsidRPr="00D868AB">
              <w:rPr>
                <w:rFonts w:eastAsia="Times New Roman" w:cs="Arial"/>
                <w:sz w:val="18"/>
                <w:szCs w:val="18"/>
              </w:rPr>
              <w:t>3.2.1</w:t>
            </w:r>
          </w:p>
        </w:tc>
        <w:tc>
          <w:tcPr>
            <w:tcW w:w="6379" w:type="dxa"/>
            <w:tcBorders>
              <w:top w:val="nil"/>
              <w:left w:val="nil"/>
              <w:bottom w:val="single" w:sz="4" w:space="0" w:color="auto"/>
              <w:right w:val="single" w:sz="4" w:space="0" w:color="auto"/>
            </w:tcBorders>
            <w:shd w:val="clear" w:color="auto" w:fill="auto"/>
            <w:vAlign w:val="center"/>
            <w:hideMark/>
          </w:tcPr>
          <w:p w14:paraId="664C186A" w14:textId="77777777" w:rsidR="00D868AB" w:rsidRPr="00D868AB" w:rsidRDefault="00D868AB" w:rsidP="00D868AB">
            <w:pPr>
              <w:rPr>
                <w:rFonts w:eastAsia="Times New Roman" w:cs="Arial"/>
                <w:sz w:val="18"/>
                <w:szCs w:val="18"/>
              </w:rPr>
            </w:pPr>
            <w:r w:rsidRPr="00D868AB">
              <w:rPr>
                <w:rFonts w:eastAsia="Times New Roman" w:cs="Arial"/>
                <w:sz w:val="18"/>
                <w:szCs w:val="18"/>
              </w:rPr>
              <w:t>Incremento de activos financieros.</w:t>
            </w:r>
          </w:p>
        </w:tc>
        <w:tc>
          <w:tcPr>
            <w:tcW w:w="1417" w:type="dxa"/>
            <w:tcBorders>
              <w:top w:val="nil"/>
              <w:left w:val="nil"/>
              <w:bottom w:val="single" w:sz="4" w:space="0" w:color="auto"/>
              <w:right w:val="single" w:sz="4" w:space="0" w:color="auto"/>
            </w:tcBorders>
            <w:shd w:val="clear" w:color="auto" w:fill="auto"/>
          </w:tcPr>
          <w:p w14:paraId="10518356"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07984CC4"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B1855E2" w14:textId="77777777" w:rsidR="00D868AB" w:rsidRPr="00D868AB" w:rsidRDefault="00D868AB" w:rsidP="00D868AB">
            <w:pPr>
              <w:rPr>
                <w:rFonts w:eastAsia="Times New Roman" w:cs="Arial"/>
                <w:sz w:val="18"/>
                <w:szCs w:val="18"/>
              </w:rPr>
            </w:pPr>
            <w:r w:rsidRPr="00D868AB">
              <w:rPr>
                <w:rFonts w:eastAsia="Times New Roman" w:cs="Arial"/>
                <w:sz w:val="18"/>
                <w:szCs w:val="18"/>
              </w:rPr>
              <w:t>3.2.2</w:t>
            </w:r>
          </w:p>
        </w:tc>
        <w:tc>
          <w:tcPr>
            <w:tcW w:w="6379" w:type="dxa"/>
            <w:tcBorders>
              <w:top w:val="nil"/>
              <w:left w:val="nil"/>
              <w:bottom w:val="single" w:sz="4" w:space="0" w:color="auto"/>
              <w:right w:val="single" w:sz="4" w:space="0" w:color="auto"/>
            </w:tcBorders>
            <w:shd w:val="clear" w:color="auto" w:fill="auto"/>
            <w:vAlign w:val="center"/>
            <w:hideMark/>
          </w:tcPr>
          <w:p w14:paraId="6FA3B1E4" w14:textId="77777777" w:rsidR="00D868AB" w:rsidRPr="00D868AB" w:rsidRDefault="00D868AB" w:rsidP="00D868AB">
            <w:pPr>
              <w:rPr>
                <w:rFonts w:eastAsia="Times New Roman" w:cs="Arial"/>
                <w:sz w:val="18"/>
                <w:szCs w:val="18"/>
              </w:rPr>
            </w:pPr>
            <w:r w:rsidRPr="00D868AB">
              <w:rPr>
                <w:rFonts w:eastAsia="Times New Roman" w:cs="Arial"/>
                <w:sz w:val="18"/>
                <w:szCs w:val="18"/>
              </w:rPr>
              <w:t>Disminución de pasivos.</w:t>
            </w:r>
          </w:p>
        </w:tc>
        <w:tc>
          <w:tcPr>
            <w:tcW w:w="1417" w:type="dxa"/>
            <w:tcBorders>
              <w:top w:val="nil"/>
              <w:left w:val="nil"/>
              <w:bottom w:val="single" w:sz="4" w:space="0" w:color="auto"/>
              <w:right w:val="single" w:sz="4" w:space="0" w:color="auto"/>
            </w:tcBorders>
            <w:shd w:val="clear" w:color="auto" w:fill="auto"/>
          </w:tcPr>
          <w:p w14:paraId="75EC5C27" w14:textId="77777777" w:rsidR="00D868AB" w:rsidRPr="00D868AB" w:rsidRDefault="00D868AB" w:rsidP="00D868AB">
            <w:pPr>
              <w:jc w:val="right"/>
              <w:rPr>
                <w:rFonts w:eastAsia="Times New Roman" w:cs="Arial"/>
                <w:sz w:val="18"/>
                <w:szCs w:val="18"/>
              </w:rPr>
            </w:pPr>
            <w:r w:rsidRPr="00D868AB">
              <w:rPr>
                <w:sz w:val="18"/>
                <w:szCs w:val="18"/>
              </w:rPr>
              <w:t>461,428,060</w:t>
            </w:r>
          </w:p>
        </w:tc>
      </w:tr>
      <w:tr w:rsidR="00D868AB" w:rsidRPr="00D868AB" w14:paraId="2436A288"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hideMark/>
          </w:tcPr>
          <w:p w14:paraId="78C5B3C5" w14:textId="77777777" w:rsidR="00D868AB" w:rsidRPr="00D868AB" w:rsidRDefault="00D868AB" w:rsidP="00D868AB">
            <w:pPr>
              <w:rPr>
                <w:rFonts w:eastAsia="Times New Roman" w:cs="Arial"/>
                <w:sz w:val="18"/>
                <w:szCs w:val="18"/>
              </w:rPr>
            </w:pPr>
            <w:r w:rsidRPr="00D868AB">
              <w:rPr>
                <w:rFonts w:eastAsia="Times New Roman" w:cs="Arial"/>
                <w:sz w:val="18"/>
                <w:szCs w:val="18"/>
              </w:rPr>
              <w:t>3.2.3</w:t>
            </w:r>
          </w:p>
        </w:tc>
        <w:tc>
          <w:tcPr>
            <w:tcW w:w="6379" w:type="dxa"/>
            <w:tcBorders>
              <w:top w:val="nil"/>
              <w:left w:val="nil"/>
              <w:bottom w:val="single" w:sz="4" w:space="0" w:color="auto"/>
              <w:right w:val="single" w:sz="4" w:space="0" w:color="auto"/>
            </w:tcBorders>
            <w:shd w:val="clear" w:color="auto" w:fill="auto"/>
            <w:vAlign w:val="center"/>
            <w:hideMark/>
          </w:tcPr>
          <w:p w14:paraId="538E9216" w14:textId="77777777" w:rsidR="00D868AB" w:rsidRPr="00D868AB" w:rsidRDefault="00D868AB" w:rsidP="00D868AB">
            <w:pPr>
              <w:rPr>
                <w:rFonts w:eastAsia="Times New Roman" w:cs="Arial"/>
                <w:sz w:val="18"/>
                <w:szCs w:val="18"/>
              </w:rPr>
            </w:pPr>
            <w:r w:rsidRPr="00D868AB">
              <w:rPr>
                <w:rFonts w:eastAsia="Times New Roman" w:cs="Arial"/>
                <w:sz w:val="18"/>
                <w:szCs w:val="18"/>
              </w:rPr>
              <w:t>Disminución de Patrimonio.</w:t>
            </w:r>
          </w:p>
        </w:tc>
        <w:tc>
          <w:tcPr>
            <w:tcW w:w="1417" w:type="dxa"/>
            <w:tcBorders>
              <w:top w:val="nil"/>
              <w:left w:val="nil"/>
              <w:bottom w:val="single" w:sz="4" w:space="0" w:color="auto"/>
              <w:right w:val="single" w:sz="4" w:space="0" w:color="auto"/>
            </w:tcBorders>
            <w:shd w:val="clear" w:color="auto" w:fill="auto"/>
          </w:tcPr>
          <w:p w14:paraId="1F874A35" w14:textId="77777777" w:rsidR="00D868AB" w:rsidRPr="00D868AB" w:rsidRDefault="00D868AB" w:rsidP="00D868AB">
            <w:pPr>
              <w:jc w:val="right"/>
              <w:rPr>
                <w:rFonts w:eastAsia="Times New Roman" w:cs="Arial"/>
                <w:sz w:val="18"/>
                <w:szCs w:val="18"/>
              </w:rPr>
            </w:pPr>
            <w:r w:rsidRPr="00D868AB">
              <w:rPr>
                <w:sz w:val="18"/>
                <w:szCs w:val="18"/>
              </w:rPr>
              <w:t>0</w:t>
            </w:r>
          </w:p>
        </w:tc>
      </w:tr>
      <w:tr w:rsidR="00D868AB" w:rsidRPr="00D868AB" w14:paraId="7905A843" w14:textId="77777777" w:rsidTr="00A755A7">
        <w:trPr>
          <w:trHeight w:val="20"/>
          <w:jc w:val="center"/>
        </w:trPr>
        <w:tc>
          <w:tcPr>
            <w:tcW w:w="851" w:type="dxa"/>
            <w:tcBorders>
              <w:top w:val="nil"/>
              <w:left w:val="single" w:sz="4" w:space="0" w:color="auto"/>
              <w:bottom w:val="single" w:sz="4" w:space="0" w:color="auto"/>
              <w:right w:val="single" w:sz="4" w:space="0" w:color="auto"/>
            </w:tcBorders>
            <w:shd w:val="clear" w:color="auto" w:fill="auto"/>
            <w:vAlign w:val="center"/>
          </w:tcPr>
          <w:p w14:paraId="5F05F5A0" w14:textId="77777777" w:rsidR="00D868AB" w:rsidRPr="00D868AB" w:rsidRDefault="00D868AB" w:rsidP="00D868AB">
            <w:pPr>
              <w:rPr>
                <w:rFonts w:eastAsia="Times New Roman" w:cs="Arial"/>
                <w:sz w:val="18"/>
                <w:szCs w:val="18"/>
              </w:rPr>
            </w:pPr>
          </w:p>
        </w:tc>
        <w:tc>
          <w:tcPr>
            <w:tcW w:w="6379" w:type="dxa"/>
            <w:tcBorders>
              <w:top w:val="nil"/>
              <w:left w:val="nil"/>
              <w:bottom w:val="single" w:sz="4" w:space="0" w:color="auto"/>
              <w:right w:val="single" w:sz="4" w:space="0" w:color="auto"/>
            </w:tcBorders>
            <w:shd w:val="clear" w:color="auto" w:fill="auto"/>
            <w:vAlign w:val="center"/>
          </w:tcPr>
          <w:p w14:paraId="02ACDA23" w14:textId="77777777" w:rsidR="00D868AB" w:rsidRPr="00D868AB" w:rsidRDefault="00D868AB" w:rsidP="00D868AB">
            <w:pPr>
              <w:jc w:val="left"/>
              <w:rPr>
                <w:rFonts w:eastAsia="Times New Roman" w:cs="Arial"/>
                <w:sz w:val="18"/>
                <w:szCs w:val="18"/>
              </w:rPr>
            </w:pPr>
            <w:r w:rsidRPr="00D868AB">
              <w:rPr>
                <w:rFonts w:eastAsia="Times New Roman" w:cs="Arial"/>
                <w:b/>
                <w:bCs/>
                <w:sz w:val="18"/>
                <w:szCs w:val="18"/>
              </w:rPr>
              <w:t>Total Aplicaciones Financieras.</w:t>
            </w:r>
          </w:p>
        </w:tc>
        <w:tc>
          <w:tcPr>
            <w:tcW w:w="1417" w:type="dxa"/>
            <w:tcBorders>
              <w:top w:val="nil"/>
              <w:left w:val="nil"/>
              <w:bottom w:val="single" w:sz="4" w:space="0" w:color="auto"/>
              <w:right w:val="single" w:sz="4" w:space="0" w:color="auto"/>
            </w:tcBorders>
            <w:shd w:val="clear" w:color="auto" w:fill="auto"/>
            <w:vAlign w:val="center"/>
          </w:tcPr>
          <w:p w14:paraId="3C39307B" w14:textId="77777777" w:rsidR="00D868AB" w:rsidRPr="00D868AB" w:rsidRDefault="00D868AB" w:rsidP="00D868AB">
            <w:pPr>
              <w:jc w:val="right"/>
              <w:rPr>
                <w:rFonts w:eastAsia="Times New Roman" w:cs="Arial"/>
                <w:b/>
                <w:bCs/>
                <w:sz w:val="18"/>
                <w:szCs w:val="18"/>
              </w:rPr>
            </w:pPr>
            <w:r w:rsidRPr="00D868AB">
              <w:rPr>
                <w:b/>
                <w:bCs/>
                <w:sz w:val="18"/>
                <w:szCs w:val="18"/>
              </w:rPr>
              <w:t>461,428,060</w:t>
            </w:r>
          </w:p>
        </w:tc>
      </w:tr>
    </w:tbl>
    <w:p w14:paraId="6915116B" w14:textId="77777777" w:rsidR="00D868AB" w:rsidRPr="00D868AB" w:rsidRDefault="00D868AB" w:rsidP="00D868AB">
      <w:pPr>
        <w:ind w:left="426" w:right="474" w:hanging="426"/>
        <w:rPr>
          <w:rFonts w:cs="Arial"/>
          <w:sz w:val="18"/>
          <w:lang w:val="es-ES"/>
        </w:rPr>
      </w:pPr>
      <w:r w:rsidRPr="00D868AB">
        <w:rPr>
          <w:rFonts w:cs="Arial"/>
          <w:b/>
          <w:sz w:val="18"/>
          <w:lang w:val="es-ES"/>
        </w:rPr>
        <w:t>Nota:</w:t>
      </w:r>
      <w:r w:rsidRPr="00D868AB">
        <w:rPr>
          <w:rFonts w:cs="Arial"/>
          <w:sz w:val="18"/>
          <w:lang w:val="es-ES"/>
        </w:rPr>
        <w:t xml:space="preserve"> Las cifras se presentan en el momento contable estimado, para el caso de los ingresos; y aprobado, para el caso de los egresos. No incluye saldos de cuentas contables. </w:t>
      </w:r>
    </w:p>
    <w:p w14:paraId="684A121B" w14:textId="77777777" w:rsidR="00D868AB" w:rsidRPr="00D868AB" w:rsidRDefault="00D868AB" w:rsidP="00D868AB">
      <w:pPr>
        <w:rPr>
          <w:rFonts w:cs="Arial"/>
          <w:b/>
          <w:lang w:val="es-ES"/>
        </w:rPr>
      </w:pPr>
    </w:p>
    <w:p w14:paraId="7CA586A6" w14:textId="77777777" w:rsidR="00D868AB" w:rsidRPr="00D868AB" w:rsidRDefault="00D868AB" w:rsidP="00D868AB">
      <w:pPr>
        <w:rPr>
          <w:rFonts w:cs="Arial"/>
          <w:b/>
          <w:lang w:val="es-ES"/>
        </w:rPr>
      </w:pPr>
    </w:p>
    <w:p w14:paraId="752B7D45" w14:textId="77777777" w:rsidR="00D868AB" w:rsidRPr="00D868AB" w:rsidRDefault="00D868AB" w:rsidP="00D868AB">
      <w:pPr>
        <w:rPr>
          <w:rFonts w:cs="Arial"/>
          <w:lang w:val="es-ES"/>
        </w:rPr>
      </w:pPr>
      <w:r w:rsidRPr="00D868AB">
        <w:rPr>
          <w:rFonts w:cs="Arial"/>
          <w:b/>
          <w:lang w:val="es-ES"/>
        </w:rPr>
        <w:lastRenderedPageBreak/>
        <w:t>Artículo 15</w:t>
      </w:r>
      <w:r w:rsidRPr="00D868AB">
        <w:rPr>
          <w:rFonts w:cs="Arial"/>
          <w:lang w:val="es-ES"/>
        </w:rPr>
        <w:t xml:space="preserve">. El gasto neto total previsto en este presupuesto se integra, de acuerdo a la </w:t>
      </w:r>
      <w:r w:rsidRPr="00D868AB">
        <w:rPr>
          <w:rFonts w:cs="Arial"/>
          <w:b/>
          <w:lang w:val="es-ES"/>
        </w:rPr>
        <w:t xml:space="preserve">Clasificación por Objeto del Gasto </w:t>
      </w:r>
      <w:r w:rsidRPr="00D868AB">
        <w:rPr>
          <w:rFonts w:cs="Arial"/>
          <w:lang w:val="es-ES"/>
        </w:rPr>
        <w:t xml:space="preserve">a nivel Capítulo, se distribuye de la siguiente forma: </w:t>
      </w:r>
    </w:p>
    <w:p w14:paraId="2071C0B8" w14:textId="77777777" w:rsidR="00D868AB" w:rsidRPr="00D868AB" w:rsidRDefault="00D868AB"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387"/>
        <w:gridCol w:w="1950"/>
      </w:tblGrid>
      <w:tr w:rsidR="00D868AB" w:rsidRPr="00D868AB" w14:paraId="2C3BCF44" w14:textId="77777777" w:rsidTr="00A755A7">
        <w:trPr>
          <w:trHeight w:val="20"/>
          <w:tblHeader/>
          <w:jc w:val="center"/>
        </w:trPr>
        <w:tc>
          <w:tcPr>
            <w:tcW w:w="8353" w:type="dxa"/>
            <w:gridSpan w:val="3"/>
            <w:tcBorders>
              <w:top w:val="nil"/>
              <w:left w:val="nil"/>
              <w:bottom w:val="single" w:sz="4" w:space="0" w:color="auto"/>
              <w:right w:val="nil"/>
            </w:tcBorders>
            <w:shd w:val="clear" w:color="auto" w:fill="auto"/>
            <w:vAlign w:val="center"/>
          </w:tcPr>
          <w:p w14:paraId="46FB280A" w14:textId="77777777" w:rsidR="00D868AB" w:rsidRPr="00D868AB" w:rsidRDefault="00D868AB" w:rsidP="00D868AB">
            <w:pPr>
              <w:jc w:val="center"/>
              <w:rPr>
                <w:rFonts w:cs="Arial"/>
                <w:b/>
                <w:sz w:val="20"/>
                <w:lang w:val="es-ES"/>
              </w:rPr>
            </w:pPr>
            <w:bookmarkStart w:id="17" w:name="_Toc522869232"/>
            <w:bookmarkStart w:id="18" w:name="_Toc526757438"/>
            <w:bookmarkStart w:id="19" w:name="_Toc22021872"/>
            <w:bookmarkStart w:id="20" w:name="_Toc22983150"/>
            <w:r w:rsidRPr="00D868AB">
              <w:rPr>
                <w:rFonts w:eastAsia="Times New Roman" w:cs="Arial"/>
                <w:b/>
                <w:sz w:val="20"/>
                <w:lang w:val="es-ES"/>
              </w:rPr>
              <w:t xml:space="preserve">Tabla 4. Clasificación por Objeto del Gasto </w:t>
            </w:r>
            <w:r w:rsidRPr="00D868AB">
              <w:rPr>
                <w:rFonts w:eastAsia="Times New Roman" w:cs="Arial"/>
                <w:b/>
                <w:sz w:val="20"/>
                <w:lang w:val="es-ES"/>
              </w:rPr>
              <w:br/>
              <w:t>(Capítulo)</w:t>
            </w:r>
            <w:bookmarkEnd w:id="17"/>
            <w:bookmarkEnd w:id="18"/>
            <w:bookmarkEnd w:id="19"/>
            <w:bookmarkEnd w:id="20"/>
          </w:p>
        </w:tc>
      </w:tr>
      <w:tr w:rsidR="00D868AB" w:rsidRPr="00D868AB" w14:paraId="4DE2A2D1" w14:textId="77777777" w:rsidTr="00A755A7">
        <w:trPr>
          <w:trHeight w:val="20"/>
          <w:tblHeader/>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8B300F" w14:textId="77777777" w:rsidR="00D868AB" w:rsidRPr="00D868AB" w:rsidRDefault="00D868AB" w:rsidP="00D868AB">
            <w:pPr>
              <w:jc w:val="center"/>
              <w:rPr>
                <w:rFonts w:cs="Arial"/>
                <w:b/>
                <w:sz w:val="20"/>
                <w:szCs w:val="20"/>
                <w:lang w:val="es-ES"/>
              </w:rPr>
            </w:pPr>
            <w:r w:rsidRPr="00D868AB">
              <w:rPr>
                <w:rFonts w:cs="Arial"/>
                <w:b/>
                <w:sz w:val="20"/>
                <w:szCs w:val="20"/>
                <w:lang w:val="es-ES"/>
              </w:rPr>
              <w:t>Capítulo</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BF6673" w14:textId="77777777" w:rsidR="00D868AB" w:rsidRPr="00D868AB" w:rsidRDefault="00D868AB" w:rsidP="00D868AB">
            <w:pPr>
              <w:jc w:val="center"/>
              <w:rPr>
                <w:rFonts w:cs="Arial"/>
                <w:b/>
                <w:sz w:val="20"/>
                <w:szCs w:val="20"/>
                <w:lang w:val="es-ES"/>
              </w:rPr>
            </w:pPr>
            <w:r w:rsidRPr="00D868AB">
              <w:rPr>
                <w:rFonts w:cs="Arial"/>
                <w:b/>
                <w:sz w:val="20"/>
                <w:szCs w:val="20"/>
                <w:lang w:val="es-ES"/>
              </w:rPr>
              <w:t>Concepto</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A09B1" w14:textId="77777777" w:rsidR="00D868AB" w:rsidRPr="00D868AB" w:rsidRDefault="00D868AB" w:rsidP="00D868AB">
            <w:pPr>
              <w:jc w:val="center"/>
              <w:rPr>
                <w:rFonts w:cs="Arial"/>
                <w:b/>
                <w:sz w:val="20"/>
                <w:szCs w:val="20"/>
                <w:lang w:val="es-ES"/>
              </w:rPr>
            </w:pPr>
            <w:r w:rsidRPr="00D868AB">
              <w:rPr>
                <w:rFonts w:cs="Arial"/>
                <w:b/>
                <w:sz w:val="20"/>
                <w:szCs w:val="20"/>
                <w:lang w:val="es-ES"/>
              </w:rPr>
              <w:t>Asignación Presupuestal</w:t>
            </w:r>
          </w:p>
        </w:tc>
      </w:tr>
      <w:tr w:rsidR="00D868AB" w:rsidRPr="00D868AB" w14:paraId="2FD488A7"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8D0BC3" w14:textId="77777777" w:rsidR="00D868AB" w:rsidRPr="00D868AB" w:rsidRDefault="00D868AB" w:rsidP="00D868AB">
            <w:pPr>
              <w:jc w:val="center"/>
              <w:rPr>
                <w:rFonts w:cs="Arial"/>
                <w:sz w:val="20"/>
                <w:szCs w:val="20"/>
                <w:lang w:val="es-ES"/>
              </w:rPr>
            </w:pPr>
            <w:r w:rsidRPr="00D868AB">
              <w:rPr>
                <w:rFonts w:cs="Arial"/>
                <w:sz w:val="20"/>
                <w:szCs w:val="20"/>
                <w:lang w:val="es-ES"/>
              </w:rPr>
              <w:t>10000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8F787" w14:textId="77777777" w:rsidR="00D868AB" w:rsidRPr="00D868AB" w:rsidRDefault="00D868AB" w:rsidP="00D868AB">
            <w:pPr>
              <w:rPr>
                <w:rFonts w:cs="Arial"/>
                <w:sz w:val="20"/>
                <w:szCs w:val="20"/>
                <w:lang w:val="es-ES"/>
              </w:rPr>
            </w:pPr>
            <w:r w:rsidRPr="00D868AB">
              <w:rPr>
                <w:rFonts w:cs="Arial"/>
                <w:sz w:val="20"/>
                <w:szCs w:val="20"/>
                <w:lang w:val="es-ES"/>
              </w:rPr>
              <w:t>Servicios Personales.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CDF04" w14:textId="77777777" w:rsidR="00D868AB" w:rsidRPr="00D868AB" w:rsidRDefault="00D868AB" w:rsidP="00D868AB">
            <w:pPr>
              <w:jc w:val="right"/>
              <w:rPr>
                <w:rFonts w:cs="Arial"/>
                <w:sz w:val="20"/>
                <w:szCs w:val="20"/>
                <w:lang w:val="es-ES"/>
              </w:rPr>
            </w:pPr>
            <w:r w:rsidRPr="00D868AB">
              <w:rPr>
                <w:rFonts w:cs="Arial"/>
                <w:color w:val="000000"/>
                <w:sz w:val="20"/>
                <w:szCs w:val="20"/>
              </w:rPr>
              <w:t>2,179,669,974</w:t>
            </w:r>
          </w:p>
        </w:tc>
      </w:tr>
      <w:tr w:rsidR="00D868AB" w:rsidRPr="00D868AB" w14:paraId="772F2C55"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8B2D3D" w14:textId="77777777" w:rsidR="00D868AB" w:rsidRPr="00D868AB" w:rsidRDefault="00D868AB" w:rsidP="00D868AB">
            <w:pPr>
              <w:jc w:val="center"/>
              <w:rPr>
                <w:rFonts w:cs="Arial"/>
                <w:sz w:val="20"/>
                <w:szCs w:val="20"/>
                <w:lang w:val="es-ES"/>
              </w:rPr>
            </w:pPr>
            <w:r w:rsidRPr="00D868AB">
              <w:rPr>
                <w:rFonts w:cs="Arial"/>
                <w:sz w:val="20"/>
                <w:szCs w:val="20"/>
                <w:lang w:val="es-ES"/>
              </w:rPr>
              <w:t>20000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323FA" w14:textId="77777777" w:rsidR="00D868AB" w:rsidRPr="00D868AB" w:rsidRDefault="00D868AB" w:rsidP="00D868AB">
            <w:pPr>
              <w:rPr>
                <w:rFonts w:cs="Arial"/>
                <w:sz w:val="20"/>
                <w:szCs w:val="20"/>
                <w:lang w:val="es-ES"/>
              </w:rPr>
            </w:pPr>
            <w:r w:rsidRPr="00D868AB">
              <w:rPr>
                <w:rFonts w:cs="Arial"/>
                <w:sz w:val="20"/>
                <w:szCs w:val="20"/>
                <w:lang w:val="es-ES"/>
              </w:rPr>
              <w:t>Materiales y Suministros.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7E4BE" w14:textId="77777777" w:rsidR="00D868AB" w:rsidRPr="00D868AB" w:rsidRDefault="00D868AB" w:rsidP="00D868AB">
            <w:pPr>
              <w:jc w:val="right"/>
              <w:rPr>
                <w:rFonts w:cs="Arial"/>
                <w:sz w:val="20"/>
                <w:szCs w:val="20"/>
                <w:lang w:val="es-ES"/>
              </w:rPr>
            </w:pPr>
            <w:r w:rsidRPr="00D868AB">
              <w:rPr>
                <w:rFonts w:cs="Arial"/>
                <w:color w:val="000000"/>
                <w:sz w:val="20"/>
                <w:szCs w:val="20"/>
              </w:rPr>
              <w:t>262,580,146</w:t>
            </w:r>
          </w:p>
        </w:tc>
      </w:tr>
      <w:tr w:rsidR="00D868AB" w:rsidRPr="00D868AB" w14:paraId="36A2072E"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4A00E" w14:textId="77777777" w:rsidR="00D868AB" w:rsidRPr="00D868AB" w:rsidRDefault="00D868AB" w:rsidP="00D868AB">
            <w:pPr>
              <w:jc w:val="center"/>
              <w:rPr>
                <w:rFonts w:cs="Arial"/>
                <w:sz w:val="20"/>
                <w:szCs w:val="20"/>
                <w:lang w:val="es-ES"/>
              </w:rPr>
            </w:pPr>
            <w:r w:rsidRPr="00D868AB">
              <w:rPr>
                <w:rFonts w:cs="Arial"/>
                <w:sz w:val="20"/>
                <w:szCs w:val="20"/>
                <w:lang w:val="es-ES"/>
              </w:rPr>
              <w:t>30000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D1791" w14:textId="77777777" w:rsidR="00D868AB" w:rsidRPr="00D868AB" w:rsidRDefault="00D868AB" w:rsidP="00D868AB">
            <w:pPr>
              <w:rPr>
                <w:rFonts w:cs="Arial"/>
                <w:sz w:val="20"/>
                <w:szCs w:val="20"/>
                <w:lang w:val="es-ES"/>
              </w:rPr>
            </w:pPr>
            <w:r w:rsidRPr="00D868AB">
              <w:rPr>
                <w:rFonts w:cs="Arial"/>
                <w:sz w:val="20"/>
                <w:szCs w:val="20"/>
                <w:lang w:val="es-ES"/>
              </w:rPr>
              <w:t>Servicios Generales.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E17C1" w14:textId="77777777" w:rsidR="00D868AB" w:rsidRPr="00D868AB" w:rsidRDefault="00D868AB" w:rsidP="00D868AB">
            <w:pPr>
              <w:jc w:val="right"/>
              <w:rPr>
                <w:rFonts w:cs="Arial"/>
                <w:sz w:val="20"/>
                <w:szCs w:val="20"/>
                <w:lang w:val="es-ES"/>
              </w:rPr>
            </w:pPr>
            <w:r w:rsidRPr="00D868AB">
              <w:rPr>
                <w:rFonts w:cs="Arial"/>
                <w:color w:val="000000"/>
                <w:sz w:val="20"/>
                <w:szCs w:val="20"/>
              </w:rPr>
              <w:t>493,884,976</w:t>
            </w:r>
          </w:p>
        </w:tc>
      </w:tr>
      <w:tr w:rsidR="00D868AB" w:rsidRPr="00D868AB" w14:paraId="06520679"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A2ECE" w14:textId="77777777" w:rsidR="00D868AB" w:rsidRPr="00D868AB" w:rsidRDefault="00D868AB" w:rsidP="00D868AB">
            <w:pPr>
              <w:jc w:val="center"/>
              <w:rPr>
                <w:rFonts w:cs="Arial"/>
                <w:sz w:val="20"/>
                <w:szCs w:val="20"/>
                <w:lang w:val="es-ES"/>
              </w:rPr>
            </w:pPr>
            <w:r w:rsidRPr="00D868AB">
              <w:rPr>
                <w:rFonts w:cs="Arial"/>
                <w:sz w:val="20"/>
                <w:szCs w:val="20"/>
                <w:lang w:val="es-ES"/>
              </w:rPr>
              <w:t>40000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E24611" w14:textId="77777777" w:rsidR="00D868AB" w:rsidRPr="00D868AB" w:rsidRDefault="00D868AB" w:rsidP="00D868AB">
            <w:pPr>
              <w:rPr>
                <w:rFonts w:cs="Arial"/>
                <w:sz w:val="20"/>
                <w:szCs w:val="20"/>
                <w:lang w:val="es-ES"/>
              </w:rPr>
            </w:pPr>
            <w:r w:rsidRPr="00D868AB">
              <w:rPr>
                <w:rFonts w:cs="Arial"/>
                <w:sz w:val="20"/>
                <w:szCs w:val="20"/>
                <w:lang w:val="es-ES"/>
              </w:rPr>
              <w:t>Transferencias, Asignaciones, Subsidios y Otras Ayudas.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6BA9E" w14:textId="77777777" w:rsidR="00D868AB" w:rsidRPr="00D868AB" w:rsidRDefault="00D868AB" w:rsidP="00D868AB">
            <w:pPr>
              <w:jc w:val="right"/>
              <w:rPr>
                <w:rFonts w:cs="Arial"/>
                <w:sz w:val="20"/>
                <w:szCs w:val="20"/>
                <w:lang w:val="es-ES"/>
              </w:rPr>
            </w:pPr>
            <w:r w:rsidRPr="00D868AB">
              <w:rPr>
                <w:rFonts w:cs="Arial"/>
                <w:color w:val="000000"/>
                <w:sz w:val="20"/>
                <w:szCs w:val="20"/>
              </w:rPr>
              <w:t>13,281,813,131</w:t>
            </w:r>
          </w:p>
        </w:tc>
      </w:tr>
      <w:tr w:rsidR="00D868AB" w:rsidRPr="00D868AB" w14:paraId="14E5DEAB"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EFB45" w14:textId="77777777" w:rsidR="00D868AB" w:rsidRPr="00D868AB" w:rsidRDefault="00D868AB" w:rsidP="00D868AB">
            <w:pPr>
              <w:jc w:val="center"/>
              <w:rPr>
                <w:rFonts w:cs="Arial"/>
                <w:sz w:val="20"/>
                <w:szCs w:val="20"/>
                <w:lang w:val="es-ES"/>
              </w:rPr>
            </w:pPr>
            <w:r w:rsidRPr="00D868AB">
              <w:rPr>
                <w:rFonts w:cs="Arial"/>
                <w:sz w:val="20"/>
                <w:szCs w:val="20"/>
                <w:lang w:val="es-ES"/>
              </w:rPr>
              <w:t>50000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A3919" w14:textId="77777777" w:rsidR="00D868AB" w:rsidRPr="00D868AB" w:rsidRDefault="00D868AB" w:rsidP="00D868AB">
            <w:pPr>
              <w:rPr>
                <w:rFonts w:cs="Arial"/>
                <w:sz w:val="20"/>
                <w:szCs w:val="20"/>
                <w:lang w:val="es-ES"/>
              </w:rPr>
            </w:pPr>
            <w:r w:rsidRPr="00D868AB">
              <w:rPr>
                <w:rFonts w:cs="Arial"/>
                <w:sz w:val="20"/>
                <w:szCs w:val="20"/>
                <w:lang w:val="es-ES"/>
              </w:rPr>
              <w:t>Bienes Muebles, Inmuebles e Intangibles.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D1BF1" w14:textId="77777777" w:rsidR="00D868AB" w:rsidRPr="00D868AB" w:rsidRDefault="00D868AB" w:rsidP="00D868AB">
            <w:pPr>
              <w:jc w:val="right"/>
              <w:rPr>
                <w:rFonts w:cs="Arial"/>
                <w:sz w:val="20"/>
                <w:szCs w:val="20"/>
                <w:lang w:val="es-ES"/>
              </w:rPr>
            </w:pPr>
            <w:r w:rsidRPr="00D868AB">
              <w:rPr>
                <w:rFonts w:cs="Arial"/>
                <w:color w:val="000000"/>
                <w:sz w:val="20"/>
                <w:szCs w:val="20"/>
              </w:rPr>
              <w:t>49,657,754</w:t>
            </w:r>
          </w:p>
        </w:tc>
      </w:tr>
      <w:tr w:rsidR="00D868AB" w:rsidRPr="00D868AB" w14:paraId="681A662B"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C122C" w14:textId="77777777" w:rsidR="00D868AB" w:rsidRPr="00D868AB" w:rsidRDefault="00D868AB" w:rsidP="00D868AB">
            <w:pPr>
              <w:jc w:val="center"/>
              <w:rPr>
                <w:rFonts w:cs="Arial"/>
                <w:sz w:val="20"/>
                <w:szCs w:val="20"/>
                <w:lang w:val="es-ES"/>
              </w:rPr>
            </w:pPr>
            <w:r w:rsidRPr="00D868AB">
              <w:rPr>
                <w:rFonts w:cs="Arial"/>
                <w:sz w:val="20"/>
                <w:szCs w:val="20"/>
                <w:lang w:val="es-ES"/>
              </w:rPr>
              <w:t>60000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209D5" w14:textId="77777777" w:rsidR="00D868AB" w:rsidRPr="00D868AB" w:rsidRDefault="00D868AB" w:rsidP="00D868AB">
            <w:pPr>
              <w:rPr>
                <w:rFonts w:cs="Arial"/>
                <w:sz w:val="20"/>
                <w:szCs w:val="20"/>
                <w:lang w:val="es-ES"/>
              </w:rPr>
            </w:pPr>
            <w:r w:rsidRPr="00D868AB">
              <w:rPr>
                <w:rFonts w:cs="Arial"/>
                <w:sz w:val="20"/>
                <w:szCs w:val="20"/>
                <w:lang w:val="es-ES"/>
              </w:rPr>
              <w:t>Inversión Pública.</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02725" w14:textId="77777777" w:rsidR="00D868AB" w:rsidRPr="00D868AB" w:rsidRDefault="00D868AB" w:rsidP="00D868AB">
            <w:pPr>
              <w:jc w:val="right"/>
              <w:rPr>
                <w:rFonts w:cs="Arial"/>
                <w:sz w:val="20"/>
                <w:szCs w:val="20"/>
                <w:lang w:val="es-ES"/>
              </w:rPr>
            </w:pPr>
            <w:r w:rsidRPr="00D868AB">
              <w:rPr>
                <w:rFonts w:cs="Arial"/>
                <w:color w:val="000000"/>
                <w:sz w:val="20"/>
                <w:szCs w:val="20"/>
              </w:rPr>
              <w:t>99,022,325</w:t>
            </w:r>
          </w:p>
        </w:tc>
      </w:tr>
      <w:tr w:rsidR="00D868AB" w:rsidRPr="00D868AB" w14:paraId="2DF8441B"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E7482" w14:textId="77777777" w:rsidR="00D868AB" w:rsidRPr="00D868AB" w:rsidRDefault="00D868AB" w:rsidP="00D868AB">
            <w:pPr>
              <w:jc w:val="center"/>
              <w:rPr>
                <w:rFonts w:cs="Arial"/>
                <w:sz w:val="20"/>
                <w:szCs w:val="20"/>
                <w:lang w:val="es-ES"/>
              </w:rPr>
            </w:pPr>
            <w:r w:rsidRPr="00D868AB">
              <w:rPr>
                <w:rFonts w:cs="Arial"/>
                <w:sz w:val="20"/>
                <w:szCs w:val="20"/>
                <w:lang w:val="es-ES"/>
              </w:rPr>
              <w:t>70000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886DB" w14:textId="77777777" w:rsidR="00D868AB" w:rsidRPr="00D868AB" w:rsidRDefault="00D868AB" w:rsidP="00D868AB">
            <w:pPr>
              <w:rPr>
                <w:rFonts w:cs="Arial"/>
                <w:sz w:val="20"/>
                <w:szCs w:val="20"/>
                <w:lang w:val="es-ES"/>
              </w:rPr>
            </w:pPr>
            <w:r w:rsidRPr="00D868AB">
              <w:rPr>
                <w:rFonts w:cs="Arial"/>
                <w:sz w:val="20"/>
                <w:szCs w:val="20"/>
                <w:lang w:val="es-ES"/>
              </w:rPr>
              <w:t>Inversiones Financieras y Otras Provisiones.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A3B0E" w14:textId="77777777" w:rsidR="00D868AB" w:rsidRPr="00D868AB" w:rsidRDefault="00D868AB" w:rsidP="00D868AB">
            <w:pPr>
              <w:jc w:val="right"/>
              <w:rPr>
                <w:rFonts w:cs="Arial"/>
                <w:sz w:val="20"/>
                <w:szCs w:val="20"/>
                <w:lang w:val="es-ES"/>
              </w:rPr>
            </w:pPr>
            <w:r w:rsidRPr="00D868AB">
              <w:rPr>
                <w:rFonts w:cs="Arial"/>
                <w:color w:val="000000"/>
                <w:sz w:val="20"/>
                <w:szCs w:val="20"/>
              </w:rPr>
              <w:t>3,800,000</w:t>
            </w:r>
          </w:p>
        </w:tc>
      </w:tr>
      <w:tr w:rsidR="00D868AB" w:rsidRPr="00D868AB" w14:paraId="3593C754"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59863E" w14:textId="77777777" w:rsidR="00D868AB" w:rsidRPr="00D868AB" w:rsidRDefault="00D868AB" w:rsidP="00D868AB">
            <w:pPr>
              <w:jc w:val="center"/>
              <w:rPr>
                <w:rFonts w:cs="Arial"/>
                <w:sz w:val="20"/>
                <w:szCs w:val="20"/>
                <w:lang w:val="es-ES"/>
              </w:rPr>
            </w:pPr>
            <w:r w:rsidRPr="00D868AB">
              <w:rPr>
                <w:rFonts w:cs="Arial"/>
                <w:sz w:val="20"/>
                <w:szCs w:val="20"/>
                <w:lang w:val="es-ES"/>
              </w:rPr>
              <w:t>80000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FC87A" w14:textId="77777777" w:rsidR="00D868AB" w:rsidRPr="00D868AB" w:rsidRDefault="00D868AB" w:rsidP="00D868AB">
            <w:pPr>
              <w:rPr>
                <w:rFonts w:cs="Arial"/>
                <w:sz w:val="20"/>
                <w:szCs w:val="20"/>
                <w:lang w:val="es-ES"/>
              </w:rPr>
            </w:pPr>
            <w:r w:rsidRPr="00D868AB">
              <w:rPr>
                <w:rFonts w:cs="Arial"/>
                <w:sz w:val="20"/>
                <w:szCs w:val="20"/>
                <w:lang w:val="es-ES"/>
              </w:rPr>
              <w:t>Participaciones y Aportaciones.</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A9C86" w14:textId="77777777" w:rsidR="00D868AB" w:rsidRPr="00D868AB" w:rsidRDefault="00D868AB" w:rsidP="00D868AB">
            <w:pPr>
              <w:jc w:val="right"/>
              <w:rPr>
                <w:rFonts w:cs="Arial"/>
                <w:sz w:val="20"/>
                <w:szCs w:val="20"/>
                <w:lang w:val="es-ES"/>
              </w:rPr>
            </w:pPr>
            <w:r w:rsidRPr="00D868AB">
              <w:rPr>
                <w:rFonts w:cs="Arial"/>
                <w:color w:val="000000"/>
                <w:sz w:val="20"/>
                <w:szCs w:val="20"/>
              </w:rPr>
              <w:t>3,297,624,261</w:t>
            </w:r>
          </w:p>
        </w:tc>
      </w:tr>
      <w:tr w:rsidR="00D868AB" w:rsidRPr="00D868AB" w14:paraId="4B246A9B"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2A4BB" w14:textId="77777777" w:rsidR="00D868AB" w:rsidRPr="00D868AB" w:rsidRDefault="00D868AB" w:rsidP="00D868AB">
            <w:pPr>
              <w:jc w:val="center"/>
              <w:rPr>
                <w:rFonts w:cs="Arial"/>
                <w:sz w:val="20"/>
                <w:szCs w:val="20"/>
                <w:lang w:val="es-ES"/>
              </w:rPr>
            </w:pPr>
            <w:r w:rsidRPr="00D868AB">
              <w:rPr>
                <w:rFonts w:cs="Arial"/>
                <w:sz w:val="20"/>
                <w:szCs w:val="20"/>
                <w:lang w:val="es-ES"/>
              </w:rPr>
              <w:t>90000</w:t>
            </w: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64AC9" w14:textId="77777777" w:rsidR="00D868AB" w:rsidRPr="00D868AB" w:rsidRDefault="00D868AB" w:rsidP="00D868AB">
            <w:pPr>
              <w:rPr>
                <w:rFonts w:cs="Arial"/>
                <w:sz w:val="20"/>
                <w:szCs w:val="20"/>
                <w:lang w:val="es-ES"/>
              </w:rPr>
            </w:pPr>
            <w:r w:rsidRPr="00D868AB">
              <w:rPr>
                <w:rFonts w:cs="Arial"/>
                <w:sz w:val="20"/>
                <w:szCs w:val="20"/>
                <w:lang w:val="es-ES"/>
              </w:rPr>
              <w:t>Deuda Pública.</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FEB57" w14:textId="77777777" w:rsidR="00D868AB" w:rsidRPr="00D868AB" w:rsidRDefault="00D868AB" w:rsidP="00D868AB">
            <w:pPr>
              <w:jc w:val="right"/>
              <w:rPr>
                <w:rFonts w:cs="Arial"/>
                <w:sz w:val="20"/>
                <w:szCs w:val="20"/>
                <w:lang w:val="es-ES"/>
              </w:rPr>
            </w:pPr>
            <w:r w:rsidRPr="00D868AB">
              <w:rPr>
                <w:rFonts w:cs="Arial"/>
                <w:color w:val="000000"/>
                <w:sz w:val="20"/>
                <w:szCs w:val="20"/>
              </w:rPr>
              <w:t>887,247,433</w:t>
            </w:r>
          </w:p>
        </w:tc>
      </w:tr>
      <w:tr w:rsidR="00D868AB" w:rsidRPr="00D868AB" w14:paraId="2AF9A9C1"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1A9BD7" w14:textId="77777777" w:rsidR="00D868AB" w:rsidRPr="00D868AB" w:rsidRDefault="00D868AB" w:rsidP="00D868AB">
            <w:pPr>
              <w:rPr>
                <w:rFonts w:cs="Arial"/>
                <w:sz w:val="20"/>
                <w:szCs w:val="20"/>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977A6"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Total</w:t>
            </w:r>
          </w:p>
        </w:tc>
        <w:tc>
          <w:tcPr>
            <w:tcW w:w="19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FEE67"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20,555,300,000</w:t>
            </w:r>
          </w:p>
        </w:tc>
      </w:tr>
    </w:tbl>
    <w:p w14:paraId="46F21DC4" w14:textId="77777777" w:rsidR="00D868AB" w:rsidRPr="00D868AB" w:rsidRDefault="00D868AB" w:rsidP="00D868AB">
      <w:pPr>
        <w:rPr>
          <w:rFonts w:cs="Arial"/>
          <w:lang w:val="es-ES"/>
        </w:rPr>
      </w:pPr>
    </w:p>
    <w:p w14:paraId="516CBB13" w14:textId="77777777" w:rsidR="00D868AB" w:rsidRPr="00D868AB" w:rsidRDefault="00D868AB" w:rsidP="00D868AB">
      <w:pPr>
        <w:rPr>
          <w:rFonts w:cs="Arial"/>
          <w:lang w:val="es-ES"/>
        </w:rPr>
      </w:pPr>
      <w:r w:rsidRPr="00D868AB">
        <w:rPr>
          <w:rFonts w:cs="Arial"/>
          <w:lang w:val="es-ES"/>
        </w:rPr>
        <w:t xml:space="preserve">En el </w:t>
      </w:r>
      <w:r w:rsidRPr="00D868AB">
        <w:rPr>
          <w:rFonts w:cs="Arial"/>
          <w:b/>
          <w:lang w:val="es-ES"/>
        </w:rPr>
        <w:t>Anexo 1</w:t>
      </w:r>
      <w:r w:rsidRPr="00D868AB">
        <w:rPr>
          <w:rFonts w:cs="Arial"/>
          <w:lang w:val="es-ES"/>
        </w:rPr>
        <w:t xml:space="preserve"> del presente Decreto, se presenta la </w:t>
      </w:r>
      <w:r w:rsidRPr="00D868AB">
        <w:rPr>
          <w:rFonts w:cs="Arial"/>
          <w:b/>
          <w:lang w:val="es-ES"/>
        </w:rPr>
        <w:t>Clasificación por Objeto del Gasto</w:t>
      </w:r>
      <w:r w:rsidRPr="00D868AB">
        <w:rPr>
          <w:rFonts w:cs="Arial"/>
          <w:lang w:val="es-ES"/>
        </w:rPr>
        <w:t xml:space="preserve"> a nivel de Capítulo, Concepto, Partida Genérica y Partida Específica; organizado de la siguiente manera: </w:t>
      </w:r>
    </w:p>
    <w:p w14:paraId="53519DB2" w14:textId="77777777" w:rsidR="00D868AB" w:rsidRPr="00D868AB" w:rsidRDefault="00D868AB" w:rsidP="00D868AB">
      <w:pPr>
        <w:rPr>
          <w:rFonts w:cs="Arial"/>
          <w:lang w:val="es-ES"/>
        </w:rPr>
      </w:pPr>
    </w:p>
    <w:p w14:paraId="7D1B8EAD" w14:textId="77777777" w:rsidR="00D868AB" w:rsidRPr="00D868AB" w:rsidRDefault="00D868AB" w:rsidP="00D868AB">
      <w:pPr>
        <w:tabs>
          <w:tab w:val="left" w:pos="1276"/>
        </w:tabs>
        <w:ind w:left="1276" w:hanging="1276"/>
        <w:rPr>
          <w:rFonts w:cs="Arial"/>
          <w:lang w:val="es-ES"/>
        </w:rPr>
      </w:pPr>
      <w:r w:rsidRPr="00D868AB">
        <w:rPr>
          <w:rFonts w:cs="Arial"/>
          <w:b/>
          <w:lang w:val="es-ES"/>
        </w:rPr>
        <w:t>Anexo 1.1</w:t>
      </w:r>
      <w:r w:rsidRPr="00D868AB">
        <w:rPr>
          <w:rFonts w:cs="Arial"/>
          <w:b/>
          <w:lang w:val="es-ES"/>
        </w:rPr>
        <w:tab/>
      </w:r>
      <w:r w:rsidRPr="00D868AB">
        <w:rPr>
          <w:rFonts w:cs="Arial"/>
          <w:lang w:val="es-ES"/>
        </w:rPr>
        <w:t>Clasificación por Objeto del Gasto, a Cuarto Nivel.</w:t>
      </w:r>
    </w:p>
    <w:p w14:paraId="253D7AF6" w14:textId="77777777" w:rsidR="00D868AB" w:rsidRPr="00D868AB" w:rsidRDefault="00D868AB" w:rsidP="00D868AB">
      <w:pPr>
        <w:tabs>
          <w:tab w:val="left" w:pos="1276"/>
        </w:tabs>
        <w:ind w:left="1276" w:hanging="1276"/>
        <w:rPr>
          <w:rFonts w:cs="Arial"/>
          <w:lang w:val="es-ES"/>
        </w:rPr>
      </w:pPr>
      <w:r w:rsidRPr="00D868AB">
        <w:rPr>
          <w:rFonts w:cs="Arial"/>
          <w:b/>
          <w:lang w:val="es-ES"/>
        </w:rPr>
        <w:t>Anexo 1.2</w:t>
      </w:r>
      <w:r w:rsidRPr="00D868AB">
        <w:rPr>
          <w:rFonts w:cs="Arial"/>
          <w:b/>
          <w:lang w:val="es-ES"/>
        </w:rPr>
        <w:tab/>
      </w:r>
      <w:r w:rsidRPr="00D868AB">
        <w:rPr>
          <w:rFonts w:cs="Arial"/>
          <w:lang w:val="es-ES"/>
        </w:rPr>
        <w:t xml:space="preserve">Gastos en Comunicación Social (Capítulo, Concepto, Partida Genérica y Partida Específica). </w:t>
      </w:r>
    </w:p>
    <w:p w14:paraId="42A2E970" w14:textId="77777777" w:rsidR="00D868AB" w:rsidRPr="00D868AB" w:rsidRDefault="00D868AB" w:rsidP="00D868AB">
      <w:pPr>
        <w:tabs>
          <w:tab w:val="left" w:pos="1276"/>
        </w:tabs>
        <w:ind w:left="1276" w:hanging="1276"/>
        <w:rPr>
          <w:rFonts w:cs="Arial"/>
          <w:lang w:val="es-ES"/>
        </w:rPr>
      </w:pPr>
      <w:r w:rsidRPr="00D868AB">
        <w:rPr>
          <w:rFonts w:cs="Arial"/>
          <w:b/>
          <w:lang w:val="es-ES"/>
        </w:rPr>
        <w:t>Anexo 1.3</w:t>
      </w:r>
      <w:r w:rsidRPr="00D868AB">
        <w:rPr>
          <w:rFonts w:cs="Arial"/>
          <w:b/>
          <w:lang w:val="es-ES"/>
        </w:rPr>
        <w:tab/>
      </w:r>
      <w:r w:rsidRPr="00D868AB">
        <w:rPr>
          <w:rFonts w:cs="Arial"/>
          <w:lang w:val="es-ES"/>
        </w:rPr>
        <w:t>Gastos en Comunicación Social (Clasificación Administrativa y Clasificación por Objeto del Gasto).</w:t>
      </w:r>
    </w:p>
    <w:p w14:paraId="7EE23EC2" w14:textId="77777777" w:rsidR="00D868AB" w:rsidRPr="00D868AB" w:rsidRDefault="00D868AB" w:rsidP="00D868AB">
      <w:pPr>
        <w:tabs>
          <w:tab w:val="left" w:pos="1276"/>
        </w:tabs>
        <w:ind w:left="1276" w:hanging="1276"/>
        <w:rPr>
          <w:rFonts w:cs="Arial"/>
          <w:lang w:val="es-ES"/>
        </w:rPr>
      </w:pPr>
      <w:r w:rsidRPr="00D868AB">
        <w:rPr>
          <w:rFonts w:cs="Arial"/>
          <w:b/>
          <w:lang w:val="es-ES"/>
        </w:rPr>
        <w:t>Anexo 1.4</w:t>
      </w:r>
      <w:r w:rsidRPr="00D868AB">
        <w:rPr>
          <w:rFonts w:cs="Arial"/>
          <w:b/>
          <w:lang w:val="es-ES"/>
        </w:rPr>
        <w:tab/>
      </w:r>
      <w:r w:rsidRPr="00D868AB">
        <w:rPr>
          <w:rFonts w:cs="Arial"/>
          <w:lang w:val="es-ES"/>
        </w:rPr>
        <w:t xml:space="preserve">Subsidios y Subvenciones. </w:t>
      </w:r>
    </w:p>
    <w:p w14:paraId="488E86D9" w14:textId="77777777" w:rsidR="00D868AB" w:rsidRPr="00D868AB" w:rsidRDefault="00D868AB" w:rsidP="00D868AB">
      <w:pPr>
        <w:tabs>
          <w:tab w:val="left" w:pos="1276"/>
        </w:tabs>
        <w:ind w:left="1276" w:hanging="1276"/>
        <w:rPr>
          <w:rFonts w:cs="Arial"/>
          <w:lang w:val="es-ES"/>
        </w:rPr>
      </w:pPr>
      <w:r w:rsidRPr="00D868AB">
        <w:rPr>
          <w:rFonts w:cs="Arial"/>
          <w:b/>
          <w:lang w:val="es-ES"/>
        </w:rPr>
        <w:t>Anexo 1.5</w:t>
      </w:r>
      <w:r w:rsidRPr="00D868AB">
        <w:rPr>
          <w:rFonts w:cs="Arial"/>
          <w:lang w:val="es-ES"/>
        </w:rPr>
        <w:tab/>
        <w:t xml:space="preserve">Ayudas Sociales. </w:t>
      </w:r>
    </w:p>
    <w:p w14:paraId="1ED7FBBD" w14:textId="77777777" w:rsidR="00D868AB" w:rsidRPr="00D868AB" w:rsidRDefault="00D868AB" w:rsidP="00D868AB">
      <w:pPr>
        <w:tabs>
          <w:tab w:val="left" w:pos="1276"/>
        </w:tabs>
        <w:ind w:left="1276" w:hanging="1276"/>
        <w:rPr>
          <w:rFonts w:cs="Arial"/>
          <w:lang w:val="es-ES"/>
        </w:rPr>
      </w:pPr>
    </w:p>
    <w:p w14:paraId="5EE15162" w14:textId="77777777" w:rsidR="00D868AB" w:rsidRPr="00D868AB" w:rsidRDefault="00D868AB" w:rsidP="00D868AB">
      <w:pPr>
        <w:rPr>
          <w:rFonts w:cs="Arial"/>
          <w:lang w:val="es-ES"/>
        </w:rPr>
      </w:pPr>
      <w:r w:rsidRPr="00D868AB">
        <w:rPr>
          <w:rFonts w:cs="Arial"/>
          <w:b/>
          <w:lang w:val="es-ES"/>
        </w:rPr>
        <w:t>Artículo 16</w:t>
      </w:r>
      <w:r w:rsidRPr="00D868AB">
        <w:rPr>
          <w:rFonts w:cs="Arial"/>
          <w:lang w:val="es-ES"/>
        </w:rPr>
        <w:t xml:space="preserve">. Las erogaciones previstas en este Decreto, de acuerdo con la </w:t>
      </w:r>
      <w:r w:rsidRPr="00D868AB">
        <w:rPr>
          <w:rFonts w:cs="Arial"/>
          <w:b/>
          <w:lang w:val="es-ES"/>
        </w:rPr>
        <w:t>Clasificación Administrativa</w:t>
      </w:r>
      <w:r w:rsidRPr="00D868AB">
        <w:rPr>
          <w:rFonts w:cs="Arial"/>
          <w:lang w:val="es-ES"/>
        </w:rPr>
        <w:t xml:space="preserve"> se distribuyen de la siguiente manera:</w:t>
      </w:r>
    </w:p>
    <w:p w14:paraId="04FC00A2" w14:textId="77777777" w:rsidR="00D868AB" w:rsidRPr="00D868AB" w:rsidRDefault="00D868AB" w:rsidP="00D868AB">
      <w:pPr>
        <w:rPr>
          <w:rFonts w:cs="Arial"/>
          <w:lang w:val="es-ES"/>
        </w:rPr>
      </w:pPr>
    </w:p>
    <w:p w14:paraId="52B10D22" w14:textId="77777777" w:rsidR="00D868AB" w:rsidRPr="00D868AB" w:rsidRDefault="00D868AB" w:rsidP="00D868AB">
      <w:pPr>
        <w:rPr>
          <w:rFonts w:cs="Arial"/>
          <w:lang w:val="es-ES"/>
        </w:rPr>
      </w:pPr>
      <w:r w:rsidRPr="00D868AB">
        <w:rPr>
          <w:rFonts w:cs="Arial"/>
          <w:lang w:val="es-ES"/>
        </w:rPr>
        <w:t>I. Clasificación Administrativa a Nivel Agregado</w:t>
      </w:r>
    </w:p>
    <w:p w14:paraId="6D51B9B9" w14:textId="77777777" w:rsidR="00D868AB" w:rsidRPr="00D868AB" w:rsidRDefault="00D868AB" w:rsidP="00D868AB">
      <w:pPr>
        <w:keepNext/>
        <w:keepLines/>
        <w:outlineLvl w:val="2"/>
        <w:rPr>
          <w:rFonts w:eastAsia="Times New Roman" w:cs="Arial"/>
          <w:b/>
          <w:szCs w:val="24"/>
          <w:lang w:val="es-ES" w:eastAsia="en-US"/>
        </w:rPr>
      </w:pP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5987"/>
        <w:gridCol w:w="1809"/>
      </w:tblGrid>
      <w:tr w:rsidR="00D868AB" w:rsidRPr="00D868AB" w14:paraId="36426223" w14:textId="77777777" w:rsidTr="00A755A7">
        <w:trPr>
          <w:trHeight w:val="20"/>
          <w:tblHeader/>
          <w:jc w:val="center"/>
        </w:trPr>
        <w:tc>
          <w:tcPr>
            <w:tcW w:w="8642" w:type="dxa"/>
            <w:gridSpan w:val="3"/>
            <w:tcBorders>
              <w:top w:val="nil"/>
              <w:left w:val="nil"/>
              <w:bottom w:val="single" w:sz="4" w:space="0" w:color="auto"/>
              <w:right w:val="nil"/>
            </w:tcBorders>
            <w:shd w:val="clear" w:color="auto" w:fill="auto"/>
            <w:vAlign w:val="center"/>
          </w:tcPr>
          <w:p w14:paraId="734EEF61" w14:textId="77777777" w:rsidR="00D868AB" w:rsidRPr="00D868AB" w:rsidRDefault="00D868AB" w:rsidP="00D868AB">
            <w:pPr>
              <w:jc w:val="center"/>
              <w:rPr>
                <w:rFonts w:eastAsia="Times New Roman" w:cs="Arial"/>
                <w:b/>
                <w:bCs/>
                <w:sz w:val="20"/>
                <w:szCs w:val="20"/>
              </w:rPr>
            </w:pPr>
            <w:bookmarkStart w:id="21" w:name="_Toc522869252"/>
            <w:bookmarkStart w:id="22" w:name="_Toc526757440"/>
            <w:bookmarkStart w:id="23" w:name="_Toc22021874"/>
            <w:bookmarkStart w:id="24" w:name="_Toc22983151"/>
            <w:r w:rsidRPr="00D868AB">
              <w:rPr>
                <w:rFonts w:eastAsia="Times New Roman" w:cs="Arial"/>
                <w:b/>
                <w:sz w:val="20"/>
                <w:szCs w:val="20"/>
                <w:lang w:val="es-ES"/>
              </w:rPr>
              <w:t>Tabla 5. Clasificación Administrativa a Nivel Agregado</w:t>
            </w:r>
            <w:bookmarkEnd w:id="21"/>
            <w:bookmarkEnd w:id="22"/>
            <w:bookmarkEnd w:id="23"/>
            <w:bookmarkEnd w:id="24"/>
          </w:p>
        </w:tc>
      </w:tr>
      <w:tr w:rsidR="00D868AB" w:rsidRPr="00D868AB" w14:paraId="795F7E32" w14:textId="77777777" w:rsidTr="00A755A7">
        <w:trPr>
          <w:trHeight w:val="20"/>
          <w:tblHeader/>
          <w:jc w:val="center"/>
        </w:trPr>
        <w:tc>
          <w:tcPr>
            <w:tcW w:w="846" w:type="dxa"/>
            <w:tcBorders>
              <w:top w:val="single" w:sz="4" w:space="0" w:color="auto"/>
            </w:tcBorders>
            <w:shd w:val="clear" w:color="auto" w:fill="auto"/>
            <w:vAlign w:val="center"/>
            <w:hideMark/>
          </w:tcPr>
          <w:p w14:paraId="2BBBA2F8"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Clave</w:t>
            </w:r>
          </w:p>
        </w:tc>
        <w:tc>
          <w:tcPr>
            <w:tcW w:w="5987" w:type="dxa"/>
            <w:tcBorders>
              <w:top w:val="single" w:sz="4" w:space="0" w:color="auto"/>
            </w:tcBorders>
            <w:shd w:val="clear" w:color="auto" w:fill="auto"/>
            <w:vAlign w:val="center"/>
            <w:hideMark/>
          </w:tcPr>
          <w:p w14:paraId="5867DE28"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Concepto</w:t>
            </w:r>
          </w:p>
        </w:tc>
        <w:tc>
          <w:tcPr>
            <w:tcW w:w="1809" w:type="dxa"/>
            <w:tcBorders>
              <w:top w:val="single" w:sz="4" w:space="0" w:color="auto"/>
            </w:tcBorders>
            <w:shd w:val="clear" w:color="auto" w:fill="auto"/>
            <w:vAlign w:val="center"/>
            <w:hideMark/>
          </w:tcPr>
          <w:p w14:paraId="23C28B1C"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Asignación Presupuestal</w:t>
            </w:r>
          </w:p>
        </w:tc>
      </w:tr>
      <w:tr w:rsidR="00D868AB" w:rsidRPr="00D868AB" w14:paraId="52F98EF0" w14:textId="77777777" w:rsidTr="00A755A7">
        <w:trPr>
          <w:trHeight w:val="20"/>
          <w:jc w:val="center"/>
        </w:trPr>
        <w:tc>
          <w:tcPr>
            <w:tcW w:w="846" w:type="dxa"/>
            <w:shd w:val="clear" w:color="auto" w:fill="auto"/>
            <w:noWrap/>
            <w:vAlign w:val="center"/>
            <w:hideMark/>
          </w:tcPr>
          <w:p w14:paraId="5F7939E0"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20000</w:t>
            </w:r>
          </w:p>
        </w:tc>
        <w:tc>
          <w:tcPr>
            <w:tcW w:w="5987" w:type="dxa"/>
            <w:shd w:val="clear" w:color="auto" w:fill="auto"/>
            <w:vAlign w:val="center"/>
            <w:hideMark/>
          </w:tcPr>
          <w:p w14:paraId="48AE2E00" w14:textId="77777777" w:rsidR="00D868AB" w:rsidRPr="00D868AB" w:rsidRDefault="00D868AB" w:rsidP="00D868AB">
            <w:pPr>
              <w:rPr>
                <w:rFonts w:eastAsia="Times New Roman" w:cs="Arial"/>
                <w:b/>
                <w:bCs/>
                <w:sz w:val="20"/>
                <w:szCs w:val="20"/>
              </w:rPr>
            </w:pPr>
            <w:r w:rsidRPr="00D868AB">
              <w:rPr>
                <w:rFonts w:eastAsia="Times New Roman" w:cs="Arial"/>
                <w:b/>
                <w:bCs/>
                <w:sz w:val="20"/>
                <w:szCs w:val="20"/>
              </w:rPr>
              <w:t>Sector Público de las Entidades Federativas.</w:t>
            </w:r>
          </w:p>
        </w:tc>
        <w:tc>
          <w:tcPr>
            <w:tcW w:w="1809" w:type="dxa"/>
            <w:shd w:val="clear" w:color="auto" w:fill="auto"/>
            <w:noWrap/>
            <w:vAlign w:val="center"/>
          </w:tcPr>
          <w:p w14:paraId="5D2797DB" w14:textId="77777777" w:rsidR="00D868AB" w:rsidRPr="00D868AB" w:rsidRDefault="00D868AB" w:rsidP="00D868AB">
            <w:pPr>
              <w:jc w:val="right"/>
              <w:rPr>
                <w:rFonts w:cs="Arial"/>
                <w:b/>
                <w:bCs/>
                <w:sz w:val="20"/>
                <w:szCs w:val="20"/>
              </w:rPr>
            </w:pPr>
            <w:r w:rsidRPr="00D868AB">
              <w:rPr>
                <w:rFonts w:cs="Arial"/>
                <w:b/>
                <w:bCs/>
                <w:color w:val="000000"/>
                <w:sz w:val="20"/>
                <w:szCs w:val="20"/>
              </w:rPr>
              <w:t>20,555,300,000</w:t>
            </w:r>
          </w:p>
        </w:tc>
      </w:tr>
      <w:tr w:rsidR="00D868AB" w:rsidRPr="00D868AB" w14:paraId="467DFA09" w14:textId="77777777" w:rsidTr="00A755A7">
        <w:trPr>
          <w:trHeight w:val="20"/>
          <w:jc w:val="center"/>
        </w:trPr>
        <w:tc>
          <w:tcPr>
            <w:tcW w:w="846" w:type="dxa"/>
            <w:shd w:val="clear" w:color="auto" w:fill="auto"/>
            <w:noWrap/>
            <w:vAlign w:val="center"/>
            <w:hideMark/>
          </w:tcPr>
          <w:p w14:paraId="4AED79FC"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21000</w:t>
            </w:r>
          </w:p>
        </w:tc>
        <w:tc>
          <w:tcPr>
            <w:tcW w:w="5987" w:type="dxa"/>
            <w:shd w:val="clear" w:color="auto" w:fill="auto"/>
            <w:vAlign w:val="center"/>
            <w:hideMark/>
          </w:tcPr>
          <w:p w14:paraId="136D8880" w14:textId="77777777" w:rsidR="00D868AB" w:rsidRPr="00D868AB" w:rsidRDefault="00D868AB" w:rsidP="00D868AB">
            <w:pPr>
              <w:rPr>
                <w:rFonts w:eastAsia="Times New Roman" w:cs="Arial"/>
                <w:b/>
                <w:bCs/>
                <w:sz w:val="20"/>
                <w:szCs w:val="20"/>
              </w:rPr>
            </w:pPr>
            <w:r w:rsidRPr="00D868AB">
              <w:rPr>
                <w:rFonts w:eastAsia="Times New Roman" w:cs="Arial"/>
                <w:b/>
                <w:bCs/>
                <w:sz w:val="20"/>
                <w:szCs w:val="20"/>
              </w:rPr>
              <w:t>Sector Público No Financiero.</w:t>
            </w:r>
          </w:p>
        </w:tc>
        <w:tc>
          <w:tcPr>
            <w:tcW w:w="1809" w:type="dxa"/>
            <w:shd w:val="clear" w:color="auto" w:fill="auto"/>
            <w:noWrap/>
            <w:vAlign w:val="center"/>
          </w:tcPr>
          <w:p w14:paraId="6C1A42B5" w14:textId="77777777" w:rsidR="00D868AB" w:rsidRPr="00D868AB" w:rsidRDefault="00D868AB" w:rsidP="00D868AB">
            <w:pPr>
              <w:jc w:val="right"/>
              <w:rPr>
                <w:rFonts w:cs="Arial"/>
                <w:b/>
                <w:bCs/>
                <w:sz w:val="20"/>
                <w:szCs w:val="20"/>
              </w:rPr>
            </w:pPr>
            <w:r w:rsidRPr="00D868AB">
              <w:rPr>
                <w:rFonts w:cs="Arial"/>
                <w:b/>
                <w:bCs/>
                <w:color w:val="000000"/>
                <w:sz w:val="20"/>
                <w:szCs w:val="20"/>
              </w:rPr>
              <w:t>20,555,300,000</w:t>
            </w:r>
          </w:p>
        </w:tc>
      </w:tr>
      <w:tr w:rsidR="00D868AB" w:rsidRPr="00D868AB" w14:paraId="167EFFCE" w14:textId="77777777" w:rsidTr="00A755A7">
        <w:trPr>
          <w:trHeight w:val="20"/>
          <w:jc w:val="center"/>
        </w:trPr>
        <w:tc>
          <w:tcPr>
            <w:tcW w:w="846" w:type="dxa"/>
            <w:shd w:val="clear" w:color="auto" w:fill="auto"/>
            <w:noWrap/>
            <w:vAlign w:val="center"/>
            <w:hideMark/>
          </w:tcPr>
          <w:p w14:paraId="69EE14D7"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21100</w:t>
            </w:r>
          </w:p>
        </w:tc>
        <w:tc>
          <w:tcPr>
            <w:tcW w:w="5987" w:type="dxa"/>
            <w:shd w:val="clear" w:color="auto" w:fill="auto"/>
            <w:vAlign w:val="center"/>
            <w:hideMark/>
          </w:tcPr>
          <w:p w14:paraId="6DA279AF" w14:textId="77777777" w:rsidR="00D868AB" w:rsidRPr="00D868AB" w:rsidRDefault="00D868AB" w:rsidP="00D868AB">
            <w:pPr>
              <w:rPr>
                <w:rFonts w:eastAsia="Times New Roman" w:cs="Arial"/>
                <w:b/>
                <w:bCs/>
                <w:sz w:val="20"/>
                <w:szCs w:val="20"/>
              </w:rPr>
            </w:pPr>
            <w:r w:rsidRPr="00D868AB">
              <w:rPr>
                <w:rFonts w:eastAsia="Times New Roman" w:cs="Arial"/>
                <w:b/>
                <w:bCs/>
                <w:sz w:val="20"/>
                <w:szCs w:val="20"/>
              </w:rPr>
              <w:t>Gobierno General Estatal o del Distrito Federal.</w:t>
            </w:r>
          </w:p>
        </w:tc>
        <w:tc>
          <w:tcPr>
            <w:tcW w:w="1809" w:type="dxa"/>
            <w:shd w:val="clear" w:color="auto" w:fill="auto"/>
            <w:noWrap/>
            <w:vAlign w:val="center"/>
          </w:tcPr>
          <w:p w14:paraId="0D2318E7" w14:textId="77777777" w:rsidR="00D868AB" w:rsidRPr="00D868AB" w:rsidRDefault="00D868AB" w:rsidP="00D868AB">
            <w:pPr>
              <w:jc w:val="right"/>
              <w:rPr>
                <w:rFonts w:cs="Arial"/>
                <w:b/>
                <w:bCs/>
                <w:sz w:val="20"/>
                <w:szCs w:val="20"/>
              </w:rPr>
            </w:pPr>
            <w:r w:rsidRPr="00D868AB">
              <w:rPr>
                <w:rFonts w:cs="Arial"/>
                <w:b/>
                <w:bCs/>
                <w:color w:val="000000"/>
                <w:sz w:val="20"/>
                <w:szCs w:val="20"/>
              </w:rPr>
              <w:t>20,555,300,000</w:t>
            </w:r>
          </w:p>
        </w:tc>
      </w:tr>
      <w:tr w:rsidR="00D868AB" w:rsidRPr="00D868AB" w14:paraId="2186EDED" w14:textId="77777777" w:rsidTr="00A755A7">
        <w:trPr>
          <w:trHeight w:val="20"/>
          <w:jc w:val="center"/>
        </w:trPr>
        <w:tc>
          <w:tcPr>
            <w:tcW w:w="846" w:type="dxa"/>
            <w:shd w:val="clear" w:color="auto" w:fill="auto"/>
            <w:noWrap/>
            <w:vAlign w:val="center"/>
            <w:hideMark/>
          </w:tcPr>
          <w:p w14:paraId="212849EB"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lastRenderedPageBreak/>
              <w:t>21110</w:t>
            </w:r>
          </w:p>
        </w:tc>
        <w:tc>
          <w:tcPr>
            <w:tcW w:w="5987" w:type="dxa"/>
            <w:shd w:val="clear" w:color="auto" w:fill="auto"/>
            <w:vAlign w:val="center"/>
            <w:hideMark/>
          </w:tcPr>
          <w:p w14:paraId="21A88C2C" w14:textId="77777777" w:rsidR="00D868AB" w:rsidRPr="00D868AB" w:rsidRDefault="00D868AB" w:rsidP="00D868AB">
            <w:pPr>
              <w:rPr>
                <w:rFonts w:eastAsia="Times New Roman" w:cs="Arial"/>
                <w:b/>
                <w:bCs/>
                <w:sz w:val="20"/>
                <w:szCs w:val="20"/>
              </w:rPr>
            </w:pPr>
            <w:r w:rsidRPr="00D868AB">
              <w:rPr>
                <w:rFonts w:eastAsia="Times New Roman" w:cs="Arial"/>
                <w:b/>
                <w:bCs/>
                <w:sz w:val="20"/>
                <w:szCs w:val="20"/>
              </w:rPr>
              <w:t>Gobierno del Estado de Colima.</w:t>
            </w:r>
          </w:p>
        </w:tc>
        <w:tc>
          <w:tcPr>
            <w:tcW w:w="1809" w:type="dxa"/>
            <w:shd w:val="clear" w:color="auto" w:fill="auto"/>
            <w:noWrap/>
            <w:vAlign w:val="center"/>
          </w:tcPr>
          <w:p w14:paraId="5A16389E" w14:textId="77777777" w:rsidR="00D868AB" w:rsidRPr="00D868AB" w:rsidRDefault="00D868AB" w:rsidP="00D868AB">
            <w:pPr>
              <w:jc w:val="right"/>
              <w:rPr>
                <w:rFonts w:cs="Arial"/>
                <w:b/>
                <w:bCs/>
                <w:sz w:val="20"/>
                <w:szCs w:val="20"/>
              </w:rPr>
            </w:pPr>
            <w:r w:rsidRPr="00D868AB">
              <w:rPr>
                <w:rFonts w:cs="Arial"/>
                <w:b/>
                <w:bCs/>
                <w:color w:val="000000"/>
                <w:sz w:val="20"/>
                <w:szCs w:val="20"/>
              </w:rPr>
              <w:t>17,102,514,477</w:t>
            </w:r>
          </w:p>
        </w:tc>
      </w:tr>
      <w:tr w:rsidR="00D868AB" w:rsidRPr="00D868AB" w14:paraId="1486FED3" w14:textId="77777777" w:rsidTr="00A755A7">
        <w:trPr>
          <w:trHeight w:val="20"/>
          <w:jc w:val="center"/>
        </w:trPr>
        <w:tc>
          <w:tcPr>
            <w:tcW w:w="846" w:type="dxa"/>
            <w:shd w:val="clear" w:color="auto" w:fill="auto"/>
            <w:noWrap/>
            <w:vAlign w:val="center"/>
            <w:hideMark/>
          </w:tcPr>
          <w:p w14:paraId="50625F7C"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21111</w:t>
            </w:r>
          </w:p>
        </w:tc>
        <w:tc>
          <w:tcPr>
            <w:tcW w:w="5987" w:type="dxa"/>
            <w:shd w:val="clear" w:color="auto" w:fill="auto"/>
            <w:vAlign w:val="center"/>
            <w:hideMark/>
          </w:tcPr>
          <w:p w14:paraId="68F5EF56" w14:textId="77777777" w:rsidR="00D868AB" w:rsidRPr="00D868AB" w:rsidRDefault="00D868AB" w:rsidP="00D868AB">
            <w:pPr>
              <w:rPr>
                <w:rFonts w:eastAsia="Times New Roman" w:cs="Arial"/>
                <w:sz w:val="20"/>
                <w:szCs w:val="20"/>
              </w:rPr>
            </w:pPr>
            <w:r w:rsidRPr="00D868AB">
              <w:rPr>
                <w:rFonts w:eastAsia="Times New Roman" w:cs="Arial"/>
                <w:sz w:val="20"/>
                <w:szCs w:val="20"/>
              </w:rPr>
              <w:t>Poder Ejecutivo.</w:t>
            </w:r>
          </w:p>
        </w:tc>
        <w:tc>
          <w:tcPr>
            <w:tcW w:w="1809" w:type="dxa"/>
            <w:shd w:val="clear" w:color="auto" w:fill="auto"/>
            <w:vAlign w:val="center"/>
          </w:tcPr>
          <w:p w14:paraId="3DEBA789" w14:textId="77777777" w:rsidR="00D868AB" w:rsidRPr="00D868AB" w:rsidRDefault="00D868AB" w:rsidP="00D868AB">
            <w:pPr>
              <w:jc w:val="right"/>
              <w:rPr>
                <w:rFonts w:cs="Arial"/>
                <w:sz w:val="20"/>
                <w:szCs w:val="20"/>
              </w:rPr>
            </w:pPr>
            <w:r w:rsidRPr="00D868AB">
              <w:rPr>
                <w:rFonts w:cs="Arial"/>
                <w:color w:val="000000"/>
                <w:sz w:val="20"/>
                <w:szCs w:val="20"/>
              </w:rPr>
              <w:t>16,054,442,095</w:t>
            </w:r>
          </w:p>
        </w:tc>
      </w:tr>
      <w:tr w:rsidR="00D868AB" w:rsidRPr="00D868AB" w14:paraId="768D9229" w14:textId="77777777" w:rsidTr="00A755A7">
        <w:trPr>
          <w:trHeight w:val="20"/>
          <w:jc w:val="center"/>
        </w:trPr>
        <w:tc>
          <w:tcPr>
            <w:tcW w:w="846" w:type="dxa"/>
            <w:shd w:val="clear" w:color="auto" w:fill="auto"/>
            <w:noWrap/>
            <w:vAlign w:val="center"/>
            <w:hideMark/>
          </w:tcPr>
          <w:p w14:paraId="19EAA624"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21112</w:t>
            </w:r>
          </w:p>
        </w:tc>
        <w:tc>
          <w:tcPr>
            <w:tcW w:w="5987" w:type="dxa"/>
            <w:shd w:val="clear" w:color="auto" w:fill="auto"/>
            <w:vAlign w:val="center"/>
            <w:hideMark/>
          </w:tcPr>
          <w:p w14:paraId="59F4837A" w14:textId="77777777" w:rsidR="00D868AB" w:rsidRPr="00D868AB" w:rsidRDefault="00D868AB" w:rsidP="00D868AB">
            <w:pPr>
              <w:rPr>
                <w:rFonts w:eastAsia="Times New Roman" w:cs="Arial"/>
                <w:sz w:val="20"/>
                <w:szCs w:val="20"/>
              </w:rPr>
            </w:pPr>
            <w:r w:rsidRPr="00D868AB">
              <w:rPr>
                <w:rFonts w:eastAsia="Times New Roman" w:cs="Arial"/>
                <w:sz w:val="20"/>
                <w:szCs w:val="20"/>
              </w:rPr>
              <w:t>Poder Legislativo.</w:t>
            </w:r>
          </w:p>
        </w:tc>
        <w:tc>
          <w:tcPr>
            <w:tcW w:w="1809" w:type="dxa"/>
            <w:shd w:val="clear" w:color="auto" w:fill="auto"/>
            <w:vAlign w:val="center"/>
          </w:tcPr>
          <w:p w14:paraId="1464B557" w14:textId="77777777" w:rsidR="00D868AB" w:rsidRPr="00D868AB" w:rsidRDefault="00D868AB" w:rsidP="00D868AB">
            <w:pPr>
              <w:jc w:val="right"/>
              <w:rPr>
                <w:rFonts w:cs="Arial"/>
                <w:sz w:val="20"/>
                <w:szCs w:val="20"/>
              </w:rPr>
            </w:pPr>
            <w:r w:rsidRPr="00D868AB">
              <w:rPr>
                <w:rFonts w:cs="Arial"/>
                <w:color w:val="000000"/>
                <w:sz w:val="20"/>
                <w:szCs w:val="20"/>
              </w:rPr>
              <w:t>115,000,000</w:t>
            </w:r>
          </w:p>
        </w:tc>
      </w:tr>
      <w:tr w:rsidR="00D868AB" w:rsidRPr="00D868AB" w14:paraId="69A0FB83" w14:textId="77777777" w:rsidTr="00A755A7">
        <w:trPr>
          <w:trHeight w:val="20"/>
          <w:jc w:val="center"/>
        </w:trPr>
        <w:tc>
          <w:tcPr>
            <w:tcW w:w="846" w:type="dxa"/>
            <w:shd w:val="clear" w:color="auto" w:fill="auto"/>
            <w:noWrap/>
            <w:vAlign w:val="center"/>
            <w:hideMark/>
          </w:tcPr>
          <w:p w14:paraId="302D1AA5"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21113</w:t>
            </w:r>
          </w:p>
        </w:tc>
        <w:tc>
          <w:tcPr>
            <w:tcW w:w="5987" w:type="dxa"/>
            <w:shd w:val="clear" w:color="auto" w:fill="auto"/>
            <w:vAlign w:val="center"/>
            <w:hideMark/>
          </w:tcPr>
          <w:p w14:paraId="4D63E736" w14:textId="77777777" w:rsidR="00D868AB" w:rsidRPr="00D868AB" w:rsidRDefault="00D868AB" w:rsidP="00D868AB">
            <w:pPr>
              <w:rPr>
                <w:rFonts w:eastAsia="Times New Roman" w:cs="Arial"/>
                <w:sz w:val="20"/>
                <w:szCs w:val="20"/>
              </w:rPr>
            </w:pPr>
            <w:r w:rsidRPr="00D868AB">
              <w:rPr>
                <w:rFonts w:eastAsia="Times New Roman" w:cs="Arial"/>
                <w:sz w:val="20"/>
                <w:szCs w:val="20"/>
              </w:rPr>
              <w:t>Poder Judicial.</w:t>
            </w:r>
          </w:p>
        </w:tc>
        <w:tc>
          <w:tcPr>
            <w:tcW w:w="1809" w:type="dxa"/>
            <w:shd w:val="clear" w:color="auto" w:fill="auto"/>
            <w:vAlign w:val="center"/>
          </w:tcPr>
          <w:p w14:paraId="0CA9D019" w14:textId="77777777" w:rsidR="00D868AB" w:rsidRPr="00D868AB" w:rsidRDefault="00D868AB" w:rsidP="00D868AB">
            <w:pPr>
              <w:jc w:val="right"/>
              <w:rPr>
                <w:rFonts w:cs="Arial"/>
                <w:sz w:val="20"/>
                <w:szCs w:val="20"/>
              </w:rPr>
            </w:pPr>
            <w:r w:rsidRPr="00D868AB">
              <w:rPr>
                <w:rFonts w:cs="Arial"/>
                <w:color w:val="000000"/>
                <w:sz w:val="20"/>
                <w:szCs w:val="20"/>
              </w:rPr>
              <w:t>251,000,000</w:t>
            </w:r>
          </w:p>
        </w:tc>
      </w:tr>
      <w:tr w:rsidR="00D868AB" w:rsidRPr="00D868AB" w14:paraId="371FD9C2" w14:textId="77777777" w:rsidTr="00A755A7">
        <w:trPr>
          <w:trHeight w:val="20"/>
          <w:jc w:val="center"/>
        </w:trPr>
        <w:tc>
          <w:tcPr>
            <w:tcW w:w="846" w:type="dxa"/>
            <w:shd w:val="clear" w:color="auto" w:fill="auto"/>
            <w:noWrap/>
            <w:vAlign w:val="center"/>
            <w:hideMark/>
          </w:tcPr>
          <w:p w14:paraId="5FDDC5C7"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21114</w:t>
            </w:r>
          </w:p>
        </w:tc>
        <w:tc>
          <w:tcPr>
            <w:tcW w:w="5987" w:type="dxa"/>
            <w:shd w:val="clear" w:color="auto" w:fill="auto"/>
            <w:vAlign w:val="center"/>
            <w:hideMark/>
          </w:tcPr>
          <w:p w14:paraId="59F9406D" w14:textId="77777777" w:rsidR="00D868AB" w:rsidRPr="00D868AB" w:rsidRDefault="00D868AB" w:rsidP="00D868AB">
            <w:pPr>
              <w:rPr>
                <w:rFonts w:eastAsia="Times New Roman" w:cs="Arial"/>
                <w:sz w:val="20"/>
                <w:szCs w:val="20"/>
              </w:rPr>
            </w:pPr>
            <w:r w:rsidRPr="00D868AB">
              <w:rPr>
                <w:rFonts w:eastAsia="Times New Roman" w:cs="Arial"/>
                <w:sz w:val="20"/>
                <w:szCs w:val="20"/>
              </w:rPr>
              <w:t>Órganos Autónomos del Estado.</w:t>
            </w:r>
          </w:p>
        </w:tc>
        <w:tc>
          <w:tcPr>
            <w:tcW w:w="1809" w:type="dxa"/>
            <w:shd w:val="clear" w:color="auto" w:fill="auto"/>
            <w:vAlign w:val="center"/>
          </w:tcPr>
          <w:p w14:paraId="4A298D55" w14:textId="77777777" w:rsidR="00D868AB" w:rsidRPr="00D868AB" w:rsidRDefault="00D868AB" w:rsidP="00D868AB">
            <w:pPr>
              <w:jc w:val="right"/>
              <w:rPr>
                <w:rFonts w:cs="Arial"/>
                <w:sz w:val="20"/>
                <w:szCs w:val="20"/>
              </w:rPr>
            </w:pPr>
            <w:r w:rsidRPr="00D868AB">
              <w:rPr>
                <w:rFonts w:cs="Arial"/>
                <w:color w:val="000000"/>
                <w:sz w:val="20"/>
                <w:szCs w:val="20"/>
              </w:rPr>
              <w:t>682,072,382</w:t>
            </w:r>
          </w:p>
        </w:tc>
      </w:tr>
      <w:tr w:rsidR="00D868AB" w:rsidRPr="00D868AB" w14:paraId="7910A75C" w14:textId="77777777" w:rsidTr="00A755A7">
        <w:trPr>
          <w:trHeight w:val="20"/>
          <w:jc w:val="center"/>
        </w:trPr>
        <w:tc>
          <w:tcPr>
            <w:tcW w:w="846" w:type="dxa"/>
            <w:shd w:val="clear" w:color="auto" w:fill="auto"/>
            <w:noWrap/>
            <w:vAlign w:val="center"/>
            <w:hideMark/>
          </w:tcPr>
          <w:p w14:paraId="5BF1C62F"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21120</w:t>
            </w:r>
          </w:p>
        </w:tc>
        <w:tc>
          <w:tcPr>
            <w:tcW w:w="5987" w:type="dxa"/>
            <w:shd w:val="clear" w:color="auto" w:fill="auto"/>
            <w:vAlign w:val="center"/>
            <w:hideMark/>
          </w:tcPr>
          <w:p w14:paraId="654CE9B1" w14:textId="77777777" w:rsidR="00D868AB" w:rsidRPr="00D868AB" w:rsidRDefault="00D868AB" w:rsidP="00D868AB">
            <w:pPr>
              <w:rPr>
                <w:rFonts w:eastAsia="Times New Roman" w:cs="Arial"/>
                <w:b/>
                <w:bCs/>
                <w:sz w:val="20"/>
                <w:szCs w:val="20"/>
              </w:rPr>
            </w:pPr>
            <w:r w:rsidRPr="00D868AB">
              <w:rPr>
                <w:rFonts w:eastAsia="Times New Roman" w:cs="Arial"/>
                <w:b/>
                <w:bCs/>
                <w:sz w:val="20"/>
                <w:szCs w:val="20"/>
              </w:rPr>
              <w:t>Entidades Paraestatales y Fideicomisos No Empresariales y No Financieros.</w:t>
            </w:r>
          </w:p>
        </w:tc>
        <w:tc>
          <w:tcPr>
            <w:tcW w:w="1809" w:type="dxa"/>
            <w:shd w:val="clear" w:color="auto" w:fill="auto"/>
            <w:noWrap/>
            <w:vAlign w:val="center"/>
          </w:tcPr>
          <w:p w14:paraId="52AE055D" w14:textId="77777777" w:rsidR="00D868AB" w:rsidRPr="00D868AB" w:rsidRDefault="00D868AB" w:rsidP="00D868AB">
            <w:pPr>
              <w:jc w:val="right"/>
              <w:rPr>
                <w:rFonts w:cs="Arial"/>
                <w:b/>
                <w:bCs/>
                <w:sz w:val="20"/>
                <w:szCs w:val="20"/>
              </w:rPr>
            </w:pPr>
            <w:r w:rsidRPr="00D868AB">
              <w:rPr>
                <w:rFonts w:cs="Arial"/>
                <w:b/>
                <w:bCs/>
                <w:color w:val="000000"/>
                <w:sz w:val="20"/>
                <w:szCs w:val="20"/>
              </w:rPr>
              <w:t>3,210,138,963</w:t>
            </w:r>
          </w:p>
        </w:tc>
      </w:tr>
      <w:tr w:rsidR="00D868AB" w:rsidRPr="00D868AB" w14:paraId="2FE7F00E" w14:textId="77777777" w:rsidTr="00A755A7">
        <w:trPr>
          <w:trHeight w:val="20"/>
          <w:jc w:val="center"/>
        </w:trPr>
        <w:tc>
          <w:tcPr>
            <w:tcW w:w="846" w:type="dxa"/>
            <w:shd w:val="clear" w:color="auto" w:fill="auto"/>
            <w:noWrap/>
            <w:vAlign w:val="center"/>
            <w:hideMark/>
          </w:tcPr>
          <w:p w14:paraId="0EF167D1"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21122</w:t>
            </w:r>
          </w:p>
        </w:tc>
        <w:tc>
          <w:tcPr>
            <w:tcW w:w="5987" w:type="dxa"/>
            <w:shd w:val="clear" w:color="auto" w:fill="auto"/>
            <w:vAlign w:val="center"/>
            <w:hideMark/>
          </w:tcPr>
          <w:p w14:paraId="5E2865E9" w14:textId="77777777" w:rsidR="00D868AB" w:rsidRPr="00D868AB" w:rsidRDefault="00D868AB" w:rsidP="00D868AB">
            <w:pPr>
              <w:rPr>
                <w:rFonts w:eastAsia="Times New Roman" w:cs="Arial"/>
                <w:sz w:val="20"/>
                <w:szCs w:val="20"/>
              </w:rPr>
            </w:pPr>
            <w:r w:rsidRPr="00D868AB">
              <w:rPr>
                <w:rFonts w:eastAsia="Times New Roman" w:cs="Arial"/>
                <w:sz w:val="20"/>
                <w:szCs w:val="20"/>
              </w:rPr>
              <w:t>Transferencias internas otorgadas a entidades paraestatales no empresariales y no financieras.</w:t>
            </w:r>
          </w:p>
        </w:tc>
        <w:tc>
          <w:tcPr>
            <w:tcW w:w="1809" w:type="dxa"/>
            <w:shd w:val="clear" w:color="auto" w:fill="auto"/>
            <w:noWrap/>
            <w:vAlign w:val="center"/>
          </w:tcPr>
          <w:p w14:paraId="4EDA8332" w14:textId="77777777" w:rsidR="00D868AB" w:rsidRPr="00D868AB" w:rsidRDefault="00D868AB" w:rsidP="00D868AB">
            <w:pPr>
              <w:jc w:val="right"/>
              <w:rPr>
                <w:rFonts w:cs="Arial"/>
                <w:sz w:val="20"/>
                <w:szCs w:val="20"/>
              </w:rPr>
            </w:pPr>
            <w:r w:rsidRPr="00D868AB">
              <w:rPr>
                <w:rFonts w:cs="Arial"/>
                <w:color w:val="000000"/>
                <w:sz w:val="20"/>
                <w:szCs w:val="20"/>
              </w:rPr>
              <w:t>3,147,405,363</w:t>
            </w:r>
          </w:p>
        </w:tc>
      </w:tr>
      <w:tr w:rsidR="00D868AB" w:rsidRPr="00D868AB" w14:paraId="63467C8D" w14:textId="77777777" w:rsidTr="00A755A7">
        <w:trPr>
          <w:trHeight w:val="20"/>
          <w:jc w:val="center"/>
        </w:trPr>
        <w:tc>
          <w:tcPr>
            <w:tcW w:w="846" w:type="dxa"/>
            <w:shd w:val="clear" w:color="auto" w:fill="auto"/>
            <w:noWrap/>
            <w:vAlign w:val="center"/>
            <w:hideMark/>
          </w:tcPr>
          <w:p w14:paraId="6FF10939"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21123</w:t>
            </w:r>
          </w:p>
        </w:tc>
        <w:tc>
          <w:tcPr>
            <w:tcW w:w="5987" w:type="dxa"/>
            <w:shd w:val="clear" w:color="auto" w:fill="auto"/>
            <w:vAlign w:val="center"/>
            <w:hideMark/>
          </w:tcPr>
          <w:p w14:paraId="0CFBBC22" w14:textId="77777777" w:rsidR="00D868AB" w:rsidRPr="00D868AB" w:rsidRDefault="00D868AB" w:rsidP="00D868AB">
            <w:pPr>
              <w:rPr>
                <w:rFonts w:eastAsia="Times New Roman" w:cs="Arial"/>
                <w:sz w:val="20"/>
                <w:szCs w:val="20"/>
              </w:rPr>
            </w:pPr>
            <w:r w:rsidRPr="00D868AB">
              <w:rPr>
                <w:rFonts w:eastAsia="Times New Roman" w:cs="Arial"/>
                <w:sz w:val="20"/>
                <w:szCs w:val="20"/>
              </w:rPr>
              <w:t>Transferencias internas otorgadas a fideicomisos públicos financieros.</w:t>
            </w:r>
          </w:p>
        </w:tc>
        <w:tc>
          <w:tcPr>
            <w:tcW w:w="1809" w:type="dxa"/>
            <w:shd w:val="clear" w:color="auto" w:fill="auto"/>
            <w:noWrap/>
            <w:vAlign w:val="center"/>
          </w:tcPr>
          <w:p w14:paraId="306D1189" w14:textId="77777777" w:rsidR="00D868AB" w:rsidRPr="00D868AB" w:rsidRDefault="00D868AB" w:rsidP="00D868AB">
            <w:pPr>
              <w:jc w:val="right"/>
              <w:rPr>
                <w:rFonts w:cs="Arial"/>
                <w:sz w:val="20"/>
                <w:szCs w:val="20"/>
              </w:rPr>
            </w:pPr>
            <w:r w:rsidRPr="00D868AB">
              <w:rPr>
                <w:rFonts w:cs="Arial"/>
                <w:color w:val="000000"/>
                <w:sz w:val="20"/>
                <w:szCs w:val="20"/>
              </w:rPr>
              <w:t>62,733,600</w:t>
            </w:r>
          </w:p>
        </w:tc>
      </w:tr>
      <w:tr w:rsidR="00D868AB" w:rsidRPr="00D868AB" w14:paraId="1464C022" w14:textId="77777777" w:rsidTr="00A755A7">
        <w:trPr>
          <w:trHeight w:val="20"/>
          <w:jc w:val="center"/>
        </w:trPr>
        <w:tc>
          <w:tcPr>
            <w:tcW w:w="846" w:type="dxa"/>
            <w:shd w:val="clear" w:color="auto" w:fill="auto"/>
            <w:noWrap/>
            <w:vAlign w:val="center"/>
            <w:hideMark/>
          </w:tcPr>
          <w:p w14:paraId="22250783"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21130</w:t>
            </w:r>
          </w:p>
        </w:tc>
        <w:tc>
          <w:tcPr>
            <w:tcW w:w="5987" w:type="dxa"/>
            <w:shd w:val="clear" w:color="auto" w:fill="auto"/>
            <w:vAlign w:val="center"/>
            <w:hideMark/>
          </w:tcPr>
          <w:p w14:paraId="019E01B6" w14:textId="77777777" w:rsidR="00D868AB" w:rsidRPr="00D868AB" w:rsidRDefault="00D868AB" w:rsidP="00D868AB">
            <w:pPr>
              <w:rPr>
                <w:rFonts w:eastAsia="Times New Roman" w:cs="Arial"/>
                <w:b/>
                <w:bCs/>
                <w:sz w:val="20"/>
                <w:szCs w:val="20"/>
              </w:rPr>
            </w:pPr>
            <w:r w:rsidRPr="00D868AB">
              <w:rPr>
                <w:rFonts w:eastAsia="Times New Roman" w:cs="Arial"/>
                <w:b/>
                <w:bCs/>
                <w:sz w:val="20"/>
                <w:szCs w:val="20"/>
              </w:rPr>
              <w:t>Instituciones Públicas de Seguridad Social.</w:t>
            </w:r>
          </w:p>
        </w:tc>
        <w:tc>
          <w:tcPr>
            <w:tcW w:w="1809" w:type="dxa"/>
            <w:shd w:val="clear" w:color="auto" w:fill="auto"/>
            <w:noWrap/>
            <w:vAlign w:val="center"/>
          </w:tcPr>
          <w:p w14:paraId="25B463C8" w14:textId="77777777" w:rsidR="00D868AB" w:rsidRPr="00D868AB" w:rsidRDefault="00D868AB" w:rsidP="00D868AB">
            <w:pPr>
              <w:jc w:val="right"/>
              <w:rPr>
                <w:rFonts w:cs="Arial"/>
                <w:b/>
                <w:bCs/>
                <w:sz w:val="20"/>
                <w:szCs w:val="20"/>
              </w:rPr>
            </w:pPr>
            <w:r w:rsidRPr="00D868AB">
              <w:rPr>
                <w:rFonts w:cs="Arial"/>
                <w:b/>
                <w:bCs/>
                <w:color w:val="000000"/>
                <w:sz w:val="20"/>
                <w:szCs w:val="20"/>
              </w:rPr>
              <w:t>242,646,560</w:t>
            </w:r>
          </w:p>
        </w:tc>
      </w:tr>
      <w:tr w:rsidR="00D868AB" w:rsidRPr="00D868AB" w14:paraId="28C94652" w14:textId="77777777" w:rsidTr="00A755A7">
        <w:trPr>
          <w:trHeight w:val="20"/>
          <w:jc w:val="center"/>
        </w:trPr>
        <w:tc>
          <w:tcPr>
            <w:tcW w:w="846" w:type="dxa"/>
            <w:shd w:val="clear" w:color="auto" w:fill="auto"/>
            <w:noWrap/>
            <w:vAlign w:val="center"/>
            <w:hideMark/>
          </w:tcPr>
          <w:p w14:paraId="782B9A79"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21130</w:t>
            </w:r>
          </w:p>
        </w:tc>
        <w:tc>
          <w:tcPr>
            <w:tcW w:w="5987" w:type="dxa"/>
            <w:shd w:val="clear" w:color="auto" w:fill="auto"/>
            <w:vAlign w:val="center"/>
            <w:hideMark/>
          </w:tcPr>
          <w:p w14:paraId="3BD20C68" w14:textId="77777777" w:rsidR="00D868AB" w:rsidRPr="00D868AB" w:rsidRDefault="00D868AB" w:rsidP="00D868AB">
            <w:pPr>
              <w:rPr>
                <w:rFonts w:eastAsia="Times New Roman" w:cs="Arial"/>
                <w:sz w:val="20"/>
                <w:szCs w:val="20"/>
              </w:rPr>
            </w:pPr>
            <w:r w:rsidRPr="00D868AB">
              <w:rPr>
                <w:rFonts w:eastAsia="Times New Roman" w:cs="Arial"/>
                <w:sz w:val="20"/>
                <w:szCs w:val="20"/>
              </w:rPr>
              <w:t>Instituciones Públicas de Seguridad Social.</w:t>
            </w:r>
          </w:p>
        </w:tc>
        <w:tc>
          <w:tcPr>
            <w:tcW w:w="1809" w:type="dxa"/>
            <w:shd w:val="clear" w:color="auto" w:fill="auto"/>
            <w:noWrap/>
            <w:vAlign w:val="center"/>
          </w:tcPr>
          <w:p w14:paraId="0432B7FE" w14:textId="77777777" w:rsidR="00D868AB" w:rsidRPr="00D868AB" w:rsidRDefault="00D868AB" w:rsidP="00D868AB">
            <w:pPr>
              <w:jc w:val="right"/>
              <w:rPr>
                <w:rFonts w:cs="Arial"/>
                <w:sz w:val="20"/>
                <w:szCs w:val="20"/>
              </w:rPr>
            </w:pPr>
            <w:r w:rsidRPr="00D868AB">
              <w:rPr>
                <w:rFonts w:cs="Arial"/>
                <w:color w:val="000000"/>
                <w:sz w:val="20"/>
                <w:szCs w:val="20"/>
              </w:rPr>
              <w:t>242,646,560</w:t>
            </w:r>
          </w:p>
        </w:tc>
      </w:tr>
    </w:tbl>
    <w:p w14:paraId="4C9B705C" w14:textId="77777777" w:rsidR="00D868AB" w:rsidRPr="00D868AB" w:rsidRDefault="00D868AB" w:rsidP="00D868AB">
      <w:pPr>
        <w:rPr>
          <w:rFonts w:cs="Arial"/>
          <w:lang w:val="es-ES"/>
        </w:rPr>
      </w:pPr>
    </w:p>
    <w:p w14:paraId="02325896" w14:textId="77777777" w:rsidR="00D868AB" w:rsidRPr="00D868AB" w:rsidRDefault="00D868AB" w:rsidP="00D868AB">
      <w:pPr>
        <w:rPr>
          <w:rFonts w:cs="Arial"/>
          <w:lang w:val="es-ES"/>
        </w:rPr>
      </w:pPr>
      <w:r w:rsidRPr="00D868AB">
        <w:rPr>
          <w:rFonts w:cs="Arial"/>
          <w:lang w:val="es-ES"/>
        </w:rPr>
        <w:t xml:space="preserve">En el </w:t>
      </w:r>
      <w:r w:rsidRPr="00D868AB">
        <w:rPr>
          <w:rFonts w:cs="Arial"/>
          <w:b/>
          <w:lang w:val="es-ES"/>
        </w:rPr>
        <w:t>Anexo 2</w:t>
      </w:r>
      <w:r w:rsidRPr="00D868AB">
        <w:rPr>
          <w:rFonts w:cs="Arial"/>
          <w:lang w:val="es-ES"/>
        </w:rPr>
        <w:t xml:space="preserve"> se presenta la desagregación de acuerdo con la </w:t>
      </w:r>
      <w:r w:rsidRPr="00D868AB">
        <w:rPr>
          <w:rFonts w:cs="Arial"/>
          <w:b/>
          <w:lang w:val="es-ES"/>
        </w:rPr>
        <w:t>Clasificación Administrativa</w:t>
      </w:r>
      <w:r w:rsidRPr="00D868AB">
        <w:rPr>
          <w:rFonts w:cs="Arial"/>
          <w:lang w:val="es-ES"/>
        </w:rPr>
        <w:t>.</w:t>
      </w:r>
    </w:p>
    <w:p w14:paraId="607D19D4" w14:textId="77777777" w:rsidR="00D868AB" w:rsidRPr="00D868AB" w:rsidRDefault="00D868AB" w:rsidP="00D868AB">
      <w:pPr>
        <w:rPr>
          <w:rFonts w:cs="Arial"/>
          <w:b/>
          <w:lang w:val="es-ES"/>
        </w:rPr>
      </w:pPr>
    </w:p>
    <w:p w14:paraId="3A54C1B8" w14:textId="77777777" w:rsidR="00D868AB" w:rsidRPr="00D868AB" w:rsidRDefault="00D868AB" w:rsidP="00D868AB">
      <w:pPr>
        <w:rPr>
          <w:rFonts w:cs="Arial"/>
          <w:lang w:val="es-ES"/>
        </w:rPr>
      </w:pPr>
      <w:r w:rsidRPr="00D868AB">
        <w:rPr>
          <w:rFonts w:cs="Arial"/>
          <w:b/>
          <w:lang w:val="es-ES"/>
        </w:rPr>
        <w:t>Artículo 17</w:t>
      </w:r>
      <w:r w:rsidRPr="00D868AB">
        <w:rPr>
          <w:rFonts w:cs="Arial"/>
          <w:lang w:val="es-ES"/>
        </w:rPr>
        <w:t xml:space="preserve">. De acuerdo con la </w:t>
      </w:r>
      <w:r w:rsidRPr="00D868AB">
        <w:rPr>
          <w:rFonts w:cs="Arial"/>
          <w:b/>
          <w:lang w:val="es-ES"/>
        </w:rPr>
        <w:t>Clasificación Funcional del Gasto</w:t>
      </w:r>
      <w:r w:rsidRPr="00D868AB">
        <w:rPr>
          <w:rFonts w:cs="Arial"/>
          <w:lang w:val="es-ES"/>
        </w:rPr>
        <w:t>, el Presupuesto de Egresos del Estado de Colima para el Ejercicio Fiscal 2023 se distribuye de la siguiente forma:</w:t>
      </w:r>
      <w:bookmarkStart w:id="25" w:name="_Toc522869258"/>
      <w:bookmarkStart w:id="26" w:name="_Toc526757442"/>
    </w:p>
    <w:p w14:paraId="6098894E" w14:textId="77777777" w:rsidR="00D868AB" w:rsidRPr="00D868AB" w:rsidRDefault="00D868AB" w:rsidP="00D868AB">
      <w:pPr>
        <w:rPr>
          <w:rFonts w:cs="Arial"/>
          <w:lang w:val="es-ES"/>
        </w:rPr>
      </w:pPr>
    </w:p>
    <w:p w14:paraId="56D870E4" w14:textId="77777777" w:rsidR="00D868AB" w:rsidRPr="00D868AB" w:rsidRDefault="00D868AB" w:rsidP="00D868AB">
      <w:pPr>
        <w:keepNext/>
        <w:keepLines/>
        <w:outlineLvl w:val="2"/>
        <w:rPr>
          <w:rFonts w:eastAsia="Times New Roman" w:cs="Arial"/>
          <w:b/>
          <w:szCs w:val="24"/>
          <w:lang w:val="es-ES" w:eastAsia="en-US"/>
        </w:rPr>
      </w:pPr>
    </w:p>
    <w:tbl>
      <w:tblPr>
        <w:tblW w:w="8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1697"/>
      </w:tblGrid>
      <w:tr w:rsidR="00D868AB" w:rsidRPr="00D868AB" w14:paraId="03781302" w14:textId="77777777" w:rsidTr="00A755A7">
        <w:trPr>
          <w:trHeight w:val="283"/>
          <w:tblHeader/>
          <w:jc w:val="center"/>
        </w:trPr>
        <w:tc>
          <w:tcPr>
            <w:tcW w:w="8360" w:type="dxa"/>
            <w:gridSpan w:val="2"/>
            <w:tcBorders>
              <w:top w:val="nil"/>
              <w:left w:val="nil"/>
              <w:bottom w:val="single" w:sz="4" w:space="0" w:color="auto"/>
              <w:right w:val="nil"/>
            </w:tcBorders>
            <w:shd w:val="clear" w:color="auto" w:fill="auto"/>
            <w:vAlign w:val="center"/>
          </w:tcPr>
          <w:bookmarkEnd w:id="25"/>
          <w:bookmarkEnd w:id="26"/>
          <w:p w14:paraId="486FC8D3" w14:textId="77777777" w:rsidR="00D868AB" w:rsidRPr="00D868AB" w:rsidRDefault="00D868AB" w:rsidP="00D868AB">
            <w:pPr>
              <w:jc w:val="center"/>
              <w:rPr>
                <w:rFonts w:cs="Arial"/>
                <w:b/>
                <w:sz w:val="20"/>
                <w:szCs w:val="20"/>
                <w:lang w:val="es-ES"/>
              </w:rPr>
            </w:pPr>
            <w:r w:rsidRPr="00D868AB">
              <w:rPr>
                <w:rFonts w:eastAsia="Times New Roman" w:cs="Arial"/>
                <w:b/>
                <w:sz w:val="20"/>
                <w:szCs w:val="20"/>
                <w:lang w:val="es-ES"/>
              </w:rPr>
              <w:t xml:space="preserve">Tabla 6. Clasificación Funcional del Gasto </w:t>
            </w:r>
          </w:p>
        </w:tc>
      </w:tr>
      <w:tr w:rsidR="00D868AB" w:rsidRPr="00D868AB" w14:paraId="1F19E991" w14:textId="77777777" w:rsidTr="00A755A7">
        <w:trPr>
          <w:trHeight w:val="283"/>
          <w:tblHeader/>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tcPr>
          <w:p w14:paraId="307DEABA" w14:textId="77777777" w:rsidR="00D868AB" w:rsidRPr="00D868AB" w:rsidRDefault="00D868AB" w:rsidP="00D868AB">
            <w:pPr>
              <w:jc w:val="center"/>
              <w:rPr>
                <w:rFonts w:cs="Arial"/>
                <w:b/>
                <w:sz w:val="20"/>
                <w:szCs w:val="20"/>
                <w:lang w:val="es-ES"/>
              </w:rPr>
            </w:pPr>
            <w:r w:rsidRPr="00D868AB">
              <w:rPr>
                <w:rFonts w:cs="Arial"/>
                <w:b/>
                <w:sz w:val="20"/>
                <w:szCs w:val="20"/>
                <w:lang w:val="es-ES"/>
              </w:rPr>
              <w:t>Concepto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9A2A17B" w14:textId="77777777" w:rsidR="00D868AB" w:rsidRPr="00D868AB" w:rsidRDefault="00D868AB" w:rsidP="00D868AB">
            <w:pPr>
              <w:jc w:val="center"/>
              <w:rPr>
                <w:rFonts w:cs="Arial"/>
                <w:b/>
                <w:sz w:val="20"/>
                <w:szCs w:val="20"/>
                <w:lang w:val="es-ES"/>
              </w:rPr>
            </w:pPr>
            <w:r w:rsidRPr="00D868AB">
              <w:rPr>
                <w:rFonts w:cs="Arial"/>
                <w:b/>
                <w:sz w:val="20"/>
                <w:szCs w:val="20"/>
                <w:lang w:val="es-ES"/>
              </w:rPr>
              <w:t>Asignación Presupuestal</w:t>
            </w:r>
          </w:p>
        </w:tc>
      </w:tr>
      <w:tr w:rsidR="00D868AB" w:rsidRPr="00D868AB" w14:paraId="5BD378B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21925" w14:textId="77777777" w:rsidR="00D868AB" w:rsidRPr="00D868AB" w:rsidRDefault="00D868AB" w:rsidP="00D868AB">
            <w:pPr>
              <w:rPr>
                <w:rFonts w:cs="Arial"/>
                <w:b/>
                <w:sz w:val="20"/>
                <w:szCs w:val="20"/>
                <w:lang w:val="es-ES"/>
              </w:rPr>
            </w:pPr>
            <w:r w:rsidRPr="00D868AB">
              <w:rPr>
                <w:rFonts w:cs="Arial"/>
                <w:b/>
                <w:sz w:val="20"/>
                <w:szCs w:val="20"/>
                <w:lang w:val="es-ES"/>
              </w:rPr>
              <w:t>1.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72B867E"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2,865,895,416</w:t>
            </w:r>
          </w:p>
        </w:tc>
      </w:tr>
      <w:tr w:rsidR="00D868AB" w:rsidRPr="00D868AB" w14:paraId="3CB5A684"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C23A8" w14:textId="77777777" w:rsidR="00D868AB" w:rsidRPr="00D868AB" w:rsidRDefault="00D868AB" w:rsidP="00D868AB">
            <w:pPr>
              <w:numPr>
                <w:ilvl w:val="1"/>
                <w:numId w:val="7"/>
              </w:numPr>
              <w:tabs>
                <w:tab w:val="left" w:pos="454"/>
              </w:tabs>
              <w:ind w:left="0" w:firstLine="0"/>
              <w:rPr>
                <w:rFonts w:cs="Arial"/>
                <w:b/>
                <w:sz w:val="20"/>
                <w:szCs w:val="20"/>
                <w:lang w:val="es-ES"/>
              </w:rPr>
            </w:pPr>
            <w:r w:rsidRPr="00D868AB">
              <w:rPr>
                <w:rFonts w:cs="Arial"/>
                <w:b/>
                <w:sz w:val="20"/>
                <w:szCs w:val="20"/>
                <w:lang w:val="es-ES"/>
              </w:rPr>
              <w:t>LEGISLACIÓN.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480CFED"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155,600,412</w:t>
            </w:r>
          </w:p>
        </w:tc>
      </w:tr>
      <w:tr w:rsidR="00D868AB" w:rsidRPr="00D868AB" w14:paraId="4A9ECAA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1F39E" w14:textId="77777777" w:rsidR="00D868AB" w:rsidRPr="00D868AB" w:rsidRDefault="00D868AB" w:rsidP="00D868AB">
            <w:pPr>
              <w:ind w:left="567" w:hanging="567"/>
              <w:rPr>
                <w:rFonts w:cs="Arial"/>
                <w:sz w:val="20"/>
                <w:szCs w:val="20"/>
                <w:lang w:val="es-ES"/>
              </w:rPr>
            </w:pPr>
            <w:r w:rsidRPr="00D868AB">
              <w:rPr>
                <w:rFonts w:cs="Arial"/>
                <w:sz w:val="20"/>
                <w:szCs w:val="20"/>
                <w:lang w:val="es-ES"/>
              </w:rPr>
              <w:t>1.1.1 Legislación.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EABA9D2" w14:textId="77777777" w:rsidR="00D868AB" w:rsidRPr="00D868AB" w:rsidRDefault="00D868AB" w:rsidP="00D868AB">
            <w:pPr>
              <w:jc w:val="right"/>
              <w:rPr>
                <w:rFonts w:cs="Arial"/>
                <w:sz w:val="20"/>
                <w:szCs w:val="20"/>
                <w:lang w:val="es-ES"/>
              </w:rPr>
            </w:pPr>
            <w:r w:rsidRPr="00D868AB">
              <w:rPr>
                <w:rFonts w:cs="Arial"/>
                <w:color w:val="000000"/>
                <w:sz w:val="20"/>
                <w:szCs w:val="20"/>
              </w:rPr>
              <w:t>115,000,000</w:t>
            </w:r>
          </w:p>
        </w:tc>
      </w:tr>
      <w:tr w:rsidR="00D868AB" w:rsidRPr="00D868AB" w14:paraId="23595C2B"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D27CE8" w14:textId="77777777" w:rsidR="00D868AB" w:rsidRPr="00D868AB" w:rsidRDefault="00D868AB" w:rsidP="00D868AB">
            <w:pPr>
              <w:ind w:left="567" w:hanging="567"/>
              <w:rPr>
                <w:rFonts w:cs="Arial"/>
                <w:sz w:val="20"/>
                <w:szCs w:val="20"/>
                <w:lang w:val="es-ES"/>
              </w:rPr>
            </w:pPr>
            <w:r w:rsidRPr="00D868AB">
              <w:rPr>
                <w:rFonts w:cs="Arial"/>
                <w:sz w:val="20"/>
                <w:szCs w:val="20"/>
                <w:lang w:val="es-ES"/>
              </w:rPr>
              <w:t>1.1.2 Fiscalización.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E0EA83F" w14:textId="77777777" w:rsidR="00D868AB" w:rsidRPr="00D868AB" w:rsidRDefault="00D868AB" w:rsidP="00D868AB">
            <w:pPr>
              <w:jc w:val="right"/>
              <w:rPr>
                <w:rFonts w:cs="Arial"/>
                <w:sz w:val="20"/>
                <w:szCs w:val="20"/>
                <w:lang w:val="es-ES"/>
              </w:rPr>
            </w:pPr>
            <w:r w:rsidRPr="00D868AB">
              <w:rPr>
                <w:rFonts w:cs="Arial"/>
                <w:color w:val="000000"/>
                <w:sz w:val="20"/>
                <w:szCs w:val="20"/>
              </w:rPr>
              <w:t>40,600,412</w:t>
            </w:r>
          </w:p>
        </w:tc>
      </w:tr>
      <w:tr w:rsidR="00D868AB" w:rsidRPr="00D868AB" w14:paraId="566AA2C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31AAF3" w14:textId="77777777" w:rsidR="00D868AB" w:rsidRPr="00D868AB" w:rsidRDefault="00D868AB" w:rsidP="00D868AB">
            <w:pPr>
              <w:numPr>
                <w:ilvl w:val="1"/>
                <w:numId w:val="7"/>
              </w:numPr>
              <w:tabs>
                <w:tab w:val="left" w:pos="377"/>
              </w:tabs>
              <w:ind w:left="0" w:firstLine="0"/>
              <w:rPr>
                <w:rFonts w:cs="Arial"/>
                <w:b/>
                <w:sz w:val="20"/>
                <w:szCs w:val="20"/>
                <w:lang w:val="es-ES"/>
              </w:rPr>
            </w:pPr>
            <w:r w:rsidRPr="00D868AB">
              <w:rPr>
                <w:rFonts w:cs="Arial"/>
                <w:b/>
                <w:sz w:val="20"/>
                <w:szCs w:val="20"/>
                <w:lang w:val="es-ES"/>
              </w:rPr>
              <w:t>JUSTICIA.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A77F123"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979,130,620</w:t>
            </w:r>
          </w:p>
        </w:tc>
      </w:tr>
      <w:tr w:rsidR="00D868AB" w:rsidRPr="00D868AB" w14:paraId="799BCFD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3AF0B" w14:textId="77777777" w:rsidR="00D868AB" w:rsidRPr="00D868AB" w:rsidRDefault="00D868AB" w:rsidP="00D868AB">
            <w:pPr>
              <w:ind w:left="567" w:hanging="567"/>
              <w:rPr>
                <w:rFonts w:cs="Arial"/>
                <w:sz w:val="20"/>
                <w:szCs w:val="20"/>
                <w:lang w:val="es-ES"/>
              </w:rPr>
            </w:pPr>
            <w:r w:rsidRPr="00D868AB">
              <w:rPr>
                <w:rFonts w:cs="Arial"/>
                <w:sz w:val="20"/>
                <w:szCs w:val="20"/>
                <w:lang w:val="es-ES"/>
              </w:rPr>
              <w:t>1.2.1 Impartición de Justicia.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68F1169" w14:textId="77777777" w:rsidR="00D868AB" w:rsidRPr="00D868AB" w:rsidRDefault="00D868AB" w:rsidP="00D868AB">
            <w:pPr>
              <w:jc w:val="right"/>
              <w:rPr>
                <w:rFonts w:cs="Arial"/>
                <w:sz w:val="20"/>
                <w:szCs w:val="20"/>
                <w:lang w:val="es-ES"/>
              </w:rPr>
            </w:pPr>
            <w:r w:rsidRPr="00D868AB">
              <w:rPr>
                <w:rFonts w:cs="Arial"/>
                <w:color w:val="000000"/>
                <w:sz w:val="20"/>
                <w:szCs w:val="20"/>
              </w:rPr>
              <w:t>296,347,183</w:t>
            </w:r>
          </w:p>
        </w:tc>
      </w:tr>
      <w:tr w:rsidR="00D868AB" w:rsidRPr="00D868AB" w14:paraId="238C8D24"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8278F9" w14:textId="77777777" w:rsidR="00D868AB" w:rsidRPr="00D868AB" w:rsidRDefault="00D868AB" w:rsidP="00D868AB">
            <w:pPr>
              <w:ind w:left="567" w:hanging="567"/>
              <w:rPr>
                <w:rFonts w:cs="Arial"/>
                <w:sz w:val="20"/>
                <w:szCs w:val="20"/>
                <w:lang w:val="es-ES"/>
              </w:rPr>
            </w:pPr>
            <w:r w:rsidRPr="00D868AB">
              <w:rPr>
                <w:rFonts w:cs="Arial"/>
                <w:sz w:val="20"/>
                <w:szCs w:val="20"/>
                <w:lang w:val="es-ES"/>
              </w:rPr>
              <w:t>1.2.2 Procuración de Justicia.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D67D614" w14:textId="77777777" w:rsidR="00D868AB" w:rsidRPr="00D868AB" w:rsidRDefault="00D868AB" w:rsidP="00D868AB">
            <w:pPr>
              <w:jc w:val="right"/>
              <w:rPr>
                <w:rFonts w:cs="Arial"/>
                <w:sz w:val="20"/>
                <w:szCs w:val="20"/>
                <w:lang w:val="es-ES"/>
              </w:rPr>
            </w:pPr>
            <w:r w:rsidRPr="00D868AB">
              <w:rPr>
                <w:rFonts w:cs="Arial"/>
                <w:color w:val="000000"/>
                <w:sz w:val="20"/>
                <w:szCs w:val="20"/>
              </w:rPr>
              <w:t>462,668,320</w:t>
            </w:r>
          </w:p>
        </w:tc>
      </w:tr>
      <w:tr w:rsidR="00D868AB" w:rsidRPr="00D868AB" w14:paraId="76949C2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0F69AE" w14:textId="77777777" w:rsidR="00D868AB" w:rsidRPr="00D868AB" w:rsidRDefault="00D868AB" w:rsidP="00D868AB">
            <w:pPr>
              <w:ind w:left="567" w:hanging="567"/>
              <w:rPr>
                <w:rFonts w:cs="Arial"/>
                <w:sz w:val="20"/>
                <w:szCs w:val="20"/>
                <w:lang w:val="es-ES"/>
              </w:rPr>
            </w:pPr>
            <w:r w:rsidRPr="00D868AB">
              <w:rPr>
                <w:rFonts w:cs="Arial"/>
                <w:sz w:val="20"/>
                <w:szCs w:val="20"/>
                <w:lang w:val="es-ES"/>
              </w:rPr>
              <w:t>1.2.3 Reclusión y Readaptación Social.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4561C9E" w14:textId="77777777" w:rsidR="00D868AB" w:rsidRPr="00D868AB" w:rsidRDefault="00D868AB" w:rsidP="00D868AB">
            <w:pPr>
              <w:jc w:val="right"/>
              <w:rPr>
                <w:rFonts w:cs="Arial"/>
                <w:sz w:val="20"/>
                <w:szCs w:val="20"/>
                <w:lang w:val="es-ES"/>
              </w:rPr>
            </w:pPr>
            <w:r w:rsidRPr="00D868AB">
              <w:rPr>
                <w:rFonts w:cs="Arial"/>
                <w:color w:val="000000"/>
                <w:sz w:val="20"/>
                <w:szCs w:val="20"/>
              </w:rPr>
              <w:t>206,225,502</w:t>
            </w:r>
          </w:p>
        </w:tc>
      </w:tr>
      <w:tr w:rsidR="00D868AB" w:rsidRPr="00D868AB" w14:paraId="7298A514"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7A4AA" w14:textId="77777777" w:rsidR="00D868AB" w:rsidRPr="00D868AB" w:rsidRDefault="00D868AB" w:rsidP="00D868AB">
            <w:pPr>
              <w:ind w:left="567" w:hanging="567"/>
              <w:rPr>
                <w:rFonts w:cs="Arial"/>
                <w:sz w:val="20"/>
                <w:szCs w:val="20"/>
                <w:lang w:val="es-ES"/>
              </w:rPr>
            </w:pPr>
            <w:r w:rsidRPr="00D868AB">
              <w:rPr>
                <w:rFonts w:cs="Arial"/>
                <w:sz w:val="20"/>
                <w:szCs w:val="20"/>
                <w:lang w:val="es-ES"/>
              </w:rPr>
              <w:t>1.2.4 Derechos Humanos.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7B4EA97" w14:textId="77777777" w:rsidR="00D868AB" w:rsidRPr="00D868AB" w:rsidRDefault="00D868AB" w:rsidP="00D868AB">
            <w:pPr>
              <w:jc w:val="right"/>
              <w:rPr>
                <w:rFonts w:cs="Arial"/>
                <w:sz w:val="20"/>
                <w:szCs w:val="20"/>
                <w:lang w:val="es-ES"/>
              </w:rPr>
            </w:pPr>
            <w:r w:rsidRPr="00D868AB">
              <w:rPr>
                <w:rFonts w:cs="Arial"/>
                <w:color w:val="000000"/>
                <w:sz w:val="20"/>
                <w:szCs w:val="20"/>
              </w:rPr>
              <w:t>13,889,615</w:t>
            </w:r>
          </w:p>
        </w:tc>
      </w:tr>
      <w:tr w:rsidR="00D868AB" w:rsidRPr="00D868AB" w14:paraId="21854C0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1E4C7" w14:textId="77777777" w:rsidR="00D868AB" w:rsidRPr="00D868AB" w:rsidRDefault="00D868AB" w:rsidP="00D868AB">
            <w:pPr>
              <w:numPr>
                <w:ilvl w:val="1"/>
                <w:numId w:val="7"/>
              </w:numPr>
              <w:tabs>
                <w:tab w:val="left" w:pos="407"/>
              </w:tabs>
              <w:ind w:left="0" w:firstLine="0"/>
              <w:rPr>
                <w:rFonts w:cs="Arial"/>
                <w:b/>
                <w:sz w:val="20"/>
                <w:szCs w:val="20"/>
                <w:lang w:val="es-ES"/>
              </w:rPr>
            </w:pPr>
            <w:r w:rsidRPr="00D868AB">
              <w:rPr>
                <w:rFonts w:cs="Arial"/>
                <w:b/>
                <w:sz w:val="20"/>
                <w:szCs w:val="20"/>
                <w:lang w:val="es-ES"/>
              </w:rPr>
              <w:t>COORDINACIÓN DE LA POLÍTICA DE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4B29185"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322,165,676</w:t>
            </w:r>
          </w:p>
        </w:tc>
      </w:tr>
      <w:tr w:rsidR="00D868AB" w:rsidRPr="00D868AB" w14:paraId="1E9FC61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23835" w14:textId="77777777" w:rsidR="00D868AB" w:rsidRPr="00D868AB" w:rsidRDefault="00D868AB" w:rsidP="00D868AB">
            <w:pPr>
              <w:ind w:left="567" w:hanging="567"/>
              <w:rPr>
                <w:rFonts w:cs="Arial"/>
                <w:sz w:val="20"/>
                <w:szCs w:val="20"/>
                <w:lang w:val="es-ES"/>
              </w:rPr>
            </w:pPr>
            <w:r w:rsidRPr="00D868AB">
              <w:rPr>
                <w:rFonts w:cs="Arial"/>
                <w:sz w:val="20"/>
                <w:szCs w:val="20"/>
                <w:lang w:val="es-ES"/>
              </w:rPr>
              <w:t>1.3.1 Presidencia / Gubernatura.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2F2FB4E" w14:textId="77777777" w:rsidR="00D868AB" w:rsidRPr="00D868AB" w:rsidRDefault="00D868AB" w:rsidP="00D868AB">
            <w:pPr>
              <w:jc w:val="right"/>
              <w:rPr>
                <w:rFonts w:cs="Arial"/>
                <w:sz w:val="20"/>
                <w:szCs w:val="20"/>
                <w:lang w:val="es-ES"/>
              </w:rPr>
            </w:pPr>
            <w:r w:rsidRPr="00D868AB">
              <w:rPr>
                <w:rFonts w:cs="Arial"/>
                <w:color w:val="000000"/>
                <w:sz w:val="20"/>
                <w:szCs w:val="20"/>
              </w:rPr>
              <w:t>86,541,326</w:t>
            </w:r>
          </w:p>
        </w:tc>
      </w:tr>
      <w:tr w:rsidR="00D868AB" w:rsidRPr="00D868AB" w14:paraId="2B53E46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7E2EC6" w14:textId="77777777" w:rsidR="00D868AB" w:rsidRPr="00D868AB" w:rsidRDefault="00D868AB" w:rsidP="00D868AB">
            <w:pPr>
              <w:ind w:left="567" w:hanging="567"/>
              <w:rPr>
                <w:rFonts w:cs="Arial"/>
                <w:sz w:val="20"/>
                <w:szCs w:val="20"/>
                <w:lang w:val="es-ES"/>
              </w:rPr>
            </w:pPr>
            <w:r w:rsidRPr="00D868AB">
              <w:rPr>
                <w:rFonts w:cs="Arial"/>
                <w:sz w:val="20"/>
                <w:szCs w:val="20"/>
                <w:lang w:val="es-ES"/>
              </w:rPr>
              <w:lastRenderedPageBreak/>
              <w:t>1.3.2 Política Interior.</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DD54F66" w14:textId="77777777" w:rsidR="00D868AB" w:rsidRPr="00D868AB" w:rsidRDefault="00D868AB" w:rsidP="00D868AB">
            <w:pPr>
              <w:jc w:val="right"/>
              <w:rPr>
                <w:rFonts w:cs="Arial"/>
                <w:sz w:val="20"/>
                <w:szCs w:val="20"/>
                <w:lang w:val="es-ES"/>
              </w:rPr>
            </w:pPr>
            <w:r w:rsidRPr="00D868AB">
              <w:rPr>
                <w:rFonts w:cs="Arial"/>
                <w:color w:val="000000"/>
                <w:sz w:val="20"/>
                <w:szCs w:val="20"/>
              </w:rPr>
              <w:t>77,845,027</w:t>
            </w:r>
          </w:p>
        </w:tc>
      </w:tr>
      <w:tr w:rsidR="00D868AB" w:rsidRPr="00D868AB" w14:paraId="23C5824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F2AD9" w14:textId="77777777" w:rsidR="00D868AB" w:rsidRPr="00D868AB" w:rsidRDefault="00D868AB" w:rsidP="00D868AB">
            <w:pPr>
              <w:ind w:left="567" w:hanging="567"/>
              <w:rPr>
                <w:rFonts w:cs="Arial"/>
                <w:sz w:val="20"/>
                <w:szCs w:val="20"/>
                <w:lang w:val="es-ES"/>
              </w:rPr>
            </w:pPr>
            <w:r w:rsidRPr="00D868AB">
              <w:rPr>
                <w:rFonts w:cs="Arial"/>
                <w:sz w:val="20"/>
                <w:szCs w:val="20"/>
                <w:lang w:val="es-ES"/>
              </w:rPr>
              <w:t>1.3.3 Preservación y Cuidado del Patrimonio Público.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FCBAD55"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2EE5DC8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49771" w14:textId="77777777" w:rsidR="00D868AB" w:rsidRPr="00D868AB" w:rsidRDefault="00D868AB" w:rsidP="00D868AB">
            <w:pPr>
              <w:ind w:left="567" w:hanging="567"/>
              <w:rPr>
                <w:rFonts w:cs="Arial"/>
                <w:sz w:val="20"/>
                <w:szCs w:val="20"/>
                <w:lang w:val="es-ES"/>
              </w:rPr>
            </w:pPr>
            <w:r w:rsidRPr="00D868AB">
              <w:rPr>
                <w:rFonts w:cs="Arial"/>
                <w:sz w:val="20"/>
                <w:szCs w:val="20"/>
                <w:lang w:val="es-ES"/>
              </w:rPr>
              <w:t>1.3.4 Función Pública.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5D2B139" w14:textId="77777777" w:rsidR="00D868AB" w:rsidRPr="00D868AB" w:rsidRDefault="00D868AB" w:rsidP="00D868AB">
            <w:pPr>
              <w:jc w:val="right"/>
              <w:rPr>
                <w:rFonts w:cs="Arial"/>
                <w:sz w:val="20"/>
                <w:szCs w:val="20"/>
                <w:lang w:val="es-ES"/>
              </w:rPr>
            </w:pPr>
            <w:r w:rsidRPr="00D868AB">
              <w:rPr>
                <w:rFonts w:cs="Arial"/>
                <w:color w:val="000000"/>
                <w:sz w:val="20"/>
                <w:szCs w:val="20"/>
              </w:rPr>
              <w:t>26,345,656</w:t>
            </w:r>
          </w:p>
        </w:tc>
      </w:tr>
      <w:tr w:rsidR="00D868AB" w:rsidRPr="00D868AB" w14:paraId="6D25519C"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B0F60" w14:textId="77777777" w:rsidR="00D868AB" w:rsidRPr="00D868AB" w:rsidRDefault="00D868AB" w:rsidP="00D868AB">
            <w:pPr>
              <w:ind w:left="567" w:hanging="567"/>
              <w:rPr>
                <w:rFonts w:cs="Arial"/>
                <w:sz w:val="20"/>
                <w:szCs w:val="20"/>
                <w:lang w:val="es-ES"/>
              </w:rPr>
            </w:pPr>
            <w:r w:rsidRPr="00D868AB">
              <w:rPr>
                <w:rFonts w:cs="Arial"/>
                <w:sz w:val="20"/>
                <w:szCs w:val="20"/>
                <w:lang w:val="es-ES"/>
              </w:rPr>
              <w:t>1.3.5 Asuntos Jurídicos.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1999CE9" w14:textId="77777777" w:rsidR="00D868AB" w:rsidRPr="00D868AB" w:rsidRDefault="00D868AB" w:rsidP="00D868AB">
            <w:pPr>
              <w:jc w:val="right"/>
              <w:rPr>
                <w:rFonts w:cs="Arial"/>
                <w:sz w:val="20"/>
                <w:szCs w:val="20"/>
                <w:lang w:val="es-ES"/>
              </w:rPr>
            </w:pPr>
            <w:r w:rsidRPr="00D868AB">
              <w:rPr>
                <w:rFonts w:cs="Arial"/>
                <w:color w:val="000000"/>
                <w:sz w:val="20"/>
                <w:szCs w:val="20"/>
              </w:rPr>
              <w:t>32,493,560</w:t>
            </w:r>
          </w:p>
        </w:tc>
      </w:tr>
      <w:tr w:rsidR="00D868AB" w:rsidRPr="00D868AB" w14:paraId="6F31FA3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B8CC00" w14:textId="77777777" w:rsidR="00D868AB" w:rsidRPr="00D868AB" w:rsidRDefault="00D868AB" w:rsidP="00D868AB">
            <w:pPr>
              <w:ind w:left="567" w:hanging="567"/>
              <w:rPr>
                <w:rFonts w:cs="Arial"/>
                <w:sz w:val="20"/>
                <w:szCs w:val="20"/>
                <w:lang w:val="es-ES"/>
              </w:rPr>
            </w:pPr>
            <w:r w:rsidRPr="00D868AB">
              <w:rPr>
                <w:rFonts w:cs="Arial"/>
                <w:sz w:val="20"/>
                <w:szCs w:val="20"/>
                <w:lang w:val="es-ES"/>
              </w:rPr>
              <w:t>1.3.6 Organización de Procesos Electorales.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B76FF6F" w14:textId="77777777" w:rsidR="00D868AB" w:rsidRPr="00D868AB" w:rsidRDefault="00D868AB" w:rsidP="00D868AB">
            <w:pPr>
              <w:jc w:val="right"/>
              <w:rPr>
                <w:rFonts w:cs="Arial"/>
                <w:sz w:val="20"/>
                <w:szCs w:val="20"/>
                <w:lang w:val="es-ES"/>
              </w:rPr>
            </w:pPr>
            <w:r w:rsidRPr="00D868AB">
              <w:rPr>
                <w:rFonts w:cs="Arial"/>
                <w:color w:val="000000"/>
                <w:sz w:val="20"/>
                <w:szCs w:val="20"/>
              </w:rPr>
              <w:t>98,940,107</w:t>
            </w:r>
          </w:p>
        </w:tc>
      </w:tr>
      <w:tr w:rsidR="00D868AB" w:rsidRPr="00D868AB" w14:paraId="782B136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93FAF" w14:textId="77777777" w:rsidR="00D868AB" w:rsidRPr="00D868AB" w:rsidRDefault="00D868AB" w:rsidP="00D868AB">
            <w:pPr>
              <w:ind w:left="567" w:hanging="567"/>
              <w:rPr>
                <w:rFonts w:cs="Arial"/>
                <w:sz w:val="20"/>
                <w:szCs w:val="20"/>
                <w:lang w:val="es-ES"/>
              </w:rPr>
            </w:pPr>
            <w:r w:rsidRPr="00D868AB">
              <w:rPr>
                <w:rFonts w:cs="Arial"/>
                <w:sz w:val="20"/>
                <w:szCs w:val="20"/>
                <w:lang w:val="es-ES"/>
              </w:rPr>
              <w:t>1.3.7 Población.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9ED1AD4"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6CD34EC5"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942ED6" w14:textId="77777777" w:rsidR="00D868AB" w:rsidRPr="00D868AB" w:rsidRDefault="00D868AB" w:rsidP="00D868AB">
            <w:pPr>
              <w:ind w:left="567" w:hanging="567"/>
              <w:rPr>
                <w:rFonts w:cs="Arial"/>
                <w:sz w:val="20"/>
                <w:szCs w:val="20"/>
                <w:lang w:val="es-ES"/>
              </w:rPr>
            </w:pPr>
            <w:r w:rsidRPr="00D868AB">
              <w:rPr>
                <w:rFonts w:cs="Arial"/>
                <w:sz w:val="20"/>
                <w:szCs w:val="20"/>
                <w:lang w:val="es-ES"/>
              </w:rPr>
              <w:t>1.3.8 Territorio.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AD5881A"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60D1D68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81C931" w14:textId="77777777" w:rsidR="00D868AB" w:rsidRPr="00D868AB" w:rsidRDefault="00D868AB" w:rsidP="00D868AB">
            <w:pPr>
              <w:ind w:left="567" w:hanging="567"/>
              <w:rPr>
                <w:rFonts w:cs="Arial"/>
                <w:sz w:val="20"/>
                <w:szCs w:val="20"/>
                <w:lang w:val="es-ES"/>
              </w:rPr>
            </w:pPr>
            <w:r w:rsidRPr="00D868AB">
              <w:rPr>
                <w:rFonts w:cs="Arial"/>
                <w:sz w:val="20"/>
                <w:szCs w:val="20"/>
                <w:lang w:val="es-ES"/>
              </w:rPr>
              <w:t>1.3.9 Otros.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B100662"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3ECAD045"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203197" w14:textId="77777777" w:rsidR="00D868AB" w:rsidRPr="00D868AB" w:rsidRDefault="00D868AB" w:rsidP="00D868AB">
            <w:pPr>
              <w:numPr>
                <w:ilvl w:val="1"/>
                <w:numId w:val="7"/>
              </w:numPr>
              <w:tabs>
                <w:tab w:val="left" w:pos="437"/>
              </w:tabs>
              <w:ind w:left="0" w:firstLine="0"/>
              <w:rPr>
                <w:rFonts w:cs="Arial"/>
                <w:b/>
                <w:sz w:val="20"/>
                <w:szCs w:val="20"/>
                <w:lang w:val="es-ES"/>
              </w:rPr>
            </w:pPr>
            <w:r w:rsidRPr="00D868AB">
              <w:rPr>
                <w:rFonts w:cs="Arial"/>
                <w:b/>
                <w:sz w:val="20"/>
                <w:szCs w:val="20"/>
                <w:lang w:val="es-ES"/>
              </w:rPr>
              <w:t>RELACIONES EXTERIORES.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71B564F"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0</w:t>
            </w:r>
          </w:p>
        </w:tc>
      </w:tr>
      <w:tr w:rsidR="00D868AB" w:rsidRPr="00D868AB" w14:paraId="79CF2260"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4AA0E" w14:textId="77777777" w:rsidR="00D868AB" w:rsidRPr="00D868AB" w:rsidRDefault="00D868AB" w:rsidP="00D868AB">
            <w:pPr>
              <w:rPr>
                <w:rFonts w:cs="Arial"/>
                <w:sz w:val="20"/>
                <w:szCs w:val="20"/>
                <w:lang w:val="es-ES"/>
              </w:rPr>
            </w:pPr>
            <w:r w:rsidRPr="00D868AB">
              <w:rPr>
                <w:rFonts w:cs="Arial"/>
                <w:sz w:val="20"/>
                <w:szCs w:val="20"/>
                <w:lang w:val="es-ES"/>
              </w:rPr>
              <w:t>1.4.1 Relaciones Exteriores.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91C9D66"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586A153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6B24A" w14:textId="77777777" w:rsidR="00D868AB" w:rsidRPr="00D868AB" w:rsidRDefault="00D868AB" w:rsidP="00D868AB">
            <w:pPr>
              <w:numPr>
                <w:ilvl w:val="1"/>
                <w:numId w:val="7"/>
              </w:numPr>
              <w:tabs>
                <w:tab w:val="left" w:pos="407"/>
              </w:tabs>
              <w:ind w:left="0" w:firstLine="0"/>
              <w:rPr>
                <w:rFonts w:cs="Arial"/>
                <w:b/>
                <w:sz w:val="20"/>
                <w:szCs w:val="20"/>
                <w:lang w:val="es-ES"/>
              </w:rPr>
            </w:pPr>
            <w:r w:rsidRPr="00D868AB">
              <w:rPr>
                <w:rFonts w:cs="Arial"/>
                <w:b/>
                <w:sz w:val="20"/>
                <w:szCs w:val="20"/>
                <w:lang w:val="es-ES"/>
              </w:rPr>
              <w:t>ASUNTOS FINANCIEROS Y HACENDARIOS.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0D28CA2"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164,266,341</w:t>
            </w:r>
          </w:p>
        </w:tc>
      </w:tr>
      <w:tr w:rsidR="00D868AB" w:rsidRPr="00D868AB" w14:paraId="0293B94C"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BBD9D4" w14:textId="77777777" w:rsidR="00D868AB" w:rsidRPr="00D868AB" w:rsidRDefault="00D868AB" w:rsidP="00D868AB">
            <w:pPr>
              <w:ind w:left="567" w:hanging="567"/>
              <w:rPr>
                <w:rFonts w:cs="Arial"/>
                <w:sz w:val="20"/>
                <w:szCs w:val="20"/>
                <w:lang w:val="es-ES"/>
              </w:rPr>
            </w:pPr>
            <w:r w:rsidRPr="00D868AB">
              <w:rPr>
                <w:rFonts w:cs="Arial"/>
                <w:sz w:val="20"/>
                <w:szCs w:val="20"/>
                <w:lang w:val="es-ES"/>
              </w:rPr>
              <w:t>1.5.1 Asuntos Financieros.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9A0A2D5"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0E583543"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84C02" w14:textId="77777777" w:rsidR="00D868AB" w:rsidRPr="00D868AB" w:rsidRDefault="00D868AB" w:rsidP="00D868AB">
            <w:pPr>
              <w:ind w:left="567" w:hanging="567"/>
              <w:rPr>
                <w:rFonts w:cs="Arial"/>
                <w:sz w:val="20"/>
                <w:szCs w:val="20"/>
                <w:lang w:val="es-ES"/>
              </w:rPr>
            </w:pPr>
            <w:r w:rsidRPr="00D868AB">
              <w:rPr>
                <w:rFonts w:cs="Arial"/>
                <w:sz w:val="20"/>
                <w:szCs w:val="20"/>
                <w:lang w:val="es-ES"/>
              </w:rPr>
              <w:t>1.5.2 Asuntos Hacendarios.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2C8D9CC" w14:textId="77777777" w:rsidR="00D868AB" w:rsidRPr="00D868AB" w:rsidRDefault="00D868AB" w:rsidP="00D868AB">
            <w:pPr>
              <w:jc w:val="right"/>
              <w:rPr>
                <w:rFonts w:cs="Arial"/>
                <w:sz w:val="20"/>
                <w:szCs w:val="20"/>
                <w:lang w:val="es-ES"/>
              </w:rPr>
            </w:pPr>
            <w:r w:rsidRPr="00D868AB">
              <w:rPr>
                <w:rFonts w:cs="Arial"/>
                <w:color w:val="000000"/>
                <w:sz w:val="20"/>
                <w:szCs w:val="20"/>
              </w:rPr>
              <w:t>164,266,341</w:t>
            </w:r>
          </w:p>
        </w:tc>
      </w:tr>
      <w:tr w:rsidR="00D868AB" w:rsidRPr="00D868AB" w14:paraId="7A6C78B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0101F" w14:textId="77777777" w:rsidR="00D868AB" w:rsidRPr="00D868AB" w:rsidRDefault="00D868AB" w:rsidP="00D868AB">
            <w:pPr>
              <w:numPr>
                <w:ilvl w:val="1"/>
                <w:numId w:val="7"/>
              </w:numPr>
              <w:tabs>
                <w:tab w:val="left" w:pos="417"/>
              </w:tabs>
              <w:ind w:left="0" w:firstLine="0"/>
              <w:rPr>
                <w:rFonts w:cs="Arial"/>
                <w:b/>
                <w:sz w:val="20"/>
                <w:szCs w:val="20"/>
                <w:lang w:val="es-ES"/>
              </w:rPr>
            </w:pPr>
            <w:r w:rsidRPr="00D868AB">
              <w:rPr>
                <w:rFonts w:cs="Arial"/>
                <w:b/>
                <w:sz w:val="20"/>
                <w:szCs w:val="20"/>
                <w:lang w:val="es-ES"/>
              </w:rPr>
              <w:t>SEGURIDAD NACIONAL.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2776BB9"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0</w:t>
            </w:r>
          </w:p>
        </w:tc>
      </w:tr>
      <w:tr w:rsidR="00D868AB" w:rsidRPr="00D868AB" w14:paraId="28D397C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5FDC86" w14:textId="77777777" w:rsidR="00D868AB" w:rsidRPr="00D868AB" w:rsidRDefault="00D868AB" w:rsidP="00D868AB">
            <w:pPr>
              <w:ind w:left="567" w:hanging="567"/>
              <w:rPr>
                <w:rFonts w:cs="Arial"/>
                <w:sz w:val="20"/>
                <w:szCs w:val="20"/>
                <w:lang w:val="es-ES"/>
              </w:rPr>
            </w:pPr>
            <w:r w:rsidRPr="00D868AB">
              <w:rPr>
                <w:rFonts w:cs="Arial"/>
                <w:sz w:val="20"/>
                <w:szCs w:val="20"/>
                <w:lang w:val="es-ES"/>
              </w:rPr>
              <w:t>1.6.1 Defensa.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E9BC4A4"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5E27908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1883A" w14:textId="77777777" w:rsidR="00D868AB" w:rsidRPr="00D868AB" w:rsidRDefault="00D868AB" w:rsidP="00D868AB">
            <w:pPr>
              <w:ind w:left="567" w:hanging="567"/>
              <w:rPr>
                <w:rFonts w:cs="Arial"/>
                <w:sz w:val="20"/>
                <w:szCs w:val="20"/>
                <w:lang w:val="es-ES"/>
              </w:rPr>
            </w:pPr>
            <w:r w:rsidRPr="00D868AB">
              <w:rPr>
                <w:rFonts w:cs="Arial"/>
                <w:sz w:val="20"/>
                <w:szCs w:val="20"/>
                <w:lang w:val="es-ES"/>
              </w:rPr>
              <w:t>1.6.2 Marina.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683ECFE"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36C6E7C5"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E09D74" w14:textId="77777777" w:rsidR="00D868AB" w:rsidRPr="00D868AB" w:rsidRDefault="00D868AB" w:rsidP="00D868AB">
            <w:pPr>
              <w:ind w:left="567" w:hanging="567"/>
              <w:rPr>
                <w:rFonts w:cs="Arial"/>
                <w:sz w:val="20"/>
                <w:szCs w:val="20"/>
                <w:lang w:val="es-ES"/>
              </w:rPr>
            </w:pPr>
            <w:r w:rsidRPr="00D868AB">
              <w:rPr>
                <w:rFonts w:cs="Arial"/>
                <w:sz w:val="20"/>
                <w:szCs w:val="20"/>
                <w:lang w:val="es-ES"/>
              </w:rPr>
              <w:t>1.6.3 Inteligencia para la Preservación de la Seguridad Nacional.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A054221"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0662A49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64D1B" w14:textId="77777777" w:rsidR="00D868AB" w:rsidRPr="00D868AB" w:rsidRDefault="00D868AB" w:rsidP="00D868AB">
            <w:pPr>
              <w:numPr>
                <w:ilvl w:val="1"/>
                <w:numId w:val="7"/>
              </w:numPr>
              <w:tabs>
                <w:tab w:val="left" w:pos="397"/>
              </w:tabs>
              <w:ind w:left="0" w:firstLine="0"/>
              <w:rPr>
                <w:rFonts w:cs="Arial"/>
                <w:b/>
                <w:sz w:val="20"/>
                <w:szCs w:val="20"/>
                <w:lang w:val="es-ES"/>
              </w:rPr>
            </w:pPr>
            <w:r w:rsidRPr="00D868AB">
              <w:rPr>
                <w:rFonts w:cs="Arial"/>
                <w:b/>
                <w:sz w:val="20"/>
                <w:szCs w:val="20"/>
                <w:lang w:val="es-ES"/>
              </w:rPr>
              <w:t>ASUNTOS DE ORDEN PÚBLICO Y DE SEGURIDAD INTERIOR.</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7B8C4CB"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904,619,969</w:t>
            </w:r>
          </w:p>
        </w:tc>
      </w:tr>
      <w:tr w:rsidR="00D868AB" w:rsidRPr="00D868AB" w14:paraId="771B09C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13702" w14:textId="77777777" w:rsidR="00D868AB" w:rsidRPr="00D868AB" w:rsidRDefault="00D868AB" w:rsidP="00D868AB">
            <w:pPr>
              <w:ind w:left="567" w:hanging="567"/>
              <w:rPr>
                <w:rFonts w:cs="Arial"/>
                <w:sz w:val="20"/>
                <w:szCs w:val="20"/>
                <w:lang w:val="es-ES"/>
              </w:rPr>
            </w:pPr>
            <w:r w:rsidRPr="00D868AB">
              <w:rPr>
                <w:rFonts w:cs="Arial"/>
                <w:sz w:val="20"/>
                <w:szCs w:val="20"/>
                <w:lang w:val="es-ES"/>
              </w:rPr>
              <w:t>1.7.1 Policía.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3B80EC1" w14:textId="77777777" w:rsidR="00D868AB" w:rsidRPr="00D868AB" w:rsidRDefault="00D868AB" w:rsidP="00D868AB">
            <w:pPr>
              <w:jc w:val="right"/>
              <w:rPr>
                <w:rFonts w:cs="Arial"/>
                <w:sz w:val="20"/>
                <w:szCs w:val="20"/>
                <w:lang w:val="es-ES"/>
              </w:rPr>
            </w:pPr>
            <w:r w:rsidRPr="00D868AB">
              <w:rPr>
                <w:rFonts w:cs="Arial"/>
                <w:color w:val="000000"/>
                <w:sz w:val="20"/>
                <w:szCs w:val="20"/>
              </w:rPr>
              <w:t>348,542,566</w:t>
            </w:r>
          </w:p>
        </w:tc>
      </w:tr>
      <w:tr w:rsidR="00D868AB" w:rsidRPr="00D868AB" w14:paraId="305F2D3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54223D" w14:textId="77777777" w:rsidR="00D868AB" w:rsidRPr="00D868AB" w:rsidRDefault="00D868AB" w:rsidP="00D868AB">
            <w:pPr>
              <w:ind w:left="567" w:hanging="567"/>
              <w:rPr>
                <w:rFonts w:cs="Arial"/>
                <w:sz w:val="20"/>
                <w:szCs w:val="20"/>
                <w:lang w:val="es-ES"/>
              </w:rPr>
            </w:pPr>
            <w:r w:rsidRPr="00D868AB">
              <w:rPr>
                <w:rFonts w:cs="Arial"/>
                <w:sz w:val="20"/>
                <w:szCs w:val="20"/>
                <w:lang w:val="es-ES"/>
              </w:rPr>
              <w:t>1.7.2 Protección Civil.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DB2687C" w14:textId="77777777" w:rsidR="00D868AB" w:rsidRPr="00D868AB" w:rsidRDefault="00D868AB" w:rsidP="00D868AB">
            <w:pPr>
              <w:jc w:val="right"/>
              <w:rPr>
                <w:rFonts w:cs="Arial"/>
                <w:sz w:val="20"/>
                <w:szCs w:val="20"/>
                <w:lang w:val="es-ES"/>
              </w:rPr>
            </w:pPr>
            <w:r w:rsidRPr="00D868AB">
              <w:rPr>
                <w:rFonts w:cs="Arial"/>
                <w:color w:val="000000"/>
                <w:sz w:val="20"/>
                <w:szCs w:val="20"/>
              </w:rPr>
              <w:t>46,383,525</w:t>
            </w:r>
          </w:p>
        </w:tc>
      </w:tr>
      <w:tr w:rsidR="00D868AB" w:rsidRPr="00D868AB" w14:paraId="628F3BE0"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6A4D2" w14:textId="77777777" w:rsidR="00D868AB" w:rsidRPr="00D868AB" w:rsidRDefault="00D868AB" w:rsidP="00D868AB">
            <w:pPr>
              <w:ind w:left="567" w:hanging="567"/>
              <w:rPr>
                <w:rFonts w:cs="Arial"/>
                <w:sz w:val="20"/>
                <w:szCs w:val="20"/>
                <w:lang w:val="es-ES"/>
              </w:rPr>
            </w:pPr>
            <w:r w:rsidRPr="00D868AB">
              <w:rPr>
                <w:rFonts w:cs="Arial"/>
                <w:sz w:val="20"/>
                <w:szCs w:val="20"/>
                <w:lang w:val="es-ES"/>
              </w:rPr>
              <w:t>1.7.3 Otros Asuntos de Orden Público y Seguridad.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CFDE035" w14:textId="77777777" w:rsidR="00D868AB" w:rsidRPr="00D868AB" w:rsidRDefault="00D868AB" w:rsidP="00D868AB">
            <w:pPr>
              <w:jc w:val="right"/>
              <w:rPr>
                <w:rFonts w:cs="Arial"/>
                <w:sz w:val="20"/>
                <w:szCs w:val="20"/>
                <w:lang w:val="es-ES"/>
              </w:rPr>
            </w:pPr>
            <w:r w:rsidRPr="00D868AB">
              <w:rPr>
                <w:rFonts w:cs="Arial"/>
                <w:color w:val="000000"/>
                <w:sz w:val="20"/>
                <w:szCs w:val="20"/>
              </w:rPr>
              <w:t>126,085,589</w:t>
            </w:r>
          </w:p>
        </w:tc>
      </w:tr>
      <w:tr w:rsidR="00D868AB" w:rsidRPr="00D868AB" w14:paraId="12786A62"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8EC80" w14:textId="77777777" w:rsidR="00D868AB" w:rsidRPr="00D868AB" w:rsidRDefault="00D868AB" w:rsidP="00D868AB">
            <w:pPr>
              <w:ind w:left="567" w:hanging="567"/>
              <w:rPr>
                <w:rFonts w:cs="Arial"/>
                <w:sz w:val="20"/>
                <w:szCs w:val="20"/>
                <w:lang w:val="es-ES"/>
              </w:rPr>
            </w:pPr>
            <w:r w:rsidRPr="00D868AB">
              <w:rPr>
                <w:rFonts w:cs="Arial"/>
                <w:sz w:val="20"/>
                <w:szCs w:val="20"/>
                <w:lang w:val="es-ES"/>
              </w:rPr>
              <w:t>1.7.4 Sistema Nacional de Seguridad Pública.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795A21A" w14:textId="77777777" w:rsidR="00D868AB" w:rsidRPr="00D868AB" w:rsidRDefault="00D868AB" w:rsidP="00D868AB">
            <w:pPr>
              <w:jc w:val="right"/>
              <w:rPr>
                <w:rFonts w:cs="Arial"/>
                <w:sz w:val="20"/>
                <w:szCs w:val="20"/>
                <w:lang w:val="es-ES"/>
              </w:rPr>
            </w:pPr>
            <w:r w:rsidRPr="00D868AB">
              <w:rPr>
                <w:rFonts w:cs="Arial"/>
                <w:color w:val="000000"/>
                <w:sz w:val="20"/>
                <w:szCs w:val="20"/>
              </w:rPr>
              <w:t>383,608,289</w:t>
            </w:r>
          </w:p>
        </w:tc>
      </w:tr>
      <w:tr w:rsidR="00D868AB" w:rsidRPr="00D868AB" w14:paraId="1CD8231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5E827" w14:textId="77777777" w:rsidR="00D868AB" w:rsidRPr="00D868AB" w:rsidRDefault="00D868AB" w:rsidP="00D868AB">
            <w:pPr>
              <w:numPr>
                <w:ilvl w:val="1"/>
                <w:numId w:val="7"/>
              </w:numPr>
              <w:tabs>
                <w:tab w:val="left" w:pos="427"/>
              </w:tabs>
              <w:ind w:left="0" w:firstLine="0"/>
              <w:rPr>
                <w:rFonts w:cs="Arial"/>
                <w:b/>
                <w:sz w:val="20"/>
                <w:szCs w:val="20"/>
                <w:lang w:val="es-ES"/>
              </w:rPr>
            </w:pPr>
            <w:r w:rsidRPr="00D868AB">
              <w:rPr>
                <w:rFonts w:cs="Arial"/>
                <w:b/>
                <w:sz w:val="20"/>
                <w:szCs w:val="20"/>
                <w:lang w:val="es-ES"/>
              </w:rPr>
              <w:t>OTROS SERVICIOS GENERALES.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1F7DCA4"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340,112,398</w:t>
            </w:r>
          </w:p>
        </w:tc>
      </w:tr>
      <w:tr w:rsidR="00D868AB" w:rsidRPr="00D868AB" w14:paraId="4FC6E7FB"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72D4F" w14:textId="77777777" w:rsidR="00D868AB" w:rsidRPr="00D868AB" w:rsidRDefault="00D868AB" w:rsidP="00D868AB">
            <w:pPr>
              <w:ind w:left="567" w:hanging="567"/>
              <w:rPr>
                <w:rFonts w:cs="Arial"/>
                <w:sz w:val="20"/>
                <w:szCs w:val="20"/>
                <w:lang w:val="es-ES"/>
              </w:rPr>
            </w:pPr>
            <w:r w:rsidRPr="00D868AB">
              <w:rPr>
                <w:rFonts w:cs="Arial"/>
                <w:sz w:val="20"/>
                <w:szCs w:val="20"/>
                <w:lang w:val="es-ES"/>
              </w:rPr>
              <w:t>1.8.1 Servicios Registrales, Administrativos y Patrimoniales.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621F529" w14:textId="77777777" w:rsidR="00D868AB" w:rsidRPr="00D868AB" w:rsidRDefault="00D868AB" w:rsidP="00D868AB">
            <w:pPr>
              <w:jc w:val="right"/>
              <w:rPr>
                <w:rFonts w:cs="Arial"/>
                <w:sz w:val="20"/>
                <w:szCs w:val="20"/>
                <w:lang w:val="es-ES"/>
              </w:rPr>
            </w:pPr>
            <w:r w:rsidRPr="00D868AB">
              <w:rPr>
                <w:rFonts w:cs="Arial"/>
                <w:color w:val="000000"/>
                <w:sz w:val="20"/>
                <w:szCs w:val="20"/>
              </w:rPr>
              <w:t>41,368,422</w:t>
            </w:r>
          </w:p>
        </w:tc>
      </w:tr>
      <w:tr w:rsidR="00D868AB" w:rsidRPr="00D868AB" w14:paraId="5F4FC9F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E69F8" w14:textId="77777777" w:rsidR="00D868AB" w:rsidRPr="00D868AB" w:rsidRDefault="00D868AB" w:rsidP="00D868AB">
            <w:pPr>
              <w:ind w:left="567" w:hanging="567"/>
              <w:rPr>
                <w:rFonts w:cs="Arial"/>
                <w:sz w:val="20"/>
                <w:szCs w:val="20"/>
                <w:lang w:val="es-ES"/>
              </w:rPr>
            </w:pPr>
            <w:r w:rsidRPr="00D868AB">
              <w:rPr>
                <w:rFonts w:cs="Arial"/>
                <w:sz w:val="20"/>
                <w:szCs w:val="20"/>
                <w:lang w:val="es-ES"/>
              </w:rPr>
              <w:t>1.8.2 Servicios Estadísticos.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FF40424"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6A04D0A4"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0B37" w14:textId="77777777" w:rsidR="00D868AB" w:rsidRPr="00D868AB" w:rsidRDefault="00D868AB" w:rsidP="00D868AB">
            <w:pPr>
              <w:ind w:left="567" w:hanging="567"/>
              <w:rPr>
                <w:rFonts w:cs="Arial"/>
                <w:sz w:val="20"/>
                <w:szCs w:val="20"/>
                <w:lang w:val="es-ES"/>
              </w:rPr>
            </w:pPr>
            <w:r w:rsidRPr="00D868AB">
              <w:rPr>
                <w:rFonts w:cs="Arial"/>
                <w:sz w:val="20"/>
                <w:szCs w:val="20"/>
                <w:lang w:val="es-ES"/>
              </w:rPr>
              <w:t>1.8.3 Servicios de Comunicación y Medios.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38BECB6"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0908A0C5"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50B34" w14:textId="77777777" w:rsidR="00D868AB" w:rsidRPr="00D868AB" w:rsidRDefault="00D868AB" w:rsidP="00D868AB">
            <w:pPr>
              <w:ind w:left="567" w:hanging="567"/>
              <w:rPr>
                <w:rFonts w:cs="Arial"/>
                <w:sz w:val="20"/>
                <w:szCs w:val="20"/>
                <w:lang w:val="es-ES"/>
              </w:rPr>
            </w:pPr>
            <w:r w:rsidRPr="00D868AB">
              <w:rPr>
                <w:rFonts w:cs="Arial"/>
                <w:sz w:val="20"/>
                <w:szCs w:val="20"/>
                <w:lang w:val="es-ES"/>
              </w:rPr>
              <w:t>1.8.4 Acceso a la Información Pública Gubernamental.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34BABC0" w14:textId="77777777" w:rsidR="00D868AB" w:rsidRPr="00D868AB" w:rsidRDefault="00D868AB" w:rsidP="00D868AB">
            <w:pPr>
              <w:jc w:val="right"/>
              <w:rPr>
                <w:rFonts w:cs="Arial"/>
                <w:sz w:val="20"/>
                <w:szCs w:val="20"/>
                <w:lang w:val="es-ES"/>
              </w:rPr>
            </w:pPr>
            <w:r w:rsidRPr="00D868AB">
              <w:rPr>
                <w:rFonts w:cs="Arial"/>
                <w:color w:val="000000"/>
                <w:sz w:val="20"/>
                <w:szCs w:val="20"/>
              </w:rPr>
              <w:t>20,626,745</w:t>
            </w:r>
          </w:p>
        </w:tc>
      </w:tr>
      <w:tr w:rsidR="00D868AB" w:rsidRPr="00D868AB" w14:paraId="6581582B"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0C6C01" w14:textId="77777777" w:rsidR="00D868AB" w:rsidRPr="00D868AB" w:rsidRDefault="00D868AB" w:rsidP="00D868AB">
            <w:pPr>
              <w:ind w:left="567" w:hanging="567"/>
              <w:rPr>
                <w:rFonts w:cs="Arial"/>
                <w:sz w:val="20"/>
                <w:szCs w:val="20"/>
                <w:lang w:val="es-ES"/>
              </w:rPr>
            </w:pPr>
            <w:r w:rsidRPr="00D868AB">
              <w:rPr>
                <w:rFonts w:cs="Arial"/>
                <w:sz w:val="20"/>
                <w:szCs w:val="20"/>
                <w:lang w:val="es-ES"/>
              </w:rPr>
              <w:t>1.8.5 Otros.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69822F2" w14:textId="77777777" w:rsidR="00D868AB" w:rsidRPr="00D868AB" w:rsidRDefault="00D868AB" w:rsidP="00D868AB">
            <w:pPr>
              <w:jc w:val="right"/>
              <w:rPr>
                <w:rFonts w:cs="Arial"/>
                <w:sz w:val="20"/>
                <w:szCs w:val="20"/>
                <w:lang w:val="es-ES"/>
              </w:rPr>
            </w:pPr>
            <w:r w:rsidRPr="00D868AB">
              <w:rPr>
                <w:rFonts w:cs="Arial"/>
                <w:color w:val="000000"/>
                <w:sz w:val="20"/>
                <w:szCs w:val="20"/>
              </w:rPr>
              <w:t>278,117,231</w:t>
            </w:r>
          </w:p>
        </w:tc>
      </w:tr>
      <w:tr w:rsidR="00D868AB" w:rsidRPr="00D868AB" w14:paraId="0931BCD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05F4C" w14:textId="77777777" w:rsidR="00D868AB" w:rsidRPr="00D868AB" w:rsidRDefault="00D868AB" w:rsidP="00D868AB">
            <w:pPr>
              <w:numPr>
                <w:ilvl w:val="0"/>
                <w:numId w:val="7"/>
              </w:numPr>
              <w:ind w:left="0"/>
              <w:rPr>
                <w:rFonts w:cs="Arial"/>
                <w:b/>
                <w:sz w:val="20"/>
                <w:szCs w:val="20"/>
                <w:lang w:val="es-ES"/>
              </w:rPr>
            </w:pPr>
            <w:r w:rsidRPr="00D868AB">
              <w:rPr>
                <w:rFonts w:cs="Arial"/>
                <w:b/>
                <w:sz w:val="20"/>
                <w:szCs w:val="20"/>
                <w:lang w:val="es-ES"/>
              </w:rPr>
              <w:t>2. DESARROLLO SOCIAL.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AF4B789"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13,155,276,799</w:t>
            </w:r>
          </w:p>
        </w:tc>
      </w:tr>
      <w:tr w:rsidR="00D868AB" w:rsidRPr="00D868AB" w14:paraId="26AF94A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6552D" w14:textId="77777777" w:rsidR="00D868AB" w:rsidRPr="00D868AB" w:rsidRDefault="00D868AB" w:rsidP="00D868AB">
            <w:pPr>
              <w:rPr>
                <w:rFonts w:cs="Arial"/>
                <w:b/>
                <w:sz w:val="20"/>
                <w:szCs w:val="20"/>
                <w:lang w:val="es-ES"/>
              </w:rPr>
            </w:pPr>
            <w:r w:rsidRPr="00D868AB">
              <w:rPr>
                <w:rFonts w:cs="Arial"/>
                <w:b/>
                <w:sz w:val="20"/>
                <w:szCs w:val="20"/>
                <w:lang w:val="es-ES"/>
              </w:rPr>
              <w:t>2.1.  PROTECCIÓN AMBIENTAL.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D9E8DB7"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51,655,837</w:t>
            </w:r>
          </w:p>
        </w:tc>
      </w:tr>
      <w:tr w:rsidR="00D868AB" w:rsidRPr="00D868AB" w14:paraId="279E11F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7799B" w14:textId="77777777" w:rsidR="00D868AB" w:rsidRPr="00D868AB" w:rsidRDefault="00D868AB" w:rsidP="00D868AB">
            <w:pPr>
              <w:ind w:left="567" w:hanging="567"/>
              <w:rPr>
                <w:rFonts w:cs="Arial"/>
                <w:sz w:val="20"/>
                <w:szCs w:val="20"/>
                <w:lang w:val="es-ES"/>
              </w:rPr>
            </w:pPr>
            <w:r w:rsidRPr="00D868AB">
              <w:rPr>
                <w:rFonts w:cs="Arial"/>
                <w:sz w:val="20"/>
                <w:szCs w:val="20"/>
                <w:lang w:val="es-ES"/>
              </w:rPr>
              <w:t>2.1.1 Ordenación de Desechos.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330F119" w14:textId="77777777" w:rsidR="00D868AB" w:rsidRPr="00D868AB" w:rsidRDefault="00D868AB" w:rsidP="00D868AB">
            <w:pPr>
              <w:jc w:val="right"/>
              <w:rPr>
                <w:rFonts w:cs="Arial"/>
                <w:sz w:val="20"/>
                <w:szCs w:val="20"/>
                <w:lang w:val="es-ES"/>
              </w:rPr>
            </w:pPr>
            <w:r w:rsidRPr="00D868AB">
              <w:rPr>
                <w:rFonts w:cs="Arial"/>
                <w:color w:val="000000"/>
                <w:sz w:val="20"/>
                <w:szCs w:val="20"/>
              </w:rPr>
              <w:t>34,277,606</w:t>
            </w:r>
          </w:p>
        </w:tc>
      </w:tr>
      <w:tr w:rsidR="00D868AB" w:rsidRPr="00D868AB" w14:paraId="0E1D035A"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2502CE" w14:textId="77777777" w:rsidR="00D868AB" w:rsidRPr="00D868AB" w:rsidRDefault="00D868AB" w:rsidP="00D868AB">
            <w:pPr>
              <w:ind w:left="567" w:hanging="567"/>
              <w:rPr>
                <w:rFonts w:cs="Arial"/>
                <w:sz w:val="20"/>
                <w:szCs w:val="20"/>
                <w:lang w:val="es-ES"/>
              </w:rPr>
            </w:pPr>
            <w:r w:rsidRPr="00D868AB">
              <w:rPr>
                <w:rFonts w:cs="Arial"/>
                <w:sz w:val="20"/>
                <w:szCs w:val="20"/>
                <w:lang w:val="es-ES"/>
              </w:rPr>
              <w:t>2.1.2 Administración del Agua.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4E98842" w14:textId="77777777" w:rsidR="00D868AB" w:rsidRPr="00D868AB" w:rsidRDefault="00D868AB" w:rsidP="00D868AB">
            <w:pPr>
              <w:jc w:val="right"/>
              <w:rPr>
                <w:rFonts w:cs="Arial"/>
                <w:sz w:val="20"/>
                <w:szCs w:val="20"/>
                <w:lang w:val="es-ES"/>
              </w:rPr>
            </w:pPr>
            <w:r w:rsidRPr="00D868AB">
              <w:rPr>
                <w:rFonts w:cs="Arial"/>
                <w:color w:val="000000"/>
                <w:sz w:val="20"/>
                <w:szCs w:val="20"/>
              </w:rPr>
              <w:t>4,567,059</w:t>
            </w:r>
          </w:p>
        </w:tc>
      </w:tr>
      <w:tr w:rsidR="00D868AB" w:rsidRPr="00D868AB" w14:paraId="6C6D236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165017" w14:textId="77777777" w:rsidR="00D868AB" w:rsidRPr="00D868AB" w:rsidRDefault="00D868AB" w:rsidP="00D868AB">
            <w:pPr>
              <w:ind w:left="567" w:hanging="567"/>
              <w:rPr>
                <w:rFonts w:cs="Arial"/>
                <w:sz w:val="20"/>
                <w:szCs w:val="20"/>
                <w:lang w:val="es-ES"/>
              </w:rPr>
            </w:pPr>
            <w:r w:rsidRPr="00D868AB">
              <w:rPr>
                <w:rFonts w:cs="Arial"/>
                <w:sz w:val="20"/>
                <w:szCs w:val="20"/>
                <w:lang w:val="es-ES"/>
              </w:rPr>
              <w:lastRenderedPageBreak/>
              <w:t>2.1.3 Ordenación de Aguas Residuales, Drenaje y Alcantarillado.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50B4545"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43B4227A"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F44797" w14:textId="77777777" w:rsidR="00D868AB" w:rsidRPr="00D868AB" w:rsidRDefault="00D868AB" w:rsidP="00D868AB">
            <w:pPr>
              <w:ind w:left="567" w:hanging="567"/>
              <w:rPr>
                <w:rFonts w:cs="Arial"/>
                <w:sz w:val="20"/>
                <w:szCs w:val="20"/>
                <w:lang w:val="es-ES"/>
              </w:rPr>
            </w:pPr>
            <w:r w:rsidRPr="00D868AB">
              <w:rPr>
                <w:rFonts w:cs="Arial"/>
                <w:sz w:val="20"/>
                <w:szCs w:val="20"/>
                <w:lang w:val="es-ES"/>
              </w:rPr>
              <w:t>2.1.4 Reducción de la Contaminación.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36B3A9C"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7E365067"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9B77D0" w14:textId="77777777" w:rsidR="00D868AB" w:rsidRPr="00D868AB" w:rsidRDefault="00D868AB" w:rsidP="00D868AB">
            <w:pPr>
              <w:ind w:left="567" w:hanging="567"/>
              <w:rPr>
                <w:rFonts w:cs="Arial"/>
                <w:sz w:val="20"/>
                <w:szCs w:val="20"/>
                <w:lang w:val="es-ES"/>
              </w:rPr>
            </w:pPr>
            <w:r w:rsidRPr="00D868AB">
              <w:rPr>
                <w:rFonts w:cs="Arial"/>
                <w:sz w:val="20"/>
                <w:szCs w:val="20"/>
                <w:lang w:val="es-ES"/>
              </w:rPr>
              <w:t>2.1.5 Protección de la Diversidad Biológica y del Paisaje.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7504A12"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32349A2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B784A5" w14:textId="77777777" w:rsidR="00D868AB" w:rsidRPr="00D868AB" w:rsidRDefault="00D868AB" w:rsidP="00D868AB">
            <w:pPr>
              <w:ind w:left="567" w:hanging="567"/>
              <w:rPr>
                <w:rFonts w:cs="Arial"/>
                <w:sz w:val="20"/>
                <w:szCs w:val="20"/>
                <w:lang w:val="es-ES"/>
              </w:rPr>
            </w:pPr>
            <w:r w:rsidRPr="00D868AB">
              <w:rPr>
                <w:rFonts w:cs="Arial"/>
                <w:sz w:val="20"/>
                <w:szCs w:val="20"/>
                <w:lang w:val="es-ES"/>
              </w:rPr>
              <w:t>2.1.6 Otros de Protección Ambiental.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F685FEC" w14:textId="77777777" w:rsidR="00D868AB" w:rsidRPr="00D868AB" w:rsidRDefault="00D868AB" w:rsidP="00D868AB">
            <w:pPr>
              <w:jc w:val="right"/>
              <w:rPr>
                <w:rFonts w:cs="Arial"/>
                <w:sz w:val="20"/>
                <w:szCs w:val="20"/>
                <w:lang w:val="es-ES"/>
              </w:rPr>
            </w:pPr>
            <w:r w:rsidRPr="00D868AB">
              <w:rPr>
                <w:rFonts w:cs="Arial"/>
                <w:color w:val="000000"/>
                <w:sz w:val="20"/>
                <w:szCs w:val="20"/>
              </w:rPr>
              <w:t>12,811,172</w:t>
            </w:r>
          </w:p>
        </w:tc>
      </w:tr>
      <w:tr w:rsidR="00D868AB" w:rsidRPr="00D868AB" w14:paraId="1A0D10A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09C313" w14:textId="77777777" w:rsidR="00D868AB" w:rsidRPr="00D868AB" w:rsidRDefault="00D868AB" w:rsidP="00D868AB">
            <w:pPr>
              <w:rPr>
                <w:rFonts w:cs="Arial"/>
                <w:b/>
                <w:sz w:val="20"/>
                <w:szCs w:val="20"/>
                <w:lang w:val="es-ES"/>
              </w:rPr>
            </w:pPr>
            <w:r w:rsidRPr="00D868AB">
              <w:rPr>
                <w:rFonts w:cs="Arial"/>
                <w:b/>
                <w:sz w:val="20"/>
                <w:szCs w:val="20"/>
                <w:lang w:val="es-ES"/>
              </w:rPr>
              <w:t>2.2.  VIVIENDA Y SERVICIOS A LA COMUNIDAD.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C8D76A3"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110,140,797</w:t>
            </w:r>
          </w:p>
        </w:tc>
      </w:tr>
      <w:tr w:rsidR="00D868AB" w:rsidRPr="00D868AB" w14:paraId="4ED6ADB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457EF0" w14:textId="77777777" w:rsidR="00D868AB" w:rsidRPr="00D868AB" w:rsidRDefault="00D868AB" w:rsidP="00D868AB">
            <w:pPr>
              <w:ind w:left="567" w:hanging="567"/>
              <w:rPr>
                <w:rFonts w:cs="Arial"/>
                <w:sz w:val="20"/>
                <w:szCs w:val="20"/>
                <w:lang w:val="es-ES"/>
              </w:rPr>
            </w:pPr>
            <w:r w:rsidRPr="00D868AB">
              <w:rPr>
                <w:rFonts w:cs="Arial"/>
                <w:sz w:val="20"/>
                <w:szCs w:val="20"/>
                <w:lang w:val="es-ES"/>
              </w:rPr>
              <w:t>2.2.1 Urbanización.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F23789B" w14:textId="77777777" w:rsidR="00D868AB" w:rsidRPr="00D868AB" w:rsidRDefault="00D868AB" w:rsidP="00D868AB">
            <w:pPr>
              <w:jc w:val="right"/>
              <w:rPr>
                <w:rFonts w:cs="Arial"/>
                <w:sz w:val="20"/>
                <w:szCs w:val="20"/>
                <w:lang w:val="es-ES"/>
              </w:rPr>
            </w:pPr>
            <w:r w:rsidRPr="00D868AB">
              <w:rPr>
                <w:rFonts w:cs="Arial"/>
                <w:color w:val="000000"/>
                <w:sz w:val="20"/>
                <w:szCs w:val="20"/>
              </w:rPr>
              <w:t>22,484,981</w:t>
            </w:r>
          </w:p>
        </w:tc>
      </w:tr>
      <w:tr w:rsidR="00D868AB" w:rsidRPr="00D868AB" w14:paraId="45E1D90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373C4" w14:textId="77777777" w:rsidR="00D868AB" w:rsidRPr="00D868AB" w:rsidRDefault="00D868AB" w:rsidP="00D868AB">
            <w:pPr>
              <w:ind w:left="567" w:hanging="567"/>
              <w:rPr>
                <w:rFonts w:cs="Arial"/>
                <w:sz w:val="20"/>
                <w:szCs w:val="20"/>
                <w:lang w:val="es-ES"/>
              </w:rPr>
            </w:pPr>
            <w:r w:rsidRPr="00D868AB">
              <w:rPr>
                <w:rFonts w:cs="Arial"/>
                <w:sz w:val="20"/>
                <w:szCs w:val="20"/>
                <w:lang w:val="es-ES"/>
              </w:rPr>
              <w:t>2.2.2 Desarrollo Comunitario.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70CECB5" w14:textId="77777777" w:rsidR="00D868AB" w:rsidRPr="00D868AB" w:rsidRDefault="00D868AB" w:rsidP="00D868AB">
            <w:pPr>
              <w:jc w:val="right"/>
              <w:rPr>
                <w:rFonts w:cs="Arial"/>
                <w:sz w:val="20"/>
                <w:szCs w:val="20"/>
                <w:lang w:val="es-ES"/>
              </w:rPr>
            </w:pPr>
            <w:r w:rsidRPr="00D868AB">
              <w:rPr>
                <w:rFonts w:cs="Arial"/>
                <w:color w:val="000000"/>
                <w:sz w:val="20"/>
                <w:szCs w:val="20"/>
              </w:rPr>
              <w:t>79,655,816</w:t>
            </w:r>
          </w:p>
        </w:tc>
      </w:tr>
      <w:tr w:rsidR="00D868AB" w:rsidRPr="00D868AB" w14:paraId="6DBCB77A"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FFCB9" w14:textId="77777777" w:rsidR="00D868AB" w:rsidRPr="00D868AB" w:rsidRDefault="00D868AB" w:rsidP="00D868AB">
            <w:pPr>
              <w:ind w:left="567" w:hanging="567"/>
              <w:rPr>
                <w:rFonts w:cs="Arial"/>
                <w:sz w:val="20"/>
                <w:szCs w:val="20"/>
                <w:lang w:val="es-ES"/>
              </w:rPr>
            </w:pPr>
            <w:r w:rsidRPr="00D868AB">
              <w:rPr>
                <w:rFonts w:cs="Arial"/>
                <w:sz w:val="20"/>
                <w:szCs w:val="20"/>
                <w:lang w:val="es-ES"/>
              </w:rPr>
              <w:t>2.2.3 Abastecimiento de Agua.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B9EFF81" w14:textId="77777777" w:rsidR="00D868AB" w:rsidRPr="00D868AB" w:rsidRDefault="00D868AB" w:rsidP="00D868AB">
            <w:pPr>
              <w:jc w:val="right"/>
              <w:rPr>
                <w:rFonts w:cs="Arial"/>
                <w:sz w:val="20"/>
                <w:szCs w:val="20"/>
                <w:lang w:val="es-ES"/>
              </w:rPr>
            </w:pPr>
            <w:r w:rsidRPr="00D868AB">
              <w:rPr>
                <w:rFonts w:cs="Arial"/>
                <w:color w:val="000000"/>
                <w:sz w:val="20"/>
                <w:szCs w:val="20"/>
              </w:rPr>
              <w:t>8,000,000</w:t>
            </w:r>
          </w:p>
        </w:tc>
      </w:tr>
      <w:tr w:rsidR="00D868AB" w:rsidRPr="00D868AB" w14:paraId="43B84D3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7A553" w14:textId="77777777" w:rsidR="00D868AB" w:rsidRPr="00D868AB" w:rsidRDefault="00D868AB" w:rsidP="00D868AB">
            <w:pPr>
              <w:ind w:left="567" w:hanging="567"/>
              <w:rPr>
                <w:rFonts w:cs="Arial"/>
                <w:sz w:val="20"/>
                <w:szCs w:val="20"/>
                <w:lang w:val="es-ES"/>
              </w:rPr>
            </w:pPr>
            <w:r w:rsidRPr="00D868AB">
              <w:rPr>
                <w:rFonts w:cs="Arial"/>
                <w:sz w:val="20"/>
                <w:szCs w:val="20"/>
                <w:lang w:val="es-ES"/>
              </w:rPr>
              <w:t>2.2.4 Alumbrado Público.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AEE5179"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6D175CF7"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75B60" w14:textId="77777777" w:rsidR="00D868AB" w:rsidRPr="00D868AB" w:rsidRDefault="00D868AB" w:rsidP="00D868AB">
            <w:pPr>
              <w:ind w:left="567" w:hanging="567"/>
              <w:rPr>
                <w:rFonts w:cs="Arial"/>
                <w:sz w:val="20"/>
                <w:szCs w:val="20"/>
                <w:lang w:val="es-ES"/>
              </w:rPr>
            </w:pPr>
            <w:r w:rsidRPr="00D868AB">
              <w:rPr>
                <w:rFonts w:cs="Arial"/>
                <w:sz w:val="20"/>
                <w:szCs w:val="20"/>
                <w:lang w:val="es-ES"/>
              </w:rPr>
              <w:t>2.2.5 Vivienda.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DF93948"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3225AB33"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65975" w14:textId="77777777" w:rsidR="00D868AB" w:rsidRPr="00D868AB" w:rsidRDefault="00D868AB" w:rsidP="00D868AB">
            <w:pPr>
              <w:ind w:left="567" w:hanging="567"/>
              <w:rPr>
                <w:rFonts w:cs="Arial"/>
                <w:sz w:val="20"/>
                <w:szCs w:val="20"/>
                <w:lang w:val="es-ES"/>
              </w:rPr>
            </w:pPr>
            <w:r w:rsidRPr="00D868AB">
              <w:rPr>
                <w:rFonts w:cs="Arial"/>
                <w:sz w:val="20"/>
                <w:szCs w:val="20"/>
                <w:lang w:val="es-ES"/>
              </w:rPr>
              <w:t>2.2.6 Servicios Comunales.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FB29C5E"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1A5E5C7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25907A" w14:textId="77777777" w:rsidR="00D868AB" w:rsidRPr="00D868AB" w:rsidRDefault="00D868AB" w:rsidP="00D868AB">
            <w:pPr>
              <w:ind w:left="567" w:hanging="567"/>
              <w:rPr>
                <w:rFonts w:cs="Arial"/>
                <w:sz w:val="20"/>
                <w:szCs w:val="20"/>
                <w:lang w:val="es-ES"/>
              </w:rPr>
            </w:pPr>
            <w:r w:rsidRPr="00D868AB">
              <w:rPr>
                <w:rFonts w:cs="Arial"/>
                <w:sz w:val="20"/>
                <w:szCs w:val="20"/>
                <w:lang w:val="es-ES"/>
              </w:rPr>
              <w:t>2.2.7 Desarrollo Regional.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E248711"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70EEB91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0EDB90" w14:textId="77777777" w:rsidR="00D868AB" w:rsidRPr="00D868AB" w:rsidRDefault="00D868AB" w:rsidP="00D868AB">
            <w:pPr>
              <w:rPr>
                <w:rFonts w:cs="Arial"/>
                <w:b/>
                <w:sz w:val="20"/>
                <w:szCs w:val="20"/>
                <w:lang w:val="es-ES"/>
              </w:rPr>
            </w:pPr>
            <w:r w:rsidRPr="00D868AB">
              <w:rPr>
                <w:rFonts w:cs="Arial"/>
                <w:b/>
                <w:sz w:val="20"/>
                <w:szCs w:val="20"/>
                <w:lang w:val="es-ES"/>
              </w:rPr>
              <w:t>2.3.  SALUD.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209E6FA"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2,278,923,012</w:t>
            </w:r>
          </w:p>
        </w:tc>
      </w:tr>
      <w:tr w:rsidR="00D868AB" w:rsidRPr="00D868AB" w14:paraId="25C08730"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40ABDD" w14:textId="77777777" w:rsidR="00D868AB" w:rsidRPr="00D868AB" w:rsidRDefault="00D868AB" w:rsidP="00D868AB">
            <w:pPr>
              <w:ind w:left="567" w:hanging="567"/>
              <w:rPr>
                <w:rFonts w:cs="Arial"/>
                <w:sz w:val="20"/>
                <w:szCs w:val="20"/>
                <w:lang w:val="es-ES"/>
              </w:rPr>
            </w:pPr>
            <w:r w:rsidRPr="00D868AB">
              <w:rPr>
                <w:rFonts w:cs="Arial"/>
                <w:sz w:val="20"/>
                <w:szCs w:val="20"/>
                <w:lang w:val="es-ES"/>
              </w:rPr>
              <w:t>2.3.1 Prestación de Servicios de Salud a la Comunidad.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90DE96A" w14:textId="77777777" w:rsidR="00D868AB" w:rsidRPr="00D868AB" w:rsidRDefault="00D868AB" w:rsidP="00D868AB">
            <w:pPr>
              <w:jc w:val="right"/>
              <w:rPr>
                <w:rFonts w:cs="Arial"/>
                <w:sz w:val="20"/>
                <w:szCs w:val="20"/>
                <w:lang w:val="es-ES"/>
              </w:rPr>
            </w:pPr>
            <w:r w:rsidRPr="00D868AB">
              <w:rPr>
                <w:rFonts w:cs="Arial"/>
                <w:color w:val="000000"/>
                <w:sz w:val="20"/>
                <w:szCs w:val="20"/>
              </w:rPr>
              <w:t>563,271,608</w:t>
            </w:r>
          </w:p>
        </w:tc>
      </w:tr>
      <w:tr w:rsidR="00D868AB" w:rsidRPr="00D868AB" w14:paraId="48E1E0BC"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F03B1" w14:textId="77777777" w:rsidR="00D868AB" w:rsidRPr="00D868AB" w:rsidRDefault="00D868AB" w:rsidP="00D868AB">
            <w:pPr>
              <w:ind w:left="567" w:hanging="567"/>
              <w:rPr>
                <w:rFonts w:cs="Arial"/>
                <w:sz w:val="20"/>
                <w:szCs w:val="20"/>
                <w:lang w:val="es-ES"/>
              </w:rPr>
            </w:pPr>
            <w:r w:rsidRPr="00D868AB">
              <w:rPr>
                <w:rFonts w:cs="Arial"/>
                <w:sz w:val="20"/>
                <w:szCs w:val="20"/>
                <w:lang w:val="es-ES"/>
              </w:rPr>
              <w:t>2.3.2 Prestación de Servicios de Salud a la Persona.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90D9389" w14:textId="77777777" w:rsidR="00D868AB" w:rsidRPr="00D868AB" w:rsidRDefault="00D868AB" w:rsidP="00D868AB">
            <w:pPr>
              <w:jc w:val="right"/>
              <w:rPr>
                <w:rFonts w:cs="Arial"/>
                <w:sz w:val="20"/>
                <w:szCs w:val="20"/>
                <w:lang w:val="es-ES"/>
              </w:rPr>
            </w:pPr>
            <w:r w:rsidRPr="00D868AB">
              <w:rPr>
                <w:rFonts w:cs="Arial"/>
                <w:color w:val="000000"/>
                <w:sz w:val="20"/>
                <w:szCs w:val="20"/>
              </w:rPr>
              <w:t>402,216,776</w:t>
            </w:r>
          </w:p>
        </w:tc>
      </w:tr>
      <w:tr w:rsidR="00D868AB" w:rsidRPr="00D868AB" w14:paraId="75E0E7E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770B4" w14:textId="77777777" w:rsidR="00D868AB" w:rsidRPr="00D868AB" w:rsidRDefault="00D868AB" w:rsidP="00D868AB">
            <w:pPr>
              <w:ind w:left="567" w:hanging="567"/>
              <w:rPr>
                <w:rFonts w:cs="Arial"/>
                <w:sz w:val="20"/>
                <w:szCs w:val="20"/>
                <w:lang w:val="es-ES"/>
              </w:rPr>
            </w:pPr>
            <w:r w:rsidRPr="00D868AB">
              <w:rPr>
                <w:rFonts w:cs="Arial"/>
                <w:sz w:val="20"/>
                <w:szCs w:val="20"/>
                <w:lang w:val="es-ES"/>
              </w:rPr>
              <w:t>2.3.3 Generación de Recursos para la Salud.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D2B6C27" w14:textId="77777777" w:rsidR="00D868AB" w:rsidRPr="00D868AB" w:rsidRDefault="00D868AB" w:rsidP="00D868AB">
            <w:pPr>
              <w:jc w:val="right"/>
              <w:rPr>
                <w:rFonts w:cs="Arial"/>
                <w:sz w:val="20"/>
                <w:szCs w:val="20"/>
                <w:lang w:val="es-ES"/>
              </w:rPr>
            </w:pPr>
            <w:r w:rsidRPr="00D868AB">
              <w:rPr>
                <w:rFonts w:cs="Arial"/>
                <w:color w:val="000000"/>
                <w:sz w:val="20"/>
                <w:szCs w:val="20"/>
              </w:rPr>
              <w:t>64,353,845</w:t>
            </w:r>
          </w:p>
        </w:tc>
      </w:tr>
      <w:tr w:rsidR="00D868AB" w:rsidRPr="00D868AB" w14:paraId="1606F117"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2EBEE0" w14:textId="77777777" w:rsidR="00D868AB" w:rsidRPr="00D868AB" w:rsidRDefault="00D868AB" w:rsidP="00D868AB">
            <w:pPr>
              <w:ind w:left="567" w:hanging="567"/>
              <w:rPr>
                <w:rFonts w:cs="Arial"/>
                <w:sz w:val="20"/>
                <w:szCs w:val="20"/>
                <w:lang w:val="es-ES"/>
              </w:rPr>
            </w:pPr>
            <w:r w:rsidRPr="00D868AB">
              <w:rPr>
                <w:rFonts w:cs="Arial"/>
                <w:sz w:val="20"/>
                <w:szCs w:val="20"/>
                <w:lang w:val="es-ES"/>
              </w:rPr>
              <w:t>2.3.4 Rectoría del Sistema de Salud.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C5D6560" w14:textId="77777777" w:rsidR="00D868AB" w:rsidRPr="00D868AB" w:rsidRDefault="00D868AB" w:rsidP="00D868AB">
            <w:pPr>
              <w:jc w:val="right"/>
              <w:rPr>
                <w:rFonts w:cs="Arial"/>
                <w:sz w:val="20"/>
                <w:szCs w:val="20"/>
                <w:lang w:val="es-ES"/>
              </w:rPr>
            </w:pPr>
            <w:r w:rsidRPr="00D868AB">
              <w:rPr>
                <w:rFonts w:cs="Arial"/>
                <w:color w:val="000000"/>
                <w:sz w:val="20"/>
                <w:szCs w:val="20"/>
              </w:rPr>
              <w:t>918,301,062</w:t>
            </w:r>
          </w:p>
        </w:tc>
      </w:tr>
      <w:tr w:rsidR="00D868AB" w:rsidRPr="00D868AB" w14:paraId="4445F14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BB156" w14:textId="77777777" w:rsidR="00D868AB" w:rsidRPr="00D868AB" w:rsidRDefault="00D868AB" w:rsidP="00D868AB">
            <w:pPr>
              <w:ind w:left="567" w:hanging="567"/>
              <w:rPr>
                <w:rFonts w:cs="Arial"/>
                <w:sz w:val="20"/>
                <w:szCs w:val="20"/>
                <w:lang w:val="es-ES"/>
              </w:rPr>
            </w:pPr>
            <w:r w:rsidRPr="00D868AB">
              <w:rPr>
                <w:rFonts w:cs="Arial"/>
                <w:sz w:val="20"/>
                <w:szCs w:val="20"/>
                <w:lang w:val="es-ES"/>
              </w:rPr>
              <w:t>2.3.5 Protección Social en Salud.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FAEE9A4" w14:textId="77777777" w:rsidR="00D868AB" w:rsidRPr="00D868AB" w:rsidRDefault="00D868AB" w:rsidP="00D868AB">
            <w:pPr>
              <w:jc w:val="right"/>
              <w:rPr>
                <w:rFonts w:cs="Arial"/>
                <w:sz w:val="20"/>
                <w:szCs w:val="20"/>
                <w:lang w:val="es-ES"/>
              </w:rPr>
            </w:pPr>
            <w:r w:rsidRPr="00D868AB">
              <w:rPr>
                <w:rFonts w:cs="Arial"/>
                <w:color w:val="000000"/>
                <w:sz w:val="20"/>
                <w:szCs w:val="20"/>
              </w:rPr>
              <w:t>330,779,721</w:t>
            </w:r>
          </w:p>
        </w:tc>
      </w:tr>
      <w:tr w:rsidR="00D868AB" w:rsidRPr="00D868AB" w14:paraId="6A5DB61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46DDB4" w14:textId="77777777" w:rsidR="00D868AB" w:rsidRPr="00D868AB" w:rsidRDefault="00D868AB" w:rsidP="00D868AB">
            <w:pPr>
              <w:ind w:left="567" w:hanging="567"/>
              <w:rPr>
                <w:rFonts w:cs="Arial"/>
                <w:b/>
                <w:sz w:val="20"/>
                <w:szCs w:val="20"/>
                <w:lang w:val="es-ES"/>
              </w:rPr>
            </w:pPr>
            <w:r w:rsidRPr="00D868AB">
              <w:rPr>
                <w:rFonts w:cs="Arial"/>
                <w:b/>
                <w:sz w:val="20"/>
                <w:szCs w:val="20"/>
                <w:lang w:val="es-ES"/>
              </w:rPr>
              <w:t>2.4. RECREACION, CULTURA Y OTRAS MANIFESTACIONES SOCIALES.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BB42E37"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212,751,926</w:t>
            </w:r>
          </w:p>
        </w:tc>
      </w:tr>
      <w:tr w:rsidR="00D868AB" w:rsidRPr="00D868AB" w14:paraId="1965006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1E8BF6" w14:textId="77777777" w:rsidR="00D868AB" w:rsidRPr="00D868AB" w:rsidRDefault="00D868AB" w:rsidP="00D868AB">
            <w:pPr>
              <w:ind w:left="567" w:hanging="567"/>
              <w:rPr>
                <w:rFonts w:cs="Arial"/>
                <w:sz w:val="20"/>
                <w:szCs w:val="20"/>
                <w:lang w:val="es-ES"/>
              </w:rPr>
            </w:pPr>
            <w:r w:rsidRPr="00D868AB">
              <w:rPr>
                <w:rFonts w:cs="Arial"/>
                <w:sz w:val="20"/>
                <w:szCs w:val="20"/>
                <w:lang w:val="es-ES"/>
              </w:rPr>
              <w:t>2.4.1 Deporte y Recreación.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6EC116B" w14:textId="77777777" w:rsidR="00D868AB" w:rsidRPr="00D868AB" w:rsidRDefault="00D868AB" w:rsidP="00D868AB">
            <w:pPr>
              <w:jc w:val="right"/>
              <w:rPr>
                <w:rFonts w:cs="Arial"/>
                <w:sz w:val="20"/>
                <w:szCs w:val="20"/>
                <w:lang w:val="es-ES"/>
              </w:rPr>
            </w:pPr>
            <w:r w:rsidRPr="00D868AB">
              <w:rPr>
                <w:rFonts w:cs="Arial"/>
                <w:color w:val="000000"/>
                <w:sz w:val="20"/>
                <w:szCs w:val="20"/>
              </w:rPr>
              <w:t>65,536,500</w:t>
            </w:r>
          </w:p>
        </w:tc>
      </w:tr>
      <w:tr w:rsidR="00D868AB" w:rsidRPr="00D868AB" w14:paraId="239ED0CB"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E252C" w14:textId="77777777" w:rsidR="00D868AB" w:rsidRPr="00D868AB" w:rsidRDefault="00D868AB" w:rsidP="00D868AB">
            <w:pPr>
              <w:ind w:left="567" w:hanging="567"/>
              <w:rPr>
                <w:rFonts w:cs="Arial"/>
                <w:sz w:val="20"/>
                <w:szCs w:val="20"/>
                <w:lang w:val="es-ES"/>
              </w:rPr>
            </w:pPr>
            <w:r w:rsidRPr="00D868AB">
              <w:rPr>
                <w:rFonts w:cs="Arial"/>
                <w:sz w:val="20"/>
                <w:szCs w:val="20"/>
                <w:lang w:val="es-ES"/>
              </w:rPr>
              <w:t>2.4.2 Cultura.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974DF14" w14:textId="77777777" w:rsidR="00D868AB" w:rsidRPr="00D868AB" w:rsidRDefault="00D868AB" w:rsidP="00D868AB">
            <w:pPr>
              <w:jc w:val="right"/>
              <w:rPr>
                <w:rFonts w:cs="Arial"/>
                <w:sz w:val="20"/>
                <w:szCs w:val="20"/>
                <w:lang w:val="es-ES"/>
              </w:rPr>
            </w:pPr>
            <w:r w:rsidRPr="00D868AB">
              <w:rPr>
                <w:rFonts w:cs="Arial"/>
                <w:color w:val="000000"/>
                <w:sz w:val="20"/>
                <w:szCs w:val="20"/>
              </w:rPr>
              <w:t>123,466,919</w:t>
            </w:r>
          </w:p>
        </w:tc>
      </w:tr>
      <w:tr w:rsidR="00D868AB" w:rsidRPr="00D868AB" w14:paraId="607A5182"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BCBD03" w14:textId="77777777" w:rsidR="00D868AB" w:rsidRPr="00D868AB" w:rsidRDefault="00D868AB" w:rsidP="00D868AB">
            <w:pPr>
              <w:ind w:left="567" w:hanging="567"/>
              <w:rPr>
                <w:rFonts w:cs="Arial"/>
                <w:sz w:val="20"/>
                <w:szCs w:val="20"/>
                <w:lang w:val="es-ES"/>
              </w:rPr>
            </w:pPr>
            <w:r w:rsidRPr="00D868AB">
              <w:rPr>
                <w:rFonts w:cs="Arial"/>
                <w:sz w:val="20"/>
                <w:szCs w:val="20"/>
                <w:lang w:val="es-ES"/>
              </w:rPr>
              <w:t>2.4.3 Radio, Televisión y Editoriales.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9ABD795" w14:textId="77777777" w:rsidR="00D868AB" w:rsidRPr="00D868AB" w:rsidRDefault="00D868AB" w:rsidP="00D868AB">
            <w:pPr>
              <w:jc w:val="right"/>
              <w:rPr>
                <w:rFonts w:cs="Arial"/>
                <w:sz w:val="20"/>
                <w:szCs w:val="20"/>
                <w:lang w:val="es-ES"/>
              </w:rPr>
            </w:pPr>
            <w:r w:rsidRPr="00D868AB">
              <w:rPr>
                <w:rFonts w:cs="Arial"/>
                <w:color w:val="000000"/>
                <w:sz w:val="20"/>
                <w:szCs w:val="20"/>
              </w:rPr>
              <w:t>23,748,507</w:t>
            </w:r>
          </w:p>
        </w:tc>
      </w:tr>
      <w:tr w:rsidR="00D868AB" w:rsidRPr="00D868AB" w14:paraId="7DF61F8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5D506" w14:textId="77777777" w:rsidR="00D868AB" w:rsidRPr="00D868AB" w:rsidRDefault="00D868AB" w:rsidP="00D868AB">
            <w:pPr>
              <w:ind w:left="567" w:hanging="567"/>
              <w:rPr>
                <w:rFonts w:cs="Arial"/>
                <w:sz w:val="20"/>
                <w:szCs w:val="20"/>
                <w:lang w:val="es-ES"/>
              </w:rPr>
            </w:pPr>
            <w:r w:rsidRPr="00D868AB">
              <w:rPr>
                <w:rFonts w:cs="Arial"/>
                <w:sz w:val="20"/>
                <w:szCs w:val="20"/>
                <w:lang w:val="es-ES"/>
              </w:rPr>
              <w:t>2.4.4 Asuntos Religiosos y Otras Manifestaciones Sociales.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21A1721"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4B2619F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5913B" w14:textId="77777777" w:rsidR="00D868AB" w:rsidRPr="00D868AB" w:rsidRDefault="00D868AB" w:rsidP="00D868AB">
            <w:pPr>
              <w:rPr>
                <w:rFonts w:cs="Arial"/>
                <w:b/>
                <w:sz w:val="20"/>
                <w:szCs w:val="20"/>
                <w:lang w:val="es-ES"/>
              </w:rPr>
            </w:pPr>
            <w:r w:rsidRPr="00D868AB">
              <w:rPr>
                <w:rFonts w:cs="Arial"/>
                <w:b/>
                <w:sz w:val="20"/>
                <w:szCs w:val="20"/>
                <w:lang w:val="es-ES"/>
              </w:rPr>
              <w:t>2.5.  EDUCACIÓN.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A416E02"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8,157,847,663</w:t>
            </w:r>
          </w:p>
        </w:tc>
      </w:tr>
      <w:tr w:rsidR="00D868AB" w:rsidRPr="00D868AB" w14:paraId="78511B55"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E1CE1" w14:textId="77777777" w:rsidR="00D868AB" w:rsidRPr="00D868AB" w:rsidRDefault="00D868AB" w:rsidP="00D868AB">
            <w:pPr>
              <w:ind w:left="567" w:hanging="567"/>
              <w:rPr>
                <w:rFonts w:cs="Arial"/>
                <w:sz w:val="20"/>
                <w:szCs w:val="20"/>
                <w:lang w:val="es-ES"/>
              </w:rPr>
            </w:pPr>
            <w:r w:rsidRPr="00D868AB">
              <w:rPr>
                <w:rFonts w:cs="Arial"/>
                <w:sz w:val="20"/>
                <w:szCs w:val="20"/>
                <w:lang w:val="es-ES"/>
              </w:rPr>
              <w:t>2.5.1 Educación Básica.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B668D8D" w14:textId="77777777" w:rsidR="00D868AB" w:rsidRPr="00D868AB" w:rsidRDefault="00D868AB" w:rsidP="00D868AB">
            <w:pPr>
              <w:jc w:val="right"/>
              <w:rPr>
                <w:rFonts w:cs="Arial"/>
                <w:sz w:val="20"/>
                <w:szCs w:val="20"/>
                <w:lang w:val="es-ES"/>
              </w:rPr>
            </w:pPr>
            <w:r w:rsidRPr="00D868AB">
              <w:rPr>
                <w:rFonts w:cs="Arial"/>
                <w:color w:val="000000"/>
                <w:sz w:val="20"/>
                <w:szCs w:val="20"/>
              </w:rPr>
              <w:t>4,867,905,174</w:t>
            </w:r>
          </w:p>
        </w:tc>
      </w:tr>
      <w:tr w:rsidR="00D868AB" w:rsidRPr="00D868AB" w14:paraId="09405D0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28629" w14:textId="77777777" w:rsidR="00D868AB" w:rsidRPr="00D868AB" w:rsidRDefault="00D868AB" w:rsidP="00D868AB">
            <w:pPr>
              <w:ind w:left="567" w:hanging="567"/>
              <w:rPr>
                <w:rFonts w:cs="Arial"/>
                <w:sz w:val="20"/>
                <w:szCs w:val="20"/>
                <w:lang w:val="es-ES"/>
              </w:rPr>
            </w:pPr>
            <w:r w:rsidRPr="00D868AB">
              <w:rPr>
                <w:rFonts w:cs="Arial"/>
                <w:sz w:val="20"/>
                <w:szCs w:val="20"/>
                <w:lang w:val="es-ES"/>
              </w:rPr>
              <w:t>2.5.2 Educación Media Superior.</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231BD85" w14:textId="77777777" w:rsidR="00D868AB" w:rsidRPr="00D868AB" w:rsidRDefault="00D868AB" w:rsidP="00D868AB">
            <w:pPr>
              <w:jc w:val="right"/>
              <w:rPr>
                <w:rFonts w:cs="Arial"/>
                <w:sz w:val="20"/>
                <w:szCs w:val="20"/>
                <w:lang w:val="es-ES"/>
              </w:rPr>
            </w:pPr>
            <w:r w:rsidRPr="00D868AB">
              <w:rPr>
                <w:rFonts w:cs="Arial"/>
                <w:color w:val="000000"/>
                <w:sz w:val="20"/>
                <w:szCs w:val="20"/>
              </w:rPr>
              <w:t>274,235,796</w:t>
            </w:r>
          </w:p>
        </w:tc>
      </w:tr>
      <w:tr w:rsidR="00D868AB" w:rsidRPr="00D868AB" w14:paraId="099E6AD7"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3C9FFF" w14:textId="77777777" w:rsidR="00D868AB" w:rsidRPr="00D868AB" w:rsidRDefault="00D868AB" w:rsidP="00D868AB">
            <w:pPr>
              <w:ind w:left="567" w:hanging="567"/>
              <w:rPr>
                <w:rFonts w:cs="Arial"/>
                <w:sz w:val="20"/>
                <w:szCs w:val="20"/>
                <w:lang w:val="es-ES"/>
              </w:rPr>
            </w:pPr>
            <w:r w:rsidRPr="00D868AB">
              <w:rPr>
                <w:rFonts w:cs="Arial"/>
                <w:sz w:val="20"/>
                <w:szCs w:val="20"/>
                <w:lang w:val="es-ES"/>
              </w:rPr>
              <w:t>2.5.3 Educación Superior.</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1D2A8B2" w14:textId="77777777" w:rsidR="00D868AB" w:rsidRPr="00D868AB" w:rsidRDefault="00D868AB" w:rsidP="00D868AB">
            <w:pPr>
              <w:jc w:val="right"/>
              <w:rPr>
                <w:rFonts w:cs="Arial"/>
                <w:sz w:val="20"/>
                <w:szCs w:val="20"/>
                <w:lang w:val="es-ES"/>
              </w:rPr>
            </w:pPr>
            <w:r w:rsidRPr="00D868AB">
              <w:rPr>
                <w:rFonts w:cs="Arial"/>
                <w:color w:val="000000"/>
                <w:sz w:val="20"/>
                <w:szCs w:val="20"/>
              </w:rPr>
              <w:t>2,112,145,886</w:t>
            </w:r>
          </w:p>
        </w:tc>
      </w:tr>
      <w:tr w:rsidR="00D868AB" w:rsidRPr="00D868AB" w14:paraId="477AC7E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57A19" w14:textId="77777777" w:rsidR="00D868AB" w:rsidRPr="00D868AB" w:rsidRDefault="00D868AB" w:rsidP="00D868AB">
            <w:pPr>
              <w:ind w:left="567" w:hanging="567"/>
              <w:rPr>
                <w:rFonts w:cs="Arial"/>
                <w:sz w:val="20"/>
                <w:szCs w:val="20"/>
                <w:lang w:val="es-ES"/>
              </w:rPr>
            </w:pPr>
            <w:r w:rsidRPr="00D868AB">
              <w:rPr>
                <w:rFonts w:cs="Arial"/>
                <w:sz w:val="20"/>
                <w:szCs w:val="20"/>
                <w:lang w:val="es-ES"/>
              </w:rPr>
              <w:t>2.5.4 Posgrado.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ED9E033" w14:textId="77777777" w:rsidR="00D868AB" w:rsidRPr="00D868AB" w:rsidRDefault="00D868AB" w:rsidP="00D868AB">
            <w:pPr>
              <w:jc w:val="right"/>
              <w:rPr>
                <w:rFonts w:cs="Arial"/>
                <w:sz w:val="20"/>
                <w:szCs w:val="20"/>
                <w:lang w:val="es-ES"/>
              </w:rPr>
            </w:pPr>
            <w:r w:rsidRPr="00D868AB">
              <w:rPr>
                <w:rFonts w:cs="Arial"/>
                <w:color w:val="000000"/>
                <w:sz w:val="20"/>
                <w:szCs w:val="20"/>
              </w:rPr>
              <w:t>458,928,323</w:t>
            </w:r>
          </w:p>
        </w:tc>
      </w:tr>
      <w:tr w:rsidR="00D868AB" w:rsidRPr="00D868AB" w14:paraId="15DBF9C4"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4A484" w14:textId="77777777" w:rsidR="00D868AB" w:rsidRPr="00D868AB" w:rsidRDefault="00D868AB" w:rsidP="00D868AB">
            <w:pPr>
              <w:ind w:left="567" w:hanging="567"/>
              <w:rPr>
                <w:rFonts w:cs="Arial"/>
                <w:sz w:val="20"/>
                <w:szCs w:val="20"/>
                <w:lang w:val="es-ES"/>
              </w:rPr>
            </w:pPr>
            <w:r w:rsidRPr="00D868AB">
              <w:rPr>
                <w:rFonts w:cs="Arial"/>
                <w:sz w:val="20"/>
                <w:szCs w:val="20"/>
                <w:lang w:val="es-ES"/>
              </w:rPr>
              <w:t>2.5.5 Educación para Adultos.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638387D" w14:textId="77777777" w:rsidR="00D868AB" w:rsidRPr="00D868AB" w:rsidRDefault="00D868AB" w:rsidP="00D868AB">
            <w:pPr>
              <w:jc w:val="right"/>
              <w:rPr>
                <w:rFonts w:cs="Arial"/>
                <w:sz w:val="20"/>
                <w:szCs w:val="20"/>
                <w:lang w:val="es-ES"/>
              </w:rPr>
            </w:pPr>
            <w:r w:rsidRPr="00D868AB">
              <w:rPr>
                <w:rFonts w:cs="Arial"/>
                <w:color w:val="000000"/>
                <w:sz w:val="20"/>
                <w:szCs w:val="20"/>
              </w:rPr>
              <w:t>388,552,916</w:t>
            </w:r>
          </w:p>
        </w:tc>
      </w:tr>
      <w:tr w:rsidR="00D868AB" w:rsidRPr="00D868AB" w14:paraId="475B2FB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098C53" w14:textId="77777777" w:rsidR="00D868AB" w:rsidRPr="00D868AB" w:rsidRDefault="00D868AB" w:rsidP="00D868AB">
            <w:pPr>
              <w:ind w:left="567" w:hanging="567"/>
              <w:rPr>
                <w:rFonts w:cs="Arial"/>
                <w:sz w:val="20"/>
                <w:szCs w:val="20"/>
                <w:lang w:val="es-ES"/>
              </w:rPr>
            </w:pPr>
            <w:r w:rsidRPr="00D868AB">
              <w:rPr>
                <w:rFonts w:cs="Arial"/>
                <w:sz w:val="20"/>
                <w:szCs w:val="20"/>
                <w:lang w:val="es-ES"/>
              </w:rPr>
              <w:t>2.5.6 Otros Servicios Educativos y Actividades Inherentes.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05927DE" w14:textId="77777777" w:rsidR="00D868AB" w:rsidRPr="00D868AB" w:rsidRDefault="00D868AB" w:rsidP="00D868AB">
            <w:pPr>
              <w:jc w:val="right"/>
              <w:rPr>
                <w:rFonts w:cs="Arial"/>
                <w:sz w:val="20"/>
                <w:szCs w:val="20"/>
                <w:lang w:val="es-ES"/>
              </w:rPr>
            </w:pPr>
            <w:r w:rsidRPr="00D868AB">
              <w:rPr>
                <w:rFonts w:cs="Arial"/>
                <w:color w:val="000000"/>
                <w:sz w:val="20"/>
                <w:szCs w:val="20"/>
              </w:rPr>
              <w:t>56,079,568</w:t>
            </w:r>
          </w:p>
        </w:tc>
      </w:tr>
      <w:tr w:rsidR="00D868AB" w:rsidRPr="00D868AB" w14:paraId="0BDA8D4B"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23E93" w14:textId="77777777" w:rsidR="00D868AB" w:rsidRPr="00D868AB" w:rsidRDefault="00D868AB" w:rsidP="00D868AB">
            <w:pPr>
              <w:rPr>
                <w:rFonts w:cs="Arial"/>
                <w:b/>
                <w:sz w:val="20"/>
                <w:szCs w:val="20"/>
                <w:lang w:val="es-ES"/>
              </w:rPr>
            </w:pPr>
            <w:r w:rsidRPr="00D868AB">
              <w:rPr>
                <w:rFonts w:cs="Arial"/>
                <w:b/>
                <w:sz w:val="20"/>
                <w:szCs w:val="20"/>
                <w:lang w:val="es-ES"/>
              </w:rPr>
              <w:t>2.6.  PROTECCIÓN SOCIAL.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8673EA1"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1,874,731,114</w:t>
            </w:r>
          </w:p>
        </w:tc>
      </w:tr>
      <w:tr w:rsidR="00D868AB" w:rsidRPr="00D868AB" w14:paraId="35819052"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6B31D0" w14:textId="77777777" w:rsidR="00D868AB" w:rsidRPr="00D868AB" w:rsidRDefault="00D868AB" w:rsidP="00D868AB">
            <w:pPr>
              <w:ind w:left="567" w:hanging="567"/>
              <w:rPr>
                <w:rFonts w:cs="Arial"/>
                <w:sz w:val="20"/>
                <w:szCs w:val="20"/>
                <w:lang w:val="es-ES"/>
              </w:rPr>
            </w:pPr>
            <w:r w:rsidRPr="00D868AB">
              <w:rPr>
                <w:rFonts w:cs="Arial"/>
                <w:sz w:val="20"/>
                <w:szCs w:val="20"/>
                <w:lang w:val="es-ES"/>
              </w:rPr>
              <w:lastRenderedPageBreak/>
              <w:t>2.6.1 Enfermedad e Incapacidad.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D62E1E9"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2517AB2C"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A6A1D" w14:textId="77777777" w:rsidR="00D868AB" w:rsidRPr="00D868AB" w:rsidRDefault="00D868AB" w:rsidP="00D868AB">
            <w:pPr>
              <w:ind w:left="567" w:hanging="567"/>
              <w:rPr>
                <w:rFonts w:cs="Arial"/>
                <w:sz w:val="20"/>
                <w:szCs w:val="20"/>
                <w:lang w:val="es-ES"/>
              </w:rPr>
            </w:pPr>
            <w:r w:rsidRPr="00D868AB">
              <w:rPr>
                <w:rFonts w:cs="Arial"/>
                <w:sz w:val="20"/>
                <w:szCs w:val="20"/>
                <w:lang w:val="es-ES"/>
              </w:rPr>
              <w:t>2.6.2 Edad Avanzada.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715A996" w14:textId="77777777" w:rsidR="00D868AB" w:rsidRPr="00D868AB" w:rsidRDefault="00D868AB" w:rsidP="00D868AB">
            <w:pPr>
              <w:jc w:val="right"/>
              <w:rPr>
                <w:rFonts w:cs="Arial"/>
                <w:sz w:val="20"/>
                <w:szCs w:val="20"/>
                <w:lang w:val="es-ES"/>
              </w:rPr>
            </w:pPr>
            <w:r w:rsidRPr="00D868AB">
              <w:rPr>
                <w:rFonts w:cs="Arial"/>
                <w:color w:val="000000"/>
                <w:sz w:val="20"/>
                <w:szCs w:val="20"/>
              </w:rPr>
              <w:t>1,388,313,949</w:t>
            </w:r>
          </w:p>
        </w:tc>
      </w:tr>
      <w:tr w:rsidR="00D868AB" w:rsidRPr="00D868AB" w14:paraId="66260BEF" w14:textId="77777777" w:rsidTr="00A755A7">
        <w:trPr>
          <w:trHeight w:val="47"/>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0E7BFF" w14:textId="77777777" w:rsidR="00D868AB" w:rsidRPr="00D868AB" w:rsidRDefault="00D868AB" w:rsidP="00D868AB">
            <w:pPr>
              <w:ind w:left="567" w:hanging="567"/>
              <w:rPr>
                <w:rFonts w:cs="Arial"/>
                <w:sz w:val="20"/>
                <w:szCs w:val="20"/>
                <w:lang w:val="es-ES"/>
              </w:rPr>
            </w:pPr>
            <w:r w:rsidRPr="00D868AB">
              <w:rPr>
                <w:rFonts w:cs="Arial"/>
                <w:sz w:val="20"/>
                <w:szCs w:val="20"/>
                <w:lang w:val="es-ES"/>
              </w:rPr>
              <w:t>2.6.3 Familia e Hijos.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EB7A446" w14:textId="77777777" w:rsidR="00D868AB" w:rsidRPr="00D868AB" w:rsidRDefault="00D868AB" w:rsidP="00D868AB">
            <w:pPr>
              <w:jc w:val="right"/>
              <w:rPr>
                <w:rFonts w:cs="Arial"/>
                <w:sz w:val="20"/>
                <w:szCs w:val="20"/>
                <w:lang w:val="es-ES"/>
              </w:rPr>
            </w:pPr>
            <w:r w:rsidRPr="00D868AB">
              <w:rPr>
                <w:rFonts w:cs="Arial"/>
                <w:color w:val="000000"/>
                <w:sz w:val="20"/>
                <w:szCs w:val="20"/>
              </w:rPr>
              <w:t>15,339,315</w:t>
            </w:r>
          </w:p>
        </w:tc>
      </w:tr>
      <w:tr w:rsidR="00D868AB" w:rsidRPr="00D868AB" w14:paraId="26D6BE3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A4CF6D" w14:textId="77777777" w:rsidR="00D868AB" w:rsidRPr="00D868AB" w:rsidRDefault="00D868AB" w:rsidP="00D868AB">
            <w:pPr>
              <w:ind w:left="567" w:hanging="567"/>
              <w:rPr>
                <w:rFonts w:cs="Arial"/>
                <w:sz w:val="20"/>
                <w:szCs w:val="20"/>
                <w:lang w:val="es-ES"/>
              </w:rPr>
            </w:pPr>
            <w:r w:rsidRPr="00D868AB">
              <w:rPr>
                <w:rFonts w:cs="Arial"/>
                <w:sz w:val="20"/>
                <w:szCs w:val="20"/>
                <w:lang w:val="es-ES"/>
              </w:rPr>
              <w:t>2.6.4 Desempleo.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9B66F40"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1345983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D421E" w14:textId="77777777" w:rsidR="00D868AB" w:rsidRPr="00D868AB" w:rsidRDefault="00D868AB" w:rsidP="00D868AB">
            <w:pPr>
              <w:ind w:left="567" w:hanging="567"/>
              <w:rPr>
                <w:rFonts w:cs="Arial"/>
                <w:sz w:val="20"/>
                <w:szCs w:val="20"/>
                <w:lang w:val="es-ES"/>
              </w:rPr>
            </w:pPr>
            <w:r w:rsidRPr="00D868AB">
              <w:rPr>
                <w:rFonts w:cs="Arial"/>
                <w:sz w:val="20"/>
                <w:szCs w:val="20"/>
                <w:lang w:val="es-ES"/>
              </w:rPr>
              <w:t>2.6.5 Alimentación y Nutrición.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9EE3A77"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29BF5272"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E07B1" w14:textId="77777777" w:rsidR="00D868AB" w:rsidRPr="00D868AB" w:rsidRDefault="00D868AB" w:rsidP="00D868AB">
            <w:pPr>
              <w:ind w:left="567" w:hanging="567"/>
              <w:rPr>
                <w:rFonts w:cs="Arial"/>
                <w:sz w:val="20"/>
                <w:szCs w:val="20"/>
                <w:lang w:val="es-ES"/>
              </w:rPr>
            </w:pPr>
            <w:r w:rsidRPr="00D868AB">
              <w:rPr>
                <w:rFonts w:cs="Arial"/>
                <w:sz w:val="20"/>
                <w:szCs w:val="20"/>
                <w:lang w:val="es-ES"/>
              </w:rPr>
              <w:t>2.6.6 Apoyo Social para la Vivienda.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9A9FF99"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59AE6ED3"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CAAC4B" w14:textId="77777777" w:rsidR="00D868AB" w:rsidRPr="00D868AB" w:rsidRDefault="00D868AB" w:rsidP="00D868AB">
            <w:pPr>
              <w:ind w:left="567" w:hanging="567"/>
              <w:rPr>
                <w:rFonts w:cs="Arial"/>
                <w:sz w:val="20"/>
                <w:szCs w:val="20"/>
                <w:lang w:val="es-ES"/>
              </w:rPr>
            </w:pPr>
            <w:r w:rsidRPr="00D868AB">
              <w:rPr>
                <w:rFonts w:cs="Arial"/>
                <w:sz w:val="20"/>
                <w:szCs w:val="20"/>
                <w:lang w:val="es-ES"/>
              </w:rPr>
              <w:t>2.6.7 Indígenas.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9407AA9"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4627FB5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E6ECB" w14:textId="77777777" w:rsidR="00D868AB" w:rsidRPr="00D868AB" w:rsidRDefault="00D868AB" w:rsidP="00D868AB">
            <w:pPr>
              <w:ind w:left="567" w:hanging="567"/>
              <w:rPr>
                <w:rFonts w:cs="Arial"/>
                <w:sz w:val="20"/>
                <w:szCs w:val="20"/>
                <w:lang w:val="es-ES"/>
              </w:rPr>
            </w:pPr>
            <w:r w:rsidRPr="00D868AB">
              <w:rPr>
                <w:rFonts w:cs="Arial"/>
                <w:sz w:val="20"/>
                <w:szCs w:val="20"/>
                <w:lang w:val="es-ES"/>
              </w:rPr>
              <w:t>2.6.8 Otros Grupos Vulnerables.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74D28ED" w14:textId="77777777" w:rsidR="00D868AB" w:rsidRPr="00D868AB" w:rsidRDefault="00D868AB" w:rsidP="00D868AB">
            <w:pPr>
              <w:jc w:val="right"/>
              <w:rPr>
                <w:rFonts w:cs="Arial"/>
                <w:sz w:val="20"/>
                <w:szCs w:val="20"/>
                <w:lang w:val="es-ES"/>
              </w:rPr>
            </w:pPr>
            <w:r w:rsidRPr="00D868AB">
              <w:rPr>
                <w:rFonts w:cs="Arial"/>
                <w:color w:val="000000"/>
                <w:sz w:val="20"/>
                <w:szCs w:val="20"/>
              </w:rPr>
              <w:t>458,490,852</w:t>
            </w:r>
          </w:p>
        </w:tc>
      </w:tr>
      <w:tr w:rsidR="00D868AB" w:rsidRPr="00D868AB" w14:paraId="54A9D347"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E314E0" w14:textId="77777777" w:rsidR="00D868AB" w:rsidRPr="00D868AB" w:rsidRDefault="00D868AB" w:rsidP="00D868AB">
            <w:pPr>
              <w:ind w:left="567" w:hanging="567"/>
              <w:rPr>
                <w:rFonts w:cs="Arial"/>
                <w:sz w:val="20"/>
                <w:szCs w:val="20"/>
                <w:lang w:val="es-ES"/>
              </w:rPr>
            </w:pPr>
            <w:r w:rsidRPr="00D868AB">
              <w:rPr>
                <w:rFonts w:cs="Arial"/>
                <w:sz w:val="20"/>
                <w:szCs w:val="20"/>
                <w:lang w:val="es-ES"/>
              </w:rPr>
              <w:t>2.6.9 Otros de Seguridad Social y Asistencia Social.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0A4930A" w14:textId="77777777" w:rsidR="00D868AB" w:rsidRPr="00D868AB" w:rsidRDefault="00D868AB" w:rsidP="00D868AB">
            <w:pPr>
              <w:jc w:val="right"/>
              <w:rPr>
                <w:rFonts w:cs="Arial"/>
                <w:sz w:val="20"/>
                <w:szCs w:val="20"/>
                <w:lang w:val="es-ES"/>
              </w:rPr>
            </w:pPr>
            <w:r w:rsidRPr="00D868AB">
              <w:rPr>
                <w:rFonts w:cs="Arial"/>
                <w:color w:val="000000"/>
                <w:sz w:val="20"/>
                <w:szCs w:val="20"/>
              </w:rPr>
              <w:t>12,586,998</w:t>
            </w:r>
          </w:p>
        </w:tc>
      </w:tr>
      <w:tr w:rsidR="00D868AB" w:rsidRPr="00D868AB" w14:paraId="276A28DC"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B332C" w14:textId="77777777" w:rsidR="00D868AB" w:rsidRPr="00D868AB" w:rsidRDefault="00D868AB" w:rsidP="00D868AB">
            <w:pPr>
              <w:rPr>
                <w:rFonts w:cs="Arial"/>
                <w:b/>
                <w:sz w:val="20"/>
                <w:szCs w:val="20"/>
                <w:lang w:val="es-ES"/>
              </w:rPr>
            </w:pPr>
            <w:r w:rsidRPr="00D868AB">
              <w:rPr>
                <w:rFonts w:cs="Arial"/>
                <w:b/>
                <w:sz w:val="20"/>
                <w:szCs w:val="20"/>
                <w:lang w:val="es-ES"/>
              </w:rPr>
              <w:t>2.7. OTROS ASUNTOS SOCIALES.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886D36F"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469,226,450</w:t>
            </w:r>
          </w:p>
        </w:tc>
      </w:tr>
      <w:tr w:rsidR="00D868AB" w:rsidRPr="00D868AB" w14:paraId="74FE8AD4"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E4A1A" w14:textId="77777777" w:rsidR="00D868AB" w:rsidRPr="00D868AB" w:rsidRDefault="00D868AB" w:rsidP="00D868AB">
            <w:pPr>
              <w:rPr>
                <w:rFonts w:cs="Arial"/>
                <w:sz w:val="20"/>
                <w:szCs w:val="20"/>
                <w:lang w:val="es-ES"/>
              </w:rPr>
            </w:pPr>
            <w:r w:rsidRPr="00D868AB">
              <w:rPr>
                <w:rFonts w:cs="Arial"/>
                <w:sz w:val="20"/>
                <w:szCs w:val="20"/>
                <w:lang w:val="es-ES"/>
              </w:rPr>
              <w:t>2.7.1 Otros Asuntos Sociales.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F5D9A8A" w14:textId="77777777" w:rsidR="00D868AB" w:rsidRPr="00D868AB" w:rsidRDefault="00D868AB" w:rsidP="00D868AB">
            <w:pPr>
              <w:jc w:val="right"/>
              <w:rPr>
                <w:rFonts w:cs="Arial"/>
                <w:sz w:val="20"/>
                <w:szCs w:val="20"/>
                <w:lang w:val="es-ES"/>
              </w:rPr>
            </w:pPr>
            <w:r w:rsidRPr="00D868AB">
              <w:rPr>
                <w:rFonts w:cs="Arial"/>
                <w:color w:val="000000"/>
                <w:sz w:val="20"/>
                <w:szCs w:val="20"/>
              </w:rPr>
              <w:t>469,226,450</w:t>
            </w:r>
          </w:p>
        </w:tc>
      </w:tr>
      <w:tr w:rsidR="00D868AB" w:rsidRPr="00D868AB" w14:paraId="08C082F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0DA07" w14:textId="77777777" w:rsidR="00D868AB" w:rsidRPr="00D868AB" w:rsidRDefault="00D868AB" w:rsidP="00D868AB">
            <w:pPr>
              <w:rPr>
                <w:rFonts w:cs="Arial"/>
                <w:b/>
                <w:sz w:val="20"/>
                <w:szCs w:val="20"/>
                <w:lang w:val="es-ES"/>
              </w:rPr>
            </w:pPr>
            <w:r w:rsidRPr="00D868AB">
              <w:rPr>
                <w:rFonts w:cs="Arial"/>
                <w:b/>
                <w:sz w:val="20"/>
                <w:szCs w:val="20"/>
                <w:lang w:val="es-ES"/>
              </w:rPr>
              <w:t>3. DESARROLLO ECONÓMICO.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B5937DA"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346,850,941</w:t>
            </w:r>
          </w:p>
        </w:tc>
      </w:tr>
      <w:tr w:rsidR="00D868AB" w:rsidRPr="00D868AB" w14:paraId="5A01FBA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CC5E5" w14:textId="77777777" w:rsidR="00D868AB" w:rsidRPr="00D868AB" w:rsidRDefault="00D868AB" w:rsidP="00D868AB">
            <w:pPr>
              <w:ind w:left="567" w:hanging="567"/>
              <w:rPr>
                <w:rFonts w:cs="Arial"/>
                <w:b/>
                <w:sz w:val="20"/>
                <w:szCs w:val="20"/>
                <w:lang w:val="es-ES"/>
              </w:rPr>
            </w:pPr>
            <w:r w:rsidRPr="00D868AB">
              <w:rPr>
                <w:rFonts w:cs="Arial"/>
                <w:b/>
                <w:sz w:val="20"/>
                <w:szCs w:val="20"/>
                <w:lang w:val="es-ES"/>
              </w:rPr>
              <w:t>3.1. ASUNTOS ECONÓMICOS, COMERCIALES Y LABORALES EN GENERAL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3F0DAAD"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180,974,946</w:t>
            </w:r>
          </w:p>
        </w:tc>
      </w:tr>
      <w:tr w:rsidR="00D868AB" w:rsidRPr="00D868AB" w14:paraId="5F7D1F2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14470" w14:textId="77777777" w:rsidR="00D868AB" w:rsidRPr="00D868AB" w:rsidRDefault="00D868AB" w:rsidP="00D868AB">
            <w:pPr>
              <w:ind w:left="567" w:hanging="567"/>
              <w:rPr>
                <w:rFonts w:cs="Arial"/>
                <w:sz w:val="20"/>
                <w:szCs w:val="20"/>
                <w:lang w:val="es-ES"/>
              </w:rPr>
            </w:pPr>
            <w:r w:rsidRPr="00D868AB">
              <w:rPr>
                <w:rFonts w:cs="Arial"/>
                <w:sz w:val="20"/>
                <w:szCs w:val="20"/>
                <w:lang w:val="es-ES"/>
              </w:rPr>
              <w:t>3.1.1 Asuntos Económicos y Comerciales en General.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C4B4AB0" w14:textId="77777777" w:rsidR="00D868AB" w:rsidRPr="00D868AB" w:rsidRDefault="00D868AB" w:rsidP="00D868AB">
            <w:pPr>
              <w:jc w:val="right"/>
              <w:rPr>
                <w:rFonts w:cs="Arial"/>
                <w:sz w:val="20"/>
                <w:szCs w:val="20"/>
                <w:lang w:val="es-ES"/>
              </w:rPr>
            </w:pPr>
            <w:r w:rsidRPr="00D868AB">
              <w:rPr>
                <w:rFonts w:cs="Arial"/>
                <w:color w:val="000000"/>
                <w:sz w:val="20"/>
                <w:szCs w:val="20"/>
              </w:rPr>
              <w:t>134,718,101</w:t>
            </w:r>
          </w:p>
        </w:tc>
      </w:tr>
      <w:tr w:rsidR="00D868AB" w:rsidRPr="00D868AB" w14:paraId="3EC1579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0CD25" w14:textId="77777777" w:rsidR="00D868AB" w:rsidRPr="00D868AB" w:rsidRDefault="00D868AB" w:rsidP="00D868AB">
            <w:pPr>
              <w:ind w:left="567" w:hanging="567"/>
              <w:rPr>
                <w:rFonts w:cs="Arial"/>
                <w:sz w:val="20"/>
                <w:szCs w:val="20"/>
                <w:lang w:val="es-ES"/>
              </w:rPr>
            </w:pPr>
            <w:r w:rsidRPr="00D868AB">
              <w:rPr>
                <w:rFonts w:cs="Arial"/>
                <w:sz w:val="20"/>
                <w:szCs w:val="20"/>
                <w:lang w:val="es-ES"/>
              </w:rPr>
              <w:t>3.1.2 Asuntos Laborales Generales.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B6AE434" w14:textId="77777777" w:rsidR="00D868AB" w:rsidRPr="00D868AB" w:rsidRDefault="00D868AB" w:rsidP="00D868AB">
            <w:pPr>
              <w:jc w:val="right"/>
              <w:rPr>
                <w:rFonts w:cs="Arial"/>
                <w:sz w:val="20"/>
                <w:szCs w:val="20"/>
                <w:lang w:val="es-ES"/>
              </w:rPr>
            </w:pPr>
            <w:r w:rsidRPr="00D868AB">
              <w:rPr>
                <w:rFonts w:cs="Arial"/>
                <w:color w:val="000000"/>
                <w:sz w:val="20"/>
                <w:szCs w:val="20"/>
              </w:rPr>
              <w:t>46,256,845</w:t>
            </w:r>
          </w:p>
        </w:tc>
      </w:tr>
      <w:tr w:rsidR="00D868AB" w:rsidRPr="00D868AB" w14:paraId="4AA535A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4AE8C5" w14:textId="77777777" w:rsidR="00D868AB" w:rsidRPr="00D868AB" w:rsidRDefault="00D868AB" w:rsidP="00D868AB">
            <w:pPr>
              <w:rPr>
                <w:rFonts w:cs="Arial"/>
                <w:b/>
                <w:sz w:val="20"/>
                <w:szCs w:val="20"/>
                <w:lang w:val="es-ES"/>
              </w:rPr>
            </w:pPr>
            <w:r w:rsidRPr="00D868AB">
              <w:rPr>
                <w:rFonts w:cs="Arial"/>
                <w:b/>
                <w:sz w:val="20"/>
                <w:szCs w:val="20"/>
                <w:lang w:val="es-ES"/>
              </w:rPr>
              <w:t>3.2. AGROPECUARIA, SILVICULTURA, PESCA Y CAZA.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6D09306"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101,862,197</w:t>
            </w:r>
          </w:p>
        </w:tc>
      </w:tr>
      <w:tr w:rsidR="00D868AB" w:rsidRPr="00D868AB" w14:paraId="3A22FE3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074345" w14:textId="77777777" w:rsidR="00D868AB" w:rsidRPr="00D868AB" w:rsidRDefault="00D868AB" w:rsidP="00D868AB">
            <w:pPr>
              <w:ind w:left="567" w:hanging="567"/>
              <w:rPr>
                <w:rFonts w:cs="Arial"/>
                <w:sz w:val="20"/>
                <w:szCs w:val="20"/>
                <w:lang w:val="es-ES"/>
              </w:rPr>
            </w:pPr>
            <w:r w:rsidRPr="00D868AB">
              <w:rPr>
                <w:rFonts w:cs="Arial"/>
                <w:sz w:val="20"/>
                <w:szCs w:val="20"/>
                <w:lang w:val="es-ES"/>
              </w:rPr>
              <w:t>3.2.1 Agropecuaria.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4AC897B" w14:textId="77777777" w:rsidR="00D868AB" w:rsidRPr="00D868AB" w:rsidRDefault="00D868AB" w:rsidP="00D868AB">
            <w:pPr>
              <w:jc w:val="right"/>
              <w:rPr>
                <w:rFonts w:cs="Arial"/>
                <w:sz w:val="20"/>
                <w:szCs w:val="20"/>
                <w:lang w:val="es-ES"/>
              </w:rPr>
            </w:pPr>
            <w:r w:rsidRPr="00D868AB">
              <w:rPr>
                <w:rFonts w:cs="Arial"/>
                <w:color w:val="000000"/>
                <w:sz w:val="20"/>
                <w:szCs w:val="20"/>
              </w:rPr>
              <w:t>78,386,996</w:t>
            </w:r>
          </w:p>
        </w:tc>
      </w:tr>
      <w:tr w:rsidR="00D868AB" w:rsidRPr="00D868AB" w14:paraId="280F45E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039BB" w14:textId="77777777" w:rsidR="00D868AB" w:rsidRPr="00D868AB" w:rsidRDefault="00D868AB" w:rsidP="00D868AB">
            <w:pPr>
              <w:ind w:left="567" w:hanging="567"/>
              <w:rPr>
                <w:rFonts w:cs="Arial"/>
                <w:sz w:val="20"/>
                <w:szCs w:val="20"/>
                <w:lang w:val="es-ES"/>
              </w:rPr>
            </w:pPr>
            <w:r w:rsidRPr="00D868AB">
              <w:rPr>
                <w:rFonts w:cs="Arial"/>
                <w:sz w:val="20"/>
                <w:szCs w:val="20"/>
                <w:lang w:val="es-ES"/>
              </w:rPr>
              <w:t>3.2.2 Silvicultura.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133B764"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119D6B1A"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A83B0" w14:textId="77777777" w:rsidR="00D868AB" w:rsidRPr="00D868AB" w:rsidRDefault="00D868AB" w:rsidP="00D868AB">
            <w:pPr>
              <w:ind w:left="567" w:hanging="567"/>
              <w:rPr>
                <w:rFonts w:cs="Arial"/>
                <w:sz w:val="20"/>
                <w:szCs w:val="20"/>
                <w:lang w:val="es-ES"/>
              </w:rPr>
            </w:pPr>
            <w:r w:rsidRPr="00D868AB">
              <w:rPr>
                <w:rFonts w:cs="Arial"/>
                <w:sz w:val="20"/>
                <w:szCs w:val="20"/>
                <w:lang w:val="es-ES"/>
              </w:rPr>
              <w:t>3.2.3 Acuacultura, Pesca y Caza.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19AFB09" w14:textId="77777777" w:rsidR="00D868AB" w:rsidRPr="00D868AB" w:rsidRDefault="00D868AB" w:rsidP="00D868AB">
            <w:pPr>
              <w:jc w:val="right"/>
              <w:rPr>
                <w:rFonts w:cs="Arial"/>
                <w:sz w:val="20"/>
                <w:szCs w:val="20"/>
                <w:lang w:val="es-ES"/>
              </w:rPr>
            </w:pPr>
            <w:r w:rsidRPr="00D868AB">
              <w:rPr>
                <w:rFonts w:cs="Arial"/>
                <w:color w:val="000000"/>
                <w:sz w:val="20"/>
                <w:szCs w:val="20"/>
              </w:rPr>
              <w:t>1,500,000</w:t>
            </w:r>
          </w:p>
        </w:tc>
      </w:tr>
      <w:tr w:rsidR="00D868AB" w:rsidRPr="00D868AB" w14:paraId="5BBF9E7A"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228E53" w14:textId="77777777" w:rsidR="00D868AB" w:rsidRPr="00D868AB" w:rsidRDefault="00D868AB" w:rsidP="00D868AB">
            <w:pPr>
              <w:ind w:left="567" w:hanging="567"/>
              <w:rPr>
                <w:rFonts w:cs="Arial"/>
                <w:sz w:val="20"/>
                <w:szCs w:val="20"/>
                <w:lang w:val="es-ES"/>
              </w:rPr>
            </w:pPr>
            <w:r w:rsidRPr="00D868AB">
              <w:rPr>
                <w:rFonts w:cs="Arial"/>
                <w:sz w:val="20"/>
                <w:szCs w:val="20"/>
                <w:lang w:val="es-ES"/>
              </w:rPr>
              <w:t>3.2.4 Agroindustrial.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BBAE3BD"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3E2E6F84"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F9FD6" w14:textId="77777777" w:rsidR="00D868AB" w:rsidRPr="00D868AB" w:rsidRDefault="00D868AB" w:rsidP="00D868AB">
            <w:pPr>
              <w:ind w:left="567" w:hanging="567"/>
              <w:rPr>
                <w:rFonts w:cs="Arial"/>
                <w:sz w:val="20"/>
                <w:szCs w:val="20"/>
                <w:lang w:val="es-ES"/>
              </w:rPr>
            </w:pPr>
            <w:r w:rsidRPr="00D868AB">
              <w:rPr>
                <w:rFonts w:cs="Arial"/>
                <w:sz w:val="20"/>
                <w:szCs w:val="20"/>
                <w:lang w:val="es-ES"/>
              </w:rPr>
              <w:t>3.2.5 Hidroagrícola.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B13B5B2" w14:textId="77777777" w:rsidR="00D868AB" w:rsidRPr="00D868AB" w:rsidRDefault="00D868AB" w:rsidP="00D868AB">
            <w:pPr>
              <w:jc w:val="right"/>
              <w:rPr>
                <w:rFonts w:cs="Arial"/>
                <w:sz w:val="20"/>
                <w:szCs w:val="20"/>
                <w:lang w:val="es-ES"/>
              </w:rPr>
            </w:pPr>
            <w:r w:rsidRPr="00D868AB">
              <w:rPr>
                <w:rFonts w:cs="Arial"/>
                <w:color w:val="000000"/>
                <w:sz w:val="20"/>
                <w:szCs w:val="20"/>
              </w:rPr>
              <w:t>21,975,201</w:t>
            </w:r>
          </w:p>
        </w:tc>
      </w:tr>
      <w:tr w:rsidR="00D868AB" w:rsidRPr="00D868AB" w14:paraId="7FBA1F4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8EC8E" w14:textId="77777777" w:rsidR="00D868AB" w:rsidRPr="00D868AB" w:rsidRDefault="00D868AB" w:rsidP="00D868AB">
            <w:pPr>
              <w:ind w:left="567" w:hanging="567"/>
              <w:rPr>
                <w:rFonts w:cs="Arial"/>
                <w:sz w:val="20"/>
                <w:szCs w:val="20"/>
                <w:lang w:val="es-ES"/>
              </w:rPr>
            </w:pPr>
            <w:r w:rsidRPr="00D868AB">
              <w:rPr>
                <w:rFonts w:cs="Arial"/>
                <w:sz w:val="20"/>
                <w:szCs w:val="20"/>
                <w:lang w:val="es-ES"/>
              </w:rPr>
              <w:t>3.2.6 Apoyo Financiero a la Banca y Seguro Agropecuario.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817AFA5"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502AA8F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4F2543" w14:textId="77777777" w:rsidR="00D868AB" w:rsidRPr="00D868AB" w:rsidRDefault="00D868AB" w:rsidP="00D868AB">
            <w:pPr>
              <w:rPr>
                <w:rFonts w:cs="Arial"/>
                <w:b/>
                <w:sz w:val="20"/>
                <w:szCs w:val="20"/>
                <w:lang w:val="es-ES"/>
              </w:rPr>
            </w:pPr>
            <w:r w:rsidRPr="00D868AB">
              <w:rPr>
                <w:rFonts w:cs="Arial"/>
                <w:b/>
                <w:sz w:val="20"/>
                <w:szCs w:val="20"/>
                <w:lang w:val="es-ES"/>
              </w:rPr>
              <w:t>3.3.  COMBUSTIBLES Y ENERGÍA.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1554AFD"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0</w:t>
            </w:r>
          </w:p>
        </w:tc>
      </w:tr>
      <w:tr w:rsidR="00D868AB" w:rsidRPr="00D868AB" w14:paraId="6391F11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122DD" w14:textId="77777777" w:rsidR="00D868AB" w:rsidRPr="00D868AB" w:rsidRDefault="00D868AB" w:rsidP="00D868AB">
            <w:pPr>
              <w:ind w:left="567" w:hanging="567"/>
              <w:rPr>
                <w:rFonts w:cs="Arial"/>
                <w:sz w:val="20"/>
                <w:szCs w:val="20"/>
                <w:lang w:val="es-ES"/>
              </w:rPr>
            </w:pPr>
            <w:r w:rsidRPr="00D868AB">
              <w:rPr>
                <w:rFonts w:cs="Arial"/>
                <w:sz w:val="20"/>
                <w:szCs w:val="20"/>
                <w:lang w:val="es-ES"/>
              </w:rPr>
              <w:t>3.3.1 Carbón y Otros Combustibles Minerales Sólidos.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3C339EC"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6FE57EB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DA0D50" w14:textId="77777777" w:rsidR="00D868AB" w:rsidRPr="00D868AB" w:rsidRDefault="00D868AB" w:rsidP="00D868AB">
            <w:pPr>
              <w:ind w:left="567" w:hanging="567"/>
              <w:rPr>
                <w:rFonts w:cs="Arial"/>
                <w:sz w:val="20"/>
                <w:szCs w:val="20"/>
                <w:lang w:val="es-ES"/>
              </w:rPr>
            </w:pPr>
            <w:r w:rsidRPr="00D868AB">
              <w:rPr>
                <w:rFonts w:cs="Arial"/>
                <w:sz w:val="20"/>
                <w:szCs w:val="20"/>
                <w:lang w:val="es-ES"/>
              </w:rPr>
              <w:t>3.3.2 Petróleo y Gas Natural (Hidrocarburos).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83DA4BA"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4C1C35D5"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AF1CB" w14:textId="77777777" w:rsidR="00D868AB" w:rsidRPr="00D868AB" w:rsidRDefault="00D868AB" w:rsidP="00D868AB">
            <w:pPr>
              <w:ind w:left="567" w:hanging="567"/>
              <w:rPr>
                <w:rFonts w:cs="Arial"/>
                <w:sz w:val="20"/>
                <w:szCs w:val="20"/>
                <w:lang w:val="es-ES"/>
              </w:rPr>
            </w:pPr>
            <w:r w:rsidRPr="00D868AB">
              <w:rPr>
                <w:rFonts w:cs="Arial"/>
                <w:sz w:val="20"/>
                <w:szCs w:val="20"/>
                <w:lang w:val="es-ES"/>
              </w:rPr>
              <w:t>3.3.3 Combustibles Nucleares.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A5AE551"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7606E78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4A0B4F" w14:textId="77777777" w:rsidR="00D868AB" w:rsidRPr="00D868AB" w:rsidRDefault="00D868AB" w:rsidP="00D868AB">
            <w:pPr>
              <w:ind w:left="567" w:hanging="567"/>
              <w:rPr>
                <w:rFonts w:cs="Arial"/>
                <w:sz w:val="20"/>
                <w:szCs w:val="20"/>
                <w:lang w:val="es-ES"/>
              </w:rPr>
            </w:pPr>
            <w:r w:rsidRPr="00D868AB">
              <w:rPr>
                <w:rFonts w:cs="Arial"/>
                <w:sz w:val="20"/>
                <w:szCs w:val="20"/>
                <w:lang w:val="es-ES"/>
              </w:rPr>
              <w:t>3.3.4 Otros Combustibles.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0A0DB39"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4F4CFCA3"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E283A" w14:textId="77777777" w:rsidR="00D868AB" w:rsidRPr="00D868AB" w:rsidRDefault="00D868AB" w:rsidP="00D868AB">
            <w:pPr>
              <w:ind w:left="567" w:hanging="567"/>
              <w:rPr>
                <w:rFonts w:cs="Arial"/>
                <w:sz w:val="20"/>
                <w:szCs w:val="20"/>
                <w:lang w:val="es-ES"/>
              </w:rPr>
            </w:pPr>
            <w:r w:rsidRPr="00D868AB">
              <w:rPr>
                <w:rFonts w:cs="Arial"/>
                <w:sz w:val="20"/>
                <w:szCs w:val="20"/>
                <w:lang w:val="es-ES"/>
              </w:rPr>
              <w:t>3.3.5 Electricidad.</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889F371"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4ED92360"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84C7BD" w14:textId="77777777" w:rsidR="00D868AB" w:rsidRPr="00D868AB" w:rsidRDefault="00D868AB" w:rsidP="00D868AB">
            <w:pPr>
              <w:ind w:left="567" w:hanging="567"/>
              <w:rPr>
                <w:rFonts w:cs="Arial"/>
                <w:sz w:val="20"/>
                <w:szCs w:val="20"/>
                <w:lang w:val="es-ES"/>
              </w:rPr>
            </w:pPr>
            <w:r w:rsidRPr="00D868AB">
              <w:rPr>
                <w:rFonts w:cs="Arial"/>
                <w:sz w:val="20"/>
                <w:szCs w:val="20"/>
                <w:lang w:val="es-ES"/>
              </w:rPr>
              <w:t>3.3.6 Energía no Eléctrica.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BEF854A"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3B842A1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2EFC41" w14:textId="77777777" w:rsidR="00D868AB" w:rsidRPr="00D868AB" w:rsidRDefault="00D868AB" w:rsidP="00D868AB">
            <w:pPr>
              <w:rPr>
                <w:rFonts w:cs="Arial"/>
                <w:b/>
                <w:sz w:val="20"/>
                <w:szCs w:val="20"/>
                <w:lang w:val="es-ES"/>
              </w:rPr>
            </w:pPr>
            <w:r w:rsidRPr="00D868AB">
              <w:rPr>
                <w:rFonts w:cs="Arial"/>
                <w:b/>
                <w:sz w:val="20"/>
                <w:szCs w:val="20"/>
                <w:lang w:val="es-ES"/>
              </w:rPr>
              <w:t>3.4.  MINERÍA, MANUFACTURAS Y CONSTRUCCIÓN.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4903669"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0</w:t>
            </w:r>
          </w:p>
        </w:tc>
      </w:tr>
      <w:tr w:rsidR="00D868AB" w:rsidRPr="00D868AB" w14:paraId="3DB9C4C2"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FAD4A" w14:textId="77777777" w:rsidR="00D868AB" w:rsidRPr="00D868AB" w:rsidRDefault="00D868AB" w:rsidP="00D868AB">
            <w:pPr>
              <w:ind w:left="567" w:hanging="567"/>
              <w:rPr>
                <w:rFonts w:cs="Arial"/>
                <w:sz w:val="20"/>
                <w:szCs w:val="20"/>
                <w:lang w:val="es-ES"/>
              </w:rPr>
            </w:pPr>
            <w:r w:rsidRPr="00D868AB">
              <w:rPr>
                <w:rFonts w:cs="Arial"/>
                <w:sz w:val="20"/>
                <w:szCs w:val="20"/>
                <w:lang w:val="es-ES"/>
              </w:rPr>
              <w:t>3.4.1 Extracción de Recursos Minerales Excepto los Combustibles Minerales.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3B7D02B"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4131C77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BE16BA" w14:textId="77777777" w:rsidR="00D868AB" w:rsidRPr="00D868AB" w:rsidRDefault="00D868AB" w:rsidP="00D868AB">
            <w:pPr>
              <w:ind w:left="567" w:hanging="567"/>
              <w:rPr>
                <w:rFonts w:cs="Arial"/>
                <w:sz w:val="20"/>
                <w:szCs w:val="20"/>
                <w:lang w:val="es-ES"/>
              </w:rPr>
            </w:pPr>
            <w:r w:rsidRPr="00D868AB">
              <w:rPr>
                <w:rFonts w:cs="Arial"/>
                <w:sz w:val="20"/>
                <w:szCs w:val="20"/>
                <w:lang w:val="es-ES"/>
              </w:rPr>
              <w:lastRenderedPageBreak/>
              <w:t>3.4.2 Manufacturas.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97AA5A8"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1407E7F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BE0B3B" w14:textId="77777777" w:rsidR="00D868AB" w:rsidRPr="00D868AB" w:rsidRDefault="00D868AB" w:rsidP="00D868AB">
            <w:pPr>
              <w:ind w:left="567" w:hanging="567"/>
              <w:rPr>
                <w:rFonts w:cs="Arial"/>
                <w:sz w:val="20"/>
                <w:szCs w:val="20"/>
                <w:lang w:val="es-ES"/>
              </w:rPr>
            </w:pPr>
            <w:r w:rsidRPr="00D868AB">
              <w:rPr>
                <w:rFonts w:cs="Arial"/>
                <w:sz w:val="20"/>
                <w:szCs w:val="20"/>
                <w:lang w:val="es-ES"/>
              </w:rPr>
              <w:t>3.4.3 Construcción.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EC19898"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64245D0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5AEC8A" w14:textId="77777777" w:rsidR="00D868AB" w:rsidRPr="00D868AB" w:rsidRDefault="00D868AB" w:rsidP="00D868AB">
            <w:pPr>
              <w:rPr>
                <w:rFonts w:cs="Arial"/>
                <w:b/>
                <w:sz w:val="20"/>
                <w:szCs w:val="20"/>
                <w:lang w:val="es-ES"/>
              </w:rPr>
            </w:pPr>
            <w:r w:rsidRPr="00D868AB">
              <w:rPr>
                <w:rFonts w:cs="Arial"/>
                <w:b/>
                <w:sz w:val="20"/>
                <w:szCs w:val="20"/>
                <w:lang w:val="es-ES"/>
              </w:rPr>
              <w:t>3.5. TRANSPORTE.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1311CA2"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0</w:t>
            </w:r>
          </w:p>
        </w:tc>
      </w:tr>
      <w:tr w:rsidR="00D868AB" w:rsidRPr="00D868AB" w14:paraId="77AC4F42"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197C7" w14:textId="77777777" w:rsidR="00D868AB" w:rsidRPr="00D868AB" w:rsidRDefault="00D868AB" w:rsidP="00D868AB">
            <w:pPr>
              <w:ind w:left="567" w:hanging="567"/>
              <w:rPr>
                <w:rFonts w:cs="Arial"/>
                <w:sz w:val="20"/>
                <w:szCs w:val="20"/>
                <w:lang w:val="es-ES"/>
              </w:rPr>
            </w:pPr>
            <w:r w:rsidRPr="00D868AB">
              <w:rPr>
                <w:rFonts w:cs="Arial"/>
                <w:sz w:val="20"/>
                <w:szCs w:val="20"/>
                <w:lang w:val="es-ES"/>
              </w:rPr>
              <w:t>3.5.1 Transporte por Carretera.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7F89D03"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2551D713"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988A5" w14:textId="77777777" w:rsidR="00D868AB" w:rsidRPr="00D868AB" w:rsidRDefault="00D868AB" w:rsidP="00D868AB">
            <w:pPr>
              <w:ind w:left="567" w:hanging="567"/>
              <w:rPr>
                <w:rFonts w:cs="Arial"/>
                <w:sz w:val="20"/>
                <w:szCs w:val="20"/>
                <w:lang w:val="es-ES"/>
              </w:rPr>
            </w:pPr>
            <w:r w:rsidRPr="00D868AB">
              <w:rPr>
                <w:rFonts w:cs="Arial"/>
                <w:sz w:val="20"/>
                <w:szCs w:val="20"/>
                <w:lang w:val="es-ES"/>
              </w:rPr>
              <w:t>3.5.2 Transporte por Agua y Puertos.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3ABEA8B"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6A88D61C"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4C20D" w14:textId="77777777" w:rsidR="00D868AB" w:rsidRPr="00D868AB" w:rsidRDefault="00D868AB" w:rsidP="00D868AB">
            <w:pPr>
              <w:ind w:left="567" w:hanging="567"/>
              <w:rPr>
                <w:rFonts w:cs="Arial"/>
                <w:sz w:val="20"/>
                <w:szCs w:val="20"/>
                <w:lang w:val="es-ES"/>
              </w:rPr>
            </w:pPr>
            <w:r w:rsidRPr="00D868AB">
              <w:rPr>
                <w:rFonts w:cs="Arial"/>
                <w:sz w:val="20"/>
                <w:szCs w:val="20"/>
                <w:lang w:val="es-ES"/>
              </w:rPr>
              <w:t>3.5.3 Transporte por Ferrocarril.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48557DE"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65A9307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8AD0AF" w14:textId="77777777" w:rsidR="00D868AB" w:rsidRPr="00D868AB" w:rsidRDefault="00D868AB" w:rsidP="00D868AB">
            <w:pPr>
              <w:ind w:left="567" w:hanging="567"/>
              <w:rPr>
                <w:rFonts w:cs="Arial"/>
                <w:sz w:val="20"/>
                <w:szCs w:val="20"/>
                <w:lang w:val="es-ES"/>
              </w:rPr>
            </w:pPr>
            <w:r w:rsidRPr="00D868AB">
              <w:rPr>
                <w:rFonts w:cs="Arial"/>
                <w:sz w:val="20"/>
                <w:szCs w:val="20"/>
                <w:lang w:val="es-ES"/>
              </w:rPr>
              <w:t>3.5.4 Transporte Aéreo.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E747B40"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4CCA7074"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667B5" w14:textId="77777777" w:rsidR="00D868AB" w:rsidRPr="00D868AB" w:rsidRDefault="00D868AB" w:rsidP="00D868AB">
            <w:pPr>
              <w:ind w:left="567" w:hanging="567"/>
              <w:rPr>
                <w:rFonts w:cs="Arial"/>
                <w:sz w:val="20"/>
                <w:szCs w:val="20"/>
                <w:lang w:val="es-ES"/>
              </w:rPr>
            </w:pPr>
            <w:r w:rsidRPr="00D868AB">
              <w:rPr>
                <w:rFonts w:cs="Arial"/>
                <w:sz w:val="20"/>
                <w:szCs w:val="20"/>
                <w:lang w:val="es-ES"/>
              </w:rPr>
              <w:t>3.5.5 Transporte por Oleoductos y Gasoductos y Otros Sistemas de Transporte.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EB54FFD"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4E1D3C5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49004A" w14:textId="77777777" w:rsidR="00D868AB" w:rsidRPr="00D868AB" w:rsidRDefault="00D868AB" w:rsidP="00D868AB">
            <w:pPr>
              <w:rPr>
                <w:rFonts w:cs="Arial"/>
                <w:sz w:val="20"/>
                <w:szCs w:val="20"/>
                <w:lang w:val="es-ES"/>
              </w:rPr>
            </w:pPr>
            <w:r w:rsidRPr="00D868AB">
              <w:rPr>
                <w:rFonts w:cs="Arial"/>
                <w:sz w:val="20"/>
                <w:szCs w:val="20"/>
                <w:lang w:val="es-ES"/>
              </w:rPr>
              <w:t>3.5.6 Otros Relacionados con Transporte.</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49CCACF"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7B059405"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FD674" w14:textId="77777777" w:rsidR="00D868AB" w:rsidRPr="00D868AB" w:rsidRDefault="00D868AB" w:rsidP="00D868AB">
            <w:pPr>
              <w:rPr>
                <w:rFonts w:cs="Arial"/>
                <w:b/>
                <w:sz w:val="20"/>
                <w:szCs w:val="20"/>
                <w:lang w:val="es-ES"/>
              </w:rPr>
            </w:pPr>
            <w:r w:rsidRPr="00D868AB">
              <w:rPr>
                <w:rFonts w:cs="Arial"/>
                <w:b/>
                <w:sz w:val="20"/>
                <w:szCs w:val="20"/>
                <w:lang w:val="es-ES"/>
              </w:rPr>
              <w:t>3.6.  COMUNICACIONES.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58F2F09D"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12,095,356</w:t>
            </w:r>
          </w:p>
        </w:tc>
      </w:tr>
      <w:tr w:rsidR="00D868AB" w:rsidRPr="00D868AB" w14:paraId="099D387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0C6D9E" w14:textId="77777777" w:rsidR="00D868AB" w:rsidRPr="00D868AB" w:rsidRDefault="00D868AB" w:rsidP="00D868AB">
            <w:pPr>
              <w:rPr>
                <w:rFonts w:cs="Arial"/>
                <w:sz w:val="20"/>
                <w:szCs w:val="20"/>
                <w:lang w:val="es-ES"/>
              </w:rPr>
            </w:pPr>
            <w:r w:rsidRPr="00D868AB">
              <w:rPr>
                <w:rFonts w:cs="Arial"/>
                <w:sz w:val="20"/>
                <w:szCs w:val="20"/>
                <w:lang w:val="es-ES"/>
              </w:rPr>
              <w:t>3.6.1 Comunicaciones.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7D60C29" w14:textId="77777777" w:rsidR="00D868AB" w:rsidRPr="00D868AB" w:rsidRDefault="00D868AB" w:rsidP="00D868AB">
            <w:pPr>
              <w:jc w:val="right"/>
              <w:rPr>
                <w:rFonts w:cs="Arial"/>
                <w:sz w:val="20"/>
                <w:szCs w:val="20"/>
                <w:lang w:val="es-ES"/>
              </w:rPr>
            </w:pPr>
            <w:r w:rsidRPr="00D868AB">
              <w:rPr>
                <w:rFonts w:cs="Arial"/>
                <w:color w:val="000000"/>
                <w:sz w:val="20"/>
                <w:szCs w:val="20"/>
              </w:rPr>
              <w:t>12,095,356</w:t>
            </w:r>
          </w:p>
        </w:tc>
      </w:tr>
      <w:tr w:rsidR="00D868AB" w:rsidRPr="00D868AB" w14:paraId="2ADBB49C"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8D0B11" w14:textId="77777777" w:rsidR="00D868AB" w:rsidRPr="00D868AB" w:rsidRDefault="00D868AB" w:rsidP="00D868AB">
            <w:pPr>
              <w:rPr>
                <w:rFonts w:cs="Arial"/>
                <w:b/>
                <w:sz w:val="20"/>
                <w:szCs w:val="20"/>
                <w:lang w:val="es-ES"/>
              </w:rPr>
            </w:pPr>
            <w:r w:rsidRPr="00D868AB">
              <w:rPr>
                <w:rFonts w:cs="Arial"/>
                <w:b/>
                <w:sz w:val="20"/>
                <w:szCs w:val="20"/>
                <w:lang w:val="es-ES"/>
              </w:rPr>
              <w:t>3.7.  TURISMO.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0EE8E74"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32,755,895</w:t>
            </w:r>
          </w:p>
        </w:tc>
      </w:tr>
      <w:tr w:rsidR="00D868AB" w:rsidRPr="00D868AB" w14:paraId="318A9E05"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C8E8D" w14:textId="77777777" w:rsidR="00D868AB" w:rsidRPr="00D868AB" w:rsidRDefault="00D868AB" w:rsidP="00D868AB">
            <w:pPr>
              <w:rPr>
                <w:rFonts w:cs="Arial"/>
                <w:sz w:val="20"/>
                <w:szCs w:val="20"/>
                <w:lang w:val="es-ES"/>
              </w:rPr>
            </w:pPr>
            <w:r w:rsidRPr="00D868AB">
              <w:rPr>
                <w:rFonts w:cs="Arial"/>
                <w:sz w:val="20"/>
                <w:szCs w:val="20"/>
                <w:lang w:val="es-ES"/>
              </w:rPr>
              <w:t>3.7.1 Turismo.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BE594CE" w14:textId="77777777" w:rsidR="00D868AB" w:rsidRPr="00D868AB" w:rsidRDefault="00D868AB" w:rsidP="00D868AB">
            <w:pPr>
              <w:jc w:val="right"/>
              <w:rPr>
                <w:rFonts w:cs="Arial"/>
                <w:sz w:val="20"/>
                <w:szCs w:val="20"/>
                <w:lang w:val="es-ES"/>
              </w:rPr>
            </w:pPr>
            <w:r w:rsidRPr="00D868AB">
              <w:rPr>
                <w:rFonts w:cs="Arial"/>
                <w:color w:val="000000"/>
                <w:sz w:val="20"/>
                <w:szCs w:val="20"/>
              </w:rPr>
              <w:t>32,755,895</w:t>
            </w:r>
          </w:p>
        </w:tc>
      </w:tr>
      <w:tr w:rsidR="00D868AB" w:rsidRPr="00D868AB" w14:paraId="19873D3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CF0F9" w14:textId="77777777" w:rsidR="00D868AB" w:rsidRPr="00D868AB" w:rsidRDefault="00D868AB" w:rsidP="00D868AB">
            <w:pPr>
              <w:rPr>
                <w:rFonts w:cs="Arial"/>
                <w:sz w:val="20"/>
                <w:szCs w:val="20"/>
                <w:lang w:val="es-ES"/>
              </w:rPr>
            </w:pPr>
            <w:r w:rsidRPr="00D868AB">
              <w:rPr>
                <w:rFonts w:cs="Arial"/>
                <w:sz w:val="20"/>
                <w:szCs w:val="20"/>
                <w:lang w:val="es-ES"/>
              </w:rPr>
              <w:t>3.7.2 Hoteles y Restaurantes.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0153B0E"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1C98C9F3"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41223" w14:textId="77777777" w:rsidR="00D868AB" w:rsidRPr="00D868AB" w:rsidRDefault="00D868AB" w:rsidP="00D868AB">
            <w:pPr>
              <w:rPr>
                <w:rFonts w:cs="Arial"/>
                <w:b/>
                <w:sz w:val="20"/>
                <w:szCs w:val="20"/>
                <w:lang w:val="es-ES"/>
              </w:rPr>
            </w:pPr>
            <w:r w:rsidRPr="00D868AB">
              <w:rPr>
                <w:rFonts w:cs="Arial"/>
                <w:b/>
                <w:sz w:val="20"/>
                <w:szCs w:val="20"/>
                <w:lang w:val="es-ES"/>
              </w:rPr>
              <w:t>3.8.  CIENCIA, TECNOLOGÍA E INNOVACIÓN.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278BA87"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18,324,529</w:t>
            </w:r>
          </w:p>
        </w:tc>
      </w:tr>
      <w:tr w:rsidR="00D868AB" w:rsidRPr="00D868AB" w14:paraId="419816C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884153" w14:textId="77777777" w:rsidR="00D868AB" w:rsidRPr="00D868AB" w:rsidRDefault="00D868AB" w:rsidP="00D868AB">
            <w:pPr>
              <w:ind w:left="567" w:hanging="567"/>
              <w:rPr>
                <w:rFonts w:cs="Arial"/>
                <w:sz w:val="20"/>
                <w:szCs w:val="20"/>
                <w:lang w:val="es-ES"/>
              </w:rPr>
            </w:pPr>
            <w:r w:rsidRPr="00D868AB">
              <w:rPr>
                <w:rFonts w:cs="Arial"/>
                <w:sz w:val="20"/>
                <w:szCs w:val="20"/>
                <w:lang w:val="es-ES"/>
              </w:rPr>
              <w:t>3.8.1 Investigación Científica.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23EE306"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1784F7C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F841B" w14:textId="77777777" w:rsidR="00D868AB" w:rsidRPr="00D868AB" w:rsidRDefault="00D868AB" w:rsidP="00D868AB">
            <w:pPr>
              <w:ind w:left="567" w:hanging="567"/>
              <w:rPr>
                <w:rFonts w:cs="Arial"/>
                <w:sz w:val="20"/>
                <w:szCs w:val="20"/>
                <w:lang w:val="es-ES"/>
              </w:rPr>
            </w:pPr>
            <w:r w:rsidRPr="00D868AB">
              <w:rPr>
                <w:rFonts w:cs="Arial"/>
                <w:sz w:val="20"/>
                <w:szCs w:val="20"/>
                <w:lang w:val="es-ES"/>
              </w:rPr>
              <w:t>3.8.2 Desarrollo Tecnológico.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26BAAD2" w14:textId="77777777" w:rsidR="00D868AB" w:rsidRPr="00D868AB" w:rsidRDefault="00D868AB" w:rsidP="00D868AB">
            <w:pPr>
              <w:jc w:val="right"/>
              <w:rPr>
                <w:rFonts w:cs="Arial"/>
                <w:sz w:val="20"/>
                <w:szCs w:val="20"/>
                <w:lang w:val="es-ES"/>
              </w:rPr>
            </w:pPr>
            <w:r w:rsidRPr="00D868AB">
              <w:rPr>
                <w:rFonts w:cs="Arial"/>
                <w:color w:val="000000"/>
                <w:sz w:val="20"/>
                <w:szCs w:val="20"/>
              </w:rPr>
              <w:t>17,687,913</w:t>
            </w:r>
          </w:p>
        </w:tc>
      </w:tr>
      <w:tr w:rsidR="00D868AB" w:rsidRPr="00D868AB" w14:paraId="4675F80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38F8C" w14:textId="77777777" w:rsidR="00D868AB" w:rsidRPr="00D868AB" w:rsidRDefault="00D868AB" w:rsidP="00D868AB">
            <w:pPr>
              <w:ind w:left="567" w:hanging="567"/>
              <w:rPr>
                <w:rFonts w:cs="Arial"/>
                <w:sz w:val="20"/>
                <w:szCs w:val="20"/>
                <w:lang w:val="es-ES"/>
              </w:rPr>
            </w:pPr>
            <w:r w:rsidRPr="00D868AB">
              <w:rPr>
                <w:rFonts w:cs="Arial"/>
                <w:sz w:val="20"/>
                <w:szCs w:val="20"/>
                <w:lang w:val="es-ES"/>
              </w:rPr>
              <w:t>3.8.3 Servicios Científicos y Tecnológicos.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646D569"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6F50515C"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B93169" w14:textId="77777777" w:rsidR="00D868AB" w:rsidRPr="00D868AB" w:rsidRDefault="00D868AB" w:rsidP="00D868AB">
            <w:pPr>
              <w:ind w:left="567" w:hanging="567"/>
              <w:rPr>
                <w:rFonts w:cs="Arial"/>
                <w:sz w:val="20"/>
                <w:szCs w:val="20"/>
                <w:lang w:val="es-ES"/>
              </w:rPr>
            </w:pPr>
            <w:r w:rsidRPr="00D868AB">
              <w:rPr>
                <w:rFonts w:cs="Arial"/>
                <w:sz w:val="20"/>
                <w:szCs w:val="20"/>
                <w:lang w:val="es-ES"/>
              </w:rPr>
              <w:t>3.8.4 Innovación.</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9A94F33" w14:textId="77777777" w:rsidR="00D868AB" w:rsidRPr="00D868AB" w:rsidRDefault="00D868AB" w:rsidP="00D868AB">
            <w:pPr>
              <w:jc w:val="right"/>
              <w:rPr>
                <w:rFonts w:cs="Arial"/>
                <w:sz w:val="20"/>
                <w:szCs w:val="20"/>
                <w:lang w:val="es-ES"/>
              </w:rPr>
            </w:pPr>
            <w:r w:rsidRPr="00D868AB">
              <w:rPr>
                <w:rFonts w:cs="Arial"/>
                <w:color w:val="000000"/>
                <w:sz w:val="20"/>
                <w:szCs w:val="20"/>
              </w:rPr>
              <w:t>636,616</w:t>
            </w:r>
          </w:p>
        </w:tc>
      </w:tr>
      <w:tr w:rsidR="00D868AB" w:rsidRPr="00D868AB" w14:paraId="1EA31CB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E1DBF" w14:textId="77777777" w:rsidR="00D868AB" w:rsidRPr="00D868AB" w:rsidRDefault="00D868AB" w:rsidP="00D868AB">
            <w:pPr>
              <w:rPr>
                <w:rFonts w:cs="Arial"/>
                <w:b/>
                <w:sz w:val="20"/>
                <w:szCs w:val="20"/>
                <w:lang w:val="es-ES"/>
              </w:rPr>
            </w:pPr>
            <w:r w:rsidRPr="00D868AB">
              <w:rPr>
                <w:rFonts w:cs="Arial"/>
                <w:b/>
                <w:sz w:val="20"/>
                <w:szCs w:val="20"/>
                <w:lang w:val="es-ES"/>
              </w:rPr>
              <w:t>3.9.  OTRAS INDUSTRIAS Y OTROS ASUNTOS ECONÓMICOS.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AD814D0"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838,018</w:t>
            </w:r>
          </w:p>
        </w:tc>
      </w:tr>
      <w:tr w:rsidR="00D868AB" w:rsidRPr="00D868AB" w14:paraId="26F069D7"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92932A" w14:textId="77777777" w:rsidR="00D868AB" w:rsidRPr="00D868AB" w:rsidRDefault="00D868AB" w:rsidP="00D868AB">
            <w:pPr>
              <w:ind w:left="567" w:hanging="567"/>
              <w:rPr>
                <w:rFonts w:cs="Arial"/>
                <w:sz w:val="20"/>
                <w:szCs w:val="20"/>
                <w:lang w:val="es-ES"/>
              </w:rPr>
            </w:pPr>
            <w:r w:rsidRPr="00D868AB">
              <w:rPr>
                <w:rFonts w:cs="Arial"/>
                <w:sz w:val="20"/>
                <w:szCs w:val="20"/>
                <w:lang w:val="es-ES"/>
              </w:rPr>
              <w:t>3.9.1 Comercio, Distribución, Almacenamiento y Depósito.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C24B2E8"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712F4157"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924CF" w14:textId="77777777" w:rsidR="00D868AB" w:rsidRPr="00D868AB" w:rsidRDefault="00D868AB" w:rsidP="00D868AB">
            <w:pPr>
              <w:ind w:left="567" w:hanging="567"/>
              <w:rPr>
                <w:rFonts w:cs="Arial"/>
                <w:sz w:val="20"/>
                <w:szCs w:val="20"/>
                <w:lang w:val="es-ES"/>
              </w:rPr>
            </w:pPr>
            <w:r w:rsidRPr="00D868AB">
              <w:rPr>
                <w:rFonts w:cs="Arial"/>
                <w:sz w:val="20"/>
                <w:szCs w:val="20"/>
                <w:lang w:val="es-ES"/>
              </w:rPr>
              <w:t>3.9.2 Otras Industrias.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FA612E3" w14:textId="77777777" w:rsidR="00D868AB" w:rsidRPr="00D868AB" w:rsidRDefault="00D868AB" w:rsidP="00D868AB">
            <w:pPr>
              <w:jc w:val="right"/>
              <w:rPr>
                <w:rFonts w:cs="Arial"/>
                <w:sz w:val="20"/>
                <w:szCs w:val="20"/>
                <w:lang w:val="es-ES"/>
              </w:rPr>
            </w:pPr>
            <w:r w:rsidRPr="00D868AB">
              <w:rPr>
                <w:rFonts w:cs="Arial"/>
                <w:color w:val="000000"/>
                <w:sz w:val="20"/>
                <w:szCs w:val="20"/>
              </w:rPr>
              <w:t>838,018</w:t>
            </w:r>
          </w:p>
        </w:tc>
      </w:tr>
      <w:tr w:rsidR="00D868AB" w:rsidRPr="00D868AB" w14:paraId="02E40B6E"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8D42" w14:textId="77777777" w:rsidR="00D868AB" w:rsidRPr="00D868AB" w:rsidRDefault="00D868AB" w:rsidP="00D868AB">
            <w:pPr>
              <w:ind w:left="567" w:hanging="567"/>
              <w:rPr>
                <w:rFonts w:cs="Arial"/>
                <w:sz w:val="20"/>
                <w:szCs w:val="20"/>
                <w:lang w:val="es-ES"/>
              </w:rPr>
            </w:pPr>
            <w:r w:rsidRPr="00D868AB">
              <w:rPr>
                <w:rFonts w:cs="Arial"/>
                <w:sz w:val="20"/>
                <w:szCs w:val="20"/>
                <w:lang w:val="es-ES"/>
              </w:rPr>
              <w:t>3.9.3 Otros Asuntos Económicos.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D39F120"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21D50D4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73449" w14:textId="77777777" w:rsidR="00D868AB" w:rsidRPr="00D868AB" w:rsidRDefault="00D868AB" w:rsidP="00D868AB">
            <w:pPr>
              <w:rPr>
                <w:rFonts w:cs="Arial"/>
                <w:b/>
                <w:sz w:val="20"/>
                <w:szCs w:val="20"/>
                <w:lang w:val="es-ES"/>
              </w:rPr>
            </w:pPr>
            <w:r w:rsidRPr="00D868AB">
              <w:rPr>
                <w:rFonts w:cs="Arial"/>
                <w:b/>
                <w:sz w:val="20"/>
                <w:szCs w:val="20"/>
                <w:lang w:val="es-ES"/>
              </w:rPr>
              <w:t>4. OTRAS NO CLASIFICADAS EN FUNCIONES ANTERIORES.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0BD8647"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4,187,276,844</w:t>
            </w:r>
          </w:p>
        </w:tc>
      </w:tr>
      <w:tr w:rsidR="00D868AB" w:rsidRPr="00D868AB" w14:paraId="441E4C8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B5266" w14:textId="77777777" w:rsidR="00D868AB" w:rsidRPr="00D868AB" w:rsidRDefault="00D868AB" w:rsidP="00D868AB">
            <w:pPr>
              <w:ind w:left="567" w:hanging="567"/>
              <w:rPr>
                <w:rFonts w:cs="Arial"/>
                <w:b/>
                <w:sz w:val="20"/>
                <w:szCs w:val="20"/>
                <w:lang w:val="es-ES"/>
              </w:rPr>
            </w:pPr>
            <w:r w:rsidRPr="00D868AB">
              <w:rPr>
                <w:rFonts w:cs="Arial"/>
                <w:b/>
                <w:sz w:val="20"/>
                <w:szCs w:val="20"/>
                <w:lang w:val="es-ES"/>
              </w:rPr>
              <w:t>4.1. TRANSACCIONES DE LA DEUDA PÚBLICA / COSTO FINANCIERO DE LA DEUDA.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144B69D"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732,291,440</w:t>
            </w:r>
          </w:p>
        </w:tc>
      </w:tr>
      <w:tr w:rsidR="00D868AB" w:rsidRPr="00D868AB" w14:paraId="2B9191F8"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BEFE4" w14:textId="77777777" w:rsidR="00D868AB" w:rsidRPr="00D868AB" w:rsidRDefault="00D868AB" w:rsidP="00D868AB">
            <w:pPr>
              <w:ind w:left="567" w:hanging="567"/>
              <w:rPr>
                <w:rFonts w:cs="Arial"/>
                <w:sz w:val="20"/>
                <w:szCs w:val="20"/>
                <w:lang w:val="es-ES"/>
              </w:rPr>
            </w:pPr>
            <w:r w:rsidRPr="00D868AB">
              <w:rPr>
                <w:rFonts w:cs="Arial"/>
                <w:sz w:val="20"/>
                <w:szCs w:val="20"/>
                <w:lang w:val="es-ES"/>
              </w:rPr>
              <w:t>4.1.1 Deuda Pública Interna.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CDED4AC" w14:textId="77777777" w:rsidR="00D868AB" w:rsidRPr="00D868AB" w:rsidRDefault="00D868AB" w:rsidP="00D868AB">
            <w:pPr>
              <w:jc w:val="right"/>
              <w:rPr>
                <w:rFonts w:cs="Arial"/>
                <w:sz w:val="20"/>
                <w:szCs w:val="20"/>
                <w:lang w:val="es-ES"/>
              </w:rPr>
            </w:pPr>
            <w:r w:rsidRPr="00D868AB">
              <w:rPr>
                <w:rFonts w:cs="Arial"/>
                <w:color w:val="000000"/>
                <w:sz w:val="20"/>
                <w:szCs w:val="20"/>
              </w:rPr>
              <w:t>732,291,440</w:t>
            </w:r>
          </w:p>
        </w:tc>
      </w:tr>
      <w:tr w:rsidR="00D868AB" w:rsidRPr="00D868AB" w14:paraId="24C6878C"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999583" w14:textId="77777777" w:rsidR="00D868AB" w:rsidRPr="00D868AB" w:rsidRDefault="00D868AB" w:rsidP="00D868AB">
            <w:pPr>
              <w:ind w:left="567" w:hanging="567"/>
              <w:rPr>
                <w:rFonts w:cs="Arial"/>
                <w:sz w:val="20"/>
                <w:szCs w:val="20"/>
                <w:lang w:val="es-ES"/>
              </w:rPr>
            </w:pPr>
            <w:r w:rsidRPr="00D868AB">
              <w:rPr>
                <w:rFonts w:cs="Arial"/>
                <w:sz w:val="20"/>
                <w:szCs w:val="20"/>
                <w:lang w:val="es-ES"/>
              </w:rPr>
              <w:t>4.1.2 Deuda Pública Externa.</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410981D4"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7AD29E95"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ABE0E" w14:textId="77777777" w:rsidR="00D868AB" w:rsidRPr="00D868AB" w:rsidRDefault="00D868AB" w:rsidP="00D868AB">
            <w:pPr>
              <w:ind w:left="567" w:hanging="567"/>
              <w:rPr>
                <w:rFonts w:cs="Arial"/>
                <w:b/>
                <w:sz w:val="20"/>
                <w:szCs w:val="20"/>
                <w:lang w:val="es-ES"/>
              </w:rPr>
            </w:pPr>
            <w:r w:rsidRPr="00D868AB">
              <w:rPr>
                <w:rFonts w:cs="Arial"/>
                <w:b/>
                <w:sz w:val="20"/>
                <w:szCs w:val="20"/>
                <w:lang w:val="es-ES"/>
              </w:rPr>
              <w:t>4.2.  TRANSFERENCIAS, PARTICIPACIONES Y APORTACIONES ENTRE DIFERENTES NIVELES Y ÓRDENES DE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16A01C5"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3,297,624,261</w:t>
            </w:r>
          </w:p>
        </w:tc>
      </w:tr>
      <w:tr w:rsidR="00D868AB" w:rsidRPr="00D868AB" w14:paraId="688F7901"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1AA6EC" w14:textId="77777777" w:rsidR="00D868AB" w:rsidRPr="00D868AB" w:rsidRDefault="00D868AB" w:rsidP="00D868AB">
            <w:pPr>
              <w:ind w:left="567" w:hanging="567"/>
              <w:rPr>
                <w:rFonts w:cs="Arial"/>
                <w:sz w:val="20"/>
                <w:szCs w:val="20"/>
                <w:lang w:val="es-ES"/>
              </w:rPr>
            </w:pPr>
            <w:r w:rsidRPr="00D868AB">
              <w:rPr>
                <w:rFonts w:cs="Arial"/>
                <w:sz w:val="20"/>
                <w:szCs w:val="20"/>
                <w:lang w:val="es-ES"/>
              </w:rPr>
              <w:t>4.2.1 Transferencias entre Diferentes Niveles y Órdenes de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282A20D" w14:textId="77777777" w:rsidR="00D868AB" w:rsidRPr="00D868AB" w:rsidRDefault="00D868AB" w:rsidP="00D868AB">
            <w:pPr>
              <w:jc w:val="right"/>
              <w:rPr>
                <w:rFonts w:cs="Arial"/>
                <w:sz w:val="20"/>
                <w:szCs w:val="20"/>
                <w:lang w:val="es-ES"/>
              </w:rPr>
            </w:pPr>
            <w:r w:rsidRPr="00D868AB">
              <w:rPr>
                <w:rFonts w:cs="Arial"/>
                <w:color w:val="000000"/>
                <w:sz w:val="20"/>
                <w:szCs w:val="20"/>
              </w:rPr>
              <w:t>2,418,853</w:t>
            </w:r>
          </w:p>
        </w:tc>
      </w:tr>
      <w:tr w:rsidR="00D868AB" w:rsidRPr="00D868AB" w14:paraId="51FFF96D"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22029D" w14:textId="77777777" w:rsidR="00D868AB" w:rsidRPr="00D868AB" w:rsidRDefault="00D868AB" w:rsidP="00D868AB">
            <w:pPr>
              <w:ind w:left="567" w:hanging="567"/>
              <w:rPr>
                <w:rFonts w:cs="Arial"/>
                <w:sz w:val="20"/>
                <w:szCs w:val="20"/>
                <w:lang w:val="es-ES"/>
              </w:rPr>
            </w:pPr>
            <w:r w:rsidRPr="00D868AB">
              <w:rPr>
                <w:rFonts w:cs="Arial"/>
                <w:sz w:val="20"/>
                <w:szCs w:val="20"/>
                <w:lang w:val="es-ES"/>
              </w:rPr>
              <w:t>4.2.2 Participaciones entre Diferentes Niveles y Órdenes de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2ACB3D6B" w14:textId="77777777" w:rsidR="00D868AB" w:rsidRPr="00D868AB" w:rsidRDefault="00D868AB" w:rsidP="00D868AB">
            <w:pPr>
              <w:jc w:val="right"/>
              <w:rPr>
                <w:rFonts w:cs="Arial"/>
                <w:sz w:val="20"/>
                <w:szCs w:val="20"/>
                <w:lang w:val="es-ES"/>
              </w:rPr>
            </w:pPr>
            <w:r w:rsidRPr="00D868AB">
              <w:rPr>
                <w:rFonts w:cs="Arial"/>
                <w:color w:val="000000"/>
                <w:sz w:val="20"/>
                <w:szCs w:val="20"/>
              </w:rPr>
              <w:t>2,046,030,149</w:t>
            </w:r>
          </w:p>
        </w:tc>
      </w:tr>
      <w:tr w:rsidR="00D868AB" w:rsidRPr="00D868AB" w14:paraId="039934A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10B658" w14:textId="77777777" w:rsidR="00D868AB" w:rsidRPr="00D868AB" w:rsidRDefault="00D868AB" w:rsidP="00D868AB">
            <w:pPr>
              <w:ind w:left="567" w:hanging="567"/>
              <w:rPr>
                <w:rFonts w:cs="Arial"/>
                <w:sz w:val="20"/>
                <w:szCs w:val="20"/>
                <w:lang w:val="es-ES"/>
              </w:rPr>
            </w:pPr>
            <w:r w:rsidRPr="00D868AB">
              <w:rPr>
                <w:rFonts w:cs="Arial"/>
                <w:sz w:val="20"/>
                <w:szCs w:val="20"/>
                <w:lang w:val="es-ES"/>
              </w:rPr>
              <w:lastRenderedPageBreak/>
              <w:t>4.2.3 Aportaciones entre Diferentes Niveles y Órdenes de Gobierno.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0302F73" w14:textId="77777777" w:rsidR="00D868AB" w:rsidRPr="00D868AB" w:rsidRDefault="00D868AB" w:rsidP="00D868AB">
            <w:pPr>
              <w:jc w:val="right"/>
              <w:rPr>
                <w:rFonts w:cs="Arial"/>
                <w:sz w:val="20"/>
                <w:szCs w:val="20"/>
                <w:lang w:val="es-ES"/>
              </w:rPr>
            </w:pPr>
            <w:r w:rsidRPr="00D868AB">
              <w:rPr>
                <w:rFonts w:cs="Arial"/>
                <w:color w:val="000000"/>
                <w:sz w:val="20"/>
                <w:szCs w:val="20"/>
              </w:rPr>
              <w:t>1,249,175,259</w:t>
            </w:r>
          </w:p>
        </w:tc>
      </w:tr>
      <w:tr w:rsidR="00D868AB" w:rsidRPr="00D868AB" w14:paraId="051EE75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6D240" w14:textId="77777777" w:rsidR="00D868AB" w:rsidRPr="00D868AB" w:rsidRDefault="00D868AB" w:rsidP="00D868AB">
            <w:pPr>
              <w:rPr>
                <w:rFonts w:cs="Arial"/>
                <w:b/>
                <w:sz w:val="20"/>
                <w:szCs w:val="20"/>
                <w:lang w:val="es-ES"/>
              </w:rPr>
            </w:pPr>
            <w:r w:rsidRPr="00D868AB">
              <w:rPr>
                <w:rFonts w:cs="Arial"/>
                <w:b/>
                <w:sz w:val="20"/>
                <w:szCs w:val="20"/>
                <w:lang w:val="es-ES"/>
              </w:rPr>
              <w:t>4.3.  SANEAMIENTO DEL SISTEMA FINANCIERO.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A3CAF52"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0</w:t>
            </w:r>
          </w:p>
        </w:tc>
      </w:tr>
      <w:tr w:rsidR="00D868AB" w:rsidRPr="00D868AB" w14:paraId="4F31A26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D7C2D" w14:textId="77777777" w:rsidR="00D868AB" w:rsidRPr="00D868AB" w:rsidRDefault="00D868AB" w:rsidP="00D868AB">
            <w:pPr>
              <w:ind w:left="567" w:hanging="567"/>
              <w:rPr>
                <w:rFonts w:cs="Arial"/>
                <w:sz w:val="20"/>
                <w:szCs w:val="20"/>
                <w:lang w:val="es-ES"/>
              </w:rPr>
            </w:pPr>
            <w:r w:rsidRPr="00D868AB">
              <w:rPr>
                <w:rFonts w:cs="Arial"/>
                <w:sz w:val="20"/>
                <w:szCs w:val="20"/>
                <w:lang w:val="es-ES"/>
              </w:rPr>
              <w:t>4.3.1 Saneamiento del Sistema Financiero.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DB18B15"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07373F2B"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15544" w14:textId="77777777" w:rsidR="00D868AB" w:rsidRPr="00D868AB" w:rsidRDefault="00D868AB" w:rsidP="00D868AB">
            <w:pPr>
              <w:ind w:left="567" w:hanging="567"/>
              <w:rPr>
                <w:rFonts w:cs="Arial"/>
                <w:sz w:val="20"/>
                <w:szCs w:val="20"/>
                <w:lang w:val="es-ES"/>
              </w:rPr>
            </w:pPr>
            <w:r w:rsidRPr="00D868AB">
              <w:rPr>
                <w:rFonts w:cs="Arial"/>
                <w:sz w:val="20"/>
                <w:szCs w:val="20"/>
                <w:lang w:val="es-ES"/>
              </w:rPr>
              <w:t>4.3.2 Apoyos IPAB.</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5A0DC7C"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02106F17"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EF7FC" w14:textId="77777777" w:rsidR="00D868AB" w:rsidRPr="00D868AB" w:rsidRDefault="00D868AB" w:rsidP="00D868AB">
            <w:pPr>
              <w:ind w:left="567" w:hanging="567"/>
              <w:rPr>
                <w:rFonts w:cs="Arial"/>
                <w:sz w:val="20"/>
                <w:szCs w:val="20"/>
                <w:lang w:val="es-ES"/>
              </w:rPr>
            </w:pPr>
            <w:r w:rsidRPr="00D868AB">
              <w:rPr>
                <w:rFonts w:cs="Arial"/>
                <w:sz w:val="20"/>
                <w:szCs w:val="20"/>
                <w:lang w:val="es-ES"/>
              </w:rPr>
              <w:t>4.3.3 Banca de Desarrollo.</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AFC748F"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15510679"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2705D" w14:textId="77777777" w:rsidR="00D868AB" w:rsidRPr="00D868AB" w:rsidRDefault="00D868AB" w:rsidP="00D868AB">
            <w:pPr>
              <w:ind w:left="567" w:hanging="567"/>
              <w:rPr>
                <w:rFonts w:cs="Arial"/>
                <w:sz w:val="20"/>
                <w:szCs w:val="20"/>
                <w:lang w:val="es-ES"/>
              </w:rPr>
            </w:pPr>
            <w:r w:rsidRPr="00D868AB">
              <w:rPr>
                <w:rFonts w:cs="Arial"/>
                <w:sz w:val="20"/>
                <w:szCs w:val="20"/>
                <w:lang w:val="es-ES"/>
              </w:rPr>
              <w:t>4.3.4 Apoyo a los Programas de Reestructura en Unidades de Inversión (UDIS).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661D83AA" w14:textId="77777777" w:rsidR="00D868AB" w:rsidRPr="00D868AB" w:rsidRDefault="00D868AB" w:rsidP="00D868AB">
            <w:pPr>
              <w:jc w:val="right"/>
              <w:rPr>
                <w:rFonts w:cs="Arial"/>
                <w:sz w:val="20"/>
                <w:szCs w:val="20"/>
                <w:lang w:val="es-ES"/>
              </w:rPr>
            </w:pPr>
            <w:r w:rsidRPr="00D868AB">
              <w:rPr>
                <w:rFonts w:cs="Arial"/>
                <w:color w:val="000000"/>
                <w:sz w:val="20"/>
                <w:szCs w:val="20"/>
              </w:rPr>
              <w:t>0</w:t>
            </w:r>
          </w:p>
        </w:tc>
      </w:tr>
      <w:tr w:rsidR="00D868AB" w:rsidRPr="00D868AB" w14:paraId="4B08E404"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721125" w14:textId="77777777" w:rsidR="00D868AB" w:rsidRPr="00D868AB" w:rsidRDefault="00D868AB" w:rsidP="00D868AB">
            <w:pPr>
              <w:ind w:left="567" w:hanging="567"/>
              <w:rPr>
                <w:rFonts w:cs="Arial"/>
                <w:b/>
                <w:sz w:val="20"/>
                <w:szCs w:val="20"/>
                <w:lang w:val="es-ES"/>
              </w:rPr>
            </w:pPr>
            <w:r w:rsidRPr="00D868AB">
              <w:rPr>
                <w:rFonts w:cs="Arial"/>
                <w:b/>
                <w:sz w:val="20"/>
                <w:szCs w:val="20"/>
                <w:lang w:val="es-ES"/>
              </w:rPr>
              <w:t>4.4.  ADEUDOS DE EJERCICIOS FISCALES ANTERIORES.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3089355"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157,361,143</w:t>
            </w:r>
          </w:p>
        </w:tc>
      </w:tr>
      <w:tr w:rsidR="00D868AB" w:rsidRPr="00D868AB" w14:paraId="26FA7AA6"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2059E0" w14:textId="77777777" w:rsidR="00D868AB" w:rsidRPr="00D868AB" w:rsidRDefault="00D868AB" w:rsidP="00D868AB">
            <w:pPr>
              <w:rPr>
                <w:rFonts w:cs="Arial"/>
                <w:sz w:val="20"/>
                <w:szCs w:val="20"/>
                <w:lang w:val="es-ES"/>
              </w:rPr>
            </w:pPr>
            <w:r w:rsidRPr="00D868AB">
              <w:rPr>
                <w:rFonts w:cs="Arial"/>
                <w:sz w:val="20"/>
                <w:szCs w:val="20"/>
                <w:lang w:val="es-ES"/>
              </w:rPr>
              <w:t>4.4.1 Adeudos de Ejercicios Fiscales Anteriores.</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0724B9D9" w14:textId="77777777" w:rsidR="00D868AB" w:rsidRPr="00D868AB" w:rsidRDefault="00D868AB" w:rsidP="00D868AB">
            <w:pPr>
              <w:jc w:val="right"/>
              <w:rPr>
                <w:rFonts w:cs="Arial"/>
                <w:sz w:val="20"/>
                <w:szCs w:val="20"/>
                <w:lang w:val="es-ES"/>
              </w:rPr>
            </w:pPr>
            <w:r w:rsidRPr="00D868AB">
              <w:rPr>
                <w:rFonts w:cs="Arial"/>
                <w:color w:val="000000"/>
                <w:sz w:val="20"/>
                <w:szCs w:val="20"/>
              </w:rPr>
              <w:t>157,361,143</w:t>
            </w:r>
          </w:p>
        </w:tc>
      </w:tr>
      <w:tr w:rsidR="00D868AB" w:rsidRPr="00D868AB" w14:paraId="55A3DA4F" w14:textId="77777777" w:rsidTr="00A755A7">
        <w:trPr>
          <w:trHeight w:val="283"/>
          <w:jc w:val="center"/>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3FEA59" w14:textId="77777777" w:rsidR="00D868AB" w:rsidRPr="00D868AB" w:rsidRDefault="00D868AB" w:rsidP="00D868AB">
            <w:pPr>
              <w:jc w:val="center"/>
              <w:rPr>
                <w:rFonts w:cs="Arial"/>
                <w:b/>
                <w:sz w:val="20"/>
                <w:szCs w:val="20"/>
                <w:lang w:val="es-ES"/>
              </w:rPr>
            </w:pPr>
            <w:r w:rsidRPr="00D868AB">
              <w:rPr>
                <w:rFonts w:cs="Arial"/>
                <w:b/>
                <w:sz w:val="20"/>
                <w:szCs w:val="20"/>
                <w:lang w:val="es-ES"/>
              </w:rPr>
              <w:t>Total</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190E5371" w14:textId="77777777" w:rsidR="00D868AB" w:rsidRPr="00D868AB" w:rsidRDefault="00D868AB" w:rsidP="00D868AB">
            <w:pPr>
              <w:jc w:val="right"/>
              <w:rPr>
                <w:rFonts w:cs="Arial"/>
                <w:b/>
                <w:bCs/>
                <w:sz w:val="20"/>
                <w:szCs w:val="20"/>
                <w:lang w:val="es-ES"/>
              </w:rPr>
            </w:pPr>
            <w:r w:rsidRPr="00D868AB">
              <w:rPr>
                <w:rFonts w:cs="Arial"/>
                <w:b/>
                <w:bCs/>
                <w:color w:val="000000"/>
                <w:sz w:val="20"/>
                <w:szCs w:val="20"/>
              </w:rPr>
              <w:t>20,555,300,000</w:t>
            </w:r>
          </w:p>
        </w:tc>
      </w:tr>
    </w:tbl>
    <w:p w14:paraId="09FAF4C0" w14:textId="77777777" w:rsidR="00D868AB" w:rsidRPr="00D868AB" w:rsidRDefault="00D868AB" w:rsidP="00D868AB">
      <w:pPr>
        <w:rPr>
          <w:rFonts w:cs="Arial"/>
          <w:b/>
          <w:lang w:val="es-ES"/>
        </w:rPr>
      </w:pPr>
    </w:p>
    <w:p w14:paraId="7B8C1A60" w14:textId="77777777" w:rsidR="00D868AB" w:rsidRPr="00D868AB" w:rsidRDefault="00D868AB" w:rsidP="00D868AB">
      <w:pPr>
        <w:rPr>
          <w:rFonts w:cs="Arial"/>
          <w:lang w:val="es-ES"/>
        </w:rPr>
      </w:pPr>
      <w:r w:rsidRPr="00D868AB">
        <w:rPr>
          <w:rFonts w:cs="Arial"/>
          <w:b/>
          <w:lang w:val="es-ES"/>
        </w:rPr>
        <w:t>Artículo 18</w:t>
      </w:r>
      <w:r w:rsidRPr="00D868AB">
        <w:rPr>
          <w:rFonts w:cs="Arial"/>
          <w:lang w:val="es-ES"/>
        </w:rPr>
        <w:t xml:space="preserve">. La </w:t>
      </w:r>
      <w:r w:rsidRPr="00D868AB">
        <w:rPr>
          <w:rFonts w:cs="Arial"/>
          <w:b/>
          <w:lang w:val="es-ES"/>
        </w:rPr>
        <w:t>Clasificación Programática</w:t>
      </w:r>
      <w:r w:rsidRPr="00D868AB">
        <w:rPr>
          <w:rFonts w:cs="Arial"/>
          <w:lang w:val="es-ES"/>
        </w:rPr>
        <w:t xml:space="preserve"> de acuerdo con la Tipología General de los Programas Presupuestarios se presenta en la siguiente tabla:</w:t>
      </w:r>
    </w:p>
    <w:p w14:paraId="48DCD0A8" w14:textId="77777777" w:rsidR="00D868AB" w:rsidRPr="00D868AB" w:rsidRDefault="00D868AB" w:rsidP="00D868AB">
      <w:pPr>
        <w:keepNext/>
        <w:keepLines/>
        <w:outlineLvl w:val="2"/>
        <w:rPr>
          <w:rFonts w:eastAsia="Calibri" w:cs="Arial"/>
          <w:b/>
          <w:szCs w:val="24"/>
          <w:lang w:val="es-ES" w:eastAsia="en-US"/>
        </w:rPr>
      </w:pPr>
    </w:p>
    <w:tbl>
      <w:tblPr>
        <w:tblW w:w="8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3"/>
        <w:gridCol w:w="621"/>
        <w:gridCol w:w="1607"/>
      </w:tblGrid>
      <w:tr w:rsidR="00D868AB" w:rsidRPr="00D868AB" w14:paraId="08393608" w14:textId="77777777" w:rsidTr="00A755A7">
        <w:trPr>
          <w:trHeight w:val="283"/>
          <w:tblHeader/>
          <w:jc w:val="center"/>
        </w:trPr>
        <w:tc>
          <w:tcPr>
            <w:tcW w:w="8101" w:type="dxa"/>
            <w:gridSpan w:val="3"/>
            <w:tcBorders>
              <w:top w:val="nil"/>
              <w:left w:val="nil"/>
              <w:bottom w:val="single" w:sz="4" w:space="0" w:color="auto"/>
              <w:right w:val="nil"/>
            </w:tcBorders>
            <w:shd w:val="clear" w:color="auto" w:fill="auto"/>
            <w:noWrap/>
            <w:vAlign w:val="center"/>
          </w:tcPr>
          <w:p w14:paraId="5A3D9991" w14:textId="77777777" w:rsidR="00D868AB" w:rsidRPr="00D868AB" w:rsidRDefault="00D868AB" w:rsidP="00D868AB">
            <w:pPr>
              <w:jc w:val="center"/>
              <w:rPr>
                <w:rFonts w:cs="Arial"/>
                <w:b/>
                <w:bCs/>
                <w:sz w:val="20"/>
                <w:szCs w:val="20"/>
                <w:lang w:val="es-ES"/>
              </w:rPr>
            </w:pPr>
            <w:bookmarkStart w:id="27" w:name="_Toc522869259"/>
            <w:bookmarkStart w:id="28" w:name="_Toc526757443"/>
            <w:r w:rsidRPr="00D868AB">
              <w:rPr>
                <w:rFonts w:eastAsia="Times New Roman" w:cs="Arial"/>
                <w:b/>
                <w:sz w:val="20"/>
                <w:szCs w:val="20"/>
                <w:lang w:val="es-ES"/>
              </w:rPr>
              <w:t xml:space="preserve">Tabla 7. Clasificación Programática </w:t>
            </w:r>
            <w:r w:rsidRPr="00D868AB">
              <w:rPr>
                <w:rFonts w:eastAsia="Times New Roman" w:cs="Arial"/>
                <w:b/>
                <w:sz w:val="20"/>
                <w:szCs w:val="20"/>
                <w:lang w:val="es-ES"/>
              </w:rPr>
              <w:br/>
              <w:t>(Tipología General)</w:t>
            </w:r>
            <w:bookmarkEnd w:id="27"/>
            <w:bookmarkEnd w:id="28"/>
          </w:p>
        </w:tc>
      </w:tr>
      <w:tr w:rsidR="00D868AB" w:rsidRPr="00D868AB" w14:paraId="7C1FCE28" w14:textId="77777777" w:rsidTr="00A755A7">
        <w:trPr>
          <w:trHeight w:val="283"/>
          <w:tblHeader/>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A8908"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Programas Presupuestarios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C7AD40" w14:textId="77777777" w:rsidR="00D868AB" w:rsidRPr="00D868AB" w:rsidRDefault="00D868AB" w:rsidP="00D868AB">
            <w:pPr>
              <w:ind w:left="-145" w:right="-151"/>
              <w:jc w:val="center"/>
              <w:rPr>
                <w:rFonts w:cs="Arial"/>
                <w:b/>
                <w:sz w:val="20"/>
                <w:szCs w:val="20"/>
                <w:lang w:val="es-ES"/>
              </w:rPr>
            </w:pPr>
            <w:r w:rsidRPr="00D868AB">
              <w:rPr>
                <w:rFonts w:cs="Arial"/>
                <w:b/>
                <w:sz w:val="20"/>
                <w:szCs w:val="20"/>
                <w:lang w:val="es-ES"/>
              </w:rPr>
              <w:t>Clave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E7D0B"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Asignación Presupuestal</w:t>
            </w:r>
          </w:p>
        </w:tc>
      </w:tr>
      <w:tr w:rsidR="00D868AB" w:rsidRPr="00D868AB" w14:paraId="07B3B3B4"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34D974" w14:textId="77777777" w:rsidR="00D868AB" w:rsidRPr="00D868AB" w:rsidRDefault="00D868AB" w:rsidP="00D868AB">
            <w:pPr>
              <w:rPr>
                <w:rFonts w:cs="Arial"/>
                <w:b/>
                <w:bCs/>
                <w:sz w:val="20"/>
                <w:szCs w:val="20"/>
                <w:lang w:val="es-ES"/>
              </w:rPr>
            </w:pPr>
            <w:r w:rsidRPr="00D868AB">
              <w:rPr>
                <w:rFonts w:cs="Arial"/>
                <w:b/>
                <w:bCs/>
                <w:sz w:val="20"/>
                <w:szCs w:val="20"/>
                <w:lang w:val="es-ES"/>
              </w:rPr>
              <w:t>Subsidios: Sector Social y Privado o Entidades Federativas y Municipios.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719F8" w14:textId="77777777" w:rsidR="00D868AB" w:rsidRPr="00D868AB" w:rsidRDefault="00D868AB" w:rsidP="00D868AB">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C2F6A" w14:textId="77777777" w:rsidR="00D868AB" w:rsidRPr="00D868AB" w:rsidRDefault="00D868AB" w:rsidP="00D868AB">
            <w:pPr>
              <w:jc w:val="right"/>
              <w:rPr>
                <w:rFonts w:cs="Arial"/>
                <w:b/>
                <w:sz w:val="20"/>
                <w:szCs w:val="20"/>
                <w:lang w:val="es-ES"/>
              </w:rPr>
            </w:pPr>
          </w:p>
        </w:tc>
      </w:tr>
      <w:tr w:rsidR="00D868AB" w:rsidRPr="00D868AB" w14:paraId="2456F633"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01AABA" w14:textId="77777777" w:rsidR="00D868AB" w:rsidRPr="00D868AB" w:rsidRDefault="00D868AB" w:rsidP="00D868AB">
            <w:pPr>
              <w:ind w:left="252"/>
              <w:rPr>
                <w:rFonts w:cs="Arial"/>
                <w:sz w:val="20"/>
                <w:szCs w:val="20"/>
                <w:lang w:val="es-ES"/>
              </w:rPr>
            </w:pPr>
            <w:r w:rsidRPr="00D868AB">
              <w:rPr>
                <w:rFonts w:cs="Arial"/>
                <w:sz w:val="20"/>
                <w:szCs w:val="20"/>
                <w:lang w:val="es-ES"/>
              </w:rPr>
              <w:t>Sujetos a Reglas de Operación.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FF6D1A" w14:textId="77777777" w:rsidR="00D868AB" w:rsidRPr="00D868AB" w:rsidRDefault="00D868AB" w:rsidP="00D868AB">
            <w:pPr>
              <w:jc w:val="center"/>
              <w:rPr>
                <w:rFonts w:cs="Arial"/>
                <w:b/>
                <w:sz w:val="20"/>
                <w:szCs w:val="20"/>
                <w:lang w:val="es-ES"/>
              </w:rPr>
            </w:pPr>
            <w:r w:rsidRPr="00D868AB">
              <w:rPr>
                <w:rFonts w:cs="Arial"/>
                <w:b/>
                <w:sz w:val="20"/>
                <w:szCs w:val="20"/>
                <w:lang w:val="es-ES"/>
              </w:rPr>
              <w:t>S</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093584"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389,437,648 </w:t>
            </w:r>
          </w:p>
        </w:tc>
      </w:tr>
      <w:tr w:rsidR="00D868AB" w:rsidRPr="00D868AB" w14:paraId="3C1D0800"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FD5EC" w14:textId="77777777" w:rsidR="00D868AB" w:rsidRPr="00D868AB" w:rsidRDefault="00D868AB" w:rsidP="00D868AB">
            <w:pPr>
              <w:ind w:left="252"/>
              <w:rPr>
                <w:rFonts w:cs="Arial"/>
                <w:sz w:val="20"/>
                <w:szCs w:val="20"/>
                <w:lang w:val="es-ES"/>
              </w:rPr>
            </w:pPr>
            <w:r w:rsidRPr="00D868AB">
              <w:rPr>
                <w:rFonts w:cs="Arial"/>
                <w:sz w:val="20"/>
                <w:szCs w:val="20"/>
                <w:lang w:val="es-ES"/>
              </w:rPr>
              <w:t>Otros Subsidios.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2E9EF1" w14:textId="77777777" w:rsidR="00D868AB" w:rsidRPr="00D868AB" w:rsidRDefault="00D868AB" w:rsidP="00D868AB">
            <w:pPr>
              <w:jc w:val="center"/>
              <w:rPr>
                <w:rFonts w:cs="Arial"/>
                <w:b/>
                <w:sz w:val="20"/>
                <w:szCs w:val="20"/>
                <w:lang w:val="es-ES"/>
              </w:rPr>
            </w:pPr>
            <w:r w:rsidRPr="00D868AB">
              <w:rPr>
                <w:rFonts w:cs="Arial"/>
                <w:b/>
                <w:sz w:val="20"/>
                <w:szCs w:val="20"/>
                <w:lang w:val="es-ES"/>
              </w:rPr>
              <w:t>U</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46615"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390,788,047 </w:t>
            </w:r>
          </w:p>
        </w:tc>
      </w:tr>
      <w:tr w:rsidR="00D868AB" w:rsidRPr="00D868AB" w14:paraId="2B9A2BCE"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8AFB5" w14:textId="77777777" w:rsidR="00D868AB" w:rsidRPr="00D868AB" w:rsidRDefault="00D868AB" w:rsidP="00D868AB">
            <w:pPr>
              <w:rPr>
                <w:rFonts w:cs="Arial"/>
                <w:b/>
                <w:bCs/>
                <w:sz w:val="20"/>
                <w:szCs w:val="20"/>
                <w:lang w:val="es-ES"/>
              </w:rPr>
            </w:pPr>
            <w:r w:rsidRPr="00D868AB">
              <w:rPr>
                <w:rFonts w:cs="Arial"/>
                <w:b/>
                <w:bCs/>
                <w:sz w:val="20"/>
                <w:szCs w:val="20"/>
                <w:lang w:val="es-ES"/>
              </w:rPr>
              <w:t>Desempeño de las Funciones.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098612" w14:textId="77777777" w:rsidR="00D868AB" w:rsidRPr="00D868AB" w:rsidRDefault="00D868AB" w:rsidP="00D868AB">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96023" w14:textId="77777777" w:rsidR="00D868AB" w:rsidRPr="00D868AB" w:rsidRDefault="00D868AB" w:rsidP="00D868AB">
            <w:pPr>
              <w:jc w:val="right"/>
              <w:rPr>
                <w:rFonts w:cs="Arial"/>
                <w:sz w:val="20"/>
                <w:szCs w:val="20"/>
                <w:lang w:val="es-ES"/>
              </w:rPr>
            </w:pPr>
            <w:r w:rsidRPr="00D868AB">
              <w:rPr>
                <w:rFonts w:cs="Arial"/>
                <w:b/>
                <w:bCs/>
                <w:color w:val="000000"/>
                <w:sz w:val="20"/>
                <w:szCs w:val="20"/>
              </w:rPr>
              <w:t> </w:t>
            </w:r>
          </w:p>
        </w:tc>
      </w:tr>
      <w:tr w:rsidR="00D868AB" w:rsidRPr="00D868AB" w14:paraId="0DD51D3A"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F58DF" w14:textId="77777777" w:rsidR="00D868AB" w:rsidRPr="00D868AB" w:rsidRDefault="00D868AB" w:rsidP="00D868AB">
            <w:pPr>
              <w:ind w:left="252"/>
              <w:rPr>
                <w:rFonts w:cs="Arial"/>
                <w:sz w:val="20"/>
                <w:szCs w:val="20"/>
                <w:lang w:val="es-ES"/>
              </w:rPr>
            </w:pPr>
            <w:r w:rsidRPr="00D868AB">
              <w:rPr>
                <w:rFonts w:cs="Arial"/>
                <w:sz w:val="20"/>
                <w:szCs w:val="20"/>
                <w:lang w:val="es-ES"/>
              </w:rPr>
              <w:t>Prestación de Servicios Públicos.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515774" w14:textId="77777777" w:rsidR="00D868AB" w:rsidRPr="00D868AB" w:rsidRDefault="00D868AB" w:rsidP="00D868AB">
            <w:pPr>
              <w:jc w:val="center"/>
              <w:rPr>
                <w:rFonts w:cs="Arial"/>
                <w:b/>
                <w:sz w:val="20"/>
                <w:szCs w:val="20"/>
                <w:lang w:val="es-ES"/>
              </w:rPr>
            </w:pPr>
            <w:r w:rsidRPr="00D868AB">
              <w:rPr>
                <w:rFonts w:cs="Arial"/>
                <w:b/>
                <w:sz w:val="20"/>
                <w:szCs w:val="20"/>
                <w:lang w:val="es-ES"/>
              </w:rPr>
              <w:t>E</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94BAF5"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12,422,202,703 </w:t>
            </w:r>
          </w:p>
        </w:tc>
      </w:tr>
      <w:tr w:rsidR="00D868AB" w:rsidRPr="00D868AB" w14:paraId="423B9071"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EF3D7" w14:textId="77777777" w:rsidR="00D868AB" w:rsidRPr="00D868AB" w:rsidRDefault="00D868AB" w:rsidP="00D868AB">
            <w:pPr>
              <w:ind w:left="252"/>
              <w:rPr>
                <w:rFonts w:cs="Arial"/>
                <w:sz w:val="20"/>
                <w:szCs w:val="20"/>
                <w:lang w:val="es-ES"/>
              </w:rPr>
            </w:pPr>
            <w:r w:rsidRPr="00D868AB">
              <w:rPr>
                <w:rFonts w:cs="Arial"/>
                <w:sz w:val="20"/>
                <w:szCs w:val="20"/>
                <w:lang w:val="es-ES"/>
              </w:rPr>
              <w:t>Provisión de Bienes Públicos.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6D5AAA" w14:textId="77777777" w:rsidR="00D868AB" w:rsidRPr="00D868AB" w:rsidRDefault="00D868AB" w:rsidP="00D868AB">
            <w:pPr>
              <w:jc w:val="center"/>
              <w:rPr>
                <w:rFonts w:cs="Arial"/>
                <w:b/>
                <w:sz w:val="20"/>
                <w:szCs w:val="20"/>
                <w:lang w:val="es-ES"/>
              </w:rPr>
            </w:pPr>
            <w:r w:rsidRPr="00D868AB">
              <w:rPr>
                <w:rFonts w:cs="Arial"/>
                <w:b/>
                <w:sz w:val="20"/>
                <w:szCs w:val="20"/>
                <w:lang w:val="es-ES"/>
              </w:rPr>
              <w:t>B</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3C2A9C"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8,321,351 </w:t>
            </w:r>
          </w:p>
        </w:tc>
      </w:tr>
      <w:tr w:rsidR="00D868AB" w:rsidRPr="00D868AB" w14:paraId="2249DA02"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211CF1" w14:textId="77777777" w:rsidR="00D868AB" w:rsidRPr="00D868AB" w:rsidRDefault="00D868AB" w:rsidP="00D868AB">
            <w:pPr>
              <w:ind w:left="252"/>
              <w:rPr>
                <w:rFonts w:cs="Arial"/>
                <w:sz w:val="20"/>
                <w:szCs w:val="20"/>
                <w:lang w:val="es-ES"/>
              </w:rPr>
            </w:pPr>
            <w:r w:rsidRPr="00D868AB">
              <w:rPr>
                <w:rFonts w:cs="Arial"/>
                <w:sz w:val="20"/>
                <w:szCs w:val="20"/>
                <w:lang w:val="es-ES"/>
              </w:rPr>
              <w:t>Planeación, Seguimiento y Evaluación de Políticas Públicas.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FED84" w14:textId="77777777" w:rsidR="00D868AB" w:rsidRPr="00D868AB" w:rsidRDefault="00D868AB" w:rsidP="00D868AB">
            <w:pPr>
              <w:jc w:val="center"/>
              <w:rPr>
                <w:rFonts w:cs="Arial"/>
                <w:b/>
                <w:sz w:val="20"/>
                <w:szCs w:val="20"/>
                <w:lang w:val="es-ES"/>
              </w:rPr>
            </w:pPr>
            <w:r w:rsidRPr="00D868AB">
              <w:rPr>
                <w:rFonts w:cs="Arial"/>
                <w:b/>
                <w:sz w:val="20"/>
                <w:szCs w:val="20"/>
                <w:lang w:val="es-ES"/>
              </w:rPr>
              <w:t>P</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27C1FD"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124,948,579 </w:t>
            </w:r>
          </w:p>
        </w:tc>
      </w:tr>
      <w:tr w:rsidR="00D868AB" w:rsidRPr="00D868AB" w14:paraId="7B865462"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3D4311" w14:textId="77777777" w:rsidR="00D868AB" w:rsidRPr="00D868AB" w:rsidRDefault="00D868AB" w:rsidP="00D868AB">
            <w:pPr>
              <w:ind w:left="252"/>
              <w:rPr>
                <w:rFonts w:cs="Arial"/>
                <w:sz w:val="20"/>
                <w:szCs w:val="20"/>
                <w:lang w:val="es-ES"/>
              </w:rPr>
            </w:pPr>
            <w:r w:rsidRPr="00D868AB">
              <w:rPr>
                <w:rFonts w:cs="Arial"/>
                <w:sz w:val="20"/>
                <w:szCs w:val="20"/>
                <w:lang w:val="es-ES"/>
              </w:rPr>
              <w:t>Promoción y Fomento.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428976" w14:textId="77777777" w:rsidR="00D868AB" w:rsidRPr="00D868AB" w:rsidRDefault="00D868AB" w:rsidP="00D868AB">
            <w:pPr>
              <w:jc w:val="center"/>
              <w:rPr>
                <w:rFonts w:cs="Arial"/>
                <w:b/>
                <w:sz w:val="20"/>
                <w:szCs w:val="20"/>
                <w:lang w:val="es-ES"/>
              </w:rPr>
            </w:pPr>
            <w:r w:rsidRPr="00D868AB">
              <w:rPr>
                <w:rFonts w:cs="Arial"/>
                <w:b/>
                <w:sz w:val="20"/>
                <w:szCs w:val="20"/>
                <w:lang w:val="es-ES"/>
              </w:rPr>
              <w:t>F</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06D1A"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226,750,068 </w:t>
            </w:r>
          </w:p>
        </w:tc>
      </w:tr>
      <w:tr w:rsidR="00D868AB" w:rsidRPr="00D868AB" w14:paraId="100BB5C3"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6040EA" w14:textId="77777777" w:rsidR="00D868AB" w:rsidRPr="00D868AB" w:rsidRDefault="00D868AB" w:rsidP="00D868AB">
            <w:pPr>
              <w:ind w:left="252"/>
              <w:rPr>
                <w:rFonts w:cs="Arial"/>
                <w:sz w:val="20"/>
                <w:szCs w:val="20"/>
                <w:lang w:val="es-ES"/>
              </w:rPr>
            </w:pPr>
            <w:r w:rsidRPr="00D868AB">
              <w:rPr>
                <w:rFonts w:cs="Arial"/>
                <w:sz w:val="20"/>
                <w:szCs w:val="20"/>
                <w:lang w:val="es-ES"/>
              </w:rPr>
              <w:t>Regulación y Supervisión.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74106" w14:textId="77777777" w:rsidR="00D868AB" w:rsidRPr="00D868AB" w:rsidRDefault="00D868AB" w:rsidP="00D868AB">
            <w:pPr>
              <w:jc w:val="center"/>
              <w:rPr>
                <w:rFonts w:cs="Arial"/>
                <w:b/>
                <w:sz w:val="20"/>
                <w:szCs w:val="20"/>
                <w:lang w:val="es-ES"/>
              </w:rPr>
            </w:pPr>
            <w:r w:rsidRPr="00D868AB">
              <w:rPr>
                <w:rFonts w:cs="Arial"/>
                <w:b/>
                <w:sz w:val="20"/>
                <w:szCs w:val="20"/>
                <w:lang w:val="es-ES"/>
              </w:rPr>
              <w:t>G</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6724D"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31,431,771 </w:t>
            </w:r>
          </w:p>
        </w:tc>
      </w:tr>
      <w:tr w:rsidR="00D868AB" w:rsidRPr="00D868AB" w14:paraId="4C17F823"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8BFC0" w14:textId="77777777" w:rsidR="00D868AB" w:rsidRPr="00D868AB" w:rsidRDefault="00D868AB" w:rsidP="00D868AB">
            <w:pPr>
              <w:ind w:left="252"/>
              <w:rPr>
                <w:rFonts w:cs="Arial"/>
                <w:sz w:val="20"/>
                <w:szCs w:val="20"/>
                <w:lang w:val="es-ES"/>
              </w:rPr>
            </w:pPr>
            <w:r w:rsidRPr="00D868AB">
              <w:rPr>
                <w:rFonts w:cs="Arial"/>
                <w:sz w:val="20"/>
                <w:szCs w:val="20"/>
                <w:lang w:val="es-ES"/>
              </w:rPr>
              <w:t>Funciones de las Fuerzas Armadas (Únicamente Gobierno Federal).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0EE48" w14:textId="77777777" w:rsidR="00D868AB" w:rsidRPr="00D868AB" w:rsidRDefault="00D868AB" w:rsidP="00D868AB">
            <w:pPr>
              <w:jc w:val="center"/>
              <w:rPr>
                <w:rFonts w:cs="Arial"/>
                <w:b/>
                <w:sz w:val="20"/>
                <w:szCs w:val="20"/>
                <w:lang w:val="es-ES"/>
              </w:rPr>
            </w:pPr>
            <w:r w:rsidRPr="00D868AB">
              <w:rPr>
                <w:rFonts w:cs="Arial"/>
                <w:b/>
                <w:sz w:val="20"/>
                <w:szCs w:val="20"/>
                <w:lang w:val="es-ES"/>
              </w:rPr>
              <w:t>A</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F22F94"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0 </w:t>
            </w:r>
          </w:p>
        </w:tc>
      </w:tr>
      <w:tr w:rsidR="00D868AB" w:rsidRPr="00D868AB" w14:paraId="32936681"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73978" w14:textId="77777777" w:rsidR="00D868AB" w:rsidRPr="00D868AB" w:rsidRDefault="00D868AB" w:rsidP="00D868AB">
            <w:pPr>
              <w:ind w:left="252"/>
              <w:rPr>
                <w:rFonts w:cs="Arial"/>
                <w:sz w:val="20"/>
                <w:szCs w:val="20"/>
                <w:lang w:val="es-ES"/>
              </w:rPr>
            </w:pPr>
            <w:r w:rsidRPr="00D868AB">
              <w:rPr>
                <w:rFonts w:cs="Arial"/>
                <w:sz w:val="20"/>
                <w:szCs w:val="20"/>
                <w:lang w:val="es-ES"/>
              </w:rPr>
              <w:t>Específicos.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8499DF" w14:textId="77777777" w:rsidR="00D868AB" w:rsidRPr="00D868AB" w:rsidRDefault="00D868AB" w:rsidP="00D868AB">
            <w:pPr>
              <w:jc w:val="center"/>
              <w:rPr>
                <w:rFonts w:cs="Arial"/>
                <w:b/>
                <w:sz w:val="20"/>
                <w:szCs w:val="20"/>
                <w:lang w:val="es-ES"/>
              </w:rPr>
            </w:pPr>
            <w:r w:rsidRPr="00D868AB">
              <w:rPr>
                <w:rFonts w:cs="Arial"/>
                <w:b/>
                <w:sz w:val="20"/>
                <w:szCs w:val="20"/>
                <w:lang w:val="es-ES"/>
              </w:rPr>
              <w:t>R</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FBB5A"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127,286,967 </w:t>
            </w:r>
          </w:p>
        </w:tc>
      </w:tr>
      <w:tr w:rsidR="00D868AB" w:rsidRPr="00D868AB" w14:paraId="60E8AD1B"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0319D" w14:textId="77777777" w:rsidR="00D868AB" w:rsidRPr="00D868AB" w:rsidRDefault="00D868AB" w:rsidP="00D868AB">
            <w:pPr>
              <w:ind w:left="252"/>
              <w:rPr>
                <w:rFonts w:cs="Arial"/>
                <w:sz w:val="20"/>
                <w:szCs w:val="20"/>
                <w:lang w:val="es-ES"/>
              </w:rPr>
            </w:pPr>
            <w:r w:rsidRPr="00D868AB">
              <w:rPr>
                <w:rFonts w:cs="Arial"/>
                <w:sz w:val="20"/>
                <w:szCs w:val="20"/>
                <w:lang w:val="es-ES"/>
              </w:rPr>
              <w:t>Proyectos de Inversión.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0C2A34" w14:textId="77777777" w:rsidR="00D868AB" w:rsidRPr="00D868AB" w:rsidRDefault="00D868AB" w:rsidP="00D868AB">
            <w:pPr>
              <w:jc w:val="center"/>
              <w:rPr>
                <w:rFonts w:cs="Arial"/>
                <w:b/>
                <w:sz w:val="20"/>
                <w:szCs w:val="20"/>
                <w:lang w:val="es-ES"/>
              </w:rPr>
            </w:pPr>
            <w:r w:rsidRPr="00D868AB">
              <w:rPr>
                <w:rFonts w:cs="Arial"/>
                <w:b/>
                <w:sz w:val="20"/>
                <w:szCs w:val="20"/>
                <w:lang w:val="es-ES"/>
              </w:rPr>
              <w:t>K</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BE262"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111,397,083 </w:t>
            </w:r>
          </w:p>
        </w:tc>
      </w:tr>
      <w:tr w:rsidR="00D868AB" w:rsidRPr="00D868AB" w14:paraId="6DB0BB8D"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5C70A" w14:textId="77777777" w:rsidR="00D868AB" w:rsidRPr="00D868AB" w:rsidRDefault="00D868AB" w:rsidP="00D868AB">
            <w:pPr>
              <w:rPr>
                <w:rFonts w:cs="Arial"/>
                <w:b/>
                <w:bCs/>
                <w:sz w:val="20"/>
                <w:szCs w:val="20"/>
                <w:lang w:val="es-ES"/>
              </w:rPr>
            </w:pPr>
            <w:r w:rsidRPr="00D868AB">
              <w:rPr>
                <w:rFonts w:cs="Arial"/>
                <w:b/>
                <w:bCs/>
                <w:sz w:val="20"/>
                <w:szCs w:val="20"/>
                <w:lang w:val="es-ES"/>
              </w:rPr>
              <w:t>Administrativos y de Apoyo.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1A97D" w14:textId="77777777" w:rsidR="00D868AB" w:rsidRPr="00D868AB" w:rsidRDefault="00D868AB" w:rsidP="00D868AB">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01EF7" w14:textId="77777777" w:rsidR="00D868AB" w:rsidRPr="00D868AB" w:rsidRDefault="00D868AB" w:rsidP="00D868AB">
            <w:pPr>
              <w:jc w:val="right"/>
              <w:rPr>
                <w:rFonts w:cs="Arial"/>
                <w:sz w:val="20"/>
                <w:szCs w:val="20"/>
                <w:lang w:val="es-ES"/>
              </w:rPr>
            </w:pPr>
            <w:r w:rsidRPr="00D868AB">
              <w:rPr>
                <w:rFonts w:cs="Arial"/>
                <w:b/>
                <w:bCs/>
                <w:color w:val="000000"/>
                <w:sz w:val="20"/>
                <w:szCs w:val="20"/>
              </w:rPr>
              <w:t> </w:t>
            </w:r>
          </w:p>
        </w:tc>
      </w:tr>
      <w:tr w:rsidR="00D868AB" w:rsidRPr="00D868AB" w14:paraId="60A01C4D"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17F78D" w14:textId="77777777" w:rsidR="00D868AB" w:rsidRPr="00D868AB" w:rsidRDefault="00D868AB" w:rsidP="00D868AB">
            <w:pPr>
              <w:ind w:left="252"/>
              <w:rPr>
                <w:rFonts w:cs="Arial"/>
                <w:sz w:val="20"/>
                <w:szCs w:val="20"/>
                <w:lang w:val="es-ES"/>
              </w:rPr>
            </w:pPr>
            <w:r w:rsidRPr="00D868AB">
              <w:rPr>
                <w:rFonts w:cs="Arial"/>
                <w:sz w:val="20"/>
                <w:szCs w:val="20"/>
                <w:lang w:val="es-ES"/>
              </w:rPr>
              <w:t>Apoyo al Proceso Presupuestario y para Mejorar la Eficiencia Institucional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0A248" w14:textId="77777777" w:rsidR="00D868AB" w:rsidRPr="00D868AB" w:rsidRDefault="00D868AB" w:rsidP="00D868AB">
            <w:pPr>
              <w:jc w:val="center"/>
              <w:rPr>
                <w:rFonts w:cs="Arial"/>
                <w:b/>
                <w:sz w:val="20"/>
                <w:szCs w:val="20"/>
                <w:lang w:val="es-ES"/>
              </w:rPr>
            </w:pPr>
            <w:r w:rsidRPr="00D868AB">
              <w:rPr>
                <w:rFonts w:cs="Arial"/>
                <w:b/>
                <w:sz w:val="20"/>
                <w:szCs w:val="20"/>
                <w:lang w:val="es-ES"/>
              </w:rPr>
              <w:t>M</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E77A0"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162,466,341 </w:t>
            </w:r>
          </w:p>
        </w:tc>
      </w:tr>
      <w:tr w:rsidR="00D868AB" w:rsidRPr="00D868AB" w14:paraId="073E86E8"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A9461" w14:textId="77777777" w:rsidR="00D868AB" w:rsidRPr="00D868AB" w:rsidRDefault="00D868AB" w:rsidP="00D868AB">
            <w:pPr>
              <w:ind w:left="252"/>
              <w:rPr>
                <w:rFonts w:cs="Arial"/>
                <w:sz w:val="20"/>
                <w:szCs w:val="20"/>
                <w:lang w:val="es-ES"/>
              </w:rPr>
            </w:pPr>
            <w:r w:rsidRPr="00D868AB">
              <w:rPr>
                <w:rFonts w:cs="Arial"/>
                <w:sz w:val="20"/>
                <w:szCs w:val="20"/>
                <w:lang w:val="es-ES"/>
              </w:rPr>
              <w:lastRenderedPageBreak/>
              <w:t>Apoyo a la Función Pública y al Mejoramiento de la Gestión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4859" w14:textId="77777777" w:rsidR="00D868AB" w:rsidRPr="00D868AB" w:rsidRDefault="00D868AB" w:rsidP="00D868AB">
            <w:pPr>
              <w:jc w:val="center"/>
              <w:rPr>
                <w:rFonts w:cs="Arial"/>
                <w:b/>
                <w:sz w:val="20"/>
                <w:szCs w:val="20"/>
                <w:lang w:val="es-ES"/>
              </w:rPr>
            </w:pPr>
            <w:r w:rsidRPr="00D868AB">
              <w:rPr>
                <w:rFonts w:cs="Arial"/>
                <w:b/>
                <w:sz w:val="20"/>
                <w:szCs w:val="20"/>
                <w:lang w:val="es-ES"/>
              </w:rPr>
              <w:t>O</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34297"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6,500,000 </w:t>
            </w:r>
          </w:p>
        </w:tc>
      </w:tr>
      <w:tr w:rsidR="00D868AB" w:rsidRPr="00D868AB" w14:paraId="1BCA4118"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CA2310" w14:textId="77777777" w:rsidR="00D868AB" w:rsidRPr="00D868AB" w:rsidRDefault="00D868AB" w:rsidP="00D868AB">
            <w:pPr>
              <w:ind w:left="252"/>
              <w:rPr>
                <w:rFonts w:cs="Arial"/>
                <w:sz w:val="20"/>
                <w:szCs w:val="20"/>
                <w:lang w:val="es-ES"/>
              </w:rPr>
            </w:pPr>
            <w:r w:rsidRPr="00D868AB">
              <w:rPr>
                <w:rFonts w:cs="Arial"/>
                <w:sz w:val="20"/>
                <w:szCs w:val="20"/>
                <w:lang w:val="es-ES"/>
              </w:rPr>
              <w:t>Operaciones Ajenas.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FD9CE" w14:textId="77777777" w:rsidR="00D868AB" w:rsidRPr="00D868AB" w:rsidRDefault="00D868AB" w:rsidP="00D868AB">
            <w:pPr>
              <w:jc w:val="center"/>
              <w:rPr>
                <w:rFonts w:cs="Arial"/>
                <w:b/>
                <w:sz w:val="20"/>
                <w:szCs w:val="20"/>
                <w:lang w:val="es-ES"/>
              </w:rPr>
            </w:pPr>
            <w:r w:rsidRPr="00D868AB">
              <w:rPr>
                <w:rFonts w:cs="Arial"/>
                <w:b/>
                <w:sz w:val="20"/>
                <w:szCs w:val="20"/>
                <w:lang w:val="es-ES"/>
              </w:rPr>
              <w:t>W</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438821"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0 </w:t>
            </w:r>
          </w:p>
        </w:tc>
      </w:tr>
      <w:tr w:rsidR="00D868AB" w:rsidRPr="00D868AB" w14:paraId="04F7D32B"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FE6CC" w14:textId="77777777" w:rsidR="00D868AB" w:rsidRPr="00D868AB" w:rsidRDefault="00D868AB" w:rsidP="00D868AB">
            <w:pPr>
              <w:rPr>
                <w:rFonts w:cs="Arial"/>
                <w:b/>
                <w:bCs/>
                <w:sz w:val="20"/>
                <w:szCs w:val="20"/>
                <w:lang w:val="es-ES"/>
              </w:rPr>
            </w:pPr>
            <w:r w:rsidRPr="00D868AB">
              <w:rPr>
                <w:rFonts w:cs="Arial"/>
                <w:b/>
                <w:bCs/>
                <w:sz w:val="20"/>
                <w:szCs w:val="20"/>
                <w:lang w:val="es-ES"/>
              </w:rPr>
              <w:t>Compromisos.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B5F8F9" w14:textId="77777777" w:rsidR="00D868AB" w:rsidRPr="00D868AB" w:rsidRDefault="00D868AB" w:rsidP="00D868AB">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D52A1" w14:textId="77777777" w:rsidR="00D868AB" w:rsidRPr="00D868AB" w:rsidRDefault="00D868AB" w:rsidP="00D868AB">
            <w:pPr>
              <w:jc w:val="right"/>
              <w:rPr>
                <w:rFonts w:cs="Arial"/>
                <w:sz w:val="20"/>
                <w:szCs w:val="20"/>
                <w:lang w:val="es-ES"/>
              </w:rPr>
            </w:pPr>
            <w:r w:rsidRPr="00D868AB">
              <w:rPr>
                <w:rFonts w:cs="Arial"/>
                <w:b/>
                <w:bCs/>
                <w:color w:val="000000"/>
                <w:sz w:val="20"/>
                <w:szCs w:val="20"/>
              </w:rPr>
              <w:t> </w:t>
            </w:r>
          </w:p>
        </w:tc>
      </w:tr>
      <w:tr w:rsidR="00D868AB" w:rsidRPr="00D868AB" w14:paraId="137FF657"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6CC295" w14:textId="77777777" w:rsidR="00D868AB" w:rsidRPr="00D868AB" w:rsidRDefault="00D868AB" w:rsidP="00D868AB">
            <w:pPr>
              <w:ind w:left="252"/>
              <w:rPr>
                <w:rFonts w:cs="Arial"/>
                <w:sz w:val="20"/>
                <w:szCs w:val="20"/>
                <w:lang w:val="es-ES"/>
              </w:rPr>
            </w:pPr>
            <w:r w:rsidRPr="00D868AB">
              <w:rPr>
                <w:rFonts w:cs="Arial"/>
                <w:sz w:val="20"/>
                <w:szCs w:val="20"/>
                <w:lang w:val="es-ES"/>
              </w:rPr>
              <w:t>Obligaciones de Cumplimiento de Resolución Jurisdiccional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719D2E" w14:textId="77777777" w:rsidR="00D868AB" w:rsidRPr="00D868AB" w:rsidRDefault="00D868AB" w:rsidP="00D868AB">
            <w:pPr>
              <w:jc w:val="center"/>
              <w:rPr>
                <w:rFonts w:cs="Arial"/>
                <w:b/>
                <w:sz w:val="20"/>
                <w:szCs w:val="20"/>
                <w:lang w:val="es-ES"/>
              </w:rPr>
            </w:pPr>
            <w:r w:rsidRPr="00D868AB">
              <w:rPr>
                <w:rFonts w:cs="Arial"/>
                <w:b/>
                <w:sz w:val="20"/>
                <w:szCs w:val="20"/>
                <w:lang w:val="es-ES"/>
              </w:rPr>
              <w:t>L</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A7B963"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0 </w:t>
            </w:r>
          </w:p>
        </w:tc>
      </w:tr>
      <w:tr w:rsidR="00D868AB" w:rsidRPr="00D868AB" w14:paraId="6091D939"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A263F" w14:textId="77777777" w:rsidR="00D868AB" w:rsidRPr="00D868AB" w:rsidRDefault="00D868AB" w:rsidP="00D868AB">
            <w:pPr>
              <w:ind w:left="252"/>
              <w:rPr>
                <w:rFonts w:cs="Arial"/>
                <w:sz w:val="20"/>
                <w:szCs w:val="20"/>
                <w:lang w:val="es-ES"/>
              </w:rPr>
            </w:pPr>
            <w:r w:rsidRPr="00D868AB">
              <w:rPr>
                <w:rFonts w:cs="Arial"/>
                <w:sz w:val="20"/>
                <w:szCs w:val="20"/>
                <w:lang w:val="es-ES"/>
              </w:rPr>
              <w:t>Desastres Naturales.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A1309" w14:textId="77777777" w:rsidR="00D868AB" w:rsidRPr="00D868AB" w:rsidRDefault="00D868AB" w:rsidP="00D868AB">
            <w:pPr>
              <w:jc w:val="center"/>
              <w:rPr>
                <w:rFonts w:cs="Arial"/>
                <w:b/>
                <w:sz w:val="20"/>
                <w:szCs w:val="20"/>
                <w:lang w:val="es-ES"/>
              </w:rPr>
            </w:pPr>
            <w:r w:rsidRPr="00D868AB">
              <w:rPr>
                <w:rFonts w:cs="Arial"/>
                <w:b/>
                <w:sz w:val="20"/>
                <w:szCs w:val="20"/>
                <w:lang w:val="es-ES"/>
              </w:rPr>
              <w:t>N</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F8F312"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57,354,861 </w:t>
            </w:r>
          </w:p>
        </w:tc>
      </w:tr>
      <w:tr w:rsidR="00D868AB" w:rsidRPr="00D868AB" w14:paraId="5D0F86AB"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4737D2" w14:textId="77777777" w:rsidR="00D868AB" w:rsidRPr="00D868AB" w:rsidRDefault="00D868AB" w:rsidP="00D868AB">
            <w:pPr>
              <w:rPr>
                <w:rFonts w:cs="Arial"/>
                <w:b/>
                <w:bCs/>
                <w:sz w:val="20"/>
                <w:szCs w:val="20"/>
                <w:lang w:val="es-ES"/>
              </w:rPr>
            </w:pPr>
            <w:r w:rsidRPr="00D868AB">
              <w:rPr>
                <w:rFonts w:cs="Arial"/>
                <w:b/>
                <w:bCs/>
                <w:sz w:val="20"/>
                <w:szCs w:val="20"/>
                <w:lang w:val="es-ES"/>
              </w:rPr>
              <w:t>Obligaciones.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56482" w14:textId="77777777" w:rsidR="00D868AB" w:rsidRPr="00D868AB" w:rsidRDefault="00D868AB" w:rsidP="00D868AB">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5D944F" w14:textId="77777777" w:rsidR="00D868AB" w:rsidRPr="00D868AB" w:rsidRDefault="00D868AB" w:rsidP="00D868AB">
            <w:pPr>
              <w:jc w:val="right"/>
              <w:rPr>
                <w:rFonts w:cs="Arial"/>
                <w:sz w:val="20"/>
                <w:szCs w:val="20"/>
                <w:lang w:val="es-ES"/>
              </w:rPr>
            </w:pPr>
            <w:r w:rsidRPr="00D868AB">
              <w:rPr>
                <w:rFonts w:cs="Arial"/>
                <w:b/>
                <w:bCs/>
                <w:color w:val="000000"/>
                <w:sz w:val="20"/>
                <w:szCs w:val="20"/>
              </w:rPr>
              <w:t> </w:t>
            </w:r>
          </w:p>
        </w:tc>
      </w:tr>
      <w:tr w:rsidR="00D868AB" w:rsidRPr="00D868AB" w14:paraId="5F6DE0DC"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AE4495" w14:textId="77777777" w:rsidR="00D868AB" w:rsidRPr="00D868AB" w:rsidRDefault="00D868AB" w:rsidP="00D868AB">
            <w:pPr>
              <w:ind w:left="252"/>
              <w:rPr>
                <w:rFonts w:cs="Arial"/>
                <w:sz w:val="20"/>
                <w:szCs w:val="20"/>
                <w:lang w:val="es-ES"/>
              </w:rPr>
            </w:pPr>
            <w:r w:rsidRPr="00D868AB">
              <w:rPr>
                <w:rFonts w:cs="Arial"/>
                <w:sz w:val="20"/>
                <w:szCs w:val="20"/>
                <w:lang w:val="es-ES"/>
              </w:rPr>
              <w:t>Pensiones y Jubilaciones.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89E8A3" w14:textId="77777777" w:rsidR="00D868AB" w:rsidRPr="00D868AB" w:rsidRDefault="00D868AB" w:rsidP="00D868AB">
            <w:pPr>
              <w:jc w:val="center"/>
              <w:rPr>
                <w:rFonts w:cs="Arial"/>
                <w:b/>
                <w:sz w:val="20"/>
                <w:szCs w:val="20"/>
                <w:lang w:val="es-ES"/>
              </w:rPr>
            </w:pPr>
            <w:r w:rsidRPr="00D868AB">
              <w:rPr>
                <w:rFonts w:cs="Arial"/>
                <w:b/>
                <w:sz w:val="20"/>
                <w:szCs w:val="20"/>
                <w:lang w:val="es-ES"/>
              </w:rPr>
              <w:t>J</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E8D41"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1,139,437,158 </w:t>
            </w:r>
          </w:p>
        </w:tc>
      </w:tr>
      <w:tr w:rsidR="00D868AB" w:rsidRPr="00D868AB" w14:paraId="0BF2674A"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8477E" w14:textId="77777777" w:rsidR="00D868AB" w:rsidRPr="00D868AB" w:rsidRDefault="00D868AB" w:rsidP="00D868AB">
            <w:pPr>
              <w:ind w:left="252"/>
              <w:rPr>
                <w:rFonts w:cs="Arial"/>
                <w:sz w:val="20"/>
                <w:szCs w:val="20"/>
                <w:lang w:val="es-ES"/>
              </w:rPr>
            </w:pPr>
            <w:r w:rsidRPr="00D868AB">
              <w:rPr>
                <w:rFonts w:cs="Arial"/>
                <w:sz w:val="20"/>
                <w:szCs w:val="20"/>
                <w:lang w:val="es-ES"/>
              </w:rPr>
              <w:t>Aportaciones a la Seguridad Social.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B7201" w14:textId="77777777" w:rsidR="00D868AB" w:rsidRPr="00D868AB" w:rsidRDefault="00D868AB" w:rsidP="00D868AB">
            <w:pPr>
              <w:jc w:val="center"/>
              <w:rPr>
                <w:rFonts w:cs="Arial"/>
                <w:b/>
                <w:sz w:val="20"/>
                <w:szCs w:val="20"/>
                <w:lang w:val="es-ES"/>
              </w:rPr>
            </w:pPr>
            <w:r w:rsidRPr="00D868AB">
              <w:rPr>
                <w:rFonts w:cs="Arial"/>
                <w:b/>
                <w:sz w:val="20"/>
                <w:szCs w:val="20"/>
                <w:lang w:val="es-ES"/>
              </w:rPr>
              <w:t>T</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18A46"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242,646,560 </w:t>
            </w:r>
          </w:p>
        </w:tc>
      </w:tr>
      <w:tr w:rsidR="00D868AB" w:rsidRPr="00D868AB" w14:paraId="7C6D0A57"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713CC6" w14:textId="77777777" w:rsidR="00D868AB" w:rsidRPr="00D868AB" w:rsidRDefault="00D868AB" w:rsidP="00D868AB">
            <w:pPr>
              <w:ind w:left="252"/>
              <w:rPr>
                <w:rFonts w:cs="Arial"/>
                <w:sz w:val="20"/>
                <w:szCs w:val="20"/>
                <w:lang w:val="es-ES"/>
              </w:rPr>
            </w:pPr>
            <w:r w:rsidRPr="00D868AB">
              <w:rPr>
                <w:rFonts w:cs="Arial"/>
                <w:sz w:val="20"/>
                <w:szCs w:val="20"/>
                <w:lang w:val="es-ES"/>
              </w:rPr>
              <w:t>Aportaciones a Fondos de Estabilización.</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56F4B" w14:textId="77777777" w:rsidR="00D868AB" w:rsidRPr="00D868AB" w:rsidRDefault="00D868AB" w:rsidP="00D868AB">
            <w:pPr>
              <w:jc w:val="center"/>
              <w:rPr>
                <w:rFonts w:cs="Arial"/>
                <w:b/>
                <w:sz w:val="20"/>
                <w:szCs w:val="20"/>
                <w:lang w:val="es-ES"/>
              </w:rPr>
            </w:pPr>
            <w:r w:rsidRPr="00D868AB">
              <w:rPr>
                <w:rFonts w:cs="Arial"/>
                <w:b/>
                <w:sz w:val="20"/>
                <w:szCs w:val="20"/>
                <w:lang w:val="es-ES"/>
              </w:rPr>
              <w:t>Y</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FB515D"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0 </w:t>
            </w:r>
          </w:p>
        </w:tc>
      </w:tr>
      <w:tr w:rsidR="00D868AB" w:rsidRPr="00D868AB" w14:paraId="6B705E15"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2963A" w14:textId="77777777" w:rsidR="00D868AB" w:rsidRPr="00D868AB" w:rsidRDefault="00D868AB" w:rsidP="00D868AB">
            <w:pPr>
              <w:ind w:left="252"/>
              <w:rPr>
                <w:rFonts w:cs="Arial"/>
                <w:sz w:val="20"/>
                <w:szCs w:val="20"/>
                <w:lang w:val="es-ES"/>
              </w:rPr>
            </w:pPr>
            <w:r w:rsidRPr="00D868AB">
              <w:rPr>
                <w:rFonts w:cs="Arial"/>
                <w:sz w:val="20"/>
                <w:szCs w:val="20"/>
                <w:lang w:val="es-ES"/>
              </w:rPr>
              <w:t>Aportaciones a Fondos de Inversión y Reestructura de Pensiones.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1B30" w14:textId="77777777" w:rsidR="00D868AB" w:rsidRPr="00D868AB" w:rsidRDefault="00D868AB" w:rsidP="00D868AB">
            <w:pPr>
              <w:jc w:val="center"/>
              <w:rPr>
                <w:rFonts w:cs="Arial"/>
                <w:b/>
                <w:sz w:val="20"/>
                <w:szCs w:val="20"/>
                <w:lang w:val="es-ES"/>
              </w:rPr>
            </w:pPr>
            <w:r w:rsidRPr="00D868AB">
              <w:rPr>
                <w:rFonts w:cs="Arial"/>
                <w:b/>
                <w:sz w:val="20"/>
                <w:szCs w:val="20"/>
                <w:lang w:val="es-ES"/>
              </w:rPr>
              <w:t>Z</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204D5" w14:textId="77777777" w:rsidR="00D868AB" w:rsidRPr="00D868AB" w:rsidRDefault="00D868AB" w:rsidP="00D868AB">
            <w:pPr>
              <w:jc w:val="right"/>
              <w:rPr>
                <w:rFonts w:cs="Arial"/>
                <w:color w:val="000000"/>
                <w:sz w:val="20"/>
                <w:szCs w:val="20"/>
              </w:rPr>
            </w:pPr>
            <w:r w:rsidRPr="00D868AB">
              <w:rPr>
                <w:rFonts w:cs="Arial"/>
                <w:color w:val="000000"/>
                <w:sz w:val="20"/>
                <w:szCs w:val="20"/>
              </w:rPr>
              <w:t xml:space="preserve">0 </w:t>
            </w:r>
          </w:p>
        </w:tc>
      </w:tr>
      <w:tr w:rsidR="00D868AB" w:rsidRPr="00D868AB" w14:paraId="2FA9310F"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62B76" w14:textId="77777777" w:rsidR="00D868AB" w:rsidRPr="00D868AB" w:rsidRDefault="00D868AB" w:rsidP="00D868AB">
            <w:pPr>
              <w:rPr>
                <w:rFonts w:cs="Arial"/>
                <w:b/>
                <w:bCs/>
                <w:sz w:val="20"/>
                <w:szCs w:val="20"/>
                <w:lang w:val="es-ES"/>
              </w:rPr>
            </w:pPr>
            <w:r w:rsidRPr="00D868AB">
              <w:rPr>
                <w:rFonts w:cs="Arial"/>
                <w:b/>
                <w:bCs/>
                <w:sz w:val="20"/>
                <w:szCs w:val="20"/>
                <w:lang w:val="es-ES"/>
              </w:rPr>
              <w:t>Programas de Gasto Federalizado (Gobierno Federal).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E33FF" w14:textId="77777777" w:rsidR="00D868AB" w:rsidRPr="00D868AB" w:rsidRDefault="00D868AB" w:rsidP="00D868AB">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D8738" w14:textId="77777777" w:rsidR="00D868AB" w:rsidRPr="00D868AB" w:rsidRDefault="00D868AB" w:rsidP="00D868AB">
            <w:pPr>
              <w:jc w:val="right"/>
              <w:rPr>
                <w:rFonts w:cs="Arial"/>
                <w:sz w:val="20"/>
                <w:szCs w:val="20"/>
                <w:lang w:val="es-ES"/>
              </w:rPr>
            </w:pPr>
            <w:r w:rsidRPr="00D868AB">
              <w:rPr>
                <w:rFonts w:cs="Arial"/>
                <w:b/>
                <w:bCs/>
                <w:color w:val="000000"/>
                <w:sz w:val="20"/>
                <w:szCs w:val="20"/>
              </w:rPr>
              <w:t> </w:t>
            </w:r>
          </w:p>
        </w:tc>
      </w:tr>
      <w:tr w:rsidR="00D868AB" w:rsidRPr="00D868AB" w14:paraId="750C1240"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CBCB65" w14:textId="77777777" w:rsidR="00D868AB" w:rsidRPr="00D868AB" w:rsidRDefault="00D868AB" w:rsidP="00D868AB">
            <w:pPr>
              <w:rPr>
                <w:rFonts w:cs="Arial"/>
                <w:b/>
                <w:bCs/>
                <w:sz w:val="20"/>
                <w:szCs w:val="20"/>
                <w:lang w:val="es-ES"/>
              </w:rPr>
            </w:pPr>
            <w:r w:rsidRPr="00D868AB">
              <w:rPr>
                <w:rFonts w:cs="Arial"/>
                <w:b/>
                <w:bCs/>
                <w:sz w:val="20"/>
                <w:szCs w:val="20"/>
                <w:lang w:val="es-ES"/>
              </w:rPr>
              <w:t>Gasto Federalizado.</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4684FC" w14:textId="77777777" w:rsidR="00D868AB" w:rsidRPr="00D868AB" w:rsidRDefault="00D868AB" w:rsidP="00D868AB">
            <w:pPr>
              <w:jc w:val="center"/>
              <w:rPr>
                <w:rFonts w:cs="Arial"/>
                <w:b/>
                <w:sz w:val="20"/>
                <w:szCs w:val="20"/>
                <w:lang w:val="es-ES"/>
              </w:rPr>
            </w:pPr>
            <w:r w:rsidRPr="00D868AB">
              <w:rPr>
                <w:rFonts w:cs="Arial"/>
                <w:b/>
                <w:sz w:val="20"/>
                <w:szCs w:val="20"/>
                <w:lang w:val="es-ES"/>
              </w:rPr>
              <w:t>I</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68803A"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2,216,267,363 </w:t>
            </w:r>
          </w:p>
        </w:tc>
      </w:tr>
      <w:tr w:rsidR="00D868AB" w:rsidRPr="00D868AB" w14:paraId="3AC247F4"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11A4" w14:textId="77777777" w:rsidR="00D868AB" w:rsidRPr="00D868AB" w:rsidRDefault="00D868AB" w:rsidP="00D868AB">
            <w:pPr>
              <w:rPr>
                <w:rFonts w:cs="Arial"/>
                <w:b/>
                <w:bCs/>
                <w:sz w:val="20"/>
                <w:szCs w:val="20"/>
                <w:lang w:val="es-ES"/>
              </w:rPr>
            </w:pPr>
            <w:r w:rsidRPr="00D868AB">
              <w:rPr>
                <w:rFonts w:cs="Arial"/>
                <w:b/>
                <w:bCs/>
                <w:sz w:val="20"/>
                <w:szCs w:val="20"/>
                <w:lang w:val="es-ES"/>
              </w:rPr>
              <w:t>Participaciones a Entidades Federativas y Municipios.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22AC1B" w14:textId="77777777" w:rsidR="00D868AB" w:rsidRPr="00D868AB" w:rsidRDefault="00D868AB" w:rsidP="00D868AB">
            <w:pPr>
              <w:jc w:val="center"/>
              <w:rPr>
                <w:rFonts w:cs="Arial"/>
                <w:b/>
                <w:sz w:val="20"/>
                <w:szCs w:val="20"/>
                <w:lang w:val="es-ES"/>
              </w:rPr>
            </w:pPr>
            <w:r w:rsidRPr="00D868AB">
              <w:rPr>
                <w:rFonts w:cs="Arial"/>
                <w:b/>
                <w:sz w:val="20"/>
                <w:szCs w:val="20"/>
                <w:lang w:val="es-ES"/>
              </w:rPr>
              <w:t>C</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12E19"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2,008,410,917 </w:t>
            </w:r>
          </w:p>
        </w:tc>
      </w:tr>
      <w:tr w:rsidR="00D868AB" w:rsidRPr="00D868AB" w14:paraId="51C9740D"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F316F" w14:textId="77777777" w:rsidR="00D868AB" w:rsidRPr="00D868AB" w:rsidRDefault="00D868AB" w:rsidP="00D868AB">
            <w:pPr>
              <w:rPr>
                <w:rFonts w:cs="Arial"/>
                <w:b/>
                <w:bCs/>
                <w:sz w:val="20"/>
                <w:szCs w:val="20"/>
                <w:lang w:val="es-ES"/>
              </w:rPr>
            </w:pPr>
            <w:r w:rsidRPr="00D868AB">
              <w:rPr>
                <w:rFonts w:cs="Arial"/>
                <w:b/>
                <w:bCs/>
                <w:sz w:val="20"/>
                <w:szCs w:val="20"/>
                <w:lang w:val="es-ES"/>
              </w:rPr>
              <w:t>Costo financiero, Deuda o Apoyos a Deudores y Ahorradores de la Banca.</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84856" w14:textId="77777777" w:rsidR="00D868AB" w:rsidRPr="00D868AB" w:rsidRDefault="00D868AB" w:rsidP="00D868AB">
            <w:pPr>
              <w:jc w:val="center"/>
              <w:rPr>
                <w:rFonts w:cs="Arial"/>
                <w:b/>
                <w:sz w:val="20"/>
                <w:szCs w:val="20"/>
                <w:lang w:val="es-ES"/>
              </w:rPr>
            </w:pPr>
            <w:r w:rsidRPr="00D868AB">
              <w:rPr>
                <w:rFonts w:cs="Arial"/>
                <w:b/>
                <w:sz w:val="20"/>
                <w:szCs w:val="20"/>
                <w:lang w:val="es-ES"/>
              </w:rPr>
              <w:t>D</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C035A"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732,291,440 </w:t>
            </w:r>
          </w:p>
        </w:tc>
      </w:tr>
      <w:tr w:rsidR="00D868AB" w:rsidRPr="00D868AB" w14:paraId="7F220BA5"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760731" w14:textId="77777777" w:rsidR="00D868AB" w:rsidRPr="00D868AB" w:rsidRDefault="00D868AB" w:rsidP="00D868AB">
            <w:pPr>
              <w:rPr>
                <w:rFonts w:cs="Arial"/>
                <w:b/>
                <w:sz w:val="20"/>
                <w:szCs w:val="20"/>
                <w:lang w:val="es-ES"/>
              </w:rPr>
            </w:pPr>
            <w:r w:rsidRPr="00D868AB">
              <w:rPr>
                <w:rFonts w:cs="Arial"/>
                <w:b/>
                <w:sz w:val="20"/>
                <w:szCs w:val="20"/>
                <w:lang w:val="es-ES"/>
              </w:rPr>
              <w:t>Adeudos de Ejercicios Fiscales Anteriores.</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EAEEE" w14:textId="77777777" w:rsidR="00D868AB" w:rsidRPr="00D868AB" w:rsidRDefault="00D868AB" w:rsidP="00D868AB">
            <w:pPr>
              <w:jc w:val="center"/>
              <w:rPr>
                <w:rFonts w:cs="Arial"/>
                <w:b/>
                <w:sz w:val="20"/>
                <w:szCs w:val="20"/>
                <w:lang w:val="es-ES"/>
              </w:rPr>
            </w:pPr>
            <w:r w:rsidRPr="00D868AB">
              <w:rPr>
                <w:rFonts w:cs="Arial"/>
                <w:b/>
                <w:sz w:val="20"/>
                <w:szCs w:val="20"/>
                <w:lang w:val="es-ES"/>
              </w:rPr>
              <w:t>H</w:t>
            </w: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9A8EB" w14:textId="77777777" w:rsidR="00D868AB" w:rsidRPr="00D868AB" w:rsidRDefault="00D868AB" w:rsidP="00D868AB">
            <w:pPr>
              <w:jc w:val="right"/>
              <w:rPr>
                <w:rFonts w:cs="Arial"/>
                <w:sz w:val="20"/>
                <w:szCs w:val="20"/>
                <w:lang w:val="es-ES"/>
              </w:rPr>
            </w:pPr>
            <w:r w:rsidRPr="00D868AB">
              <w:rPr>
                <w:rFonts w:cs="Arial"/>
                <w:color w:val="000000"/>
                <w:sz w:val="20"/>
                <w:szCs w:val="20"/>
              </w:rPr>
              <w:t xml:space="preserve">157,361,143 </w:t>
            </w:r>
          </w:p>
        </w:tc>
      </w:tr>
      <w:tr w:rsidR="00D868AB" w:rsidRPr="00D868AB" w14:paraId="339DC1E3" w14:textId="77777777" w:rsidTr="00A755A7">
        <w:trPr>
          <w:trHeight w:val="283"/>
          <w:jc w:val="center"/>
        </w:trPr>
        <w:tc>
          <w:tcPr>
            <w:tcW w:w="5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25B5B2"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Total</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85823" w14:textId="77777777" w:rsidR="00D868AB" w:rsidRPr="00D868AB" w:rsidRDefault="00D868AB" w:rsidP="00D868AB">
            <w:pPr>
              <w:rPr>
                <w:rFonts w:cs="Arial"/>
                <w:b/>
                <w:bCs/>
                <w:sz w:val="20"/>
                <w:szCs w:val="20"/>
                <w:lang w:val="es-ES"/>
              </w:rPr>
            </w:pPr>
          </w:p>
        </w:tc>
        <w:tc>
          <w:tcPr>
            <w:tcW w:w="160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1A14D2" w14:textId="77777777" w:rsidR="00D868AB" w:rsidRPr="00D868AB" w:rsidRDefault="00D868AB" w:rsidP="00D868AB">
            <w:pPr>
              <w:jc w:val="right"/>
              <w:rPr>
                <w:rFonts w:cs="Arial"/>
                <w:b/>
                <w:bCs/>
                <w:color w:val="000000"/>
                <w:sz w:val="20"/>
                <w:szCs w:val="20"/>
              </w:rPr>
            </w:pPr>
            <w:r w:rsidRPr="00D868AB">
              <w:rPr>
                <w:rFonts w:cs="Arial"/>
                <w:b/>
                <w:bCs/>
                <w:color w:val="000000"/>
                <w:sz w:val="20"/>
                <w:szCs w:val="20"/>
              </w:rPr>
              <w:t xml:space="preserve">20,555,300,000 </w:t>
            </w:r>
          </w:p>
        </w:tc>
      </w:tr>
    </w:tbl>
    <w:p w14:paraId="4623F635" w14:textId="77777777" w:rsidR="00D868AB" w:rsidRPr="00D868AB" w:rsidRDefault="00D868AB" w:rsidP="00D868AB">
      <w:pPr>
        <w:rPr>
          <w:rFonts w:cs="Arial"/>
          <w:b/>
          <w:lang w:val="es-ES"/>
        </w:rPr>
      </w:pPr>
    </w:p>
    <w:p w14:paraId="6CA939CD" w14:textId="77777777" w:rsidR="00D868AB" w:rsidRPr="00D868AB" w:rsidRDefault="00D868AB" w:rsidP="00D868AB">
      <w:pPr>
        <w:rPr>
          <w:rFonts w:cs="Arial"/>
          <w:b/>
          <w:lang w:val="es-ES"/>
        </w:rPr>
      </w:pPr>
    </w:p>
    <w:p w14:paraId="331B528D" w14:textId="77777777" w:rsidR="00D868AB" w:rsidRPr="00D868AB" w:rsidRDefault="00D868AB" w:rsidP="00D868AB">
      <w:pPr>
        <w:jc w:val="center"/>
        <w:rPr>
          <w:rFonts w:eastAsia="Times New Roman" w:cs="Arial"/>
          <w:b/>
          <w:lang w:val="es-ES"/>
        </w:rPr>
      </w:pPr>
      <w:bookmarkStart w:id="29" w:name="_Toc526757444"/>
      <w:bookmarkStart w:id="30" w:name="_Toc22021882"/>
      <w:bookmarkStart w:id="31" w:name="_Toc22983155"/>
      <w:r w:rsidRPr="00D868AB">
        <w:rPr>
          <w:rFonts w:eastAsia="Times New Roman" w:cs="Arial"/>
          <w:b/>
          <w:lang w:val="es-ES"/>
        </w:rPr>
        <w:t>CAPÍTULO II</w:t>
      </w:r>
      <w:bookmarkEnd w:id="29"/>
      <w:bookmarkEnd w:id="30"/>
      <w:bookmarkEnd w:id="31"/>
      <w:r w:rsidRPr="00D868AB">
        <w:rPr>
          <w:rFonts w:eastAsia="Times New Roman" w:cs="Arial"/>
          <w:b/>
          <w:lang w:val="es-ES"/>
        </w:rPr>
        <w:t>I</w:t>
      </w:r>
    </w:p>
    <w:p w14:paraId="3A3AC669" w14:textId="77777777" w:rsidR="00D868AB" w:rsidRPr="00D868AB" w:rsidRDefault="00D868AB" w:rsidP="00D868AB">
      <w:pPr>
        <w:keepNext/>
        <w:keepLines/>
        <w:jc w:val="center"/>
        <w:outlineLvl w:val="0"/>
        <w:rPr>
          <w:rFonts w:eastAsia="Times New Roman" w:cs="Arial"/>
          <w:b/>
          <w:szCs w:val="32"/>
          <w:lang w:val="es-ES"/>
        </w:rPr>
      </w:pPr>
      <w:bookmarkStart w:id="32" w:name="_Toc526757445"/>
      <w:bookmarkStart w:id="33" w:name="_Toc22021883"/>
      <w:bookmarkStart w:id="34" w:name="_Toc22983156"/>
      <w:r w:rsidRPr="00D868AB">
        <w:rPr>
          <w:rFonts w:eastAsia="Times New Roman" w:cs="Arial"/>
          <w:b/>
          <w:szCs w:val="32"/>
          <w:lang w:val="es-ES"/>
        </w:rPr>
        <w:t>DE LOS ÓRGANOS AUTONOMOS Y PODERES DEL ESTADO</w:t>
      </w:r>
      <w:bookmarkEnd w:id="32"/>
      <w:bookmarkEnd w:id="33"/>
      <w:bookmarkEnd w:id="34"/>
    </w:p>
    <w:p w14:paraId="7BDA8627" w14:textId="77777777" w:rsidR="00D868AB" w:rsidRPr="00D868AB" w:rsidRDefault="00D868AB" w:rsidP="00D868AB">
      <w:pPr>
        <w:rPr>
          <w:rFonts w:eastAsia="Times New Roman" w:cs="Arial"/>
          <w:lang w:val="es-ES"/>
        </w:rPr>
      </w:pPr>
    </w:p>
    <w:p w14:paraId="09598879" w14:textId="77777777" w:rsidR="00D868AB" w:rsidRPr="00D868AB" w:rsidRDefault="00D868AB" w:rsidP="00D868AB">
      <w:pPr>
        <w:rPr>
          <w:rFonts w:cs="Arial"/>
          <w:lang w:val="es-ES"/>
        </w:rPr>
      </w:pPr>
      <w:r w:rsidRPr="00D868AB">
        <w:rPr>
          <w:rFonts w:cs="Arial"/>
          <w:b/>
          <w:lang w:val="es-ES"/>
        </w:rPr>
        <w:t>Artículo 19</w:t>
      </w:r>
      <w:r w:rsidRPr="00D868AB">
        <w:rPr>
          <w:rFonts w:cs="Arial"/>
          <w:lang w:val="es-ES"/>
        </w:rPr>
        <w:t xml:space="preserve">. Las asignaciones previstas para los </w:t>
      </w:r>
      <w:r w:rsidRPr="00D868AB">
        <w:rPr>
          <w:rFonts w:cs="Arial"/>
          <w:b/>
          <w:lang w:val="es-ES"/>
        </w:rPr>
        <w:t>Órganos Autónomos Estatales</w:t>
      </w:r>
      <w:r w:rsidRPr="00D868AB">
        <w:rPr>
          <w:rFonts w:cs="Arial"/>
          <w:lang w:val="es-ES"/>
        </w:rPr>
        <w:t xml:space="preserve"> para el Ejercicio Fiscal 2023, se distribuyen de la siguiente manera:</w:t>
      </w:r>
    </w:p>
    <w:p w14:paraId="4AD538A3" w14:textId="77777777" w:rsidR="00D868AB" w:rsidRPr="00D868AB" w:rsidRDefault="00D868AB" w:rsidP="00D868AB">
      <w:pPr>
        <w:keepNext/>
        <w:keepLines/>
        <w:outlineLvl w:val="2"/>
        <w:rPr>
          <w:rFonts w:eastAsia="Calibri" w:cs="Arial"/>
          <w:b/>
          <w:szCs w:val="24"/>
          <w:lang w:val="es-ES" w:eastAsia="en-US"/>
        </w:rPr>
      </w:pPr>
    </w:p>
    <w:p w14:paraId="70EAA545" w14:textId="77777777" w:rsidR="00D868AB" w:rsidRPr="00D868AB" w:rsidRDefault="00D868AB" w:rsidP="00D868AB">
      <w:pPr>
        <w:jc w:val="center"/>
        <w:rPr>
          <w:rFonts w:eastAsia="Times New Roman" w:cs="Arial"/>
          <w:b/>
          <w:sz w:val="20"/>
          <w:lang w:val="es-ES"/>
        </w:rPr>
      </w:pPr>
      <w:bookmarkStart w:id="35" w:name="_MON_1383569606"/>
      <w:bookmarkStart w:id="36" w:name="_MON_1381441842"/>
      <w:bookmarkStart w:id="37" w:name="_MON_1381441854"/>
      <w:bookmarkStart w:id="38" w:name="_MON_1381441860"/>
      <w:bookmarkStart w:id="39" w:name="_MON_1381441868"/>
      <w:bookmarkStart w:id="40" w:name="_MON_1381441887"/>
      <w:bookmarkStart w:id="41" w:name="_Toc522869234"/>
      <w:bookmarkStart w:id="42" w:name="_Toc526757446"/>
      <w:bookmarkStart w:id="43" w:name="_Toc22021884"/>
      <w:bookmarkStart w:id="44" w:name="_Toc22983157"/>
      <w:bookmarkEnd w:id="35"/>
      <w:bookmarkEnd w:id="36"/>
      <w:bookmarkEnd w:id="37"/>
      <w:bookmarkEnd w:id="38"/>
      <w:bookmarkEnd w:id="39"/>
      <w:bookmarkEnd w:id="40"/>
      <w:r w:rsidRPr="00D868AB">
        <w:rPr>
          <w:rFonts w:eastAsia="Times New Roman" w:cs="Arial"/>
          <w:b/>
          <w:sz w:val="20"/>
          <w:lang w:val="es-ES"/>
        </w:rPr>
        <w:t>Tabla 8. Órganos Autónomos</w:t>
      </w:r>
      <w:bookmarkEnd w:id="41"/>
      <w:r w:rsidRPr="00D868AB">
        <w:rPr>
          <w:rFonts w:eastAsia="Times New Roman" w:cs="Arial"/>
          <w:b/>
          <w:sz w:val="20"/>
          <w:lang w:val="es-ES"/>
        </w:rPr>
        <w:t xml:space="preserve"> del Estado</w:t>
      </w:r>
      <w:bookmarkEnd w:id="42"/>
      <w:bookmarkEnd w:id="43"/>
      <w:bookmarkEnd w:id="44"/>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6245"/>
        <w:gridCol w:w="1551"/>
      </w:tblGrid>
      <w:tr w:rsidR="00D868AB" w:rsidRPr="00D868AB" w14:paraId="030DE885" w14:textId="77777777" w:rsidTr="00A755A7">
        <w:trPr>
          <w:trHeight w:val="20"/>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D34305" w14:textId="77777777" w:rsidR="00D868AB" w:rsidRPr="00D868AB" w:rsidRDefault="00D868AB" w:rsidP="00D868AB">
            <w:pPr>
              <w:jc w:val="center"/>
              <w:rPr>
                <w:rFonts w:cs="Arial"/>
                <w:b/>
                <w:bCs/>
                <w:sz w:val="20"/>
                <w:lang w:val="es-ES"/>
              </w:rPr>
            </w:pPr>
            <w:r w:rsidRPr="00D868AB">
              <w:rPr>
                <w:rFonts w:cs="Arial"/>
                <w:b/>
                <w:bCs/>
                <w:sz w:val="20"/>
                <w:lang w:val="es-ES"/>
              </w:rPr>
              <w:t>Partida</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F19DD" w14:textId="77777777" w:rsidR="00D868AB" w:rsidRPr="00D868AB" w:rsidRDefault="00D868AB" w:rsidP="00D868AB">
            <w:pPr>
              <w:jc w:val="center"/>
              <w:rPr>
                <w:rFonts w:cs="Arial"/>
                <w:b/>
                <w:bCs/>
                <w:sz w:val="20"/>
                <w:lang w:val="es-ES"/>
              </w:rPr>
            </w:pPr>
            <w:r w:rsidRPr="00D868AB">
              <w:rPr>
                <w:rFonts w:cs="Arial"/>
                <w:b/>
                <w:bCs/>
                <w:sz w:val="20"/>
                <w:lang w:val="es-ES"/>
              </w:rPr>
              <w:t>Nombre</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5027A7" w14:textId="77777777" w:rsidR="00D868AB" w:rsidRPr="00D868AB" w:rsidRDefault="00D868AB" w:rsidP="00D868AB">
            <w:pPr>
              <w:jc w:val="center"/>
              <w:rPr>
                <w:rFonts w:cs="Arial"/>
                <w:b/>
                <w:bCs/>
                <w:sz w:val="20"/>
                <w:lang w:val="es-ES"/>
              </w:rPr>
            </w:pPr>
            <w:r w:rsidRPr="00D868AB">
              <w:rPr>
                <w:rFonts w:cs="Arial"/>
                <w:b/>
                <w:bCs/>
                <w:sz w:val="20"/>
                <w:lang w:val="es-ES"/>
              </w:rPr>
              <w:t>Asignación Presupuestal</w:t>
            </w:r>
          </w:p>
        </w:tc>
      </w:tr>
      <w:tr w:rsidR="00D868AB" w:rsidRPr="00D868AB" w14:paraId="12B698CF"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79DE84B" w14:textId="77777777" w:rsidR="00D868AB" w:rsidRPr="00D868AB" w:rsidRDefault="00D868AB" w:rsidP="00D868AB">
            <w:pPr>
              <w:jc w:val="center"/>
              <w:rPr>
                <w:rFonts w:cs="Arial"/>
                <w:sz w:val="20"/>
                <w:lang w:val="es-ES"/>
              </w:rPr>
            </w:pPr>
            <w:r w:rsidRPr="00D868AB">
              <w:rPr>
                <w:rFonts w:cs="Arial"/>
                <w:sz w:val="20"/>
                <w:lang w:val="es-ES"/>
              </w:rPr>
              <w:t>41401</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E56503" w14:textId="77777777" w:rsidR="00D868AB" w:rsidRPr="00D868AB" w:rsidRDefault="00D868AB" w:rsidP="00D868AB">
            <w:pPr>
              <w:rPr>
                <w:rFonts w:cs="Arial"/>
                <w:sz w:val="20"/>
                <w:lang w:val="es-ES"/>
              </w:rPr>
            </w:pPr>
            <w:r w:rsidRPr="00D868AB">
              <w:rPr>
                <w:rFonts w:cs="Arial"/>
                <w:sz w:val="20"/>
                <w:lang w:val="es-ES"/>
              </w:rPr>
              <w:t>Comisión de Derechos Humanos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60CD73" w14:textId="77777777" w:rsidR="00D868AB" w:rsidRPr="00D868AB" w:rsidRDefault="00D868AB" w:rsidP="00D868AB">
            <w:pPr>
              <w:jc w:val="right"/>
              <w:rPr>
                <w:rFonts w:cs="Arial"/>
                <w:sz w:val="20"/>
                <w:lang w:val="es-ES"/>
              </w:rPr>
            </w:pPr>
            <w:r w:rsidRPr="00D868AB">
              <w:rPr>
                <w:rFonts w:cs="Arial"/>
                <w:color w:val="000000"/>
                <w:sz w:val="20"/>
                <w:szCs w:val="20"/>
              </w:rPr>
              <w:t>13,889,615</w:t>
            </w:r>
          </w:p>
        </w:tc>
      </w:tr>
      <w:tr w:rsidR="00D868AB" w:rsidRPr="00D868AB" w14:paraId="563F2114"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2110390" w14:textId="77777777" w:rsidR="00D868AB" w:rsidRPr="00D868AB" w:rsidRDefault="00D868AB" w:rsidP="00D868AB">
            <w:pPr>
              <w:jc w:val="center"/>
              <w:rPr>
                <w:rFonts w:cs="Arial"/>
                <w:sz w:val="20"/>
                <w:lang w:val="es-ES"/>
              </w:rPr>
            </w:pPr>
            <w:r w:rsidRPr="00D868AB">
              <w:rPr>
                <w:rFonts w:cs="Arial"/>
                <w:sz w:val="20"/>
                <w:lang w:val="es-ES"/>
              </w:rPr>
              <w:t>41402</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14:paraId="61C24DED" w14:textId="77777777" w:rsidR="00D868AB" w:rsidRPr="00D868AB" w:rsidRDefault="00D868AB" w:rsidP="00D868AB">
            <w:pPr>
              <w:rPr>
                <w:rFonts w:cs="Arial"/>
                <w:sz w:val="20"/>
                <w:lang w:val="es-ES"/>
              </w:rPr>
            </w:pPr>
            <w:r w:rsidRPr="00D868AB">
              <w:rPr>
                <w:rFonts w:cs="Arial"/>
                <w:sz w:val="20"/>
                <w:lang w:val="es-ES"/>
              </w:rPr>
              <w:t>Fiscalía General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347A27" w14:textId="77777777" w:rsidR="00D868AB" w:rsidRPr="00D868AB" w:rsidRDefault="00D868AB" w:rsidP="00D868AB">
            <w:pPr>
              <w:jc w:val="right"/>
              <w:rPr>
                <w:rFonts w:cs="Arial"/>
                <w:sz w:val="20"/>
                <w:lang w:val="es-ES"/>
              </w:rPr>
            </w:pPr>
            <w:r w:rsidRPr="00D868AB">
              <w:rPr>
                <w:rFonts w:cs="Arial"/>
                <w:color w:val="000000"/>
                <w:sz w:val="20"/>
                <w:szCs w:val="20"/>
              </w:rPr>
              <w:t>462,668,320</w:t>
            </w:r>
          </w:p>
        </w:tc>
      </w:tr>
      <w:tr w:rsidR="00D868AB" w:rsidRPr="00D868AB" w14:paraId="24B61DB5"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EE4E04B" w14:textId="77777777" w:rsidR="00D868AB" w:rsidRPr="00D868AB" w:rsidRDefault="00D868AB" w:rsidP="00D868AB">
            <w:pPr>
              <w:jc w:val="center"/>
              <w:rPr>
                <w:rFonts w:cs="Arial"/>
                <w:sz w:val="20"/>
                <w:lang w:val="es-ES"/>
              </w:rPr>
            </w:pPr>
            <w:r w:rsidRPr="00D868AB">
              <w:rPr>
                <w:rFonts w:cs="Arial"/>
                <w:sz w:val="20"/>
                <w:lang w:val="es-ES"/>
              </w:rPr>
              <w:t>41403</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14:paraId="3D7D89E5" w14:textId="77777777" w:rsidR="00D868AB" w:rsidRPr="00D868AB" w:rsidRDefault="00D868AB" w:rsidP="00D868AB">
            <w:pPr>
              <w:rPr>
                <w:rFonts w:cs="Arial"/>
                <w:sz w:val="20"/>
                <w:lang w:val="es-ES"/>
              </w:rPr>
            </w:pPr>
            <w:r w:rsidRPr="00D868AB">
              <w:rPr>
                <w:rFonts w:cs="Arial"/>
                <w:sz w:val="20"/>
                <w:lang w:val="es-ES"/>
              </w:rPr>
              <w:t>Instituto Electoral del Estado.</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FD835" w14:textId="77777777" w:rsidR="00D868AB" w:rsidRPr="00D868AB" w:rsidRDefault="00D868AB" w:rsidP="00D868AB">
            <w:pPr>
              <w:jc w:val="right"/>
              <w:rPr>
                <w:rFonts w:cs="Arial"/>
                <w:color w:val="FF0000"/>
                <w:sz w:val="20"/>
                <w:highlight w:val="yellow"/>
                <w:lang w:val="es-ES"/>
              </w:rPr>
            </w:pPr>
            <w:r w:rsidRPr="00D868AB">
              <w:rPr>
                <w:rFonts w:cs="Arial"/>
                <w:color w:val="000000"/>
                <w:sz w:val="20"/>
                <w:szCs w:val="20"/>
              </w:rPr>
              <w:t>98,940,107</w:t>
            </w:r>
          </w:p>
        </w:tc>
      </w:tr>
      <w:tr w:rsidR="00D868AB" w:rsidRPr="00D868AB" w14:paraId="31A1AFE8"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99E61EC" w14:textId="77777777" w:rsidR="00D868AB" w:rsidRPr="00D868AB" w:rsidRDefault="00D868AB" w:rsidP="00D868AB">
            <w:pPr>
              <w:jc w:val="center"/>
              <w:rPr>
                <w:rFonts w:cs="Arial"/>
                <w:sz w:val="20"/>
                <w:lang w:val="es-ES"/>
              </w:rPr>
            </w:pPr>
            <w:r w:rsidRPr="00D868AB">
              <w:rPr>
                <w:rFonts w:cs="Arial"/>
                <w:sz w:val="20"/>
                <w:lang w:val="es-ES"/>
              </w:rPr>
              <w:t>41404</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1F8B47" w14:textId="77777777" w:rsidR="00D868AB" w:rsidRPr="00D868AB" w:rsidRDefault="00D868AB" w:rsidP="00D868AB">
            <w:pPr>
              <w:rPr>
                <w:rFonts w:cs="Arial"/>
                <w:sz w:val="20"/>
                <w:lang w:val="es-ES"/>
              </w:rPr>
            </w:pPr>
            <w:r w:rsidRPr="00D868AB">
              <w:rPr>
                <w:rFonts w:cs="Arial"/>
                <w:sz w:val="20"/>
                <w:lang w:val="es-ES"/>
              </w:rPr>
              <w:t>Instituto de Transparencia, Acceso a la Información Pública y Protección de Datos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EF609" w14:textId="77777777" w:rsidR="00D868AB" w:rsidRPr="00D868AB" w:rsidRDefault="00D868AB" w:rsidP="00D868AB">
            <w:pPr>
              <w:jc w:val="right"/>
              <w:rPr>
                <w:rFonts w:cs="Arial"/>
                <w:sz w:val="20"/>
                <w:lang w:val="es-ES"/>
              </w:rPr>
            </w:pPr>
            <w:r w:rsidRPr="00D868AB">
              <w:rPr>
                <w:rFonts w:cs="Arial"/>
                <w:color w:val="000000"/>
                <w:sz w:val="20"/>
                <w:szCs w:val="20"/>
              </w:rPr>
              <w:t>20,626,745</w:t>
            </w:r>
          </w:p>
        </w:tc>
      </w:tr>
      <w:tr w:rsidR="00D868AB" w:rsidRPr="00D868AB" w14:paraId="22F06FB2"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22E61BD8" w14:textId="77777777" w:rsidR="00D868AB" w:rsidRPr="00D868AB" w:rsidRDefault="00D868AB" w:rsidP="00D868AB">
            <w:pPr>
              <w:jc w:val="center"/>
              <w:rPr>
                <w:rFonts w:cs="Arial"/>
                <w:sz w:val="20"/>
                <w:lang w:val="es-ES"/>
              </w:rPr>
            </w:pPr>
            <w:r w:rsidRPr="00D868AB">
              <w:rPr>
                <w:rFonts w:cs="Arial"/>
                <w:sz w:val="20"/>
                <w:lang w:val="es-ES"/>
              </w:rPr>
              <w:lastRenderedPageBreak/>
              <w:t>41405</w:t>
            </w:r>
          </w:p>
        </w:tc>
        <w:tc>
          <w:tcPr>
            <w:tcW w:w="62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6E8A9" w14:textId="77777777" w:rsidR="00D868AB" w:rsidRPr="00D868AB" w:rsidRDefault="00D868AB" w:rsidP="00D868AB">
            <w:pPr>
              <w:rPr>
                <w:rFonts w:cs="Arial"/>
                <w:sz w:val="20"/>
                <w:lang w:val="es-ES"/>
              </w:rPr>
            </w:pPr>
            <w:r w:rsidRPr="00D868AB">
              <w:rPr>
                <w:rFonts w:cs="Arial"/>
                <w:sz w:val="20"/>
                <w:lang w:val="es-ES"/>
              </w:rPr>
              <w:t>Órgano Superior de Auditoría y Fiscalización Gubernamental del Estado.</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88845" w14:textId="77777777" w:rsidR="00D868AB" w:rsidRPr="00D868AB" w:rsidRDefault="00D868AB" w:rsidP="00D868AB">
            <w:pPr>
              <w:jc w:val="right"/>
              <w:rPr>
                <w:rFonts w:cs="Arial"/>
                <w:sz w:val="20"/>
                <w:lang w:val="es-ES"/>
              </w:rPr>
            </w:pPr>
            <w:r w:rsidRPr="00D868AB">
              <w:rPr>
                <w:rFonts w:cs="Arial"/>
                <w:color w:val="000000"/>
                <w:sz w:val="20"/>
                <w:szCs w:val="20"/>
              </w:rPr>
              <w:t>40,600,412</w:t>
            </w:r>
          </w:p>
        </w:tc>
      </w:tr>
      <w:tr w:rsidR="00D868AB" w:rsidRPr="00D868AB" w14:paraId="07BAA708"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CF9D514" w14:textId="77777777" w:rsidR="00D868AB" w:rsidRPr="00D868AB" w:rsidRDefault="00D868AB" w:rsidP="00D868AB">
            <w:pPr>
              <w:jc w:val="center"/>
              <w:rPr>
                <w:rFonts w:cs="Arial"/>
                <w:sz w:val="20"/>
                <w:lang w:val="es-ES"/>
              </w:rPr>
            </w:pPr>
            <w:r w:rsidRPr="00D868AB">
              <w:rPr>
                <w:rFonts w:cs="Arial"/>
                <w:sz w:val="20"/>
                <w:lang w:val="es-ES"/>
              </w:rPr>
              <w:t>41406</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14:paraId="1770632B" w14:textId="77777777" w:rsidR="00D868AB" w:rsidRPr="00D868AB" w:rsidRDefault="00D868AB" w:rsidP="00D868AB">
            <w:pPr>
              <w:rPr>
                <w:rFonts w:cs="Arial"/>
                <w:sz w:val="20"/>
                <w:lang w:val="es-ES"/>
              </w:rPr>
            </w:pPr>
            <w:r w:rsidRPr="00D868AB">
              <w:rPr>
                <w:rFonts w:cs="Arial"/>
                <w:sz w:val="20"/>
                <w:lang w:val="es-ES"/>
              </w:rPr>
              <w:t>Tribunal Electoral del Estado.</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928AF" w14:textId="77777777" w:rsidR="00D868AB" w:rsidRPr="00D868AB" w:rsidRDefault="00D868AB" w:rsidP="00D868AB">
            <w:pPr>
              <w:jc w:val="right"/>
              <w:rPr>
                <w:rFonts w:cs="Arial"/>
                <w:sz w:val="20"/>
                <w:lang w:val="es-ES"/>
              </w:rPr>
            </w:pPr>
            <w:r w:rsidRPr="00D868AB">
              <w:rPr>
                <w:rFonts w:cs="Arial"/>
                <w:color w:val="000000"/>
                <w:sz w:val="20"/>
                <w:szCs w:val="20"/>
              </w:rPr>
              <w:t>12,286,967</w:t>
            </w:r>
          </w:p>
        </w:tc>
      </w:tr>
      <w:tr w:rsidR="00D868AB" w:rsidRPr="00D868AB" w14:paraId="19D73C82"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EA68F23" w14:textId="77777777" w:rsidR="00D868AB" w:rsidRPr="00D868AB" w:rsidRDefault="00D868AB" w:rsidP="00D868AB">
            <w:pPr>
              <w:jc w:val="center"/>
              <w:rPr>
                <w:rFonts w:cs="Arial"/>
                <w:sz w:val="20"/>
                <w:lang w:val="es-ES"/>
              </w:rPr>
            </w:pPr>
            <w:r w:rsidRPr="00D868AB">
              <w:rPr>
                <w:rFonts w:cs="Arial"/>
                <w:sz w:val="20"/>
                <w:lang w:val="es-ES"/>
              </w:rPr>
              <w:t>41407</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DF226" w14:textId="77777777" w:rsidR="00D868AB" w:rsidRPr="00D868AB" w:rsidRDefault="00D868AB" w:rsidP="00D868AB">
            <w:pPr>
              <w:rPr>
                <w:rFonts w:cs="Arial"/>
                <w:sz w:val="20"/>
                <w:lang w:val="es-ES"/>
              </w:rPr>
            </w:pPr>
            <w:r w:rsidRPr="00D868AB">
              <w:rPr>
                <w:rFonts w:cs="Arial"/>
                <w:sz w:val="20"/>
                <w:lang w:val="es-ES"/>
              </w:rPr>
              <w:t>Tribunal de Arbitraje y Escalafón.</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CFA419" w14:textId="77777777" w:rsidR="00D868AB" w:rsidRPr="00D868AB" w:rsidRDefault="00D868AB" w:rsidP="00D868AB">
            <w:pPr>
              <w:jc w:val="right"/>
              <w:rPr>
                <w:rFonts w:cs="Arial"/>
                <w:sz w:val="20"/>
                <w:lang w:val="es-ES"/>
              </w:rPr>
            </w:pPr>
            <w:r w:rsidRPr="00D868AB">
              <w:rPr>
                <w:rFonts w:cs="Arial"/>
                <w:color w:val="000000"/>
                <w:sz w:val="20"/>
                <w:szCs w:val="20"/>
              </w:rPr>
              <w:t>7,716,314</w:t>
            </w:r>
          </w:p>
        </w:tc>
      </w:tr>
      <w:tr w:rsidR="00D868AB" w:rsidRPr="00D868AB" w14:paraId="6244CBFD"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71391081" w14:textId="77777777" w:rsidR="00D868AB" w:rsidRPr="00D868AB" w:rsidRDefault="00D868AB" w:rsidP="00D868AB">
            <w:pPr>
              <w:jc w:val="center"/>
              <w:rPr>
                <w:rFonts w:cs="Arial"/>
                <w:sz w:val="20"/>
                <w:lang w:val="es-ES"/>
              </w:rPr>
            </w:pPr>
            <w:r w:rsidRPr="00D868AB">
              <w:rPr>
                <w:rFonts w:cs="Arial"/>
                <w:sz w:val="20"/>
                <w:lang w:val="es-ES"/>
              </w:rPr>
              <w:t>41408</w:t>
            </w: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3B176E" w14:textId="77777777" w:rsidR="00D868AB" w:rsidRPr="00D868AB" w:rsidRDefault="00D868AB" w:rsidP="00D868AB">
            <w:pPr>
              <w:rPr>
                <w:rFonts w:cs="Arial"/>
                <w:sz w:val="20"/>
                <w:lang w:val="es-ES"/>
              </w:rPr>
            </w:pPr>
            <w:r w:rsidRPr="00D868AB">
              <w:rPr>
                <w:rFonts w:cs="Arial"/>
                <w:sz w:val="20"/>
                <w:lang w:val="es-ES"/>
              </w:rPr>
              <w:t>Tribunal de Justicia Administrativa del Estado de Colima.</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FEA676" w14:textId="77777777" w:rsidR="00D868AB" w:rsidRPr="00D868AB" w:rsidRDefault="00D868AB" w:rsidP="00D868AB">
            <w:pPr>
              <w:jc w:val="right"/>
              <w:rPr>
                <w:rFonts w:cs="Arial"/>
                <w:sz w:val="20"/>
                <w:lang w:val="es-ES"/>
              </w:rPr>
            </w:pPr>
            <w:r w:rsidRPr="00D868AB">
              <w:rPr>
                <w:rFonts w:cs="Arial"/>
                <w:color w:val="000000"/>
                <w:sz w:val="20"/>
                <w:szCs w:val="20"/>
              </w:rPr>
              <w:t>25,343,902</w:t>
            </w:r>
          </w:p>
        </w:tc>
      </w:tr>
      <w:tr w:rsidR="00D868AB" w:rsidRPr="00D868AB" w14:paraId="02321DC8"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52A1EC" w14:textId="77777777" w:rsidR="00D868AB" w:rsidRPr="00D868AB" w:rsidRDefault="00D868AB" w:rsidP="00D868AB">
            <w:pPr>
              <w:jc w:val="center"/>
              <w:rPr>
                <w:rFonts w:cs="Arial"/>
                <w:b/>
                <w:bCs/>
                <w:sz w:val="20"/>
                <w:lang w:val="es-ES"/>
              </w:rPr>
            </w:pPr>
          </w:p>
        </w:tc>
        <w:tc>
          <w:tcPr>
            <w:tcW w:w="6245" w:type="dxa"/>
            <w:tcBorders>
              <w:top w:val="single" w:sz="4" w:space="0" w:color="auto"/>
              <w:left w:val="single" w:sz="4" w:space="0" w:color="auto"/>
              <w:bottom w:val="single" w:sz="4" w:space="0" w:color="auto"/>
              <w:right w:val="single" w:sz="4" w:space="0" w:color="auto"/>
            </w:tcBorders>
            <w:shd w:val="clear" w:color="auto" w:fill="auto"/>
            <w:vAlign w:val="center"/>
          </w:tcPr>
          <w:p w14:paraId="711A9B9F" w14:textId="77777777" w:rsidR="00D868AB" w:rsidRPr="00D868AB" w:rsidRDefault="00D868AB" w:rsidP="00D868AB">
            <w:pPr>
              <w:jc w:val="center"/>
              <w:rPr>
                <w:rFonts w:cs="Arial"/>
                <w:b/>
                <w:bCs/>
                <w:sz w:val="20"/>
                <w:lang w:val="es-ES"/>
              </w:rPr>
            </w:pPr>
            <w:r w:rsidRPr="00D868AB">
              <w:rPr>
                <w:rFonts w:cs="Arial"/>
                <w:b/>
                <w:bCs/>
                <w:sz w:val="20"/>
                <w:lang w:val="es-ES"/>
              </w:rPr>
              <w:t>Total</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tcPr>
          <w:p w14:paraId="24D10824" w14:textId="77777777" w:rsidR="00D868AB" w:rsidRPr="00D868AB" w:rsidRDefault="00D868AB" w:rsidP="00D868AB">
            <w:pPr>
              <w:jc w:val="right"/>
              <w:rPr>
                <w:rFonts w:cs="Arial"/>
                <w:b/>
                <w:bCs/>
                <w:color w:val="FF0000"/>
                <w:sz w:val="20"/>
                <w:highlight w:val="yellow"/>
                <w:lang w:val="es-ES"/>
              </w:rPr>
            </w:pPr>
            <w:r w:rsidRPr="00D868AB">
              <w:rPr>
                <w:rFonts w:cs="Arial"/>
                <w:b/>
                <w:bCs/>
                <w:color w:val="000000"/>
                <w:sz w:val="20"/>
                <w:szCs w:val="20"/>
              </w:rPr>
              <w:t>682,072,382</w:t>
            </w:r>
          </w:p>
        </w:tc>
      </w:tr>
    </w:tbl>
    <w:p w14:paraId="16CDAA6A" w14:textId="77777777" w:rsidR="00D868AB" w:rsidRPr="00D868AB" w:rsidRDefault="00D868AB" w:rsidP="00D868AB">
      <w:pPr>
        <w:jc w:val="left"/>
        <w:rPr>
          <w:rFonts w:eastAsia="Calibri" w:cs="Arial"/>
          <w:lang w:val="es-ES" w:eastAsia="en-US"/>
        </w:rPr>
      </w:pPr>
    </w:p>
    <w:p w14:paraId="6B0F6099" w14:textId="77777777" w:rsidR="00D868AB" w:rsidRPr="00D868AB" w:rsidRDefault="00D868AB" w:rsidP="00D868AB">
      <w:pPr>
        <w:ind w:left="567" w:hanging="567"/>
        <w:contextualSpacing/>
        <w:rPr>
          <w:rFonts w:eastAsia="Times New Roman" w:cs="Arial"/>
        </w:rPr>
      </w:pPr>
      <w:r w:rsidRPr="00D868AB">
        <w:rPr>
          <w:rFonts w:eastAsia="Times New Roman" w:cs="Arial"/>
        </w:rPr>
        <w:t xml:space="preserve">I. </w:t>
      </w:r>
      <w:r w:rsidRPr="00D868AB">
        <w:rPr>
          <w:rFonts w:eastAsia="Times New Roman" w:cs="Arial"/>
        </w:rPr>
        <w:tab/>
        <w:t xml:space="preserve">El desglose del presupuesto asignado a la </w:t>
      </w:r>
      <w:r w:rsidRPr="00D868AB">
        <w:rPr>
          <w:rFonts w:eastAsia="Times New Roman" w:cs="Arial"/>
          <w:b/>
        </w:rPr>
        <w:t>Comisión de Derechos Humanos del Estado de Colima</w:t>
      </w:r>
      <w:r w:rsidRPr="00D868AB">
        <w:rPr>
          <w:rFonts w:eastAsia="Times New Roman" w:cs="Arial"/>
        </w:rPr>
        <w:t>; tendrá la siguiente distribución a nivel de Capítulo de gasto:</w:t>
      </w:r>
    </w:p>
    <w:p w14:paraId="47F9C159" w14:textId="77777777" w:rsidR="00D868AB" w:rsidRPr="00D868AB" w:rsidRDefault="00D868AB" w:rsidP="00D868AB">
      <w:pPr>
        <w:keepNext/>
        <w:keepLines/>
        <w:outlineLvl w:val="2"/>
        <w:rPr>
          <w:rFonts w:eastAsia="Calibri" w:cs="Arial"/>
          <w:b/>
          <w:szCs w:val="24"/>
          <w:lang w:val="es-ES" w:eastAsia="en-US"/>
        </w:rPr>
      </w:pPr>
    </w:p>
    <w:p w14:paraId="537B3F3C" w14:textId="77777777" w:rsidR="00D868AB" w:rsidRPr="00D868AB" w:rsidRDefault="00D868AB" w:rsidP="00D868AB">
      <w:pPr>
        <w:jc w:val="center"/>
        <w:rPr>
          <w:rFonts w:eastAsia="Times New Roman" w:cs="Arial"/>
          <w:b/>
          <w:sz w:val="20"/>
          <w:lang w:val="es-ES"/>
        </w:rPr>
      </w:pPr>
      <w:bookmarkStart w:id="45" w:name="_Toc522869236"/>
      <w:bookmarkStart w:id="46" w:name="_Toc526757447"/>
      <w:bookmarkStart w:id="47" w:name="_Toc22021885"/>
      <w:bookmarkStart w:id="48" w:name="_Toc22983158"/>
      <w:r w:rsidRPr="00D868AB">
        <w:rPr>
          <w:rFonts w:eastAsia="Times New Roman" w:cs="Arial"/>
          <w:b/>
          <w:sz w:val="20"/>
          <w:lang w:val="es-ES"/>
        </w:rPr>
        <w:t>Tabla 9. Comisión de Derechos Humanos del Estado de Colima</w:t>
      </w:r>
      <w:r w:rsidRPr="00D868AB">
        <w:rPr>
          <w:rFonts w:eastAsia="Times New Roman" w:cs="Arial"/>
          <w:b/>
          <w:sz w:val="20"/>
          <w:lang w:val="es-ES"/>
        </w:rPr>
        <w:br/>
        <w:t>(Objeto del Gasto)</w:t>
      </w:r>
      <w:bookmarkEnd w:id="45"/>
      <w:bookmarkEnd w:id="46"/>
      <w:bookmarkEnd w:id="47"/>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872"/>
        <w:gridCol w:w="1559"/>
      </w:tblGrid>
      <w:tr w:rsidR="00D868AB" w:rsidRPr="00D868AB" w14:paraId="6EAE88FC"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35BAB6" w14:textId="77777777" w:rsidR="00D868AB" w:rsidRPr="00D868AB" w:rsidRDefault="00D868AB" w:rsidP="00D868AB">
            <w:pPr>
              <w:jc w:val="center"/>
              <w:rPr>
                <w:rFonts w:cs="Arial"/>
                <w:b/>
                <w:bCs/>
                <w:sz w:val="20"/>
                <w:lang w:val="es-ES"/>
              </w:rPr>
            </w:pPr>
            <w:bookmarkStart w:id="49" w:name="_MON_1381432804"/>
            <w:bookmarkStart w:id="50" w:name="_MON_1381432789"/>
            <w:bookmarkStart w:id="51" w:name="_MON_1381432731"/>
            <w:bookmarkEnd w:id="49"/>
            <w:bookmarkEnd w:id="50"/>
            <w:bookmarkEnd w:id="51"/>
            <w:r w:rsidRPr="00D868AB">
              <w:rPr>
                <w:rFonts w:cs="Arial"/>
                <w:b/>
                <w:bCs/>
                <w:sz w:val="20"/>
                <w:lang w:val="es-ES"/>
              </w:rPr>
              <w:t>Capítulo</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8B0C2" w14:textId="77777777" w:rsidR="00D868AB" w:rsidRPr="00D868AB" w:rsidRDefault="00D868AB" w:rsidP="00D868AB">
            <w:pPr>
              <w:jc w:val="center"/>
              <w:rPr>
                <w:rFonts w:cs="Arial"/>
                <w:b/>
                <w:bCs/>
                <w:sz w:val="20"/>
                <w:lang w:val="es-ES"/>
              </w:rPr>
            </w:pPr>
            <w:r w:rsidRPr="00D868AB">
              <w:rPr>
                <w:rFonts w:cs="Arial"/>
                <w:b/>
                <w:bCs/>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1D7C0" w14:textId="77777777" w:rsidR="00D868AB" w:rsidRPr="00D868AB" w:rsidRDefault="00D868AB" w:rsidP="00D868AB">
            <w:pPr>
              <w:jc w:val="center"/>
              <w:rPr>
                <w:rFonts w:cs="Arial"/>
                <w:b/>
                <w:bCs/>
                <w:sz w:val="20"/>
                <w:lang w:val="es-ES"/>
              </w:rPr>
            </w:pPr>
            <w:r w:rsidRPr="00D868AB">
              <w:rPr>
                <w:rFonts w:cs="Arial"/>
                <w:b/>
                <w:bCs/>
                <w:sz w:val="20"/>
                <w:lang w:val="es-ES"/>
              </w:rPr>
              <w:t>Asignación Presupuestal</w:t>
            </w:r>
          </w:p>
        </w:tc>
      </w:tr>
      <w:tr w:rsidR="00D868AB" w:rsidRPr="00D868AB" w14:paraId="6C8076B3"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A1A24" w14:textId="77777777" w:rsidR="00D868AB" w:rsidRPr="00D868AB" w:rsidRDefault="00D868AB" w:rsidP="00D868AB">
            <w:pPr>
              <w:jc w:val="center"/>
              <w:rPr>
                <w:rFonts w:cs="Arial"/>
                <w:sz w:val="20"/>
                <w:lang w:val="es-ES"/>
              </w:rPr>
            </w:pPr>
            <w:r w:rsidRPr="00D868AB">
              <w:rPr>
                <w:rFonts w:cs="Arial"/>
                <w:sz w:val="20"/>
                <w:lang w:val="es-ES"/>
              </w:rPr>
              <w:t>10000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9B4D0" w14:textId="77777777" w:rsidR="00D868AB" w:rsidRPr="00D868AB" w:rsidRDefault="00D868AB" w:rsidP="00D868AB">
            <w:pPr>
              <w:rPr>
                <w:rFonts w:cs="Arial"/>
                <w:sz w:val="20"/>
                <w:lang w:val="es-ES"/>
              </w:rPr>
            </w:pPr>
            <w:r w:rsidRPr="00D868AB">
              <w:rPr>
                <w:rFonts w:cs="Arial"/>
                <w:sz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A7251" w14:textId="77777777" w:rsidR="00D868AB" w:rsidRPr="00D868AB" w:rsidRDefault="00D868AB" w:rsidP="00D868AB">
            <w:pPr>
              <w:jc w:val="right"/>
              <w:rPr>
                <w:rFonts w:cs="Arial"/>
                <w:sz w:val="20"/>
                <w:lang w:val="es-ES"/>
              </w:rPr>
            </w:pPr>
            <w:r w:rsidRPr="00D868AB">
              <w:rPr>
                <w:rFonts w:cs="Arial"/>
                <w:sz w:val="20"/>
                <w:lang w:val="es-ES"/>
              </w:rPr>
              <w:t>9,094,599</w:t>
            </w:r>
          </w:p>
        </w:tc>
      </w:tr>
      <w:tr w:rsidR="00D868AB" w:rsidRPr="00D868AB" w14:paraId="1EA24761"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692BD" w14:textId="77777777" w:rsidR="00D868AB" w:rsidRPr="00D868AB" w:rsidRDefault="00D868AB" w:rsidP="00D868AB">
            <w:pPr>
              <w:jc w:val="center"/>
              <w:rPr>
                <w:rFonts w:cs="Arial"/>
                <w:sz w:val="20"/>
                <w:lang w:val="es-ES"/>
              </w:rPr>
            </w:pPr>
            <w:r w:rsidRPr="00D868AB">
              <w:rPr>
                <w:rFonts w:cs="Arial"/>
                <w:sz w:val="20"/>
                <w:lang w:val="es-ES"/>
              </w:rPr>
              <w:t>20000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480ABD" w14:textId="77777777" w:rsidR="00D868AB" w:rsidRPr="00D868AB" w:rsidRDefault="00D868AB" w:rsidP="00D868AB">
            <w:pPr>
              <w:rPr>
                <w:rFonts w:cs="Arial"/>
                <w:sz w:val="20"/>
                <w:lang w:val="es-ES"/>
              </w:rPr>
            </w:pPr>
            <w:r w:rsidRPr="00D868AB">
              <w:rPr>
                <w:rFonts w:cs="Arial"/>
                <w:sz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D0E9B3" w14:textId="77777777" w:rsidR="00D868AB" w:rsidRPr="00D868AB" w:rsidRDefault="00D868AB" w:rsidP="00D868AB">
            <w:pPr>
              <w:jc w:val="right"/>
              <w:rPr>
                <w:rFonts w:cs="Arial"/>
                <w:sz w:val="20"/>
                <w:lang w:val="es-ES"/>
              </w:rPr>
            </w:pPr>
            <w:r w:rsidRPr="00D868AB">
              <w:rPr>
                <w:rFonts w:cs="Arial"/>
                <w:sz w:val="20"/>
                <w:lang w:val="es-ES"/>
              </w:rPr>
              <w:t>695,823</w:t>
            </w:r>
          </w:p>
        </w:tc>
      </w:tr>
      <w:tr w:rsidR="00D868AB" w:rsidRPr="00D868AB" w14:paraId="4C93AF48"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9156D" w14:textId="77777777" w:rsidR="00D868AB" w:rsidRPr="00D868AB" w:rsidRDefault="00D868AB" w:rsidP="00D868AB">
            <w:pPr>
              <w:jc w:val="center"/>
              <w:rPr>
                <w:rFonts w:cs="Arial"/>
                <w:sz w:val="20"/>
                <w:lang w:val="es-ES"/>
              </w:rPr>
            </w:pPr>
            <w:r w:rsidRPr="00D868AB">
              <w:rPr>
                <w:rFonts w:cs="Arial"/>
                <w:sz w:val="20"/>
                <w:lang w:val="es-ES"/>
              </w:rPr>
              <w:t>30000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7D17C" w14:textId="77777777" w:rsidR="00D868AB" w:rsidRPr="00D868AB" w:rsidRDefault="00D868AB" w:rsidP="00D868AB">
            <w:pPr>
              <w:rPr>
                <w:rFonts w:cs="Arial"/>
                <w:sz w:val="20"/>
                <w:lang w:val="es-ES"/>
              </w:rPr>
            </w:pPr>
            <w:r w:rsidRPr="00D868AB">
              <w:rPr>
                <w:rFonts w:cs="Arial"/>
                <w:sz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C688C" w14:textId="77777777" w:rsidR="00D868AB" w:rsidRPr="00D868AB" w:rsidRDefault="00D868AB" w:rsidP="00D868AB">
            <w:pPr>
              <w:jc w:val="right"/>
              <w:rPr>
                <w:rFonts w:cs="Arial"/>
                <w:sz w:val="20"/>
                <w:lang w:val="es-ES"/>
              </w:rPr>
            </w:pPr>
            <w:r w:rsidRPr="00D868AB">
              <w:rPr>
                <w:rFonts w:cs="Arial"/>
                <w:sz w:val="20"/>
                <w:lang w:val="es-ES"/>
              </w:rPr>
              <w:t>2,411,904</w:t>
            </w:r>
          </w:p>
        </w:tc>
      </w:tr>
      <w:tr w:rsidR="00D868AB" w:rsidRPr="00D868AB" w14:paraId="2C93E559"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830A0" w14:textId="77777777" w:rsidR="00D868AB" w:rsidRPr="00D868AB" w:rsidRDefault="00D868AB" w:rsidP="00D868AB">
            <w:pPr>
              <w:jc w:val="center"/>
              <w:rPr>
                <w:rFonts w:cs="Arial"/>
                <w:sz w:val="20"/>
                <w:lang w:val="es-ES"/>
              </w:rPr>
            </w:pPr>
            <w:r w:rsidRPr="00D868AB">
              <w:rPr>
                <w:rFonts w:cs="Arial"/>
                <w:sz w:val="20"/>
                <w:lang w:val="es-ES"/>
              </w:rPr>
              <w:t>40000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2E514D" w14:textId="77777777" w:rsidR="00D868AB" w:rsidRPr="00D868AB" w:rsidRDefault="00D868AB" w:rsidP="00D868AB">
            <w:pPr>
              <w:rPr>
                <w:rFonts w:cs="Arial"/>
                <w:sz w:val="20"/>
                <w:lang w:val="es-ES"/>
              </w:rPr>
            </w:pPr>
            <w:r w:rsidRPr="00D868AB">
              <w:rPr>
                <w:rFonts w:cs="Arial"/>
                <w:sz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F1D561" w14:textId="77777777" w:rsidR="00D868AB" w:rsidRPr="00D868AB" w:rsidRDefault="00D868AB" w:rsidP="00D868AB">
            <w:pPr>
              <w:jc w:val="right"/>
              <w:rPr>
                <w:rFonts w:cs="Arial"/>
                <w:sz w:val="20"/>
                <w:lang w:val="es-ES"/>
              </w:rPr>
            </w:pPr>
            <w:r w:rsidRPr="00D868AB">
              <w:rPr>
                <w:rFonts w:cs="Arial"/>
                <w:sz w:val="20"/>
                <w:lang w:val="es-ES"/>
              </w:rPr>
              <w:t>1,627,289</w:t>
            </w:r>
          </w:p>
        </w:tc>
      </w:tr>
      <w:tr w:rsidR="00D868AB" w:rsidRPr="00D868AB" w14:paraId="6450F6DC" w14:textId="77777777" w:rsidTr="00A755A7">
        <w:trPr>
          <w:trHeight w:val="20"/>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24B84" w14:textId="77777777" w:rsidR="00D868AB" w:rsidRPr="00D868AB" w:rsidRDefault="00D868AB" w:rsidP="00D868AB">
            <w:pPr>
              <w:jc w:val="center"/>
              <w:rPr>
                <w:rFonts w:cs="Arial"/>
                <w:sz w:val="20"/>
                <w:lang w:val="es-ES"/>
              </w:rPr>
            </w:pPr>
            <w:r w:rsidRPr="00D868AB">
              <w:rPr>
                <w:rFonts w:cs="Arial"/>
                <w:sz w:val="20"/>
                <w:lang w:val="es-ES"/>
              </w:rPr>
              <w:t>50000</w:t>
            </w:r>
          </w:p>
        </w:tc>
        <w:tc>
          <w:tcPr>
            <w:tcW w:w="58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7EC08" w14:textId="77777777" w:rsidR="00D868AB" w:rsidRPr="00D868AB" w:rsidRDefault="00D868AB" w:rsidP="00D868AB">
            <w:pPr>
              <w:rPr>
                <w:rFonts w:cs="Arial"/>
                <w:sz w:val="20"/>
                <w:lang w:val="es-ES"/>
              </w:rPr>
            </w:pPr>
            <w:r w:rsidRPr="00D868AB">
              <w:rPr>
                <w:rFonts w:cs="Arial"/>
                <w:sz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16CA04" w14:textId="77777777" w:rsidR="00D868AB" w:rsidRPr="00D868AB" w:rsidRDefault="00D868AB" w:rsidP="00D868AB">
            <w:pPr>
              <w:jc w:val="right"/>
              <w:rPr>
                <w:rFonts w:cs="Arial"/>
                <w:sz w:val="20"/>
                <w:lang w:val="es-ES"/>
              </w:rPr>
            </w:pPr>
            <w:r w:rsidRPr="00D868AB">
              <w:rPr>
                <w:rFonts w:cs="Arial"/>
                <w:sz w:val="20"/>
                <w:lang w:val="es-ES"/>
              </w:rPr>
              <w:t>60,000</w:t>
            </w:r>
          </w:p>
        </w:tc>
      </w:tr>
      <w:tr w:rsidR="00D868AB" w:rsidRPr="00D868AB" w14:paraId="7707C2CB" w14:textId="77777777" w:rsidTr="00A755A7">
        <w:trPr>
          <w:trHeight w:val="20"/>
          <w:jc w:val="center"/>
        </w:trPr>
        <w:tc>
          <w:tcPr>
            <w:tcW w:w="68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11B360F" w14:textId="77777777" w:rsidR="00D868AB" w:rsidRPr="00D868AB" w:rsidRDefault="00D868AB" w:rsidP="00D868AB">
            <w:pPr>
              <w:jc w:val="center"/>
              <w:rPr>
                <w:rFonts w:cs="Arial"/>
                <w:b/>
                <w:bCs/>
                <w:sz w:val="20"/>
                <w:lang w:val="es-ES"/>
              </w:rPr>
            </w:pPr>
            <w:r w:rsidRPr="00D868AB">
              <w:rPr>
                <w:rFonts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F592A6" w14:textId="77777777" w:rsidR="00D868AB" w:rsidRPr="00D868AB" w:rsidRDefault="00D868AB" w:rsidP="00D868AB">
            <w:pPr>
              <w:jc w:val="right"/>
              <w:rPr>
                <w:rFonts w:cs="Arial"/>
                <w:b/>
                <w:bCs/>
                <w:sz w:val="20"/>
                <w:lang w:val="es-ES"/>
              </w:rPr>
            </w:pPr>
            <w:r w:rsidRPr="00D868AB">
              <w:rPr>
                <w:rFonts w:cs="Arial"/>
                <w:b/>
                <w:bCs/>
                <w:sz w:val="20"/>
                <w:lang w:val="es-ES"/>
              </w:rPr>
              <w:t>13,889,615</w:t>
            </w:r>
          </w:p>
        </w:tc>
      </w:tr>
    </w:tbl>
    <w:p w14:paraId="7FC8D370" w14:textId="77777777" w:rsidR="00D868AB" w:rsidRPr="00D868AB" w:rsidRDefault="00D868AB" w:rsidP="00D868AB">
      <w:pPr>
        <w:ind w:left="567" w:hanging="567"/>
        <w:rPr>
          <w:rFonts w:cs="Arial"/>
          <w:lang w:val="es-ES"/>
        </w:rPr>
      </w:pPr>
    </w:p>
    <w:p w14:paraId="56646CE4" w14:textId="77777777" w:rsidR="00D868AB" w:rsidRPr="00D868AB" w:rsidRDefault="00D868AB" w:rsidP="00D868AB">
      <w:pPr>
        <w:ind w:left="567" w:hanging="567"/>
        <w:rPr>
          <w:rFonts w:cs="Arial"/>
          <w:lang w:val="es-ES"/>
        </w:rPr>
      </w:pPr>
      <w:r w:rsidRPr="00D868AB">
        <w:rPr>
          <w:rFonts w:cs="Arial"/>
          <w:lang w:val="es-ES"/>
        </w:rPr>
        <w:t>II.</w:t>
      </w:r>
      <w:r w:rsidRPr="00D868AB">
        <w:rPr>
          <w:rFonts w:cs="Arial"/>
          <w:lang w:val="es-ES"/>
        </w:rPr>
        <w:tab/>
        <w:t xml:space="preserve">La asignación presupuestaria destinada a la </w:t>
      </w:r>
      <w:r w:rsidRPr="00D868AB">
        <w:rPr>
          <w:rFonts w:cs="Arial"/>
          <w:b/>
          <w:lang w:val="es-ES"/>
        </w:rPr>
        <w:t>Fiscalía General del Estado de Colima</w:t>
      </w:r>
      <w:r w:rsidRPr="00D868AB">
        <w:rPr>
          <w:rFonts w:cs="Arial"/>
          <w:lang w:val="es-ES"/>
        </w:rPr>
        <w:t>, tendrá la siguiente distribución a nivel de Capítulo de gasto:</w:t>
      </w:r>
    </w:p>
    <w:p w14:paraId="65B254BF" w14:textId="77777777" w:rsidR="00D868AB" w:rsidRPr="00D868AB" w:rsidRDefault="00D868AB"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520"/>
        <w:gridCol w:w="1766"/>
      </w:tblGrid>
      <w:tr w:rsidR="00D868AB" w:rsidRPr="00D868AB" w14:paraId="50D36CD5" w14:textId="77777777" w:rsidTr="00A755A7">
        <w:trPr>
          <w:trHeight w:val="227"/>
          <w:tblHeader/>
          <w:jc w:val="center"/>
        </w:trPr>
        <w:tc>
          <w:tcPr>
            <w:tcW w:w="8302" w:type="dxa"/>
            <w:gridSpan w:val="3"/>
            <w:tcBorders>
              <w:top w:val="nil"/>
              <w:left w:val="nil"/>
              <w:bottom w:val="single" w:sz="4" w:space="0" w:color="auto"/>
              <w:right w:val="nil"/>
            </w:tcBorders>
            <w:shd w:val="clear" w:color="auto" w:fill="auto"/>
            <w:vAlign w:val="center"/>
          </w:tcPr>
          <w:p w14:paraId="056A0F23" w14:textId="77777777" w:rsidR="00D868AB" w:rsidRPr="00D868AB" w:rsidRDefault="00D868AB" w:rsidP="00D868AB">
            <w:pPr>
              <w:jc w:val="center"/>
              <w:rPr>
                <w:rFonts w:cs="Arial"/>
                <w:b/>
                <w:bCs/>
                <w:sz w:val="20"/>
                <w:lang w:val="es-ES"/>
              </w:rPr>
            </w:pPr>
            <w:bookmarkStart w:id="52" w:name="_Toc522869237"/>
            <w:bookmarkStart w:id="53" w:name="_Toc526757448"/>
            <w:bookmarkStart w:id="54" w:name="_Toc22021886"/>
            <w:bookmarkStart w:id="55" w:name="_Toc22983159"/>
            <w:r w:rsidRPr="00D868AB">
              <w:rPr>
                <w:rFonts w:eastAsia="Times New Roman" w:cs="Arial"/>
                <w:b/>
                <w:sz w:val="20"/>
                <w:lang w:val="es-ES"/>
              </w:rPr>
              <w:t>Tabla 10. Fiscalía General del Estado de Colima</w:t>
            </w:r>
            <w:r w:rsidRPr="00D868AB">
              <w:rPr>
                <w:rFonts w:eastAsia="Times New Roman" w:cs="Arial"/>
                <w:b/>
                <w:sz w:val="20"/>
                <w:lang w:val="es-ES"/>
              </w:rPr>
              <w:br/>
              <w:t>(Objeto del Gasto)</w:t>
            </w:r>
            <w:bookmarkEnd w:id="52"/>
            <w:bookmarkEnd w:id="53"/>
            <w:bookmarkEnd w:id="54"/>
            <w:bookmarkEnd w:id="55"/>
          </w:p>
        </w:tc>
      </w:tr>
      <w:tr w:rsidR="00D868AB" w:rsidRPr="00D868AB" w14:paraId="25567257" w14:textId="77777777" w:rsidTr="00A755A7">
        <w:trPr>
          <w:trHeight w:val="227"/>
          <w:tblHeader/>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030D48" w14:textId="77777777" w:rsidR="00D868AB" w:rsidRPr="00D868AB" w:rsidRDefault="00D868AB" w:rsidP="00D868AB">
            <w:pPr>
              <w:jc w:val="center"/>
              <w:rPr>
                <w:rFonts w:cs="Arial"/>
                <w:b/>
                <w:bCs/>
                <w:sz w:val="20"/>
                <w:lang w:val="es-ES"/>
              </w:rPr>
            </w:pPr>
            <w:r w:rsidRPr="00D868AB">
              <w:rPr>
                <w:rFonts w:cs="Arial"/>
                <w:b/>
                <w:bCs/>
                <w:sz w:val="20"/>
                <w:lang w:val="es-ES"/>
              </w:rPr>
              <w:t>Capítulo</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215E32" w14:textId="77777777" w:rsidR="00D868AB" w:rsidRPr="00D868AB" w:rsidRDefault="00D868AB" w:rsidP="00D868AB">
            <w:pPr>
              <w:jc w:val="center"/>
              <w:rPr>
                <w:rFonts w:cs="Arial"/>
                <w:b/>
                <w:bCs/>
                <w:sz w:val="20"/>
                <w:lang w:val="es-ES"/>
              </w:rPr>
            </w:pPr>
            <w:r w:rsidRPr="00D868AB">
              <w:rPr>
                <w:rFonts w:cs="Arial"/>
                <w:b/>
                <w:bCs/>
                <w:sz w:val="20"/>
                <w:lang w:val="es-ES"/>
              </w:rPr>
              <w:t>Concepto</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27723E" w14:textId="77777777" w:rsidR="00D868AB" w:rsidRPr="00D868AB" w:rsidRDefault="00D868AB" w:rsidP="00D868AB">
            <w:pPr>
              <w:jc w:val="center"/>
              <w:rPr>
                <w:rFonts w:cs="Arial"/>
                <w:b/>
                <w:bCs/>
                <w:sz w:val="20"/>
                <w:lang w:val="es-ES"/>
              </w:rPr>
            </w:pPr>
            <w:r w:rsidRPr="00D868AB">
              <w:rPr>
                <w:rFonts w:cs="Arial"/>
                <w:b/>
                <w:bCs/>
                <w:sz w:val="20"/>
                <w:lang w:val="es-ES"/>
              </w:rPr>
              <w:t>Asignación Presupuestal</w:t>
            </w:r>
          </w:p>
        </w:tc>
      </w:tr>
      <w:tr w:rsidR="00D868AB" w:rsidRPr="00D868AB" w14:paraId="726B5B28"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D47D4" w14:textId="77777777" w:rsidR="00D868AB" w:rsidRPr="00D868AB" w:rsidRDefault="00D868AB" w:rsidP="00D868AB">
            <w:pPr>
              <w:jc w:val="center"/>
              <w:rPr>
                <w:rFonts w:cs="Arial"/>
                <w:sz w:val="20"/>
                <w:lang w:val="es-ES"/>
              </w:rPr>
            </w:pPr>
            <w:r w:rsidRPr="00D868AB">
              <w:rPr>
                <w:rFonts w:cs="Arial"/>
                <w:sz w:val="20"/>
                <w:lang w:val="es-ES"/>
              </w:rPr>
              <w:t>10000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949C8" w14:textId="77777777" w:rsidR="00D868AB" w:rsidRPr="00D868AB" w:rsidRDefault="00D868AB" w:rsidP="00D868AB">
            <w:pPr>
              <w:rPr>
                <w:rFonts w:cs="Arial"/>
                <w:sz w:val="20"/>
                <w:lang w:val="es-ES"/>
              </w:rPr>
            </w:pPr>
            <w:r w:rsidRPr="00D868AB">
              <w:rPr>
                <w:rFonts w:cs="Arial"/>
                <w:sz w:val="20"/>
                <w:lang w:val="es-ES"/>
              </w:rPr>
              <w:t>Servicios Personales.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07F96" w14:textId="77777777" w:rsidR="00D868AB" w:rsidRPr="00D868AB" w:rsidRDefault="00D868AB" w:rsidP="00D868AB">
            <w:pPr>
              <w:jc w:val="right"/>
              <w:rPr>
                <w:rFonts w:cs="Arial"/>
                <w:sz w:val="20"/>
                <w:lang w:val="es-ES"/>
              </w:rPr>
            </w:pPr>
            <w:r w:rsidRPr="00D868AB">
              <w:rPr>
                <w:rFonts w:cs="Arial"/>
                <w:sz w:val="20"/>
                <w:lang w:val="es-ES"/>
              </w:rPr>
              <w:t>353,380,462</w:t>
            </w:r>
          </w:p>
        </w:tc>
      </w:tr>
      <w:tr w:rsidR="00D868AB" w:rsidRPr="00D868AB" w14:paraId="74846F21"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4FA2E" w14:textId="77777777" w:rsidR="00D868AB" w:rsidRPr="00D868AB" w:rsidRDefault="00D868AB" w:rsidP="00D868AB">
            <w:pPr>
              <w:jc w:val="center"/>
              <w:rPr>
                <w:rFonts w:cs="Arial"/>
                <w:sz w:val="20"/>
                <w:lang w:val="es-ES"/>
              </w:rPr>
            </w:pPr>
            <w:r w:rsidRPr="00D868AB">
              <w:rPr>
                <w:rFonts w:cs="Arial"/>
                <w:sz w:val="20"/>
                <w:lang w:val="es-ES"/>
              </w:rPr>
              <w:t>20000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4E78E0" w14:textId="77777777" w:rsidR="00D868AB" w:rsidRPr="00D868AB" w:rsidRDefault="00D868AB" w:rsidP="00D868AB">
            <w:pPr>
              <w:rPr>
                <w:rFonts w:cs="Arial"/>
                <w:sz w:val="20"/>
                <w:lang w:val="es-ES"/>
              </w:rPr>
            </w:pPr>
            <w:r w:rsidRPr="00D868AB">
              <w:rPr>
                <w:rFonts w:cs="Arial"/>
                <w:sz w:val="20"/>
                <w:lang w:val="es-ES"/>
              </w:rPr>
              <w:t>Materiales y Suministros.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FEBC4" w14:textId="77777777" w:rsidR="00D868AB" w:rsidRPr="00D868AB" w:rsidRDefault="00D868AB" w:rsidP="00D868AB">
            <w:pPr>
              <w:jc w:val="right"/>
              <w:rPr>
                <w:rFonts w:cs="Arial"/>
                <w:sz w:val="20"/>
                <w:lang w:val="es-ES"/>
              </w:rPr>
            </w:pPr>
            <w:r w:rsidRPr="00D868AB">
              <w:rPr>
                <w:rFonts w:cs="Arial"/>
                <w:sz w:val="20"/>
                <w:lang w:val="es-ES"/>
              </w:rPr>
              <w:t>36,154,010</w:t>
            </w:r>
          </w:p>
        </w:tc>
      </w:tr>
      <w:tr w:rsidR="00D868AB" w:rsidRPr="00D868AB" w14:paraId="05958536"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83648" w14:textId="77777777" w:rsidR="00D868AB" w:rsidRPr="00D868AB" w:rsidRDefault="00D868AB" w:rsidP="00D868AB">
            <w:pPr>
              <w:jc w:val="center"/>
              <w:rPr>
                <w:rFonts w:cs="Arial"/>
                <w:sz w:val="20"/>
                <w:lang w:val="es-ES"/>
              </w:rPr>
            </w:pPr>
            <w:r w:rsidRPr="00D868AB">
              <w:rPr>
                <w:rFonts w:cs="Arial"/>
                <w:sz w:val="20"/>
                <w:lang w:val="es-ES"/>
              </w:rPr>
              <w:t>30000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73436" w14:textId="77777777" w:rsidR="00D868AB" w:rsidRPr="00D868AB" w:rsidRDefault="00D868AB" w:rsidP="00D868AB">
            <w:pPr>
              <w:rPr>
                <w:rFonts w:cs="Arial"/>
                <w:sz w:val="20"/>
                <w:lang w:val="es-ES"/>
              </w:rPr>
            </w:pPr>
            <w:r w:rsidRPr="00D868AB">
              <w:rPr>
                <w:rFonts w:cs="Arial"/>
                <w:sz w:val="20"/>
                <w:lang w:val="es-ES"/>
              </w:rPr>
              <w:t>Servicios Generales.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ABD1A" w14:textId="77777777" w:rsidR="00D868AB" w:rsidRPr="00D868AB" w:rsidRDefault="00D868AB" w:rsidP="00D868AB">
            <w:pPr>
              <w:jc w:val="right"/>
              <w:rPr>
                <w:rFonts w:cs="Arial"/>
                <w:sz w:val="20"/>
                <w:lang w:val="es-ES"/>
              </w:rPr>
            </w:pPr>
            <w:r w:rsidRPr="00D868AB">
              <w:rPr>
                <w:rFonts w:cs="Arial"/>
                <w:sz w:val="20"/>
                <w:lang w:val="es-ES"/>
              </w:rPr>
              <w:t>33,793,279</w:t>
            </w:r>
          </w:p>
        </w:tc>
      </w:tr>
      <w:tr w:rsidR="00D868AB" w:rsidRPr="00D868AB" w14:paraId="53B4DDEE"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41858" w14:textId="77777777" w:rsidR="00D868AB" w:rsidRPr="00D868AB" w:rsidRDefault="00D868AB" w:rsidP="00D868AB">
            <w:pPr>
              <w:jc w:val="center"/>
              <w:rPr>
                <w:rFonts w:cs="Arial"/>
                <w:sz w:val="20"/>
                <w:lang w:val="es-ES"/>
              </w:rPr>
            </w:pPr>
            <w:r w:rsidRPr="00D868AB">
              <w:rPr>
                <w:rFonts w:cs="Arial"/>
                <w:sz w:val="20"/>
                <w:lang w:val="es-ES"/>
              </w:rPr>
              <w:t>40000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C6DCDC" w14:textId="77777777" w:rsidR="00D868AB" w:rsidRPr="00D868AB" w:rsidRDefault="00D868AB" w:rsidP="00D868AB">
            <w:pPr>
              <w:rPr>
                <w:rFonts w:cs="Arial"/>
                <w:sz w:val="20"/>
                <w:lang w:val="es-ES"/>
              </w:rPr>
            </w:pPr>
            <w:r w:rsidRPr="00D868AB">
              <w:rPr>
                <w:rFonts w:cs="Arial"/>
                <w:sz w:val="20"/>
                <w:lang w:val="es-ES"/>
              </w:rPr>
              <w:t>Transferencias, Asignaciones, Subsidios y Otras Ayudas.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13A52E" w14:textId="77777777" w:rsidR="00D868AB" w:rsidRPr="00D868AB" w:rsidRDefault="00D868AB" w:rsidP="00D868AB">
            <w:pPr>
              <w:jc w:val="right"/>
              <w:rPr>
                <w:rFonts w:cs="Arial"/>
                <w:sz w:val="20"/>
                <w:lang w:val="es-ES"/>
              </w:rPr>
            </w:pPr>
            <w:r w:rsidRPr="00D868AB">
              <w:rPr>
                <w:rFonts w:cs="Arial"/>
                <w:sz w:val="20"/>
                <w:lang w:val="es-ES"/>
              </w:rPr>
              <w:t>38,618,700</w:t>
            </w:r>
          </w:p>
        </w:tc>
      </w:tr>
      <w:tr w:rsidR="00D868AB" w:rsidRPr="00D868AB" w14:paraId="271ABDA0"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2D5FD" w14:textId="77777777" w:rsidR="00D868AB" w:rsidRPr="00D868AB" w:rsidRDefault="00D868AB" w:rsidP="00D868AB">
            <w:pPr>
              <w:jc w:val="center"/>
              <w:rPr>
                <w:rFonts w:cs="Arial"/>
                <w:sz w:val="20"/>
                <w:lang w:val="es-ES"/>
              </w:rPr>
            </w:pPr>
            <w:r w:rsidRPr="00D868AB">
              <w:rPr>
                <w:rFonts w:cs="Arial"/>
                <w:sz w:val="20"/>
                <w:lang w:val="es-ES"/>
              </w:rPr>
              <w:t>50000</w:t>
            </w:r>
          </w:p>
        </w:tc>
        <w:tc>
          <w:tcPr>
            <w:tcW w:w="55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845A4" w14:textId="77777777" w:rsidR="00D868AB" w:rsidRPr="00D868AB" w:rsidRDefault="00D868AB" w:rsidP="00D868AB">
            <w:pPr>
              <w:rPr>
                <w:rFonts w:cs="Arial"/>
                <w:sz w:val="20"/>
                <w:lang w:val="es-ES"/>
              </w:rPr>
            </w:pPr>
            <w:r w:rsidRPr="00D868AB">
              <w:rPr>
                <w:rFonts w:cs="Arial"/>
                <w:sz w:val="20"/>
                <w:lang w:val="es-ES"/>
              </w:rPr>
              <w:t>Bienes Muebles, Inmuebles e Intangibles.</w:t>
            </w:r>
          </w:p>
        </w:tc>
        <w:tc>
          <w:tcPr>
            <w:tcW w:w="17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492A6" w14:textId="77777777" w:rsidR="00D868AB" w:rsidRPr="00D868AB" w:rsidRDefault="00D868AB" w:rsidP="00D868AB">
            <w:pPr>
              <w:jc w:val="right"/>
              <w:rPr>
                <w:rFonts w:cs="Arial"/>
                <w:sz w:val="20"/>
                <w:lang w:val="es-ES"/>
              </w:rPr>
            </w:pPr>
            <w:r w:rsidRPr="00D868AB">
              <w:rPr>
                <w:rFonts w:cs="Arial"/>
                <w:sz w:val="20"/>
                <w:lang w:val="es-ES"/>
              </w:rPr>
              <w:t>721,869</w:t>
            </w:r>
          </w:p>
        </w:tc>
      </w:tr>
      <w:tr w:rsidR="00D868AB" w:rsidRPr="00D868AB" w14:paraId="4A7FB6AF" w14:textId="77777777" w:rsidTr="00A755A7">
        <w:trPr>
          <w:trHeight w:val="227"/>
          <w:jc w:val="center"/>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E97C5D" w14:textId="77777777" w:rsidR="00D868AB" w:rsidRPr="00D868AB" w:rsidRDefault="00D868AB" w:rsidP="00D868AB">
            <w:pPr>
              <w:jc w:val="center"/>
              <w:rPr>
                <w:rFonts w:cs="Arial"/>
                <w:b/>
                <w:bCs/>
                <w:sz w:val="20"/>
                <w:lang w:val="es-ES"/>
              </w:rPr>
            </w:pPr>
            <w:r w:rsidRPr="00D868AB">
              <w:rPr>
                <w:rFonts w:cs="Arial"/>
                <w:b/>
                <w:bCs/>
                <w:sz w:val="20"/>
                <w:lang w:val="es-ES"/>
              </w:rPr>
              <w:t>Total</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14:paraId="6354E26F" w14:textId="77777777" w:rsidR="00D868AB" w:rsidRPr="00D868AB" w:rsidRDefault="00D868AB" w:rsidP="00D868AB">
            <w:pPr>
              <w:jc w:val="right"/>
              <w:rPr>
                <w:rFonts w:cs="Arial"/>
                <w:b/>
                <w:bCs/>
                <w:sz w:val="20"/>
                <w:lang w:val="es-ES"/>
              </w:rPr>
            </w:pPr>
            <w:r w:rsidRPr="00D868AB">
              <w:rPr>
                <w:rFonts w:cs="Arial"/>
                <w:b/>
                <w:bCs/>
                <w:sz w:val="20"/>
                <w:lang w:val="es-ES"/>
              </w:rPr>
              <w:t>462,668,320</w:t>
            </w:r>
          </w:p>
        </w:tc>
      </w:tr>
    </w:tbl>
    <w:p w14:paraId="209022CE" w14:textId="77777777" w:rsidR="00D868AB" w:rsidRPr="00D868AB" w:rsidRDefault="00D868AB" w:rsidP="00D868AB">
      <w:pPr>
        <w:ind w:left="567" w:hanging="567"/>
        <w:rPr>
          <w:rFonts w:cs="Arial"/>
        </w:rPr>
      </w:pPr>
    </w:p>
    <w:p w14:paraId="5493FA66" w14:textId="77777777" w:rsidR="00D868AB" w:rsidRPr="00D868AB" w:rsidRDefault="00D868AB" w:rsidP="00D868AB">
      <w:pPr>
        <w:ind w:left="567" w:hanging="567"/>
        <w:rPr>
          <w:rFonts w:cs="Arial"/>
        </w:rPr>
      </w:pPr>
      <w:r w:rsidRPr="00D868AB">
        <w:rPr>
          <w:rFonts w:cs="Arial"/>
        </w:rPr>
        <w:t>III.</w:t>
      </w:r>
      <w:r w:rsidRPr="00D868AB">
        <w:rPr>
          <w:rFonts w:cs="Arial"/>
        </w:rPr>
        <w:tab/>
        <w:t xml:space="preserve">La asignación presupuestaria destinada al </w:t>
      </w:r>
      <w:r w:rsidRPr="00D868AB">
        <w:rPr>
          <w:rFonts w:cs="Arial"/>
          <w:b/>
        </w:rPr>
        <w:t>Instituto de Transparencia, Acceso a la Información Pública y Protección de Datos del Estado de Colima</w:t>
      </w:r>
      <w:r w:rsidRPr="00D868AB">
        <w:rPr>
          <w:rFonts w:cs="Arial"/>
        </w:rPr>
        <w:t xml:space="preserve">, </w:t>
      </w:r>
      <w:r w:rsidRPr="00D868AB">
        <w:rPr>
          <w:rFonts w:cs="Arial"/>
          <w:lang w:val="es-ES"/>
        </w:rPr>
        <w:t>tendrá la siguiente distribución a nivel de Capítulo de gasto:</w:t>
      </w:r>
    </w:p>
    <w:p w14:paraId="4ED5EB21" w14:textId="77777777" w:rsidR="00D868AB" w:rsidRPr="00D868AB" w:rsidRDefault="00D868AB" w:rsidP="00D868AB">
      <w:pPr>
        <w:jc w:val="center"/>
        <w:rPr>
          <w:rFonts w:eastAsia="Times New Roman" w:cs="Arial"/>
          <w:b/>
          <w:sz w:val="20"/>
          <w:lang w:val="es-ES"/>
        </w:rPr>
      </w:pPr>
      <w:bookmarkStart w:id="56" w:name="_Toc522869239"/>
      <w:bookmarkStart w:id="57" w:name="_Toc526757450"/>
      <w:bookmarkStart w:id="58" w:name="_Toc22021888"/>
      <w:bookmarkStart w:id="59" w:name="_Toc22983161"/>
      <w:r w:rsidRPr="00D868AB">
        <w:rPr>
          <w:rFonts w:eastAsia="Times New Roman" w:cs="Arial"/>
          <w:b/>
          <w:sz w:val="20"/>
          <w:lang w:val="es-ES"/>
        </w:rPr>
        <w:lastRenderedPageBreak/>
        <w:t xml:space="preserve">Tabla 11. Instituto de Transparencia, Acceso a la Información Pública y </w:t>
      </w:r>
      <w:r w:rsidRPr="00D868AB">
        <w:rPr>
          <w:rFonts w:eastAsia="Times New Roman" w:cs="Arial"/>
          <w:b/>
          <w:sz w:val="20"/>
          <w:lang w:val="es-ES"/>
        </w:rPr>
        <w:br/>
        <w:t>Protección de Datos del Estado de Colima</w:t>
      </w:r>
      <w:r w:rsidRPr="00D868AB">
        <w:rPr>
          <w:rFonts w:eastAsia="Times New Roman" w:cs="Arial"/>
          <w:b/>
          <w:sz w:val="20"/>
          <w:lang w:val="es-ES"/>
        </w:rPr>
        <w:br/>
        <w:t>(Objeto del Gasto)</w:t>
      </w:r>
      <w:bookmarkEnd w:id="56"/>
      <w:bookmarkEnd w:id="57"/>
      <w:bookmarkEnd w:id="58"/>
      <w:bookmarkEnd w:id="5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598"/>
        <w:gridCol w:w="1473"/>
      </w:tblGrid>
      <w:tr w:rsidR="00D868AB" w:rsidRPr="00D868AB" w14:paraId="071618F8"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A3F47" w14:textId="77777777" w:rsidR="00D868AB" w:rsidRPr="00D868AB" w:rsidRDefault="00D868AB" w:rsidP="00D868AB">
            <w:pPr>
              <w:jc w:val="center"/>
              <w:rPr>
                <w:rFonts w:cs="Arial"/>
                <w:b/>
                <w:bCs/>
                <w:sz w:val="20"/>
                <w:lang w:val="es-ES"/>
              </w:rPr>
            </w:pPr>
            <w:r w:rsidRPr="00D868AB">
              <w:rPr>
                <w:rFonts w:cs="Arial"/>
                <w:b/>
                <w:bCs/>
                <w:sz w:val="20"/>
                <w:lang w:val="es-ES"/>
              </w:rPr>
              <w:t>Capítulo</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A9562" w14:textId="77777777" w:rsidR="00D868AB" w:rsidRPr="00D868AB" w:rsidRDefault="00D868AB" w:rsidP="00D868AB">
            <w:pPr>
              <w:jc w:val="center"/>
              <w:rPr>
                <w:rFonts w:cs="Arial"/>
                <w:b/>
                <w:bCs/>
                <w:sz w:val="20"/>
                <w:lang w:val="es-ES"/>
              </w:rPr>
            </w:pPr>
            <w:r w:rsidRPr="00D868AB">
              <w:rPr>
                <w:rFonts w:cs="Arial"/>
                <w:b/>
                <w:bCs/>
                <w:sz w:val="20"/>
                <w:lang w:val="es-ES"/>
              </w:rPr>
              <w:t>Concepto</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519D8D" w14:textId="77777777" w:rsidR="00D868AB" w:rsidRPr="00D868AB" w:rsidRDefault="00D868AB" w:rsidP="00D868AB">
            <w:pPr>
              <w:jc w:val="center"/>
              <w:rPr>
                <w:rFonts w:cs="Arial"/>
                <w:b/>
                <w:bCs/>
                <w:sz w:val="20"/>
                <w:lang w:val="es-ES"/>
              </w:rPr>
            </w:pPr>
            <w:r w:rsidRPr="00D868AB">
              <w:rPr>
                <w:rFonts w:cs="Arial"/>
                <w:b/>
                <w:bCs/>
                <w:sz w:val="20"/>
                <w:lang w:val="es-ES"/>
              </w:rPr>
              <w:t>Asignación Presupuestal</w:t>
            </w:r>
          </w:p>
        </w:tc>
      </w:tr>
      <w:tr w:rsidR="00D868AB" w:rsidRPr="00D868AB" w14:paraId="083AC7B7"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C8A766" w14:textId="77777777" w:rsidR="00D868AB" w:rsidRPr="00D868AB" w:rsidRDefault="00D868AB" w:rsidP="00D868AB">
            <w:pPr>
              <w:jc w:val="center"/>
              <w:rPr>
                <w:rFonts w:cs="Arial"/>
                <w:sz w:val="20"/>
                <w:lang w:val="es-ES"/>
              </w:rPr>
            </w:pPr>
            <w:r w:rsidRPr="00D868AB">
              <w:rPr>
                <w:rFonts w:cs="Arial"/>
                <w:sz w:val="20"/>
                <w:lang w:val="es-ES"/>
              </w:rPr>
              <w:t>10000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AF4EF" w14:textId="77777777" w:rsidR="00D868AB" w:rsidRPr="00D868AB" w:rsidRDefault="00D868AB" w:rsidP="00D868AB">
            <w:pPr>
              <w:rPr>
                <w:rFonts w:cs="Arial"/>
                <w:sz w:val="20"/>
                <w:lang w:val="es-ES"/>
              </w:rPr>
            </w:pPr>
            <w:r w:rsidRPr="00D868AB">
              <w:rPr>
                <w:rFonts w:cs="Arial"/>
                <w:sz w:val="20"/>
                <w:lang w:val="es-ES"/>
              </w:rPr>
              <w:t>Servicios Personales.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3387C" w14:textId="77777777" w:rsidR="00D868AB" w:rsidRPr="00D868AB" w:rsidRDefault="00D868AB" w:rsidP="00D868AB">
            <w:pPr>
              <w:jc w:val="right"/>
              <w:rPr>
                <w:rFonts w:cs="Arial"/>
                <w:sz w:val="20"/>
                <w:lang w:val="es-ES"/>
              </w:rPr>
            </w:pPr>
            <w:r w:rsidRPr="00D868AB">
              <w:rPr>
                <w:rFonts w:cs="Arial"/>
                <w:sz w:val="20"/>
                <w:lang w:val="es-ES"/>
              </w:rPr>
              <w:t>16,176,876</w:t>
            </w:r>
          </w:p>
        </w:tc>
      </w:tr>
      <w:tr w:rsidR="00D868AB" w:rsidRPr="00D868AB" w14:paraId="5D1F4414"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C62B7" w14:textId="77777777" w:rsidR="00D868AB" w:rsidRPr="00D868AB" w:rsidRDefault="00D868AB" w:rsidP="00D868AB">
            <w:pPr>
              <w:jc w:val="center"/>
              <w:rPr>
                <w:rFonts w:cs="Arial"/>
                <w:sz w:val="20"/>
                <w:lang w:val="es-ES"/>
              </w:rPr>
            </w:pPr>
            <w:r w:rsidRPr="00D868AB">
              <w:rPr>
                <w:rFonts w:cs="Arial"/>
                <w:sz w:val="20"/>
                <w:lang w:val="es-ES"/>
              </w:rPr>
              <w:t>20000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3D8E7" w14:textId="77777777" w:rsidR="00D868AB" w:rsidRPr="00D868AB" w:rsidRDefault="00D868AB" w:rsidP="00D868AB">
            <w:pPr>
              <w:rPr>
                <w:rFonts w:cs="Arial"/>
                <w:sz w:val="20"/>
                <w:lang w:val="es-ES"/>
              </w:rPr>
            </w:pPr>
            <w:r w:rsidRPr="00D868AB">
              <w:rPr>
                <w:rFonts w:cs="Arial"/>
                <w:sz w:val="20"/>
                <w:lang w:val="es-ES"/>
              </w:rPr>
              <w:t>Materiales y Suministros.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14E844" w14:textId="77777777" w:rsidR="00D868AB" w:rsidRPr="00D868AB" w:rsidRDefault="00D868AB" w:rsidP="00D868AB">
            <w:pPr>
              <w:jc w:val="right"/>
              <w:rPr>
                <w:rFonts w:cs="Arial"/>
                <w:sz w:val="20"/>
                <w:lang w:val="es-ES"/>
              </w:rPr>
            </w:pPr>
            <w:r w:rsidRPr="00D868AB">
              <w:rPr>
                <w:rFonts w:cs="Arial"/>
                <w:sz w:val="20"/>
                <w:lang w:val="es-ES"/>
              </w:rPr>
              <w:t>344,508</w:t>
            </w:r>
          </w:p>
        </w:tc>
      </w:tr>
      <w:tr w:rsidR="00D868AB" w:rsidRPr="00D868AB" w14:paraId="60BA40F6"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83A922" w14:textId="77777777" w:rsidR="00D868AB" w:rsidRPr="00D868AB" w:rsidRDefault="00D868AB" w:rsidP="00D868AB">
            <w:pPr>
              <w:jc w:val="center"/>
              <w:rPr>
                <w:rFonts w:cs="Arial"/>
                <w:sz w:val="20"/>
                <w:lang w:val="es-ES"/>
              </w:rPr>
            </w:pPr>
            <w:r w:rsidRPr="00D868AB">
              <w:rPr>
                <w:rFonts w:cs="Arial"/>
                <w:sz w:val="20"/>
                <w:lang w:val="es-ES"/>
              </w:rPr>
              <w:t>30000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C261D" w14:textId="77777777" w:rsidR="00D868AB" w:rsidRPr="00D868AB" w:rsidRDefault="00D868AB" w:rsidP="00D868AB">
            <w:pPr>
              <w:rPr>
                <w:rFonts w:cs="Arial"/>
                <w:sz w:val="20"/>
                <w:lang w:val="es-ES"/>
              </w:rPr>
            </w:pPr>
            <w:r w:rsidRPr="00D868AB">
              <w:rPr>
                <w:rFonts w:cs="Arial"/>
                <w:sz w:val="20"/>
                <w:lang w:val="es-ES"/>
              </w:rPr>
              <w:t>Servicios Generales.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EF92F" w14:textId="77777777" w:rsidR="00D868AB" w:rsidRPr="00D868AB" w:rsidRDefault="00D868AB" w:rsidP="00D868AB">
            <w:pPr>
              <w:jc w:val="right"/>
              <w:rPr>
                <w:rFonts w:cs="Arial"/>
                <w:sz w:val="20"/>
                <w:lang w:val="es-ES"/>
              </w:rPr>
            </w:pPr>
            <w:r w:rsidRPr="00D868AB">
              <w:rPr>
                <w:rFonts w:cs="Arial"/>
                <w:sz w:val="20"/>
                <w:lang w:val="es-ES"/>
              </w:rPr>
              <w:t>1,579,992</w:t>
            </w:r>
          </w:p>
        </w:tc>
      </w:tr>
      <w:tr w:rsidR="00D868AB" w:rsidRPr="00D868AB" w14:paraId="15ACB6DD"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5B02BE" w14:textId="77777777" w:rsidR="00D868AB" w:rsidRPr="00D868AB" w:rsidRDefault="00D868AB" w:rsidP="00D868AB">
            <w:pPr>
              <w:jc w:val="center"/>
              <w:rPr>
                <w:rFonts w:cs="Arial"/>
                <w:sz w:val="20"/>
                <w:lang w:val="es-ES"/>
              </w:rPr>
            </w:pPr>
            <w:r w:rsidRPr="00D868AB">
              <w:rPr>
                <w:rFonts w:cs="Arial"/>
                <w:sz w:val="20"/>
                <w:lang w:val="es-ES"/>
              </w:rPr>
              <w:t>40000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52A03" w14:textId="77777777" w:rsidR="00D868AB" w:rsidRPr="00D868AB" w:rsidRDefault="00D868AB" w:rsidP="00D868AB">
            <w:pPr>
              <w:rPr>
                <w:rFonts w:cs="Arial"/>
                <w:sz w:val="20"/>
                <w:lang w:val="es-ES"/>
              </w:rPr>
            </w:pPr>
            <w:r w:rsidRPr="00D868AB">
              <w:rPr>
                <w:rFonts w:cs="Arial"/>
                <w:sz w:val="20"/>
                <w:lang w:val="es-ES"/>
              </w:rPr>
              <w:t>Transferencias, Asignaciones, Subsidios y Otras Ayudas.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979A7" w14:textId="77777777" w:rsidR="00D868AB" w:rsidRPr="00D868AB" w:rsidRDefault="00D868AB" w:rsidP="00D868AB">
            <w:pPr>
              <w:jc w:val="right"/>
              <w:rPr>
                <w:rFonts w:cs="Arial"/>
                <w:sz w:val="20"/>
                <w:lang w:val="es-ES"/>
              </w:rPr>
            </w:pPr>
            <w:r w:rsidRPr="00D868AB">
              <w:rPr>
                <w:rFonts w:cs="Arial"/>
                <w:sz w:val="20"/>
                <w:lang w:val="es-ES"/>
              </w:rPr>
              <w:t>1,754,352</w:t>
            </w:r>
          </w:p>
        </w:tc>
      </w:tr>
      <w:tr w:rsidR="00D868AB" w:rsidRPr="00D868AB" w14:paraId="669DD5E9" w14:textId="77777777" w:rsidTr="00A755A7">
        <w:trPr>
          <w:trHeight w:val="227"/>
          <w:jc w:val="cent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F002CC" w14:textId="77777777" w:rsidR="00D868AB" w:rsidRPr="00D868AB" w:rsidRDefault="00D868AB" w:rsidP="00D868AB">
            <w:pPr>
              <w:jc w:val="center"/>
              <w:rPr>
                <w:rFonts w:cs="Arial"/>
                <w:sz w:val="20"/>
                <w:lang w:val="es-ES"/>
              </w:rPr>
            </w:pPr>
            <w:r w:rsidRPr="00D868AB">
              <w:rPr>
                <w:rFonts w:cs="Arial"/>
                <w:sz w:val="20"/>
                <w:lang w:val="es-ES"/>
              </w:rPr>
              <w:t>50000</w:t>
            </w:r>
          </w:p>
        </w:tc>
        <w:tc>
          <w:tcPr>
            <w:tcW w:w="55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7FCAA" w14:textId="77777777" w:rsidR="00D868AB" w:rsidRPr="00D868AB" w:rsidRDefault="00D868AB" w:rsidP="00D868AB">
            <w:pPr>
              <w:rPr>
                <w:rFonts w:cs="Arial"/>
                <w:sz w:val="20"/>
                <w:lang w:val="es-ES"/>
              </w:rPr>
            </w:pPr>
            <w:r w:rsidRPr="00D868AB">
              <w:rPr>
                <w:rFonts w:cs="Arial"/>
                <w:sz w:val="20"/>
                <w:lang w:val="es-ES"/>
              </w:rPr>
              <w:t>Bienes Muebles, Inmuebles e Intangibles.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4D436" w14:textId="77777777" w:rsidR="00D868AB" w:rsidRPr="00D868AB" w:rsidRDefault="00D868AB" w:rsidP="00D868AB">
            <w:pPr>
              <w:jc w:val="right"/>
              <w:rPr>
                <w:rFonts w:cs="Arial"/>
                <w:sz w:val="20"/>
                <w:lang w:val="es-ES"/>
              </w:rPr>
            </w:pPr>
            <w:r w:rsidRPr="00D868AB">
              <w:rPr>
                <w:rFonts w:cs="Arial"/>
                <w:sz w:val="20"/>
                <w:lang w:val="es-ES"/>
              </w:rPr>
              <w:t>771,017</w:t>
            </w:r>
          </w:p>
        </w:tc>
      </w:tr>
      <w:tr w:rsidR="00D868AB" w:rsidRPr="00D868AB" w14:paraId="1DF58986" w14:textId="77777777" w:rsidTr="00A755A7">
        <w:trPr>
          <w:trHeight w:val="227"/>
          <w:jc w:val="center"/>
        </w:trPr>
        <w:tc>
          <w:tcPr>
            <w:tcW w:w="66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24319F" w14:textId="77777777" w:rsidR="00D868AB" w:rsidRPr="00D868AB" w:rsidRDefault="00D868AB" w:rsidP="00D868AB">
            <w:pPr>
              <w:jc w:val="center"/>
              <w:rPr>
                <w:rFonts w:cs="Arial"/>
                <w:b/>
                <w:bCs/>
                <w:sz w:val="20"/>
                <w:lang w:val="es-ES"/>
              </w:rPr>
            </w:pPr>
            <w:r w:rsidRPr="00D868AB">
              <w:rPr>
                <w:rFonts w:cs="Arial"/>
                <w:b/>
                <w:bCs/>
                <w:sz w:val="20"/>
                <w:lang w:val="es-ES"/>
              </w:rPr>
              <w:t>Total</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tcPr>
          <w:p w14:paraId="179082C5" w14:textId="77777777" w:rsidR="00D868AB" w:rsidRPr="00D868AB" w:rsidRDefault="00D868AB" w:rsidP="00D868AB">
            <w:pPr>
              <w:jc w:val="right"/>
              <w:rPr>
                <w:rFonts w:cs="Arial"/>
                <w:b/>
                <w:bCs/>
                <w:sz w:val="20"/>
                <w:lang w:val="es-ES"/>
              </w:rPr>
            </w:pPr>
            <w:r w:rsidRPr="00D868AB">
              <w:rPr>
                <w:rFonts w:cs="Arial"/>
                <w:b/>
                <w:bCs/>
                <w:sz w:val="20"/>
                <w:lang w:val="es-ES"/>
              </w:rPr>
              <w:t>20,626,745</w:t>
            </w:r>
          </w:p>
        </w:tc>
      </w:tr>
    </w:tbl>
    <w:p w14:paraId="6FA997DE" w14:textId="77777777" w:rsidR="00D868AB" w:rsidRPr="00D868AB" w:rsidRDefault="00D868AB" w:rsidP="00D868AB">
      <w:pPr>
        <w:jc w:val="left"/>
        <w:rPr>
          <w:rFonts w:eastAsia="Times New Roman" w:cs="Arial"/>
          <w:lang w:val="es-ES" w:eastAsia="en-US"/>
        </w:rPr>
      </w:pPr>
    </w:p>
    <w:p w14:paraId="583416B5" w14:textId="77777777" w:rsidR="00D868AB" w:rsidRPr="00D868AB" w:rsidRDefault="00D868AB" w:rsidP="00D868AB">
      <w:pPr>
        <w:ind w:left="567" w:hanging="567"/>
        <w:rPr>
          <w:rFonts w:cs="Arial"/>
          <w:lang w:val="es-ES"/>
        </w:rPr>
      </w:pPr>
      <w:r w:rsidRPr="00D868AB">
        <w:rPr>
          <w:rFonts w:cs="Arial"/>
          <w:lang w:val="es-ES"/>
        </w:rPr>
        <w:t>IV.</w:t>
      </w:r>
      <w:r w:rsidRPr="00D868AB">
        <w:rPr>
          <w:rFonts w:cs="Arial"/>
          <w:lang w:val="es-ES"/>
        </w:rPr>
        <w:tab/>
        <w:t xml:space="preserve">El desglose del presupuesto asignado al </w:t>
      </w:r>
      <w:r w:rsidRPr="00D868AB">
        <w:rPr>
          <w:rFonts w:cs="Arial"/>
          <w:b/>
          <w:lang w:val="es-ES"/>
        </w:rPr>
        <w:t>Órgano Superior de Auditoría y Fiscalización Gubernamental del Estado</w:t>
      </w:r>
      <w:r w:rsidRPr="00D868AB">
        <w:rPr>
          <w:rFonts w:cs="Arial"/>
          <w:lang w:val="es-ES"/>
        </w:rPr>
        <w:t>, tendrá la siguiente distribución a nivel de Capítulo de gasto:</w:t>
      </w:r>
    </w:p>
    <w:p w14:paraId="61580FB8" w14:textId="77777777" w:rsidR="00D868AB" w:rsidRPr="00D868AB" w:rsidRDefault="00D868AB" w:rsidP="00D868AB">
      <w:pPr>
        <w:keepNext/>
        <w:keepLines/>
        <w:outlineLvl w:val="2"/>
        <w:rPr>
          <w:rFonts w:eastAsia="Times New Roman" w:cs="Arial"/>
          <w:b/>
          <w:szCs w:val="24"/>
          <w:lang w:val="es-ES" w:eastAsia="en-US"/>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5292"/>
        <w:gridCol w:w="1701"/>
      </w:tblGrid>
      <w:tr w:rsidR="00D868AB" w:rsidRPr="00D868AB" w14:paraId="1CAA5C03" w14:textId="77777777" w:rsidTr="00A755A7">
        <w:trPr>
          <w:trHeight w:val="20"/>
          <w:tblHeader/>
          <w:jc w:val="center"/>
        </w:trPr>
        <w:tc>
          <w:tcPr>
            <w:tcW w:w="7933" w:type="dxa"/>
            <w:gridSpan w:val="3"/>
            <w:tcBorders>
              <w:top w:val="nil"/>
              <w:left w:val="nil"/>
              <w:bottom w:val="single" w:sz="4" w:space="0" w:color="auto"/>
              <w:right w:val="nil"/>
            </w:tcBorders>
            <w:shd w:val="clear" w:color="auto" w:fill="auto"/>
            <w:vAlign w:val="center"/>
          </w:tcPr>
          <w:p w14:paraId="0A5FEA40" w14:textId="77777777" w:rsidR="00D868AB" w:rsidRPr="00D868AB" w:rsidRDefault="00D868AB" w:rsidP="00D868AB">
            <w:pPr>
              <w:jc w:val="center"/>
              <w:rPr>
                <w:rFonts w:eastAsia="Times New Roman" w:cs="Arial"/>
                <w:b/>
                <w:bCs/>
                <w:sz w:val="20"/>
              </w:rPr>
            </w:pPr>
            <w:bookmarkStart w:id="60" w:name="_Toc522869240"/>
            <w:bookmarkStart w:id="61" w:name="_Toc526757451"/>
            <w:bookmarkStart w:id="62" w:name="_Toc22021889"/>
            <w:bookmarkStart w:id="63" w:name="_Toc22983162"/>
            <w:r w:rsidRPr="00D868AB">
              <w:rPr>
                <w:rFonts w:eastAsia="Times New Roman" w:cs="Arial"/>
                <w:b/>
                <w:sz w:val="20"/>
                <w:lang w:val="es-ES"/>
              </w:rPr>
              <w:t>Tabla 12. Órgano Superior de Auditoría y Fiscalización Gubernamental del Estado</w:t>
            </w:r>
            <w:r w:rsidRPr="00D868AB">
              <w:rPr>
                <w:rFonts w:eastAsia="Times New Roman" w:cs="Arial"/>
                <w:b/>
                <w:sz w:val="20"/>
                <w:lang w:val="es-ES"/>
              </w:rPr>
              <w:br/>
              <w:t>(Objeto del Gasto)</w:t>
            </w:r>
            <w:bookmarkEnd w:id="60"/>
            <w:bookmarkEnd w:id="61"/>
            <w:bookmarkEnd w:id="62"/>
            <w:bookmarkEnd w:id="63"/>
          </w:p>
        </w:tc>
      </w:tr>
      <w:tr w:rsidR="00D868AB" w:rsidRPr="00D868AB" w14:paraId="38A767D3" w14:textId="77777777" w:rsidTr="00A755A7">
        <w:trPr>
          <w:trHeight w:val="20"/>
          <w:tblHeader/>
          <w:jc w:val="center"/>
        </w:trPr>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98B2DC"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Capítulo</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27E9B"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Concepto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8FF49A"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Asignación Presupuestal</w:t>
            </w:r>
          </w:p>
        </w:tc>
      </w:tr>
      <w:tr w:rsidR="00D868AB" w:rsidRPr="00D868AB" w14:paraId="42931428" w14:textId="77777777" w:rsidTr="00A755A7">
        <w:trPr>
          <w:trHeight w:val="20"/>
          <w:jc w:val="center"/>
        </w:trPr>
        <w:tc>
          <w:tcPr>
            <w:tcW w:w="940" w:type="dxa"/>
            <w:tcBorders>
              <w:top w:val="single" w:sz="4" w:space="0" w:color="auto"/>
            </w:tcBorders>
            <w:shd w:val="clear" w:color="auto" w:fill="auto"/>
            <w:vAlign w:val="center"/>
            <w:hideMark/>
          </w:tcPr>
          <w:p w14:paraId="0946E61E"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10000</w:t>
            </w:r>
          </w:p>
        </w:tc>
        <w:tc>
          <w:tcPr>
            <w:tcW w:w="5292" w:type="dxa"/>
            <w:tcBorders>
              <w:top w:val="single" w:sz="4" w:space="0" w:color="auto"/>
            </w:tcBorders>
            <w:shd w:val="clear" w:color="auto" w:fill="auto"/>
            <w:vAlign w:val="center"/>
            <w:hideMark/>
          </w:tcPr>
          <w:p w14:paraId="7FF6C5EA" w14:textId="77777777" w:rsidR="00D868AB" w:rsidRPr="00D868AB" w:rsidRDefault="00D868AB" w:rsidP="00D868AB">
            <w:pPr>
              <w:rPr>
                <w:rFonts w:eastAsia="Times New Roman" w:cs="Arial"/>
                <w:sz w:val="20"/>
                <w:szCs w:val="20"/>
              </w:rPr>
            </w:pPr>
            <w:r w:rsidRPr="00D868AB">
              <w:rPr>
                <w:rFonts w:eastAsia="Times New Roman" w:cs="Arial"/>
                <w:sz w:val="20"/>
                <w:szCs w:val="20"/>
              </w:rPr>
              <w:t>Servicios Personales.</w:t>
            </w:r>
          </w:p>
        </w:tc>
        <w:tc>
          <w:tcPr>
            <w:tcW w:w="1701" w:type="dxa"/>
            <w:tcBorders>
              <w:top w:val="single" w:sz="4" w:space="0" w:color="auto"/>
            </w:tcBorders>
            <w:shd w:val="clear" w:color="auto" w:fill="auto"/>
            <w:noWrap/>
            <w:vAlign w:val="center"/>
          </w:tcPr>
          <w:p w14:paraId="3913AAFA" w14:textId="77777777" w:rsidR="00D868AB" w:rsidRPr="00D868AB" w:rsidRDefault="00D868AB" w:rsidP="00D868AB">
            <w:pPr>
              <w:jc w:val="right"/>
              <w:rPr>
                <w:rFonts w:eastAsia="Times New Roman" w:cs="Arial"/>
                <w:sz w:val="20"/>
                <w:szCs w:val="20"/>
              </w:rPr>
            </w:pPr>
            <w:r w:rsidRPr="00D868AB">
              <w:rPr>
                <w:rFonts w:eastAsia="Times New Roman" w:cs="Arial"/>
                <w:sz w:val="20"/>
                <w:szCs w:val="20"/>
              </w:rPr>
              <w:t>30,973,859</w:t>
            </w:r>
          </w:p>
        </w:tc>
      </w:tr>
      <w:tr w:rsidR="00D868AB" w:rsidRPr="00D868AB" w14:paraId="2D195D0D" w14:textId="77777777" w:rsidTr="00A755A7">
        <w:trPr>
          <w:trHeight w:val="20"/>
          <w:jc w:val="center"/>
        </w:trPr>
        <w:tc>
          <w:tcPr>
            <w:tcW w:w="940" w:type="dxa"/>
            <w:shd w:val="clear" w:color="auto" w:fill="auto"/>
            <w:vAlign w:val="center"/>
            <w:hideMark/>
          </w:tcPr>
          <w:p w14:paraId="1F792C7B"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20000</w:t>
            </w:r>
          </w:p>
        </w:tc>
        <w:tc>
          <w:tcPr>
            <w:tcW w:w="5292" w:type="dxa"/>
            <w:shd w:val="clear" w:color="auto" w:fill="auto"/>
            <w:vAlign w:val="center"/>
            <w:hideMark/>
          </w:tcPr>
          <w:p w14:paraId="06AC3E62" w14:textId="77777777" w:rsidR="00D868AB" w:rsidRPr="00D868AB" w:rsidRDefault="00D868AB" w:rsidP="00D868AB">
            <w:pPr>
              <w:rPr>
                <w:rFonts w:eastAsia="Times New Roman" w:cs="Arial"/>
                <w:sz w:val="20"/>
                <w:szCs w:val="20"/>
              </w:rPr>
            </w:pPr>
            <w:r w:rsidRPr="00D868AB">
              <w:rPr>
                <w:rFonts w:eastAsia="Times New Roman" w:cs="Arial"/>
                <w:sz w:val="20"/>
                <w:szCs w:val="20"/>
              </w:rPr>
              <w:t>Materiales y Suministros.</w:t>
            </w:r>
          </w:p>
        </w:tc>
        <w:tc>
          <w:tcPr>
            <w:tcW w:w="1701" w:type="dxa"/>
            <w:shd w:val="clear" w:color="auto" w:fill="auto"/>
            <w:noWrap/>
            <w:vAlign w:val="center"/>
          </w:tcPr>
          <w:p w14:paraId="18E1E4F5" w14:textId="77777777" w:rsidR="00D868AB" w:rsidRPr="00D868AB" w:rsidRDefault="00D868AB" w:rsidP="00D868AB">
            <w:pPr>
              <w:jc w:val="right"/>
              <w:rPr>
                <w:rFonts w:eastAsia="Times New Roman" w:cs="Arial"/>
                <w:sz w:val="20"/>
                <w:szCs w:val="20"/>
              </w:rPr>
            </w:pPr>
            <w:r w:rsidRPr="00D868AB">
              <w:rPr>
                <w:rFonts w:eastAsia="Times New Roman" w:cs="Arial"/>
                <w:sz w:val="20"/>
                <w:szCs w:val="20"/>
              </w:rPr>
              <w:t>795,976</w:t>
            </w:r>
          </w:p>
        </w:tc>
      </w:tr>
      <w:tr w:rsidR="00D868AB" w:rsidRPr="00D868AB" w14:paraId="3F4B0CAB" w14:textId="77777777" w:rsidTr="00A755A7">
        <w:trPr>
          <w:trHeight w:val="20"/>
          <w:jc w:val="center"/>
        </w:trPr>
        <w:tc>
          <w:tcPr>
            <w:tcW w:w="940" w:type="dxa"/>
            <w:shd w:val="clear" w:color="auto" w:fill="auto"/>
            <w:vAlign w:val="center"/>
            <w:hideMark/>
          </w:tcPr>
          <w:p w14:paraId="41139197"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30000</w:t>
            </w:r>
          </w:p>
        </w:tc>
        <w:tc>
          <w:tcPr>
            <w:tcW w:w="5292" w:type="dxa"/>
            <w:shd w:val="clear" w:color="auto" w:fill="auto"/>
            <w:vAlign w:val="center"/>
            <w:hideMark/>
          </w:tcPr>
          <w:p w14:paraId="26C52DD7" w14:textId="77777777" w:rsidR="00D868AB" w:rsidRPr="00D868AB" w:rsidRDefault="00D868AB" w:rsidP="00D868AB">
            <w:pPr>
              <w:rPr>
                <w:rFonts w:eastAsia="Times New Roman" w:cs="Arial"/>
                <w:sz w:val="20"/>
                <w:szCs w:val="20"/>
              </w:rPr>
            </w:pPr>
            <w:r w:rsidRPr="00D868AB">
              <w:rPr>
                <w:rFonts w:eastAsia="Times New Roman" w:cs="Arial"/>
                <w:sz w:val="20"/>
                <w:szCs w:val="20"/>
              </w:rPr>
              <w:t>Servicios Generales.</w:t>
            </w:r>
          </w:p>
        </w:tc>
        <w:tc>
          <w:tcPr>
            <w:tcW w:w="1701" w:type="dxa"/>
            <w:shd w:val="clear" w:color="auto" w:fill="auto"/>
            <w:noWrap/>
            <w:vAlign w:val="center"/>
          </w:tcPr>
          <w:p w14:paraId="757C5EBA" w14:textId="77777777" w:rsidR="00D868AB" w:rsidRPr="00D868AB" w:rsidRDefault="00D868AB" w:rsidP="00D868AB">
            <w:pPr>
              <w:jc w:val="right"/>
              <w:rPr>
                <w:rFonts w:eastAsia="Times New Roman" w:cs="Arial"/>
                <w:sz w:val="20"/>
                <w:szCs w:val="20"/>
              </w:rPr>
            </w:pPr>
            <w:r w:rsidRPr="00D868AB">
              <w:rPr>
                <w:rFonts w:eastAsia="Times New Roman" w:cs="Arial"/>
                <w:sz w:val="20"/>
                <w:szCs w:val="20"/>
              </w:rPr>
              <w:t>2,180,129</w:t>
            </w:r>
          </w:p>
        </w:tc>
      </w:tr>
      <w:tr w:rsidR="00D868AB" w:rsidRPr="00D868AB" w14:paraId="0CC06580" w14:textId="77777777" w:rsidTr="00A755A7">
        <w:trPr>
          <w:trHeight w:val="20"/>
          <w:jc w:val="center"/>
        </w:trPr>
        <w:tc>
          <w:tcPr>
            <w:tcW w:w="940" w:type="dxa"/>
            <w:shd w:val="clear" w:color="auto" w:fill="auto"/>
            <w:vAlign w:val="center"/>
            <w:hideMark/>
          </w:tcPr>
          <w:p w14:paraId="3D31C2C7"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40000</w:t>
            </w:r>
          </w:p>
        </w:tc>
        <w:tc>
          <w:tcPr>
            <w:tcW w:w="5292" w:type="dxa"/>
            <w:shd w:val="clear" w:color="auto" w:fill="auto"/>
            <w:vAlign w:val="center"/>
            <w:hideMark/>
          </w:tcPr>
          <w:p w14:paraId="390A3126" w14:textId="77777777" w:rsidR="00D868AB" w:rsidRPr="00D868AB" w:rsidRDefault="00D868AB" w:rsidP="00D868AB">
            <w:pPr>
              <w:rPr>
                <w:rFonts w:eastAsia="Times New Roman" w:cs="Arial"/>
                <w:sz w:val="20"/>
                <w:szCs w:val="20"/>
              </w:rPr>
            </w:pPr>
            <w:r w:rsidRPr="00D868AB">
              <w:rPr>
                <w:rFonts w:eastAsia="Times New Roman" w:cs="Arial"/>
                <w:sz w:val="20"/>
                <w:szCs w:val="20"/>
              </w:rPr>
              <w:t>Transferencias, Asignaciones, Subsidios y Otras Ayudas.</w:t>
            </w:r>
          </w:p>
        </w:tc>
        <w:tc>
          <w:tcPr>
            <w:tcW w:w="1701" w:type="dxa"/>
            <w:shd w:val="clear" w:color="auto" w:fill="auto"/>
            <w:noWrap/>
            <w:vAlign w:val="center"/>
          </w:tcPr>
          <w:p w14:paraId="570C4503" w14:textId="77777777" w:rsidR="00D868AB" w:rsidRPr="00D868AB" w:rsidRDefault="00D868AB" w:rsidP="00D868AB">
            <w:pPr>
              <w:jc w:val="right"/>
              <w:rPr>
                <w:rFonts w:eastAsia="Times New Roman" w:cs="Arial"/>
                <w:sz w:val="20"/>
                <w:szCs w:val="20"/>
              </w:rPr>
            </w:pPr>
            <w:r w:rsidRPr="00D868AB">
              <w:rPr>
                <w:rFonts w:eastAsia="Times New Roman" w:cs="Arial"/>
                <w:sz w:val="20"/>
                <w:szCs w:val="20"/>
              </w:rPr>
              <w:t>5,276,405</w:t>
            </w:r>
          </w:p>
        </w:tc>
      </w:tr>
      <w:tr w:rsidR="00D868AB" w:rsidRPr="00D868AB" w14:paraId="1160B846" w14:textId="77777777" w:rsidTr="00A755A7">
        <w:trPr>
          <w:trHeight w:val="20"/>
          <w:jc w:val="center"/>
        </w:trPr>
        <w:tc>
          <w:tcPr>
            <w:tcW w:w="940" w:type="dxa"/>
            <w:shd w:val="clear" w:color="auto" w:fill="auto"/>
            <w:vAlign w:val="center"/>
            <w:hideMark/>
          </w:tcPr>
          <w:p w14:paraId="4C029812"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50000</w:t>
            </w:r>
          </w:p>
        </w:tc>
        <w:tc>
          <w:tcPr>
            <w:tcW w:w="5292" w:type="dxa"/>
            <w:shd w:val="clear" w:color="auto" w:fill="auto"/>
            <w:vAlign w:val="center"/>
            <w:hideMark/>
          </w:tcPr>
          <w:p w14:paraId="1A90C9B3" w14:textId="77777777" w:rsidR="00D868AB" w:rsidRPr="00D868AB" w:rsidRDefault="00D868AB" w:rsidP="00D868AB">
            <w:pPr>
              <w:rPr>
                <w:rFonts w:eastAsia="Times New Roman" w:cs="Arial"/>
                <w:sz w:val="20"/>
                <w:szCs w:val="20"/>
              </w:rPr>
            </w:pPr>
            <w:r w:rsidRPr="00D868AB">
              <w:rPr>
                <w:rFonts w:eastAsia="Times New Roman" w:cs="Arial"/>
                <w:sz w:val="20"/>
                <w:szCs w:val="20"/>
              </w:rPr>
              <w:t>Bienes Muebles, Inmuebles e Intangibles.</w:t>
            </w:r>
          </w:p>
        </w:tc>
        <w:tc>
          <w:tcPr>
            <w:tcW w:w="1701" w:type="dxa"/>
            <w:shd w:val="clear" w:color="auto" w:fill="auto"/>
            <w:noWrap/>
            <w:vAlign w:val="center"/>
          </w:tcPr>
          <w:p w14:paraId="3F96A5BA" w14:textId="77777777" w:rsidR="00D868AB" w:rsidRPr="00D868AB" w:rsidRDefault="00D868AB" w:rsidP="00D868AB">
            <w:pPr>
              <w:jc w:val="right"/>
              <w:rPr>
                <w:rFonts w:eastAsia="Times New Roman" w:cs="Arial"/>
                <w:sz w:val="20"/>
                <w:szCs w:val="20"/>
              </w:rPr>
            </w:pPr>
            <w:r w:rsidRPr="00D868AB">
              <w:rPr>
                <w:rFonts w:eastAsia="Times New Roman" w:cs="Arial"/>
                <w:sz w:val="20"/>
                <w:szCs w:val="20"/>
              </w:rPr>
              <w:t>504,043</w:t>
            </w:r>
          </w:p>
        </w:tc>
      </w:tr>
      <w:tr w:rsidR="00D868AB" w:rsidRPr="00D868AB" w14:paraId="58AB50AF" w14:textId="77777777" w:rsidTr="00A755A7">
        <w:trPr>
          <w:trHeight w:val="20"/>
          <w:jc w:val="center"/>
        </w:trPr>
        <w:tc>
          <w:tcPr>
            <w:tcW w:w="940" w:type="dxa"/>
            <w:shd w:val="clear" w:color="auto" w:fill="auto"/>
            <w:vAlign w:val="center"/>
          </w:tcPr>
          <w:p w14:paraId="468A17E4"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70000</w:t>
            </w:r>
          </w:p>
        </w:tc>
        <w:tc>
          <w:tcPr>
            <w:tcW w:w="5292" w:type="dxa"/>
            <w:shd w:val="clear" w:color="auto" w:fill="auto"/>
            <w:vAlign w:val="center"/>
          </w:tcPr>
          <w:p w14:paraId="3AC36417" w14:textId="77777777" w:rsidR="00D868AB" w:rsidRPr="00D868AB" w:rsidRDefault="00D868AB" w:rsidP="00D868AB">
            <w:pPr>
              <w:rPr>
                <w:rFonts w:eastAsia="Times New Roman" w:cs="Arial"/>
                <w:sz w:val="20"/>
                <w:szCs w:val="20"/>
              </w:rPr>
            </w:pPr>
            <w:r w:rsidRPr="00D868AB">
              <w:rPr>
                <w:rFonts w:eastAsia="Times New Roman" w:cs="Arial"/>
                <w:sz w:val="20"/>
                <w:szCs w:val="20"/>
              </w:rPr>
              <w:t>Inversiones Financieras y Otras Provisiones.</w:t>
            </w:r>
          </w:p>
        </w:tc>
        <w:tc>
          <w:tcPr>
            <w:tcW w:w="1701" w:type="dxa"/>
            <w:shd w:val="clear" w:color="auto" w:fill="auto"/>
            <w:noWrap/>
            <w:vAlign w:val="center"/>
          </w:tcPr>
          <w:p w14:paraId="74E38D29" w14:textId="77777777" w:rsidR="00D868AB" w:rsidRPr="00D868AB" w:rsidRDefault="00D868AB" w:rsidP="00D868AB">
            <w:pPr>
              <w:jc w:val="right"/>
              <w:rPr>
                <w:rFonts w:eastAsia="Times New Roman" w:cs="Arial"/>
                <w:sz w:val="20"/>
                <w:szCs w:val="20"/>
              </w:rPr>
            </w:pPr>
            <w:r w:rsidRPr="00D868AB">
              <w:rPr>
                <w:rFonts w:eastAsia="Times New Roman" w:cs="Arial"/>
                <w:sz w:val="20"/>
                <w:szCs w:val="20"/>
              </w:rPr>
              <w:t>870,000</w:t>
            </w:r>
          </w:p>
        </w:tc>
      </w:tr>
      <w:tr w:rsidR="00D868AB" w:rsidRPr="00D868AB" w14:paraId="5F4885CB" w14:textId="77777777" w:rsidTr="00A755A7">
        <w:trPr>
          <w:trHeight w:val="20"/>
          <w:jc w:val="center"/>
        </w:trPr>
        <w:tc>
          <w:tcPr>
            <w:tcW w:w="6232" w:type="dxa"/>
            <w:gridSpan w:val="2"/>
            <w:shd w:val="clear" w:color="auto" w:fill="auto"/>
            <w:vAlign w:val="center"/>
            <w:hideMark/>
          </w:tcPr>
          <w:p w14:paraId="3F432DE7"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Total</w:t>
            </w:r>
          </w:p>
        </w:tc>
        <w:tc>
          <w:tcPr>
            <w:tcW w:w="1701" w:type="dxa"/>
            <w:shd w:val="clear" w:color="auto" w:fill="auto"/>
            <w:vAlign w:val="center"/>
          </w:tcPr>
          <w:p w14:paraId="0F44D914" w14:textId="77777777" w:rsidR="00D868AB" w:rsidRPr="00D868AB" w:rsidRDefault="00D868AB" w:rsidP="00D868AB">
            <w:pPr>
              <w:jc w:val="right"/>
              <w:rPr>
                <w:rFonts w:eastAsia="Times New Roman" w:cs="Arial"/>
                <w:b/>
                <w:bCs/>
                <w:sz w:val="20"/>
                <w:szCs w:val="20"/>
              </w:rPr>
            </w:pPr>
            <w:r w:rsidRPr="00D868AB">
              <w:rPr>
                <w:rFonts w:eastAsia="Times New Roman" w:cs="Arial"/>
                <w:b/>
                <w:bCs/>
                <w:sz w:val="20"/>
                <w:szCs w:val="20"/>
              </w:rPr>
              <w:t>40,600,412</w:t>
            </w:r>
          </w:p>
        </w:tc>
      </w:tr>
    </w:tbl>
    <w:p w14:paraId="7C41990E" w14:textId="77777777" w:rsidR="00D868AB" w:rsidRPr="00D868AB" w:rsidRDefault="00D868AB" w:rsidP="00D868AB">
      <w:pPr>
        <w:ind w:left="567" w:hanging="567"/>
        <w:rPr>
          <w:rFonts w:cs="Arial"/>
          <w:lang w:val="es-ES"/>
        </w:rPr>
      </w:pPr>
    </w:p>
    <w:p w14:paraId="7B99A5E5" w14:textId="77777777" w:rsidR="00D868AB" w:rsidRPr="00D868AB" w:rsidRDefault="00D868AB" w:rsidP="00D868AB">
      <w:pPr>
        <w:ind w:left="567" w:hanging="567"/>
        <w:rPr>
          <w:rFonts w:cs="Arial"/>
          <w:lang w:val="es-ES"/>
        </w:rPr>
      </w:pPr>
      <w:r w:rsidRPr="00D868AB">
        <w:rPr>
          <w:rFonts w:cs="Arial"/>
          <w:lang w:val="es-ES"/>
        </w:rPr>
        <w:t>V.</w:t>
      </w:r>
      <w:r w:rsidRPr="00D868AB">
        <w:rPr>
          <w:rFonts w:cs="Arial"/>
          <w:lang w:val="es-ES"/>
        </w:rPr>
        <w:tab/>
        <w:t xml:space="preserve">El desglose del presupuesto asignado al </w:t>
      </w:r>
      <w:r w:rsidRPr="00D868AB">
        <w:rPr>
          <w:rFonts w:cs="Arial"/>
          <w:b/>
          <w:lang w:val="es-ES"/>
        </w:rPr>
        <w:t>Tribunal de Arbitraje y Escalafón</w:t>
      </w:r>
      <w:r w:rsidRPr="00D868AB">
        <w:rPr>
          <w:rFonts w:cs="Arial"/>
          <w:lang w:val="es-ES"/>
        </w:rPr>
        <w:t>, tendrá la siguiente distribución a nivel de Capítulo de gasto:</w:t>
      </w:r>
    </w:p>
    <w:p w14:paraId="507E2D1D" w14:textId="77777777" w:rsidR="00D868AB" w:rsidRPr="00D868AB" w:rsidRDefault="00D868AB" w:rsidP="00D868AB">
      <w:pPr>
        <w:keepNext/>
        <w:keepLines/>
        <w:outlineLvl w:val="2"/>
        <w:rPr>
          <w:rFonts w:eastAsia="Calibri" w:cs="Arial"/>
          <w:b/>
          <w:szCs w:val="24"/>
          <w:lang w:val="es-ES" w:eastAsia="en-US"/>
        </w:rPr>
      </w:pPr>
    </w:p>
    <w:p w14:paraId="1395932B" w14:textId="77777777" w:rsidR="00D868AB" w:rsidRPr="00D868AB" w:rsidRDefault="00D868AB" w:rsidP="00D868AB">
      <w:pPr>
        <w:jc w:val="center"/>
        <w:rPr>
          <w:rFonts w:eastAsia="Times New Roman" w:cs="Arial"/>
          <w:b/>
          <w:sz w:val="20"/>
          <w:lang w:val="es-ES"/>
        </w:rPr>
      </w:pPr>
      <w:bookmarkStart w:id="64" w:name="_Toc522869241"/>
      <w:bookmarkStart w:id="65" w:name="_Toc526757453"/>
      <w:bookmarkStart w:id="66" w:name="_Toc22021891"/>
      <w:bookmarkStart w:id="67" w:name="_Toc22983164"/>
      <w:r w:rsidRPr="00D868AB">
        <w:rPr>
          <w:rFonts w:eastAsia="Times New Roman" w:cs="Arial"/>
          <w:b/>
          <w:sz w:val="20"/>
          <w:lang w:val="es-ES"/>
        </w:rPr>
        <w:t>Tabla 13. Tribunal de Arbitraje y Escalafón</w:t>
      </w:r>
      <w:r w:rsidRPr="00D868AB">
        <w:rPr>
          <w:rFonts w:eastAsia="Times New Roman" w:cs="Arial"/>
          <w:b/>
          <w:sz w:val="20"/>
          <w:lang w:val="es-ES"/>
        </w:rPr>
        <w:br/>
        <w:t>(Objeto del Gasto)</w:t>
      </w:r>
      <w:bookmarkEnd w:id="64"/>
      <w:bookmarkEnd w:id="65"/>
      <w:bookmarkEnd w:id="66"/>
      <w:bookmarkEnd w:id="67"/>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385"/>
        <w:gridCol w:w="1559"/>
      </w:tblGrid>
      <w:tr w:rsidR="00D868AB" w:rsidRPr="00D868AB" w14:paraId="15D91652"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BA618" w14:textId="77777777" w:rsidR="00D868AB" w:rsidRPr="00D868AB" w:rsidRDefault="00D868AB" w:rsidP="00D868AB">
            <w:pPr>
              <w:jc w:val="center"/>
              <w:rPr>
                <w:rFonts w:cs="Arial"/>
                <w:b/>
                <w:bCs/>
                <w:sz w:val="20"/>
                <w:lang w:val="es-ES"/>
              </w:rPr>
            </w:pPr>
            <w:r w:rsidRPr="00D868AB">
              <w:rPr>
                <w:rFonts w:cs="Arial"/>
                <w:b/>
                <w:bCs/>
                <w:sz w:val="20"/>
                <w:lang w:val="es-ES"/>
              </w:rPr>
              <w:t>Capítulo</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FDFE1" w14:textId="77777777" w:rsidR="00D868AB" w:rsidRPr="00D868AB" w:rsidRDefault="00D868AB" w:rsidP="00D868AB">
            <w:pPr>
              <w:jc w:val="center"/>
              <w:rPr>
                <w:rFonts w:cs="Arial"/>
                <w:b/>
                <w:bCs/>
                <w:sz w:val="20"/>
                <w:lang w:val="es-ES"/>
              </w:rPr>
            </w:pPr>
            <w:r w:rsidRPr="00D868AB">
              <w:rPr>
                <w:rFonts w:cs="Arial"/>
                <w:b/>
                <w:bCs/>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1C89A3" w14:textId="77777777" w:rsidR="00D868AB" w:rsidRPr="00D868AB" w:rsidRDefault="00D868AB" w:rsidP="00D868AB">
            <w:pPr>
              <w:jc w:val="center"/>
              <w:rPr>
                <w:rFonts w:cs="Arial"/>
                <w:b/>
                <w:bCs/>
                <w:sz w:val="20"/>
                <w:lang w:val="es-ES"/>
              </w:rPr>
            </w:pPr>
            <w:r w:rsidRPr="00D868AB">
              <w:rPr>
                <w:rFonts w:cs="Arial"/>
                <w:b/>
                <w:bCs/>
                <w:sz w:val="20"/>
                <w:lang w:val="es-ES"/>
              </w:rPr>
              <w:t>Asignación Presupuestal</w:t>
            </w:r>
          </w:p>
        </w:tc>
      </w:tr>
      <w:tr w:rsidR="00D868AB" w:rsidRPr="00D868AB" w14:paraId="2F3409AF"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A150A" w14:textId="77777777" w:rsidR="00D868AB" w:rsidRPr="00D868AB" w:rsidRDefault="00D868AB" w:rsidP="00D868AB">
            <w:pPr>
              <w:jc w:val="center"/>
              <w:rPr>
                <w:rFonts w:cs="Arial"/>
                <w:sz w:val="20"/>
                <w:lang w:val="es-ES"/>
              </w:rPr>
            </w:pPr>
            <w:r w:rsidRPr="00D868AB">
              <w:rPr>
                <w:rFonts w:cs="Arial"/>
                <w:sz w:val="20"/>
                <w:lang w:val="es-ES"/>
              </w:rPr>
              <w:t>10000</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604E4" w14:textId="77777777" w:rsidR="00D868AB" w:rsidRPr="00D868AB" w:rsidRDefault="00D868AB" w:rsidP="00D868AB">
            <w:pPr>
              <w:rPr>
                <w:rFonts w:cs="Arial"/>
                <w:sz w:val="20"/>
                <w:lang w:val="es-ES"/>
              </w:rPr>
            </w:pPr>
            <w:r w:rsidRPr="00D868AB">
              <w:rPr>
                <w:rFonts w:cs="Arial"/>
                <w:sz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653A7" w14:textId="77777777" w:rsidR="00D868AB" w:rsidRPr="00D868AB" w:rsidRDefault="00D868AB" w:rsidP="00D868AB">
            <w:pPr>
              <w:jc w:val="right"/>
              <w:rPr>
                <w:rFonts w:cs="Arial"/>
                <w:sz w:val="20"/>
                <w:lang w:val="es-ES"/>
              </w:rPr>
            </w:pPr>
            <w:r w:rsidRPr="00D868AB">
              <w:rPr>
                <w:rFonts w:cs="Arial"/>
                <w:sz w:val="20"/>
                <w:lang w:val="es-ES"/>
              </w:rPr>
              <w:t>6,404,314</w:t>
            </w:r>
          </w:p>
        </w:tc>
      </w:tr>
      <w:tr w:rsidR="00D868AB" w:rsidRPr="00D868AB" w14:paraId="2ED331BA"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644B26" w14:textId="77777777" w:rsidR="00D868AB" w:rsidRPr="00D868AB" w:rsidRDefault="00D868AB" w:rsidP="00D868AB">
            <w:pPr>
              <w:jc w:val="center"/>
              <w:rPr>
                <w:rFonts w:cs="Arial"/>
                <w:sz w:val="20"/>
                <w:lang w:val="es-ES"/>
              </w:rPr>
            </w:pPr>
            <w:r w:rsidRPr="00D868AB">
              <w:rPr>
                <w:rFonts w:cs="Arial"/>
                <w:sz w:val="20"/>
                <w:lang w:val="es-ES"/>
              </w:rPr>
              <w:t>20000</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A3E311" w14:textId="77777777" w:rsidR="00D868AB" w:rsidRPr="00D868AB" w:rsidRDefault="00D868AB" w:rsidP="00D868AB">
            <w:pPr>
              <w:rPr>
                <w:rFonts w:cs="Arial"/>
                <w:sz w:val="20"/>
                <w:lang w:val="es-ES"/>
              </w:rPr>
            </w:pPr>
            <w:r w:rsidRPr="00D868AB">
              <w:rPr>
                <w:rFonts w:cs="Arial"/>
                <w:sz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4B0387" w14:textId="77777777" w:rsidR="00D868AB" w:rsidRPr="00D868AB" w:rsidRDefault="00D868AB" w:rsidP="00D868AB">
            <w:pPr>
              <w:jc w:val="right"/>
              <w:rPr>
                <w:rFonts w:cs="Arial"/>
                <w:sz w:val="20"/>
                <w:lang w:val="es-ES"/>
              </w:rPr>
            </w:pPr>
            <w:r w:rsidRPr="00D868AB">
              <w:rPr>
                <w:rFonts w:cs="Arial"/>
                <w:sz w:val="20"/>
                <w:lang w:val="es-ES"/>
              </w:rPr>
              <w:t>279,600</w:t>
            </w:r>
          </w:p>
        </w:tc>
      </w:tr>
      <w:tr w:rsidR="00D868AB" w:rsidRPr="00D868AB" w14:paraId="73A78EDB"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2784AF" w14:textId="77777777" w:rsidR="00D868AB" w:rsidRPr="00D868AB" w:rsidRDefault="00D868AB" w:rsidP="00D868AB">
            <w:pPr>
              <w:jc w:val="center"/>
              <w:rPr>
                <w:rFonts w:cs="Arial"/>
                <w:sz w:val="20"/>
                <w:lang w:val="es-ES"/>
              </w:rPr>
            </w:pPr>
            <w:r w:rsidRPr="00D868AB">
              <w:rPr>
                <w:rFonts w:cs="Arial"/>
                <w:sz w:val="20"/>
                <w:lang w:val="es-ES"/>
              </w:rPr>
              <w:t>30000</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1A1ECB" w14:textId="77777777" w:rsidR="00D868AB" w:rsidRPr="00D868AB" w:rsidRDefault="00D868AB" w:rsidP="00D868AB">
            <w:pPr>
              <w:rPr>
                <w:rFonts w:cs="Arial"/>
                <w:sz w:val="20"/>
                <w:lang w:val="es-ES"/>
              </w:rPr>
            </w:pPr>
            <w:r w:rsidRPr="00D868AB">
              <w:rPr>
                <w:rFonts w:cs="Arial"/>
                <w:sz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1C16E7" w14:textId="77777777" w:rsidR="00D868AB" w:rsidRPr="00D868AB" w:rsidRDefault="00D868AB" w:rsidP="00D868AB">
            <w:pPr>
              <w:jc w:val="right"/>
              <w:rPr>
                <w:rFonts w:cs="Arial"/>
                <w:sz w:val="20"/>
                <w:lang w:val="es-ES"/>
              </w:rPr>
            </w:pPr>
            <w:r w:rsidRPr="00D868AB">
              <w:rPr>
                <w:rFonts w:cs="Arial"/>
                <w:sz w:val="20"/>
                <w:lang w:val="es-ES"/>
              </w:rPr>
              <w:t>535,200</w:t>
            </w:r>
          </w:p>
        </w:tc>
      </w:tr>
      <w:tr w:rsidR="00D868AB" w:rsidRPr="00D868AB" w14:paraId="57083EDC"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059F8" w14:textId="77777777" w:rsidR="00D868AB" w:rsidRPr="00D868AB" w:rsidRDefault="00D868AB" w:rsidP="00D868AB">
            <w:pPr>
              <w:jc w:val="center"/>
              <w:rPr>
                <w:rFonts w:cs="Arial"/>
                <w:sz w:val="20"/>
                <w:lang w:val="es-ES"/>
              </w:rPr>
            </w:pPr>
            <w:r w:rsidRPr="00D868AB">
              <w:rPr>
                <w:rFonts w:cs="Arial"/>
                <w:sz w:val="20"/>
                <w:lang w:val="es-ES"/>
              </w:rPr>
              <w:t>40000</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288D62" w14:textId="77777777" w:rsidR="00D868AB" w:rsidRPr="00D868AB" w:rsidRDefault="00D868AB" w:rsidP="00D868AB">
            <w:pPr>
              <w:rPr>
                <w:rFonts w:cs="Arial"/>
                <w:sz w:val="20"/>
                <w:lang w:val="es-ES"/>
              </w:rPr>
            </w:pPr>
            <w:r w:rsidRPr="00D868AB">
              <w:rPr>
                <w:rFonts w:cs="Arial"/>
                <w:sz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4C00B" w14:textId="77777777" w:rsidR="00D868AB" w:rsidRPr="00D868AB" w:rsidRDefault="00D868AB" w:rsidP="00D868AB">
            <w:pPr>
              <w:jc w:val="right"/>
              <w:rPr>
                <w:rFonts w:cs="Arial"/>
                <w:sz w:val="20"/>
                <w:lang w:val="es-ES"/>
              </w:rPr>
            </w:pPr>
            <w:r w:rsidRPr="00D868AB">
              <w:rPr>
                <w:rFonts w:cs="Arial"/>
                <w:sz w:val="20"/>
                <w:lang w:val="es-ES"/>
              </w:rPr>
              <w:t>400,000</w:t>
            </w:r>
          </w:p>
        </w:tc>
      </w:tr>
      <w:tr w:rsidR="00D868AB" w:rsidRPr="00D868AB" w14:paraId="1F5496B0"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06818" w14:textId="77777777" w:rsidR="00D868AB" w:rsidRPr="00D868AB" w:rsidRDefault="00D868AB" w:rsidP="00D868AB">
            <w:pPr>
              <w:jc w:val="center"/>
              <w:rPr>
                <w:rFonts w:cs="Arial"/>
                <w:sz w:val="20"/>
                <w:lang w:val="es-ES"/>
              </w:rPr>
            </w:pPr>
            <w:r w:rsidRPr="00D868AB">
              <w:rPr>
                <w:rFonts w:cs="Arial"/>
                <w:sz w:val="20"/>
                <w:lang w:val="es-ES"/>
              </w:rPr>
              <w:t>50000</w:t>
            </w:r>
          </w:p>
        </w:tc>
        <w:tc>
          <w:tcPr>
            <w:tcW w:w="5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864951" w14:textId="77777777" w:rsidR="00D868AB" w:rsidRPr="00D868AB" w:rsidRDefault="00D868AB" w:rsidP="00D868AB">
            <w:pPr>
              <w:rPr>
                <w:rFonts w:cs="Arial"/>
                <w:sz w:val="20"/>
                <w:lang w:val="es-ES"/>
              </w:rPr>
            </w:pPr>
            <w:r w:rsidRPr="00D868AB">
              <w:rPr>
                <w:rFonts w:cs="Arial"/>
                <w:sz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79824" w14:textId="77777777" w:rsidR="00D868AB" w:rsidRPr="00D868AB" w:rsidRDefault="00D868AB" w:rsidP="00D868AB">
            <w:pPr>
              <w:jc w:val="right"/>
              <w:rPr>
                <w:rFonts w:cs="Arial"/>
                <w:sz w:val="20"/>
                <w:lang w:val="es-ES"/>
              </w:rPr>
            </w:pPr>
            <w:r w:rsidRPr="00D868AB">
              <w:rPr>
                <w:rFonts w:cs="Arial"/>
                <w:sz w:val="20"/>
                <w:lang w:val="es-ES"/>
              </w:rPr>
              <w:t>97,200</w:t>
            </w:r>
          </w:p>
        </w:tc>
      </w:tr>
      <w:tr w:rsidR="00D868AB" w:rsidRPr="00D868AB" w14:paraId="5C17660D" w14:textId="77777777" w:rsidTr="00A755A7">
        <w:trPr>
          <w:trHeight w:val="227"/>
        </w:trPr>
        <w:tc>
          <w:tcPr>
            <w:tcW w:w="64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B25B04A" w14:textId="77777777" w:rsidR="00D868AB" w:rsidRPr="00D868AB" w:rsidRDefault="00D868AB" w:rsidP="00D868AB">
            <w:pPr>
              <w:jc w:val="center"/>
              <w:rPr>
                <w:rFonts w:cs="Arial"/>
                <w:b/>
                <w:bCs/>
                <w:sz w:val="20"/>
                <w:lang w:val="es-ES"/>
              </w:rPr>
            </w:pPr>
            <w:r w:rsidRPr="00D868AB">
              <w:rPr>
                <w:rFonts w:cs="Arial"/>
                <w:b/>
                <w:bCs/>
                <w:sz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3FE8ABE6" w14:textId="77777777" w:rsidR="00D868AB" w:rsidRPr="00D868AB" w:rsidRDefault="00D868AB" w:rsidP="00D868AB">
            <w:pPr>
              <w:jc w:val="right"/>
              <w:rPr>
                <w:rFonts w:cs="Arial"/>
                <w:b/>
                <w:sz w:val="20"/>
                <w:lang w:val="es-ES"/>
              </w:rPr>
            </w:pPr>
            <w:r w:rsidRPr="00D868AB">
              <w:rPr>
                <w:rFonts w:cs="Arial"/>
                <w:b/>
                <w:sz w:val="20"/>
                <w:lang w:val="es-ES"/>
              </w:rPr>
              <w:t>7,716,314</w:t>
            </w:r>
          </w:p>
        </w:tc>
      </w:tr>
    </w:tbl>
    <w:p w14:paraId="08B2F637" w14:textId="77777777" w:rsidR="00D868AB" w:rsidRPr="00D868AB" w:rsidRDefault="00D868AB" w:rsidP="00D868AB">
      <w:pPr>
        <w:jc w:val="left"/>
        <w:rPr>
          <w:rFonts w:eastAsia="Calibri" w:cs="Arial"/>
          <w:lang w:val="es-ES" w:eastAsia="en-US"/>
        </w:rPr>
      </w:pPr>
    </w:p>
    <w:p w14:paraId="549C4843" w14:textId="77777777" w:rsidR="00D868AB" w:rsidRPr="00D868AB" w:rsidRDefault="00D868AB" w:rsidP="00D868AB">
      <w:pPr>
        <w:ind w:left="567" w:hanging="567"/>
        <w:rPr>
          <w:rFonts w:cs="Arial"/>
          <w:lang w:val="es-ES"/>
        </w:rPr>
      </w:pPr>
      <w:r w:rsidRPr="00D868AB">
        <w:rPr>
          <w:rFonts w:cs="Arial"/>
          <w:lang w:val="es-ES"/>
        </w:rPr>
        <w:lastRenderedPageBreak/>
        <w:t>VI.</w:t>
      </w:r>
      <w:r w:rsidRPr="00D868AB">
        <w:rPr>
          <w:rFonts w:cs="Arial"/>
          <w:lang w:val="es-ES"/>
        </w:rPr>
        <w:tab/>
        <w:t xml:space="preserve">El desglose del presupuesto asignado al </w:t>
      </w:r>
      <w:r w:rsidRPr="00D868AB">
        <w:rPr>
          <w:rFonts w:cs="Arial"/>
          <w:b/>
          <w:lang w:val="es-ES"/>
        </w:rPr>
        <w:t>Tribunal de Justicia de Administrativa del Estado de Colima</w:t>
      </w:r>
      <w:r w:rsidRPr="00D868AB">
        <w:rPr>
          <w:rFonts w:cs="Arial"/>
          <w:lang w:val="es-ES"/>
        </w:rPr>
        <w:t>, tendrá la siguiente distribución:</w:t>
      </w:r>
    </w:p>
    <w:p w14:paraId="0A8D1998" w14:textId="77777777" w:rsidR="00D868AB" w:rsidRPr="00D868AB" w:rsidRDefault="00D868AB" w:rsidP="00D868AB">
      <w:pPr>
        <w:keepNext/>
        <w:keepLines/>
        <w:outlineLvl w:val="2"/>
        <w:rPr>
          <w:rFonts w:eastAsia="Times New Roman" w:cs="Arial"/>
          <w:b/>
          <w:szCs w:val="24"/>
          <w:lang w:val="es-ES" w:eastAsia="en-US"/>
        </w:rPr>
      </w:pP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380"/>
        <w:gridCol w:w="1559"/>
      </w:tblGrid>
      <w:tr w:rsidR="00D868AB" w:rsidRPr="00D868AB" w14:paraId="3CB87CCB" w14:textId="77777777" w:rsidTr="00A755A7">
        <w:trPr>
          <w:trHeight w:val="227"/>
          <w:tblHeader/>
        </w:trPr>
        <w:tc>
          <w:tcPr>
            <w:tcW w:w="7955" w:type="dxa"/>
            <w:gridSpan w:val="3"/>
            <w:tcBorders>
              <w:top w:val="nil"/>
              <w:left w:val="nil"/>
              <w:bottom w:val="single" w:sz="4" w:space="0" w:color="auto"/>
              <w:right w:val="nil"/>
            </w:tcBorders>
            <w:shd w:val="clear" w:color="auto" w:fill="auto"/>
            <w:vAlign w:val="center"/>
          </w:tcPr>
          <w:p w14:paraId="621B9B3B"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Tabla 14. Tribunal de Justicia Administrativa del Estado de Colima</w:t>
            </w:r>
          </w:p>
          <w:p w14:paraId="581F1D6B"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(Objeto del Gasto)</w:t>
            </w:r>
          </w:p>
        </w:tc>
      </w:tr>
      <w:tr w:rsidR="00D868AB" w:rsidRPr="00D868AB" w14:paraId="2F3A486B" w14:textId="77777777" w:rsidTr="00A755A7">
        <w:trPr>
          <w:trHeight w:val="227"/>
          <w:tblHead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98594E"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Capítulo</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6CBD8"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6F462"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Asignación Presupuestal</w:t>
            </w:r>
          </w:p>
        </w:tc>
      </w:tr>
      <w:tr w:rsidR="00D868AB" w:rsidRPr="00D868AB" w14:paraId="67EABBCA"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F8EB2A" w14:textId="77777777" w:rsidR="00D868AB" w:rsidRPr="00D868AB" w:rsidRDefault="00D868AB" w:rsidP="00D868AB">
            <w:pPr>
              <w:jc w:val="center"/>
              <w:rPr>
                <w:rFonts w:cs="Arial"/>
                <w:sz w:val="20"/>
                <w:szCs w:val="20"/>
                <w:lang w:val="es-ES"/>
              </w:rPr>
            </w:pPr>
            <w:r w:rsidRPr="00D868AB">
              <w:rPr>
                <w:rFonts w:cs="Arial"/>
                <w:sz w:val="20"/>
                <w:szCs w:val="20"/>
                <w:lang w:val="es-ES"/>
              </w:rPr>
              <w:t>10000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62903D" w14:textId="77777777" w:rsidR="00D868AB" w:rsidRPr="00D868AB" w:rsidRDefault="00D868AB" w:rsidP="00D868AB">
            <w:pPr>
              <w:rPr>
                <w:rFonts w:cs="Arial"/>
                <w:sz w:val="20"/>
                <w:szCs w:val="20"/>
                <w:lang w:val="es-ES"/>
              </w:rPr>
            </w:pPr>
            <w:r w:rsidRPr="00D868AB">
              <w:rPr>
                <w:rFonts w:cs="Arial"/>
                <w:sz w:val="20"/>
                <w:szCs w:val="20"/>
                <w:lang w:val="es-ES"/>
              </w:rPr>
              <w:t>Servicios Personales.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42FCE" w14:textId="77777777" w:rsidR="00D868AB" w:rsidRPr="00D868AB" w:rsidRDefault="00D868AB" w:rsidP="00D868AB">
            <w:pPr>
              <w:jc w:val="right"/>
              <w:rPr>
                <w:rFonts w:cs="Arial"/>
                <w:sz w:val="20"/>
                <w:szCs w:val="20"/>
                <w:lang w:val="es-ES"/>
              </w:rPr>
            </w:pPr>
            <w:r w:rsidRPr="00D868AB">
              <w:rPr>
                <w:rFonts w:cs="Arial"/>
                <w:sz w:val="20"/>
                <w:szCs w:val="20"/>
                <w:lang w:val="es-ES"/>
              </w:rPr>
              <w:t>20,477,194</w:t>
            </w:r>
          </w:p>
        </w:tc>
      </w:tr>
      <w:tr w:rsidR="00D868AB" w:rsidRPr="00D868AB" w14:paraId="75E4D7B5"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3318F0" w14:textId="77777777" w:rsidR="00D868AB" w:rsidRPr="00D868AB" w:rsidRDefault="00D868AB" w:rsidP="00D868AB">
            <w:pPr>
              <w:jc w:val="center"/>
              <w:rPr>
                <w:rFonts w:cs="Arial"/>
                <w:sz w:val="20"/>
                <w:szCs w:val="20"/>
                <w:lang w:val="es-ES"/>
              </w:rPr>
            </w:pPr>
            <w:r w:rsidRPr="00D868AB">
              <w:rPr>
                <w:rFonts w:cs="Arial"/>
                <w:sz w:val="20"/>
                <w:szCs w:val="20"/>
                <w:lang w:val="es-ES"/>
              </w:rPr>
              <w:t>20000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07FE3" w14:textId="77777777" w:rsidR="00D868AB" w:rsidRPr="00D868AB" w:rsidRDefault="00D868AB" w:rsidP="00D868AB">
            <w:pPr>
              <w:rPr>
                <w:rFonts w:cs="Arial"/>
                <w:sz w:val="20"/>
                <w:szCs w:val="20"/>
                <w:lang w:val="es-ES"/>
              </w:rPr>
            </w:pPr>
            <w:r w:rsidRPr="00D868AB">
              <w:rPr>
                <w:rFonts w:cs="Arial"/>
                <w:sz w:val="20"/>
                <w:szCs w:val="20"/>
                <w:lang w:val="es-ES"/>
              </w:rPr>
              <w:t>Materiales y Suministros.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6F2FF" w14:textId="77777777" w:rsidR="00D868AB" w:rsidRPr="00D868AB" w:rsidRDefault="00D868AB" w:rsidP="00D868AB">
            <w:pPr>
              <w:jc w:val="right"/>
              <w:rPr>
                <w:rFonts w:cs="Arial"/>
                <w:sz w:val="20"/>
                <w:szCs w:val="20"/>
                <w:lang w:val="es-ES"/>
              </w:rPr>
            </w:pPr>
            <w:r w:rsidRPr="00D868AB">
              <w:rPr>
                <w:rFonts w:cs="Arial"/>
                <w:sz w:val="20"/>
                <w:szCs w:val="20"/>
                <w:lang w:val="es-ES"/>
              </w:rPr>
              <w:t>797,996</w:t>
            </w:r>
          </w:p>
        </w:tc>
      </w:tr>
      <w:tr w:rsidR="00D868AB" w:rsidRPr="00D868AB" w14:paraId="56525ADE"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427FF" w14:textId="77777777" w:rsidR="00D868AB" w:rsidRPr="00D868AB" w:rsidRDefault="00D868AB" w:rsidP="00D868AB">
            <w:pPr>
              <w:jc w:val="center"/>
              <w:rPr>
                <w:rFonts w:cs="Arial"/>
                <w:sz w:val="20"/>
                <w:szCs w:val="20"/>
                <w:lang w:val="es-ES"/>
              </w:rPr>
            </w:pPr>
            <w:r w:rsidRPr="00D868AB">
              <w:rPr>
                <w:rFonts w:cs="Arial"/>
                <w:sz w:val="20"/>
                <w:szCs w:val="20"/>
                <w:lang w:val="es-ES"/>
              </w:rPr>
              <w:t>30000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EF5B8B" w14:textId="77777777" w:rsidR="00D868AB" w:rsidRPr="00D868AB" w:rsidRDefault="00D868AB" w:rsidP="00D868AB">
            <w:pPr>
              <w:rPr>
                <w:rFonts w:cs="Arial"/>
                <w:sz w:val="20"/>
                <w:szCs w:val="20"/>
                <w:lang w:val="es-ES"/>
              </w:rPr>
            </w:pPr>
            <w:r w:rsidRPr="00D868AB">
              <w:rPr>
                <w:rFonts w:cs="Arial"/>
                <w:sz w:val="20"/>
                <w:szCs w:val="20"/>
                <w:lang w:val="es-ES"/>
              </w:rPr>
              <w:t>Servicios Generales.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7D1A4" w14:textId="77777777" w:rsidR="00D868AB" w:rsidRPr="00D868AB" w:rsidRDefault="00D868AB" w:rsidP="00D868AB">
            <w:pPr>
              <w:jc w:val="right"/>
              <w:rPr>
                <w:rFonts w:cs="Arial"/>
                <w:sz w:val="20"/>
                <w:szCs w:val="20"/>
                <w:lang w:val="es-ES"/>
              </w:rPr>
            </w:pPr>
            <w:r w:rsidRPr="00D868AB">
              <w:rPr>
                <w:rFonts w:cs="Arial"/>
                <w:sz w:val="20"/>
                <w:szCs w:val="20"/>
                <w:lang w:val="es-ES"/>
              </w:rPr>
              <w:t>1,794,004</w:t>
            </w:r>
          </w:p>
        </w:tc>
      </w:tr>
      <w:tr w:rsidR="00D868AB" w:rsidRPr="00D868AB" w14:paraId="6E963944"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4CBC5" w14:textId="77777777" w:rsidR="00D868AB" w:rsidRPr="00D868AB" w:rsidRDefault="00D868AB" w:rsidP="00D868AB">
            <w:pPr>
              <w:jc w:val="center"/>
              <w:rPr>
                <w:rFonts w:cs="Arial"/>
                <w:sz w:val="20"/>
                <w:szCs w:val="20"/>
                <w:lang w:val="es-ES"/>
              </w:rPr>
            </w:pPr>
            <w:r w:rsidRPr="00D868AB">
              <w:rPr>
                <w:rFonts w:cs="Arial"/>
                <w:sz w:val="20"/>
                <w:szCs w:val="20"/>
                <w:lang w:val="es-ES"/>
              </w:rPr>
              <w:t>40000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BA053C" w14:textId="77777777" w:rsidR="00D868AB" w:rsidRPr="00D868AB" w:rsidRDefault="00D868AB" w:rsidP="00D868AB">
            <w:pPr>
              <w:rPr>
                <w:rFonts w:cs="Arial"/>
                <w:sz w:val="20"/>
                <w:szCs w:val="20"/>
                <w:lang w:val="es-ES"/>
              </w:rPr>
            </w:pPr>
            <w:r w:rsidRPr="00D868AB">
              <w:rPr>
                <w:rFonts w:cs="Arial"/>
                <w:sz w:val="20"/>
                <w:szCs w:val="20"/>
                <w:lang w:val="es-ES"/>
              </w:rPr>
              <w:t>Transferencias, Asignaciones, Subsidios y Otras Ayudas.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778E7" w14:textId="77777777" w:rsidR="00D868AB" w:rsidRPr="00D868AB" w:rsidRDefault="00D868AB" w:rsidP="00D868AB">
            <w:pPr>
              <w:jc w:val="right"/>
              <w:rPr>
                <w:rFonts w:cs="Arial"/>
                <w:sz w:val="20"/>
                <w:szCs w:val="20"/>
                <w:lang w:val="es-ES"/>
              </w:rPr>
            </w:pPr>
            <w:r w:rsidRPr="00D868AB">
              <w:rPr>
                <w:rFonts w:cs="Arial"/>
                <w:sz w:val="20"/>
                <w:szCs w:val="20"/>
                <w:lang w:val="es-ES"/>
              </w:rPr>
              <w:t>2,112,708</w:t>
            </w:r>
          </w:p>
        </w:tc>
      </w:tr>
      <w:tr w:rsidR="00D868AB" w:rsidRPr="00D868AB" w14:paraId="1C13069A"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1FCF94" w14:textId="77777777" w:rsidR="00D868AB" w:rsidRPr="00D868AB" w:rsidRDefault="00D868AB" w:rsidP="00D868AB">
            <w:pPr>
              <w:jc w:val="center"/>
              <w:rPr>
                <w:rFonts w:cs="Arial"/>
                <w:sz w:val="20"/>
                <w:szCs w:val="20"/>
                <w:lang w:val="es-ES"/>
              </w:rPr>
            </w:pPr>
            <w:r w:rsidRPr="00D868AB">
              <w:rPr>
                <w:rFonts w:cs="Arial"/>
                <w:sz w:val="20"/>
                <w:szCs w:val="20"/>
                <w:lang w:val="es-ES"/>
              </w:rPr>
              <w:t>50000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6B2D92" w14:textId="77777777" w:rsidR="00D868AB" w:rsidRPr="00D868AB" w:rsidRDefault="00D868AB" w:rsidP="00D868AB">
            <w:pPr>
              <w:rPr>
                <w:rFonts w:cs="Arial"/>
                <w:sz w:val="20"/>
                <w:szCs w:val="20"/>
                <w:lang w:val="es-ES"/>
              </w:rPr>
            </w:pPr>
            <w:r w:rsidRPr="00D868AB">
              <w:rPr>
                <w:rFonts w:cs="Arial"/>
                <w:sz w:val="20"/>
                <w:szCs w:val="20"/>
                <w:lang w:val="es-ES"/>
              </w:rPr>
              <w:t>Bienes Muebles, Inmuebles e Intangibles.</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FF47B" w14:textId="77777777" w:rsidR="00D868AB" w:rsidRPr="00D868AB" w:rsidRDefault="00D868AB" w:rsidP="00D868AB">
            <w:pPr>
              <w:jc w:val="right"/>
              <w:rPr>
                <w:rFonts w:cs="Arial"/>
                <w:sz w:val="20"/>
                <w:szCs w:val="20"/>
                <w:lang w:val="es-ES"/>
              </w:rPr>
            </w:pPr>
            <w:r w:rsidRPr="00D868AB">
              <w:rPr>
                <w:rFonts w:cs="Arial"/>
                <w:sz w:val="20"/>
                <w:szCs w:val="20"/>
                <w:lang w:val="es-ES"/>
              </w:rPr>
              <w:t>162,000</w:t>
            </w:r>
          </w:p>
        </w:tc>
      </w:tr>
      <w:tr w:rsidR="00D868AB" w:rsidRPr="00D868AB" w14:paraId="618390C7" w14:textId="77777777" w:rsidTr="00A755A7">
        <w:trPr>
          <w:trHeight w:val="227"/>
        </w:trPr>
        <w:tc>
          <w:tcPr>
            <w:tcW w:w="63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F0F559"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Total</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7012209" w14:textId="77777777" w:rsidR="00D868AB" w:rsidRPr="00D868AB" w:rsidRDefault="00D868AB" w:rsidP="00D868AB">
            <w:pPr>
              <w:jc w:val="right"/>
              <w:rPr>
                <w:rFonts w:cs="Arial"/>
                <w:b/>
                <w:sz w:val="20"/>
                <w:szCs w:val="20"/>
                <w:lang w:val="es-ES"/>
              </w:rPr>
            </w:pPr>
            <w:r w:rsidRPr="00D868AB">
              <w:rPr>
                <w:rFonts w:cs="Arial"/>
                <w:b/>
                <w:sz w:val="20"/>
                <w:szCs w:val="20"/>
                <w:lang w:val="es-ES"/>
              </w:rPr>
              <w:t>25,343,902</w:t>
            </w:r>
          </w:p>
        </w:tc>
      </w:tr>
    </w:tbl>
    <w:p w14:paraId="0F561683" w14:textId="77777777" w:rsidR="00D868AB" w:rsidRPr="00D868AB" w:rsidRDefault="00D868AB" w:rsidP="00D868AB">
      <w:pPr>
        <w:rPr>
          <w:rFonts w:eastAsia="Times New Roman" w:cs="Arial"/>
        </w:rPr>
      </w:pPr>
      <w:bookmarkStart w:id="68" w:name="_MON_1381432077"/>
      <w:bookmarkStart w:id="69" w:name="_MON_1381432102"/>
      <w:bookmarkStart w:id="70" w:name="_MON_1381432240"/>
      <w:bookmarkStart w:id="71" w:name="_MON_1381432271"/>
      <w:bookmarkStart w:id="72" w:name="_MON_1381432330"/>
      <w:bookmarkStart w:id="73" w:name="_MON_1381432466"/>
      <w:bookmarkStart w:id="74" w:name="_MON_1381432592"/>
      <w:bookmarkStart w:id="75" w:name="_MON_1381432871"/>
      <w:bookmarkStart w:id="76" w:name="_MON_1381432014"/>
      <w:bookmarkStart w:id="77" w:name="_MON_1381432030"/>
      <w:bookmarkStart w:id="78" w:name="_MON_1381432032"/>
      <w:bookmarkEnd w:id="68"/>
      <w:bookmarkEnd w:id="69"/>
      <w:bookmarkEnd w:id="70"/>
      <w:bookmarkEnd w:id="71"/>
      <w:bookmarkEnd w:id="72"/>
      <w:bookmarkEnd w:id="73"/>
      <w:bookmarkEnd w:id="74"/>
      <w:bookmarkEnd w:id="75"/>
      <w:bookmarkEnd w:id="76"/>
      <w:bookmarkEnd w:id="77"/>
      <w:bookmarkEnd w:id="78"/>
    </w:p>
    <w:p w14:paraId="74AA487F" w14:textId="77777777" w:rsidR="00D868AB" w:rsidRPr="00D868AB" w:rsidRDefault="00D868AB" w:rsidP="00D868AB">
      <w:pPr>
        <w:rPr>
          <w:rFonts w:cs="Arial"/>
          <w:lang w:val="es-ES"/>
        </w:rPr>
      </w:pPr>
      <w:r w:rsidRPr="00D868AB">
        <w:rPr>
          <w:rFonts w:eastAsia="Times New Roman" w:cs="Arial"/>
        </w:rPr>
        <w:t xml:space="preserve">En el </w:t>
      </w:r>
      <w:r w:rsidRPr="00D868AB">
        <w:rPr>
          <w:rFonts w:eastAsia="Times New Roman" w:cs="Arial"/>
          <w:b/>
        </w:rPr>
        <w:t xml:space="preserve">Anexo 3 </w:t>
      </w:r>
      <w:bookmarkStart w:id="79" w:name="_Hlk87635131"/>
      <w:r w:rsidRPr="00D868AB">
        <w:rPr>
          <w:rFonts w:eastAsia="Times New Roman" w:cs="Arial"/>
          <w:b/>
        </w:rPr>
        <w:t xml:space="preserve">Clasificación por Objeto del Gasto de los Órganos Autónomos </w:t>
      </w:r>
      <w:bookmarkEnd w:id="79"/>
      <w:r w:rsidRPr="00D868AB">
        <w:rPr>
          <w:rFonts w:eastAsia="Times New Roman" w:cs="Arial"/>
          <w:b/>
        </w:rPr>
        <w:t>Estatales</w:t>
      </w:r>
      <w:r w:rsidRPr="00D868AB">
        <w:rPr>
          <w:rFonts w:eastAsia="Times New Roman" w:cs="Arial"/>
        </w:rPr>
        <w:t xml:space="preserve"> del presente Decreto, se presentan las asignaciones presupuestales a nivel de Capítulo, Concepto, Partida Genérica y Partida Específica, de cada uno de los Órganos Autónomos del Estado señalados en el presente artículo, </w:t>
      </w:r>
      <w:r w:rsidRPr="00D868AB">
        <w:rPr>
          <w:rFonts w:cs="Arial"/>
          <w:lang w:val="es-ES"/>
        </w:rPr>
        <w:t xml:space="preserve">organizado de la siguiente manera: </w:t>
      </w:r>
    </w:p>
    <w:p w14:paraId="43AC3715" w14:textId="77777777" w:rsidR="00D868AB" w:rsidRPr="00D868AB" w:rsidRDefault="00D868AB" w:rsidP="00D868AB">
      <w:pPr>
        <w:tabs>
          <w:tab w:val="left" w:pos="1276"/>
        </w:tabs>
        <w:ind w:left="1276" w:hanging="1276"/>
        <w:rPr>
          <w:rFonts w:cs="Arial"/>
          <w:b/>
          <w:lang w:val="es-ES"/>
        </w:rPr>
      </w:pPr>
    </w:p>
    <w:p w14:paraId="40C9FFB7" w14:textId="77777777" w:rsidR="00D868AB" w:rsidRPr="00D868AB" w:rsidRDefault="00D868AB" w:rsidP="00D868AB">
      <w:pPr>
        <w:tabs>
          <w:tab w:val="left" w:pos="1276"/>
        </w:tabs>
        <w:ind w:left="1276" w:hanging="1276"/>
        <w:rPr>
          <w:rFonts w:cs="Arial"/>
          <w:lang w:val="es-ES"/>
        </w:rPr>
      </w:pPr>
      <w:bookmarkStart w:id="80" w:name="_Hlk87635136"/>
      <w:r w:rsidRPr="00D868AB">
        <w:rPr>
          <w:rFonts w:cs="Arial"/>
          <w:b/>
          <w:lang w:val="es-ES"/>
        </w:rPr>
        <w:t>Anexo 3.1</w:t>
      </w:r>
      <w:r w:rsidRPr="00D868AB">
        <w:rPr>
          <w:rFonts w:cs="Arial"/>
          <w:b/>
          <w:lang w:val="es-ES"/>
        </w:rPr>
        <w:tab/>
      </w:r>
      <w:r w:rsidRPr="00D868AB">
        <w:rPr>
          <w:rFonts w:cs="Arial"/>
          <w:lang w:val="es-ES"/>
        </w:rPr>
        <w:t>Comisión de Derechos Humanos del Estado de Colima.</w:t>
      </w:r>
    </w:p>
    <w:p w14:paraId="2063D637" w14:textId="77777777" w:rsidR="00D868AB" w:rsidRPr="00D868AB" w:rsidRDefault="00D868AB" w:rsidP="00D868AB">
      <w:pPr>
        <w:tabs>
          <w:tab w:val="left" w:pos="1276"/>
        </w:tabs>
        <w:ind w:left="1276" w:hanging="1276"/>
        <w:rPr>
          <w:rFonts w:cs="Arial"/>
          <w:lang w:val="es-ES"/>
        </w:rPr>
      </w:pPr>
      <w:r w:rsidRPr="00D868AB">
        <w:rPr>
          <w:rFonts w:cs="Arial"/>
          <w:b/>
          <w:lang w:val="es-ES"/>
        </w:rPr>
        <w:t>Anexo 3.2</w:t>
      </w:r>
      <w:r w:rsidRPr="00D868AB">
        <w:rPr>
          <w:rFonts w:cs="Arial"/>
          <w:b/>
          <w:lang w:val="es-ES"/>
        </w:rPr>
        <w:tab/>
      </w:r>
      <w:r w:rsidRPr="00D868AB">
        <w:rPr>
          <w:rFonts w:cs="Arial"/>
          <w:lang w:val="es-ES"/>
        </w:rPr>
        <w:t>Fiscalía General del Estado de Colima.</w:t>
      </w:r>
    </w:p>
    <w:p w14:paraId="311DC171" w14:textId="77777777" w:rsidR="00D868AB" w:rsidRPr="00D868AB" w:rsidRDefault="00D868AB" w:rsidP="00D868AB">
      <w:pPr>
        <w:tabs>
          <w:tab w:val="left" w:pos="1276"/>
        </w:tabs>
        <w:ind w:left="1276" w:hanging="1276"/>
        <w:rPr>
          <w:rFonts w:cs="Arial"/>
          <w:lang w:val="es-ES"/>
        </w:rPr>
      </w:pPr>
      <w:r w:rsidRPr="00D868AB">
        <w:rPr>
          <w:rFonts w:cs="Arial"/>
          <w:b/>
          <w:lang w:val="es-ES"/>
        </w:rPr>
        <w:t>Anexo 3.3</w:t>
      </w:r>
      <w:r w:rsidRPr="00D868AB">
        <w:rPr>
          <w:rFonts w:cs="Arial"/>
          <w:b/>
          <w:lang w:val="es-ES"/>
        </w:rPr>
        <w:tab/>
      </w:r>
      <w:r w:rsidRPr="00D868AB">
        <w:rPr>
          <w:rFonts w:cs="Arial"/>
          <w:lang w:val="es-ES"/>
        </w:rPr>
        <w:t>Instituto de Transparencia, Acceso a la Información Pública y Protección de Datos del Estado de Colima.</w:t>
      </w:r>
    </w:p>
    <w:p w14:paraId="5D92CE23" w14:textId="77777777" w:rsidR="00D868AB" w:rsidRPr="00D868AB" w:rsidRDefault="00D868AB" w:rsidP="00D868AB">
      <w:pPr>
        <w:tabs>
          <w:tab w:val="left" w:pos="1276"/>
        </w:tabs>
        <w:ind w:left="1276" w:hanging="1276"/>
        <w:rPr>
          <w:rFonts w:cs="Arial"/>
          <w:lang w:val="es-ES"/>
        </w:rPr>
      </w:pPr>
      <w:r w:rsidRPr="00D868AB">
        <w:rPr>
          <w:rFonts w:cs="Arial"/>
          <w:b/>
          <w:lang w:val="es-ES"/>
        </w:rPr>
        <w:t>Anexo 3.4</w:t>
      </w:r>
      <w:r w:rsidRPr="00D868AB">
        <w:rPr>
          <w:rFonts w:cs="Arial"/>
          <w:b/>
          <w:lang w:val="es-ES"/>
        </w:rPr>
        <w:tab/>
      </w:r>
      <w:r w:rsidRPr="00D868AB">
        <w:rPr>
          <w:rFonts w:cs="Arial"/>
          <w:lang w:val="es-ES"/>
        </w:rPr>
        <w:t>Órgano Superior de Auditoría y Fiscalización Gubernamental del Estado.</w:t>
      </w:r>
    </w:p>
    <w:p w14:paraId="63FAF67F" w14:textId="77777777" w:rsidR="00D868AB" w:rsidRPr="00D868AB" w:rsidRDefault="00D868AB" w:rsidP="00D868AB">
      <w:pPr>
        <w:tabs>
          <w:tab w:val="left" w:pos="1276"/>
        </w:tabs>
        <w:ind w:left="1276" w:hanging="1276"/>
        <w:rPr>
          <w:rFonts w:cs="Arial"/>
          <w:lang w:val="es-ES"/>
        </w:rPr>
      </w:pPr>
      <w:r w:rsidRPr="00D868AB">
        <w:rPr>
          <w:rFonts w:cs="Arial"/>
          <w:b/>
          <w:lang w:val="es-ES"/>
        </w:rPr>
        <w:t>Anexo 3.5</w:t>
      </w:r>
      <w:r w:rsidRPr="00D868AB">
        <w:rPr>
          <w:rFonts w:cs="Arial"/>
          <w:b/>
          <w:lang w:val="es-ES"/>
        </w:rPr>
        <w:tab/>
      </w:r>
      <w:r w:rsidRPr="00D868AB">
        <w:rPr>
          <w:rFonts w:cs="Arial"/>
          <w:lang w:val="es-ES"/>
        </w:rPr>
        <w:t>Tribunal de Arbitraje y Escalafón.</w:t>
      </w:r>
    </w:p>
    <w:p w14:paraId="2DCF418D" w14:textId="77777777" w:rsidR="00D868AB" w:rsidRPr="00D868AB" w:rsidRDefault="00D868AB" w:rsidP="00D868AB">
      <w:pPr>
        <w:tabs>
          <w:tab w:val="left" w:pos="1276"/>
        </w:tabs>
        <w:ind w:left="1276" w:hanging="1276"/>
        <w:rPr>
          <w:rFonts w:cs="Arial"/>
          <w:lang w:val="es-ES"/>
        </w:rPr>
      </w:pPr>
      <w:r w:rsidRPr="00D868AB">
        <w:rPr>
          <w:rFonts w:cs="Arial"/>
          <w:b/>
          <w:lang w:val="es-ES"/>
        </w:rPr>
        <w:t>Anexo 3.6</w:t>
      </w:r>
      <w:r w:rsidRPr="00D868AB">
        <w:rPr>
          <w:rFonts w:cs="Arial"/>
          <w:b/>
          <w:lang w:val="es-ES"/>
        </w:rPr>
        <w:tab/>
      </w:r>
      <w:r w:rsidRPr="00D868AB">
        <w:rPr>
          <w:rFonts w:cs="Arial"/>
          <w:lang w:val="es-ES"/>
        </w:rPr>
        <w:t>Tribunal de Justicia Administrativa del Estado de Colima.</w:t>
      </w:r>
    </w:p>
    <w:bookmarkEnd w:id="80"/>
    <w:p w14:paraId="031288C8" w14:textId="77777777" w:rsidR="00D868AB" w:rsidRPr="00D868AB" w:rsidRDefault="00D868AB" w:rsidP="00D868AB">
      <w:pPr>
        <w:rPr>
          <w:rFonts w:cs="Arial"/>
          <w:b/>
          <w:lang w:val="es-ES"/>
        </w:rPr>
      </w:pPr>
    </w:p>
    <w:p w14:paraId="791609DD" w14:textId="77777777" w:rsidR="00D868AB" w:rsidRPr="00D868AB" w:rsidRDefault="00D868AB" w:rsidP="00D868AB">
      <w:pPr>
        <w:rPr>
          <w:rFonts w:eastAsia="Times New Roman" w:cs="Arial"/>
        </w:rPr>
      </w:pPr>
      <w:r w:rsidRPr="00D868AB">
        <w:rPr>
          <w:rFonts w:cs="Arial"/>
          <w:b/>
          <w:lang w:val="es-ES"/>
        </w:rPr>
        <w:t>Artículo 20.</w:t>
      </w:r>
      <w:r w:rsidRPr="00D868AB">
        <w:rPr>
          <w:rFonts w:cs="Arial"/>
          <w:lang w:val="es-ES"/>
        </w:rPr>
        <w:t xml:space="preserve"> La asignación prevista para el </w:t>
      </w:r>
      <w:r w:rsidRPr="00D868AB">
        <w:rPr>
          <w:rFonts w:cs="Arial"/>
          <w:b/>
          <w:lang w:val="es-ES"/>
        </w:rPr>
        <w:t>Poder Legislativo del Estado de Colima</w:t>
      </w:r>
      <w:r w:rsidRPr="00D868AB">
        <w:rPr>
          <w:rFonts w:cs="Arial"/>
          <w:lang w:val="es-ES"/>
        </w:rPr>
        <w:t xml:space="preserve"> para el ejercicio fiscal 2023, </w:t>
      </w:r>
      <w:r w:rsidRPr="00D868AB">
        <w:rPr>
          <w:rFonts w:eastAsia="Times New Roman" w:cs="Arial"/>
        </w:rPr>
        <w:t>tendrá la siguiente distribución a nivel de Capítulo de gasto.</w:t>
      </w:r>
    </w:p>
    <w:p w14:paraId="5D855FBE" w14:textId="77777777" w:rsidR="00D868AB" w:rsidRPr="00D868AB" w:rsidRDefault="00D868AB" w:rsidP="00D868AB">
      <w:pPr>
        <w:keepNext/>
        <w:keepLines/>
        <w:outlineLvl w:val="2"/>
        <w:rPr>
          <w:rFonts w:eastAsia="Times New Roman" w:cs="Arial"/>
          <w:b/>
          <w:szCs w:val="24"/>
          <w:lang w:val="es-ES" w:eastAsia="en-US"/>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732"/>
        <w:gridCol w:w="1496"/>
      </w:tblGrid>
      <w:tr w:rsidR="00D868AB" w:rsidRPr="00D868AB" w14:paraId="62F7BCC8" w14:textId="77777777" w:rsidTr="00A755A7">
        <w:trPr>
          <w:trHeight w:val="227"/>
          <w:tblHeader/>
        </w:trPr>
        <w:tc>
          <w:tcPr>
            <w:tcW w:w="7965" w:type="dxa"/>
            <w:gridSpan w:val="3"/>
            <w:tcBorders>
              <w:top w:val="nil"/>
              <w:left w:val="nil"/>
              <w:bottom w:val="single" w:sz="4" w:space="0" w:color="auto"/>
              <w:right w:val="nil"/>
            </w:tcBorders>
            <w:shd w:val="clear" w:color="auto" w:fill="auto"/>
            <w:vAlign w:val="center"/>
          </w:tcPr>
          <w:p w14:paraId="60B6E18D" w14:textId="77777777" w:rsidR="00D868AB" w:rsidRPr="00D868AB" w:rsidRDefault="00D868AB" w:rsidP="00D868AB">
            <w:pPr>
              <w:jc w:val="center"/>
              <w:rPr>
                <w:rFonts w:cs="Arial"/>
                <w:b/>
                <w:sz w:val="20"/>
                <w:lang w:val="es-ES"/>
              </w:rPr>
            </w:pPr>
            <w:r w:rsidRPr="00D868AB">
              <w:rPr>
                <w:rFonts w:cs="Arial"/>
                <w:b/>
                <w:sz w:val="20"/>
                <w:lang w:val="es-ES"/>
              </w:rPr>
              <w:t>Tabla 15. Poder Legislativo del Estado de Colima</w:t>
            </w:r>
          </w:p>
        </w:tc>
      </w:tr>
      <w:tr w:rsidR="00D868AB" w:rsidRPr="00D868AB" w14:paraId="43350402" w14:textId="77777777" w:rsidTr="00A755A7">
        <w:trPr>
          <w:trHeight w:val="227"/>
          <w:tblHeader/>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122756" w14:textId="77777777" w:rsidR="00D868AB" w:rsidRPr="00D868AB" w:rsidRDefault="00D868AB" w:rsidP="00D868AB">
            <w:pPr>
              <w:jc w:val="center"/>
              <w:rPr>
                <w:rFonts w:cs="Arial"/>
                <w:b/>
                <w:bCs/>
                <w:sz w:val="20"/>
                <w:lang w:val="es-ES"/>
              </w:rPr>
            </w:pPr>
            <w:r w:rsidRPr="00D868AB">
              <w:rPr>
                <w:rFonts w:cs="Arial"/>
                <w:b/>
                <w:bCs/>
                <w:sz w:val="20"/>
                <w:lang w:val="es-ES"/>
              </w:rPr>
              <w:t>Clave</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7BF08D" w14:textId="77777777" w:rsidR="00D868AB" w:rsidRPr="00D868AB" w:rsidRDefault="00D868AB" w:rsidP="00D868AB">
            <w:pPr>
              <w:jc w:val="center"/>
              <w:rPr>
                <w:rFonts w:cs="Arial"/>
                <w:b/>
                <w:bCs/>
                <w:sz w:val="20"/>
                <w:lang w:val="es-ES"/>
              </w:rPr>
            </w:pPr>
            <w:r w:rsidRPr="00D868AB">
              <w:rPr>
                <w:rFonts w:cs="Arial"/>
                <w:b/>
                <w:bCs/>
                <w:sz w:val="20"/>
                <w:lang w:val="es-ES"/>
              </w:rPr>
              <w:t>Concepto</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810B1" w14:textId="77777777" w:rsidR="00D868AB" w:rsidRPr="00D868AB" w:rsidRDefault="00D868AB" w:rsidP="00D868AB">
            <w:pPr>
              <w:jc w:val="center"/>
              <w:rPr>
                <w:rFonts w:cs="Arial"/>
                <w:b/>
                <w:bCs/>
                <w:sz w:val="20"/>
                <w:lang w:val="es-ES"/>
              </w:rPr>
            </w:pPr>
            <w:r w:rsidRPr="00D868AB">
              <w:rPr>
                <w:rFonts w:cs="Arial"/>
                <w:b/>
                <w:bCs/>
                <w:sz w:val="20"/>
                <w:lang w:val="es-ES"/>
              </w:rPr>
              <w:t>Asignación Presupuestal</w:t>
            </w:r>
          </w:p>
        </w:tc>
      </w:tr>
      <w:tr w:rsidR="00D868AB" w:rsidRPr="00D868AB" w14:paraId="1B8F93C1" w14:textId="77777777" w:rsidTr="00A755A7">
        <w:trPr>
          <w:trHeight w:val="227"/>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3E792EC" w14:textId="77777777" w:rsidR="00D868AB" w:rsidRPr="00D868AB" w:rsidRDefault="00D868AB" w:rsidP="00D868AB">
            <w:pPr>
              <w:jc w:val="center"/>
              <w:rPr>
                <w:rFonts w:cs="Arial"/>
                <w:sz w:val="20"/>
                <w:lang w:val="es-ES"/>
              </w:rPr>
            </w:pPr>
            <w:r w:rsidRPr="00D868AB">
              <w:rPr>
                <w:rFonts w:cs="Arial"/>
                <w:sz w:val="20"/>
                <w:lang w:val="es-ES"/>
              </w:rPr>
              <w:t>41201</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45FC4B8A" w14:textId="77777777" w:rsidR="00D868AB" w:rsidRPr="00D868AB" w:rsidRDefault="00D868AB" w:rsidP="00D868AB">
            <w:pPr>
              <w:rPr>
                <w:rFonts w:cs="Arial"/>
                <w:sz w:val="20"/>
                <w:lang w:val="es-ES"/>
              </w:rPr>
            </w:pPr>
            <w:r w:rsidRPr="00D868AB">
              <w:rPr>
                <w:rFonts w:cs="Arial"/>
                <w:sz w:val="20"/>
                <w:lang w:val="es-ES"/>
              </w:rPr>
              <w:t>H. Congreso del Estado de Colima.</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EAC4DF" w14:textId="77777777" w:rsidR="00D868AB" w:rsidRPr="00D868AB" w:rsidRDefault="00D868AB" w:rsidP="00D868AB">
            <w:pPr>
              <w:jc w:val="right"/>
              <w:rPr>
                <w:rFonts w:cs="Arial"/>
                <w:sz w:val="20"/>
                <w:lang w:val="es-ES"/>
              </w:rPr>
            </w:pPr>
            <w:r w:rsidRPr="00D868AB">
              <w:rPr>
                <w:rFonts w:cs="Arial"/>
                <w:sz w:val="20"/>
                <w:lang w:val="es-ES"/>
              </w:rPr>
              <w:t>115,000,000</w:t>
            </w:r>
          </w:p>
        </w:tc>
      </w:tr>
      <w:tr w:rsidR="00D868AB" w:rsidRPr="00D868AB" w14:paraId="2482145E" w14:textId="77777777" w:rsidTr="00A755A7">
        <w:trPr>
          <w:trHeight w:val="227"/>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tcPr>
          <w:p w14:paraId="6E240696" w14:textId="77777777" w:rsidR="00D868AB" w:rsidRPr="00D868AB" w:rsidRDefault="00D868AB" w:rsidP="00D868AB">
            <w:pPr>
              <w:jc w:val="center"/>
              <w:rPr>
                <w:rFonts w:cs="Arial"/>
                <w:sz w:val="20"/>
                <w:lang w:val="es-ES"/>
              </w:rPr>
            </w:pPr>
            <w:r w:rsidRPr="00D868AB">
              <w:rPr>
                <w:rFonts w:cs="Arial"/>
                <w:sz w:val="20"/>
                <w:lang w:val="es-ES"/>
              </w:rPr>
              <w:t>41405</w:t>
            </w: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tcPr>
          <w:p w14:paraId="771DA086" w14:textId="77777777" w:rsidR="00D868AB" w:rsidRPr="00D868AB" w:rsidRDefault="00D868AB" w:rsidP="00D868AB">
            <w:pPr>
              <w:rPr>
                <w:rFonts w:cs="Arial"/>
                <w:sz w:val="20"/>
                <w:lang w:val="es-ES"/>
              </w:rPr>
            </w:pPr>
            <w:r w:rsidRPr="00D868AB">
              <w:rPr>
                <w:rFonts w:cs="Arial"/>
                <w:sz w:val="20"/>
                <w:lang w:val="es-ES"/>
              </w:rPr>
              <w:t>Órgano Superior de Auditoría y Fiscalización Gubernamental del Estado.</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43495" w14:textId="77777777" w:rsidR="00D868AB" w:rsidRPr="00D868AB" w:rsidRDefault="00D868AB" w:rsidP="00D868AB">
            <w:pPr>
              <w:jc w:val="right"/>
              <w:rPr>
                <w:rFonts w:cs="Arial"/>
                <w:sz w:val="20"/>
                <w:lang w:val="es-ES"/>
              </w:rPr>
            </w:pPr>
            <w:r w:rsidRPr="00D868AB">
              <w:rPr>
                <w:rFonts w:cs="Arial"/>
                <w:sz w:val="20"/>
                <w:lang w:val="es-ES"/>
              </w:rPr>
              <w:t>40,600,412</w:t>
            </w:r>
          </w:p>
        </w:tc>
      </w:tr>
      <w:tr w:rsidR="00D868AB" w:rsidRPr="00D868AB" w14:paraId="12DAADFA" w14:textId="77777777" w:rsidTr="00A755A7">
        <w:trPr>
          <w:trHeight w:val="227"/>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424A1" w14:textId="77777777" w:rsidR="00D868AB" w:rsidRPr="00D868AB" w:rsidRDefault="00D868AB" w:rsidP="00D868AB">
            <w:pPr>
              <w:rPr>
                <w:rFonts w:cs="Arial"/>
                <w:sz w:val="20"/>
                <w:lang w:val="es-ES"/>
              </w:rPr>
            </w:pPr>
          </w:p>
        </w:tc>
        <w:tc>
          <w:tcPr>
            <w:tcW w:w="5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DFD19" w14:textId="77777777" w:rsidR="00D868AB" w:rsidRPr="00D868AB" w:rsidRDefault="00D868AB" w:rsidP="00D868AB">
            <w:pPr>
              <w:jc w:val="center"/>
              <w:rPr>
                <w:rFonts w:cs="Arial"/>
                <w:b/>
                <w:bCs/>
                <w:sz w:val="20"/>
                <w:lang w:val="es-ES"/>
              </w:rPr>
            </w:pPr>
            <w:r w:rsidRPr="00D868AB">
              <w:rPr>
                <w:rFonts w:cs="Arial"/>
                <w:b/>
                <w:bCs/>
                <w:sz w:val="20"/>
                <w:lang w:val="es-ES"/>
              </w:rPr>
              <w:t>Total</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03B35BF0" w14:textId="77777777" w:rsidR="00D868AB" w:rsidRPr="00D868AB" w:rsidRDefault="00D868AB" w:rsidP="00D868AB">
            <w:pPr>
              <w:jc w:val="right"/>
              <w:rPr>
                <w:rFonts w:cs="Arial"/>
                <w:b/>
                <w:bCs/>
                <w:sz w:val="20"/>
                <w:lang w:val="es-ES"/>
              </w:rPr>
            </w:pPr>
            <w:r w:rsidRPr="00D868AB">
              <w:rPr>
                <w:rFonts w:cs="Arial"/>
                <w:b/>
                <w:bCs/>
                <w:sz w:val="20"/>
                <w:lang w:val="es-ES"/>
              </w:rPr>
              <w:t>155,600,412</w:t>
            </w:r>
          </w:p>
        </w:tc>
      </w:tr>
    </w:tbl>
    <w:p w14:paraId="6A51149A" w14:textId="77777777" w:rsidR="00D868AB" w:rsidRPr="00D868AB" w:rsidRDefault="00D868AB" w:rsidP="00D868AB">
      <w:pPr>
        <w:rPr>
          <w:rFonts w:eastAsia="Times New Roman" w:cs="Arial"/>
        </w:rPr>
      </w:pP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5453"/>
        <w:gridCol w:w="1496"/>
      </w:tblGrid>
      <w:tr w:rsidR="00D868AB" w:rsidRPr="00D868AB" w14:paraId="2F6DE9FC" w14:textId="77777777" w:rsidTr="00A755A7">
        <w:trPr>
          <w:trHeight w:val="227"/>
          <w:tblHeader/>
        </w:trPr>
        <w:tc>
          <w:tcPr>
            <w:tcW w:w="7965" w:type="dxa"/>
            <w:gridSpan w:val="3"/>
            <w:tcBorders>
              <w:top w:val="nil"/>
              <w:left w:val="nil"/>
              <w:bottom w:val="single" w:sz="4" w:space="0" w:color="auto"/>
              <w:right w:val="nil"/>
            </w:tcBorders>
            <w:shd w:val="clear" w:color="auto" w:fill="auto"/>
            <w:vAlign w:val="center"/>
          </w:tcPr>
          <w:p w14:paraId="121CCC4B" w14:textId="77777777" w:rsidR="00D868AB" w:rsidRPr="00D868AB" w:rsidRDefault="00D868AB" w:rsidP="00D868AB">
            <w:pPr>
              <w:jc w:val="center"/>
              <w:rPr>
                <w:rFonts w:cs="Arial"/>
                <w:b/>
                <w:sz w:val="20"/>
                <w:szCs w:val="20"/>
                <w:lang w:val="es-ES"/>
              </w:rPr>
            </w:pPr>
            <w:r w:rsidRPr="00D868AB">
              <w:rPr>
                <w:rFonts w:cs="Arial"/>
                <w:b/>
                <w:sz w:val="20"/>
                <w:szCs w:val="20"/>
                <w:lang w:val="es-ES"/>
              </w:rPr>
              <w:lastRenderedPageBreak/>
              <w:t>Tabla 16. H. Congreso del Estado de Colima</w:t>
            </w:r>
          </w:p>
          <w:p w14:paraId="75D60AEC" w14:textId="77777777" w:rsidR="00D868AB" w:rsidRPr="00D868AB" w:rsidRDefault="00D868AB" w:rsidP="00D868AB">
            <w:pPr>
              <w:jc w:val="center"/>
              <w:rPr>
                <w:rFonts w:cs="Arial"/>
                <w:b/>
                <w:bCs/>
                <w:sz w:val="20"/>
                <w:szCs w:val="20"/>
                <w:lang w:val="es-ES"/>
              </w:rPr>
            </w:pPr>
            <w:r w:rsidRPr="00D868AB">
              <w:rPr>
                <w:rFonts w:cs="Arial"/>
                <w:b/>
                <w:bCs/>
                <w:sz w:val="20"/>
                <w:szCs w:val="20"/>
                <w:lang w:val="es-ES"/>
              </w:rPr>
              <w:t>(Objeto del Gasto)</w:t>
            </w:r>
          </w:p>
        </w:tc>
      </w:tr>
      <w:tr w:rsidR="00D868AB" w:rsidRPr="00D868AB" w14:paraId="019DF2EE" w14:textId="77777777" w:rsidTr="00A755A7">
        <w:trPr>
          <w:trHeight w:val="227"/>
          <w:tblHeader/>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B631E7" w14:textId="77777777" w:rsidR="00D868AB" w:rsidRPr="00D868AB" w:rsidRDefault="00D868AB" w:rsidP="00D868AB">
            <w:pPr>
              <w:jc w:val="center"/>
              <w:rPr>
                <w:rFonts w:cs="Arial"/>
                <w:b/>
                <w:bCs/>
                <w:sz w:val="20"/>
                <w:lang w:val="es-ES"/>
              </w:rPr>
            </w:pPr>
            <w:r w:rsidRPr="00D868AB">
              <w:rPr>
                <w:rFonts w:cs="Arial"/>
                <w:b/>
                <w:bCs/>
                <w:sz w:val="20"/>
                <w:lang w:val="es-ES"/>
              </w:rPr>
              <w:t>Capítulo</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A53E17" w14:textId="77777777" w:rsidR="00D868AB" w:rsidRPr="00D868AB" w:rsidRDefault="00D868AB" w:rsidP="00D868AB">
            <w:pPr>
              <w:jc w:val="center"/>
              <w:rPr>
                <w:rFonts w:cs="Arial"/>
                <w:b/>
                <w:bCs/>
                <w:sz w:val="20"/>
                <w:lang w:val="es-ES"/>
              </w:rPr>
            </w:pPr>
            <w:r w:rsidRPr="00D868AB">
              <w:rPr>
                <w:rFonts w:cs="Arial"/>
                <w:b/>
                <w:bCs/>
                <w:sz w:val="20"/>
                <w:lang w:val="es-ES"/>
              </w:rPr>
              <w:t>Concepto</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4BC3A8" w14:textId="77777777" w:rsidR="00D868AB" w:rsidRPr="00D868AB" w:rsidRDefault="00D868AB" w:rsidP="00D868AB">
            <w:pPr>
              <w:jc w:val="center"/>
              <w:rPr>
                <w:rFonts w:cs="Arial"/>
                <w:b/>
                <w:bCs/>
                <w:sz w:val="20"/>
                <w:lang w:val="es-ES"/>
              </w:rPr>
            </w:pPr>
            <w:r w:rsidRPr="00D868AB">
              <w:rPr>
                <w:rFonts w:cs="Arial"/>
                <w:b/>
                <w:bCs/>
                <w:sz w:val="20"/>
                <w:lang w:val="es-ES"/>
              </w:rPr>
              <w:t>Asignación Presupuestal</w:t>
            </w:r>
          </w:p>
        </w:tc>
      </w:tr>
      <w:tr w:rsidR="00D868AB" w:rsidRPr="00D868AB" w14:paraId="5220CD98"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D4158" w14:textId="77777777" w:rsidR="00D868AB" w:rsidRPr="00D868AB" w:rsidRDefault="00D868AB" w:rsidP="00D868AB">
            <w:pPr>
              <w:jc w:val="center"/>
              <w:rPr>
                <w:rFonts w:cs="Arial"/>
                <w:sz w:val="20"/>
                <w:lang w:val="es-ES"/>
              </w:rPr>
            </w:pPr>
            <w:r w:rsidRPr="00D868AB">
              <w:rPr>
                <w:rFonts w:cs="Arial"/>
                <w:sz w:val="20"/>
                <w:lang w:val="es-ES"/>
              </w:rPr>
              <w:t>10000</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09F3E" w14:textId="77777777" w:rsidR="00D868AB" w:rsidRPr="00D868AB" w:rsidRDefault="00D868AB" w:rsidP="00D868AB">
            <w:pPr>
              <w:rPr>
                <w:rFonts w:cs="Arial"/>
                <w:sz w:val="20"/>
                <w:lang w:val="es-ES"/>
              </w:rPr>
            </w:pPr>
            <w:r w:rsidRPr="00D868AB">
              <w:rPr>
                <w:rFonts w:cs="Arial"/>
                <w:sz w:val="20"/>
                <w:lang w:val="es-ES"/>
              </w:rPr>
              <w:t>Servicios Personales.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9DD70" w14:textId="77777777" w:rsidR="00D868AB" w:rsidRPr="00D868AB" w:rsidRDefault="00D868AB" w:rsidP="00D868AB">
            <w:pPr>
              <w:jc w:val="right"/>
              <w:rPr>
                <w:rFonts w:cs="Arial"/>
                <w:sz w:val="20"/>
                <w:lang w:val="es-ES"/>
              </w:rPr>
            </w:pPr>
            <w:r w:rsidRPr="00D868AB">
              <w:rPr>
                <w:rFonts w:cs="Arial"/>
                <w:sz w:val="20"/>
                <w:lang w:val="es-ES"/>
              </w:rPr>
              <w:t>86,086,502</w:t>
            </w:r>
          </w:p>
        </w:tc>
      </w:tr>
      <w:tr w:rsidR="00D868AB" w:rsidRPr="00D868AB" w14:paraId="277B05F2"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7C0F61" w14:textId="77777777" w:rsidR="00D868AB" w:rsidRPr="00D868AB" w:rsidRDefault="00D868AB" w:rsidP="00D868AB">
            <w:pPr>
              <w:jc w:val="center"/>
              <w:rPr>
                <w:rFonts w:cs="Arial"/>
                <w:sz w:val="20"/>
                <w:lang w:val="es-ES"/>
              </w:rPr>
            </w:pPr>
            <w:r w:rsidRPr="00D868AB">
              <w:rPr>
                <w:rFonts w:cs="Arial"/>
                <w:sz w:val="20"/>
                <w:lang w:val="es-ES"/>
              </w:rPr>
              <w:t>20000</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6E596" w14:textId="77777777" w:rsidR="00D868AB" w:rsidRPr="00D868AB" w:rsidRDefault="00D868AB" w:rsidP="00D868AB">
            <w:pPr>
              <w:rPr>
                <w:rFonts w:cs="Arial"/>
                <w:sz w:val="20"/>
                <w:lang w:val="es-ES"/>
              </w:rPr>
            </w:pPr>
            <w:r w:rsidRPr="00D868AB">
              <w:rPr>
                <w:rFonts w:cs="Arial"/>
                <w:sz w:val="20"/>
                <w:lang w:val="es-ES"/>
              </w:rPr>
              <w:t>Materiales y Suministros.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82942B" w14:textId="77777777" w:rsidR="00D868AB" w:rsidRPr="00D868AB" w:rsidRDefault="00D868AB" w:rsidP="00D868AB">
            <w:pPr>
              <w:jc w:val="right"/>
              <w:rPr>
                <w:rFonts w:cs="Arial"/>
                <w:sz w:val="20"/>
                <w:lang w:val="es-ES"/>
              </w:rPr>
            </w:pPr>
            <w:r w:rsidRPr="00D868AB">
              <w:rPr>
                <w:rFonts w:cs="Arial"/>
                <w:sz w:val="20"/>
                <w:lang w:val="es-ES"/>
              </w:rPr>
              <w:t>1,810,000</w:t>
            </w:r>
          </w:p>
        </w:tc>
      </w:tr>
      <w:tr w:rsidR="00D868AB" w:rsidRPr="00D868AB" w14:paraId="4EF9902C"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FE3F7" w14:textId="77777777" w:rsidR="00D868AB" w:rsidRPr="00D868AB" w:rsidRDefault="00D868AB" w:rsidP="00D868AB">
            <w:pPr>
              <w:jc w:val="center"/>
              <w:rPr>
                <w:rFonts w:cs="Arial"/>
                <w:sz w:val="20"/>
                <w:lang w:val="es-ES"/>
              </w:rPr>
            </w:pPr>
            <w:r w:rsidRPr="00D868AB">
              <w:rPr>
                <w:rFonts w:cs="Arial"/>
                <w:sz w:val="20"/>
                <w:lang w:val="es-ES"/>
              </w:rPr>
              <w:t>30000</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F94668" w14:textId="77777777" w:rsidR="00D868AB" w:rsidRPr="00D868AB" w:rsidRDefault="00D868AB" w:rsidP="00D868AB">
            <w:pPr>
              <w:rPr>
                <w:rFonts w:cs="Arial"/>
                <w:sz w:val="20"/>
                <w:lang w:val="es-ES"/>
              </w:rPr>
            </w:pPr>
            <w:r w:rsidRPr="00D868AB">
              <w:rPr>
                <w:rFonts w:cs="Arial"/>
                <w:sz w:val="20"/>
                <w:lang w:val="es-ES"/>
              </w:rPr>
              <w:t>Servicios Generales.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0EEF27" w14:textId="77777777" w:rsidR="00D868AB" w:rsidRPr="00D868AB" w:rsidRDefault="00D868AB" w:rsidP="00D868AB">
            <w:pPr>
              <w:jc w:val="right"/>
              <w:rPr>
                <w:rFonts w:cs="Arial"/>
                <w:sz w:val="20"/>
                <w:lang w:val="es-ES"/>
              </w:rPr>
            </w:pPr>
            <w:r w:rsidRPr="00D868AB">
              <w:rPr>
                <w:rFonts w:cs="Arial"/>
                <w:sz w:val="20"/>
                <w:lang w:val="es-ES"/>
              </w:rPr>
              <w:t>5,346,000</w:t>
            </w:r>
          </w:p>
        </w:tc>
      </w:tr>
      <w:tr w:rsidR="00D868AB" w:rsidRPr="00D868AB" w14:paraId="2B6B0D50"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CBC21" w14:textId="77777777" w:rsidR="00D868AB" w:rsidRPr="00D868AB" w:rsidRDefault="00D868AB" w:rsidP="00D868AB">
            <w:pPr>
              <w:jc w:val="center"/>
              <w:rPr>
                <w:rFonts w:cs="Arial"/>
                <w:sz w:val="20"/>
                <w:lang w:val="es-ES"/>
              </w:rPr>
            </w:pPr>
            <w:r w:rsidRPr="00D868AB">
              <w:rPr>
                <w:rFonts w:cs="Arial"/>
                <w:sz w:val="20"/>
                <w:lang w:val="es-ES"/>
              </w:rPr>
              <w:t>40000</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6A1728" w14:textId="77777777" w:rsidR="00D868AB" w:rsidRPr="00D868AB" w:rsidRDefault="00D868AB" w:rsidP="00D868AB">
            <w:pPr>
              <w:rPr>
                <w:rFonts w:cs="Arial"/>
                <w:sz w:val="20"/>
                <w:lang w:val="es-ES"/>
              </w:rPr>
            </w:pPr>
            <w:r w:rsidRPr="00D868AB">
              <w:rPr>
                <w:rFonts w:cs="Arial"/>
                <w:sz w:val="20"/>
                <w:lang w:val="es-ES"/>
              </w:rPr>
              <w:t>Transferencias, Asignaciones, Subsidios y Otras Ayudas.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712D9" w14:textId="77777777" w:rsidR="00D868AB" w:rsidRPr="00D868AB" w:rsidRDefault="00D868AB" w:rsidP="00D868AB">
            <w:pPr>
              <w:jc w:val="right"/>
              <w:rPr>
                <w:rFonts w:cs="Arial"/>
                <w:sz w:val="20"/>
                <w:lang w:val="es-ES"/>
              </w:rPr>
            </w:pPr>
            <w:r w:rsidRPr="00D868AB">
              <w:rPr>
                <w:rFonts w:cs="Arial"/>
                <w:sz w:val="20"/>
                <w:lang w:val="es-ES"/>
              </w:rPr>
              <w:t>21,610,498</w:t>
            </w:r>
          </w:p>
        </w:tc>
      </w:tr>
      <w:tr w:rsidR="00D868AB" w:rsidRPr="00D868AB" w14:paraId="4AF4DAA2"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A80EA" w14:textId="77777777" w:rsidR="00D868AB" w:rsidRPr="00D868AB" w:rsidRDefault="00D868AB" w:rsidP="00D868AB">
            <w:pPr>
              <w:jc w:val="center"/>
              <w:rPr>
                <w:rFonts w:cs="Arial"/>
                <w:sz w:val="20"/>
                <w:lang w:val="es-ES"/>
              </w:rPr>
            </w:pPr>
            <w:r w:rsidRPr="00D868AB">
              <w:rPr>
                <w:rFonts w:cs="Arial"/>
                <w:sz w:val="20"/>
                <w:lang w:val="es-ES"/>
              </w:rPr>
              <w:t>50000</w:t>
            </w: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07C74" w14:textId="77777777" w:rsidR="00D868AB" w:rsidRPr="00D868AB" w:rsidRDefault="00D868AB" w:rsidP="00D868AB">
            <w:pPr>
              <w:rPr>
                <w:rFonts w:cs="Arial"/>
                <w:sz w:val="20"/>
                <w:lang w:val="es-ES"/>
              </w:rPr>
            </w:pPr>
            <w:r w:rsidRPr="00D868AB">
              <w:rPr>
                <w:rFonts w:cs="Arial"/>
                <w:sz w:val="20"/>
                <w:lang w:val="es-ES"/>
              </w:rPr>
              <w:t>Bienes Muebles, Inmuebles e Intangibles.</w:t>
            </w:r>
          </w:p>
        </w:tc>
        <w:tc>
          <w:tcPr>
            <w:tcW w:w="14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35A1C" w14:textId="77777777" w:rsidR="00D868AB" w:rsidRPr="00D868AB" w:rsidRDefault="00D868AB" w:rsidP="00D868AB">
            <w:pPr>
              <w:jc w:val="right"/>
              <w:rPr>
                <w:rFonts w:cs="Arial"/>
                <w:sz w:val="20"/>
                <w:lang w:val="es-ES"/>
              </w:rPr>
            </w:pPr>
            <w:r w:rsidRPr="00D868AB">
              <w:rPr>
                <w:rFonts w:cs="Arial"/>
                <w:sz w:val="20"/>
                <w:lang w:val="es-ES"/>
              </w:rPr>
              <w:t>147,000</w:t>
            </w:r>
          </w:p>
        </w:tc>
      </w:tr>
      <w:tr w:rsidR="00D868AB" w:rsidRPr="00D868AB" w14:paraId="3878031B" w14:textId="77777777" w:rsidTr="00A755A7">
        <w:trPr>
          <w:trHeight w:val="227"/>
        </w:trPr>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74595C" w14:textId="77777777" w:rsidR="00D868AB" w:rsidRPr="00D868AB" w:rsidRDefault="00D868AB" w:rsidP="00D868AB">
            <w:pPr>
              <w:rPr>
                <w:rFonts w:cs="Arial"/>
                <w:sz w:val="20"/>
                <w:lang w:val="es-ES"/>
              </w:rPr>
            </w:pPr>
          </w:p>
        </w:tc>
        <w:tc>
          <w:tcPr>
            <w:tcW w:w="54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4F677" w14:textId="77777777" w:rsidR="00D868AB" w:rsidRPr="00D868AB" w:rsidRDefault="00D868AB" w:rsidP="00D868AB">
            <w:pPr>
              <w:jc w:val="center"/>
              <w:rPr>
                <w:rFonts w:cs="Arial"/>
                <w:b/>
                <w:bCs/>
                <w:sz w:val="20"/>
                <w:lang w:val="es-ES"/>
              </w:rPr>
            </w:pPr>
            <w:r w:rsidRPr="00D868AB">
              <w:rPr>
                <w:rFonts w:cs="Arial"/>
                <w:b/>
                <w:bCs/>
                <w:sz w:val="20"/>
                <w:lang w:val="es-ES"/>
              </w:rPr>
              <w:t>Total</w:t>
            </w:r>
          </w:p>
        </w:tc>
        <w:tc>
          <w:tcPr>
            <w:tcW w:w="1496" w:type="dxa"/>
            <w:tcBorders>
              <w:top w:val="single" w:sz="4" w:space="0" w:color="auto"/>
              <w:left w:val="single" w:sz="4" w:space="0" w:color="auto"/>
              <w:bottom w:val="single" w:sz="4" w:space="0" w:color="auto"/>
              <w:right w:val="single" w:sz="4" w:space="0" w:color="auto"/>
            </w:tcBorders>
            <w:shd w:val="clear" w:color="auto" w:fill="auto"/>
            <w:vAlign w:val="center"/>
          </w:tcPr>
          <w:p w14:paraId="2DBFF71E" w14:textId="77777777" w:rsidR="00D868AB" w:rsidRPr="00D868AB" w:rsidRDefault="00D868AB" w:rsidP="00D868AB">
            <w:pPr>
              <w:ind w:left="708" w:hanging="708"/>
              <w:jc w:val="right"/>
              <w:rPr>
                <w:rFonts w:cs="Arial"/>
                <w:b/>
                <w:bCs/>
                <w:sz w:val="20"/>
                <w:lang w:val="es-ES"/>
              </w:rPr>
            </w:pPr>
            <w:r w:rsidRPr="00D868AB">
              <w:rPr>
                <w:rFonts w:cs="Arial"/>
                <w:b/>
                <w:bCs/>
                <w:sz w:val="20"/>
                <w:lang w:val="es-ES"/>
              </w:rPr>
              <w:t>115,000,000</w:t>
            </w:r>
          </w:p>
        </w:tc>
      </w:tr>
    </w:tbl>
    <w:p w14:paraId="6F1BE80A" w14:textId="77777777" w:rsidR="00D868AB" w:rsidRPr="00D868AB" w:rsidRDefault="00D868AB" w:rsidP="00D868AB">
      <w:pPr>
        <w:keepNext/>
        <w:keepLines/>
        <w:jc w:val="center"/>
        <w:outlineLvl w:val="1"/>
        <w:rPr>
          <w:rFonts w:eastAsia="Times New Roman" w:cs="Arial"/>
          <w:b/>
          <w:lang w:val="es-ES"/>
        </w:rPr>
      </w:pPr>
    </w:p>
    <w:p w14:paraId="1CA1C18B" w14:textId="77777777" w:rsidR="00D868AB" w:rsidRPr="00D868AB" w:rsidRDefault="00D868AB" w:rsidP="00D868AB">
      <w:pPr>
        <w:rPr>
          <w:rFonts w:cs="Arial"/>
          <w:lang w:val="es-ES"/>
        </w:rPr>
      </w:pPr>
      <w:r w:rsidRPr="00D868AB">
        <w:rPr>
          <w:rFonts w:cs="Arial"/>
        </w:rPr>
        <w:t xml:space="preserve">En el </w:t>
      </w:r>
      <w:r w:rsidRPr="00D868AB">
        <w:rPr>
          <w:rFonts w:cs="Arial"/>
          <w:b/>
          <w:lang w:val="es-ES"/>
        </w:rPr>
        <w:t xml:space="preserve">Anexo 4 Clasificación por Objeto del Gasto del H. Congreso del Estado </w:t>
      </w:r>
      <w:r w:rsidRPr="00D868AB">
        <w:rPr>
          <w:rFonts w:cs="Arial"/>
          <w:lang w:val="es-ES"/>
        </w:rPr>
        <w:t>del presente Decreto, se detallan las asignaciones presupuestales al Poder Legislativo, de acuerdo a la Clasificación por Objeto del Gasto a nivel de Capítulo, Concepto, Partida Genérica y Partida Específica.</w:t>
      </w:r>
    </w:p>
    <w:p w14:paraId="048AB95B" w14:textId="77777777" w:rsidR="00D868AB" w:rsidRPr="00D868AB" w:rsidRDefault="00D868AB" w:rsidP="00D868AB">
      <w:pPr>
        <w:rPr>
          <w:rFonts w:cs="Arial"/>
          <w:lang w:val="es-ES"/>
        </w:rPr>
      </w:pPr>
    </w:p>
    <w:p w14:paraId="58F592F3" w14:textId="77777777" w:rsidR="00D868AB" w:rsidRPr="00D868AB" w:rsidRDefault="00D868AB" w:rsidP="00D868AB">
      <w:pPr>
        <w:rPr>
          <w:rFonts w:cs="Arial"/>
          <w:lang w:val="es-ES"/>
        </w:rPr>
      </w:pPr>
      <w:r w:rsidRPr="00D868AB">
        <w:rPr>
          <w:rFonts w:cs="Arial"/>
          <w:b/>
          <w:lang w:val="es-ES"/>
        </w:rPr>
        <w:t>Artículo 21</w:t>
      </w:r>
      <w:r w:rsidRPr="00D868AB">
        <w:rPr>
          <w:rFonts w:cs="Arial"/>
          <w:lang w:val="es-ES"/>
        </w:rPr>
        <w:t xml:space="preserve">. La asignación prevista para el </w:t>
      </w:r>
      <w:r w:rsidRPr="00D868AB">
        <w:rPr>
          <w:rFonts w:cs="Arial"/>
          <w:b/>
          <w:lang w:val="es-ES"/>
        </w:rPr>
        <w:t>Poder Judicial del Estado</w:t>
      </w:r>
      <w:r w:rsidRPr="00D868AB">
        <w:rPr>
          <w:rFonts w:cs="Arial"/>
          <w:lang w:val="es-ES"/>
        </w:rPr>
        <w:t xml:space="preserve"> para el ejercicio fiscal 2023, </w:t>
      </w:r>
      <w:r w:rsidRPr="00D868AB">
        <w:rPr>
          <w:rFonts w:eastAsia="Times New Roman" w:cs="Arial"/>
        </w:rPr>
        <w:t>tendrá la siguiente distribución a nivel de Capítulo de gasto</w:t>
      </w:r>
    </w:p>
    <w:p w14:paraId="60136BA3" w14:textId="77777777" w:rsidR="00D868AB" w:rsidRPr="00D868AB" w:rsidRDefault="00D868AB" w:rsidP="00D868AB">
      <w:pPr>
        <w:keepNext/>
        <w:keepLines/>
        <w:outlineLvl w:val="2"/>
        <w:rPr>
          <w:rFonts w:eastAsia="Times New Roman" w:cs="Arial"/>
          <w:b/>
          <w:szCs w:val="24"/>
          <w:lang w:val="es-ES" w:eastAsia="en-US"/>
        </w:rPr>
      </w:pPr>
    </w:p>
    <w:p w14:paraId="6415339D" w14:textId="77777777" w:rsidR="00D868AB" w:rsidRPr="00D868AB" w:rsidRDefault="00D868AB" w:rsidP="00D868AB">
      <w:pPr>
        <w:jc w:val="center"/>
        <w:rPr>
          <w:rFonts w:eastAsia="Times New Roman" w:cs="Arial"/>
          <w:b/>
          <w:sz w:val="20"/>
          <w:lang w:val="es-ES"/>
        </w:rPr>
      </w:pPr>
      <w:bookmarkStart w:id="81" w:name="_Toc522869251"/>
      <w:bookmarkStart w:id="82" w:name="_Toc526757462"/>
      <w:bookmarkStart w:id="83" w:name="_Toc22021896"/>
      <w:bookmarkStart w:id="84" w:name="_Toc22983167"/>
      <w:r w:rsidRPr="00D868AB">
        <w:rPr>
          <w:rFonts w:eastAsia="Times New Roman" w:cs="Arial"/>
          <w:b/>
          <w:sz w:val="20"/>
          <w:lang w:val="es-ES"/>
        </w:rPr>
        <w:t xml:space="preserve">Tabla 17. Poder Judicial del Estado </w:t>
      </w:r>
      <w:r w:rsidRPr="00D868AB">
        <w:rPr>
          <w:rFonts w:eastAsia="Times New Roman" w:cs="Arial"/>
          <w:b/>
          <w:sz w:val="20"/>
          <w:lang w:val="es-ES"/>
        </w:rPr>
        <w:br/>
        <w:t>(Objeto del Gasto)</w:t>
      </w:r>
      <w:bookmarkEnd w:id="81"/>
      <w:bookmarkEnd w:id="82"/>
      <w:bookmarkEnd w:id="83"/>
      <w:bookmarkEnd w:id="84"/>
    </w:p>
    <w:tbl>
      <w:tblPr>
        <w:tblW w:w="85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4"/>
        <w:gridCol w:w="5387"/>
        <w:gridCol w:w="1826"/>
      </w:tblGrid>
      <w:tr w:rsidR="00D868AB" w:rsidRPr="00D868AB" w14:paraId="206047EB" w14:textId="77777777" w:rsidTr="00A755A7">
        <w:trPr>
          <w:trHeight w:val="20"/>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6A015A" w14:textId="77777777" w:rsidR="00D868AB" w:rsidRPr="00D868AB" w:rsidRDefault="00D868AB" w:rsidP="00D868AB">
            <w:pPr>
              <w:jc w:val="center"/>
              <w:rPr>
                <w:rFonts w:cs="Arial"/>
                <w:b/>
                <w:bCs/>
                <w:sz w:val="20"/>
                <w:lang w:val="es-ES"/>
              </w:rPr>
            </w:pPr>
            <w:r w:rsidRPr="00D868AB">
              <w:rPr>
                <w:rFonts w:cs="Arial"/>
                <w:b/>
                <w:bCs/>
                <w:sz w:val="20"/>
                <w:lang w:val="es-ES"/>
              </w:rPr>
              <w:t>Capítulo</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2A214" w14:textId="77777777" w:rsidR="00D868AB" w:rsidRPr="00D868AB" w:rsidRDefault="00D868AB" w:rsidP="00D868AB">
            <w:pPr>
              <w:jc w:val="center"/>
              <w:rPr>
                <w:rFonts w:cs="Arial"/>
                <w:b/>
                <w:bCs/>
                <w:sz w:val="20"/>
                <w:lang w:val="es-ES"/>
              </w:rPr>
            </w:pPr>
            <w:r w:rsidRPr="00D868AB">
              <w:rPr>
                <w:rFonts w:cs="Arial"/>
                <w:b/>
                <w:bCs/>
                <w:sz w:val="20"/>
                <w:lang w:val="es-ES"/>
              </w:rPr>
              <w:t>Concepto</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09E93" w14:textId="77777777" w:rsidR="00D868AB" w:rsidRPr="00D868AB" w:rsidRDefault="00D868AB" w:rsidP="00D868AB">
            <w:pPr>
              <w:jc w:val="center"/>
              <w:rPr>
                <w:rFonts w:cs="Arial"/>
                <w:b/>
                <w:bCs/>
                <w:sz w:val="20"/>
                <w:lang w:val="es-ES"/>
              </w:rPr>
            </w:pPr>
            <w:r w:rsidRPr="00D868AB">
              <w:rPr>
                <w:rFonts w:cs="Arial"/>
                <w:b/>
                <w:bCs/>
                <w:sz w:val="20"/>
                <w:lang w:val="es-ES"/>
              </w:rPr>
              <w:t>Asignación Presupuestal</w:t>
            </w:r>
          </w:p>
        </w:tc>
      </w:tr>
      <w:tr w:rsidR="00D868AB" w:rsidRPr="00D868AB" w14:paraId="5DFFFCA2" w14:textId="77777777" w:rsidTr="00A755A7">
        <w:trPr>
          <w:trHeight w:val="20"/>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B3C608" w14:textId="77777777" w:rsidR="00D868AB" w:rsidRPr="00D868AB" w:rsidRDefault="00D868AB" w:rsidP="00D868AB">
            <w:pPr>
              <w:jc w:val="center"/>
              <w:rPr>
                <w:rFonts w:cs="Arial"/>
                <w:sz w:val="20"/>
                <w:lang w:val="es-ES"/>
              </w:rPr>
            </w:pPr>
            <w:r w:rsidRPr="00D868AB">
              <w:rPr>
                <w:rFonts w:cs="Arial"/>
                <w:sz w:val="20"/>
                <w:lang w:val="es-ES"/>
              </w:rPr>
              <w:t>10000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0FB93" w14:textId="77777777" w:rsidR="00D868AB" w:rsidRPr="00D868AB" w:rsidRDefault="00D868AB" w:rsidP="00D868AB">
            <w:pPr>
              <w:rPr>
                <w:rFonts w:cs="Arial"/>
                <w:sz w:val="20"/>
                <w:lang w:val="es-ES"/>
              </w:rPr>
            </w:pPr>
            <w:r w:rsidRPr="00D868AB">
              <w:rPr>
                <w:rFonts w:cs="Arial"/>
                <w:sz w:val="20"/>
                <w:lang w:val="es-ES"/>
              </w:rPr>
              <w:t>Servicios Personales.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FE1A2" w14:textId="77777777" w:rsidR="00D868AB" w:rsidRPr="00D868AB" w:rsidRDefault="00D868AB" w:rsidP="00D868AB">
            <w:pPr>
              <w:jc w:val="right"/>
              <w:rPr>
                <w:rFonts w:cs="Arial"/>
                <w:sz w:val="20"/>
                <w:lang w:val="es-ES"/>
              </w:rPr>
            </w:pPr>
            <w:r w:rsidRPr="00D868AB">
              <w:rPr>
                <w:rFonts w:cs="Arial"/>
                <w:sz w:val="20"/>
                <w:lang w:val="es-ES"/>
              </w:rPr>
              <w:t>186,114,225</w:t>
            </w:r>
          </w:p>
        </w:tc>
      </w:tr>
      <w:tr w:rsidR="00D868AB" w:rsidRPr="00D868AB" w14:paraId="2885F699" w14:textId="77777777" w:rsidTr="00A755A7">
        <w:trPr>
          <w:trHeight w:val="20"/>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8BCB90" w14:textId="77777777" w:rsidR="00D868AB" w:rsidRPr="00D868AB" w:rsidRDefault="00D868AB" w:rsidP="00D868AB">
            <w:pPr>
              <w:jc w:val="center"/>
              <w:rPr>
                <w:rFonts w:cs="Arial"/>
                <w:sz w:val="20"/>
                <w:lang w:val="es-ES"/>
              </w:rPr>
            </w:pPr>
            <w:r w:rsidRPr="00D868AB">
              <w:rPr>
                <w:rFonts w:cs="Arial"/>
                <w:sz w:val="20"/>
                <w:lang w:val="es-ES"/>
              </w:rPr>
              <w:t>20000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D1EB1" w14:textId="77777777" w:rsidR="00D868AB" w:rsidRPr="00D868AB" w:rsidRDefault="00D868AB" w:rsidP="00D868AB">
            <w:pPr>
              <w:rPr>
                <w:rFonts w:cs="Arial"/>
                <w:sz w:val="20"/>
                <w:lang w:val="es-ES"/>
              </w:rPr>
            </w:pPr>
            <w:r w:rsidRPr="00D868AB">
              <w:rPr>
                <w:rFonts w:cs="Arial"/>
                <w:sz w:val="20"/>
                <w:lang w:val="es-ES"/>
              </w:rPr>
              <w:t>Materiales y Suministros.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F3BCC" w14:textId="77777777" w:rsidR="00D868AB" w:rsidRPr="00D868AB" w:rsidRDefault="00D868AB" w:rsidP="00D868AB">
            <w:pPr>
              <w:jc w:val="right"/>
              <w:rPr>
                <w:rFonts w:cs="Arial"/>
                <w:sz w:val="20"/>
                <w:lang w:val="es-ES"/>
              </w:rPr>
            </w:pPr>
            <w:r w:rsidRPr="00D868AB">
              <w:rPr>
                <w:rFonts w:cs="Arial"/>
                <w:sz w:val="20"/>
                <w:lang w:val="es-ES"/>
              </w:rPr>
              <w:t>8,485,380</w:t>
            </w:r>
          </w:p>
        </w:tc>
      </w:tr>
      <w:tr w:rsidR="00D868AB" w:rsidRPr="00D868AB" w14:paraId="3E6A433F" w14:textId="77777777" w:rsidTr="00A755A7">
        <w:trPr>
          <w:trHeight w:val="20"/>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21E3B" w14:textId="77777777" w:rsidR="00D868AB" w:rsidRPr="00D868AB" w:rsidRDefault="00D868AB" w:rsidP="00D868AB">
            <w:pPr>
              <w:jc w:val="center"/>
              <w:rPr>
                <w:rFonts w:cs="Arial"/>
                <w:sz w:val="20"/>
                <w:lang w:val="es-ES"/>
              </w:rPr>
            </w:pPr>
            <w:r w:rsidRPr="00D868AB">
              <w:rPr>
                <w:rFonts w:cs="Arial"/>
                <w:sz w:val="20"/>
                <w:lang w:val="es-ES"/>
              </w:rPr>
              <w:t>30000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E7E53" w14:textId="77777777" w:rsidR="00D868AB" w:rsidRPr="00D868AB" w:rsidRDefault="00D868AB" w:rsidP="00D868AB">
            <w:pPr>
              <w:rPr>
                <w:rFonts w:cs="Arial"/>
                <w:sz w:val="20"/>
                <w:lang w:val="es-ES"/>
              </w:rPr>
            </w:pPr>
            <w:r w:rsidRPr="00D868AB">
              <w:rPr>
                <w:rFonts w:cs="Arial"/>
                <w:sz w:val="20"/>
                <w:lang w:val="es-ES"/>
              </w:rPr>
              <w:t>Servicios Generales.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0F52B" w14:textId="77777777" w:rsidR="00D868AB" w:rsidRPr="00D868AB" w:rsidRDefault="00D868AB" w:rsidP="00D868AB">
            <w:pPr>
              <w:jc w:val="right"/>
              <w:rPr>
                <w:rFonts w:cs="Arial"/>
                <w:sz w:val="20"/>
                <w:lang w:val="es-ES"/>
              </w:rPr>
            </w:pPr>
            <w:r w:rsidRPr="00D868AB">
              <w:rPr>
                <w:rFonts w:cs="Arial"/>
                <w:sz w:val="20"/>
                <w:lang w:val="es-ES"/>
              </w:rPr>
              <w:t>13,514,620</w:t>
            </w:r>
          </w:p>
        </w:tc>
      </w:tr>
      <w:tr w:rsidR="00D868AB" w:rsidRPr="00D868AB" w14:paraId="0458BAA7" w14:textId="77777777" w:rsidTr="00A755A7">
        <w:trPr>
          <w:trHeight w:val="20"/>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A28C73" w14:textId="77777777" w:rsidR="00D868AB" w:rsidRPr="00D868AB" w:rsidRDefault="00D868AB" w:rsidP="00D868AB">
            <w:pPr>
              <w:jc w:val="center"/>
              <w:rPr>
                <w:rFonts w:cs="Arial"/>
                <w:sz w:val="20"/>
                <w:lang w:val="es-ES"/>
              </w:rPr>
            </w:pPr>
            <w:r w:rsidRPr="00D868AB">
              <w:rPr>
                <w:rFonts w:cs="Arial"/>
                <w:sz w:val="20"/>
                <w:lang w:val="es-ES"/>
              </w:rPr>
              <w:t>40000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F2D2F9" w14:textId="77777777" w:rsidR="00D868AB" w:rsidRPr="00D868AB" w:rsidRDefault="00D868AB" w:rsidP="00D868AB">
            <w:pPr>
              <w:rPr>
                <w:rFonts w:cs="Arial"/>
                <w:sz w:val="20"/>
                <w:lang w:val="es-ES"/>
              </w:rPr>
            </w:pPr>
            <w:r w:rsidRPr="00D868AB">
              <w:rPr>
                <w:rFonts w:cs="Arial"/>
                <w:sz w:val="20"/>
                <w:lang w:val="es-ES"/>
              </w:rPr>
              <w:t>Transferencias, Asignaciones, Subsidios y Otras Ayudas.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460F8" w14:textId="77777777" w:rsidR="00D868AB" w:rsidRPr="00D868AB" w:rsidRDefault="00D868AB" w:rsidP="00D868AB">
            <w:pPr>
              <w:jc w:val="right"/>
              <w:rPr>
                <w:rFonts w:cs="Arial"/>
                <w:sz w:val="20"/>
                <w:lang w:val="es-ES"/>
              </w:rPr>
            </w:pPr>
            <w:r w:rsidRPr="00D868AB">
              <w:rPr>
                <w:rFonts w:cs="Arial"/>
                <w:sz w:val="20"/>
                <w:lang w:val="es-ES"/>
              </w:rPr>
              <w:t>42,885,775</w:t>
            </w:r>
          </w:p>
        </w:tc>
      </w:tr>
      <w:tr w:rsidR="00D868AB" w:rsidRPr="00D868AB" w14:paraId="09CC0182" w14:textId="77777777" w:rsidTr="00A755A7">
        <w:trPr>
          <w:trHeight w:val="20"/>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D40C1" w14:textId="77777777" w:rsidR="00D868AB" w:rsidRPr="00D868AB" w:rsidRDefault="00D868AB" w:rsidP="00D868AB">
            <w:pPr>
              <w:jc w:val="center"/>
              <w:rPr>
                <w:rFonts w:cs="Arial"/>
                <w:sz w:val="20"/>
                <w:lang w:val="es-ES"/>
              </w:rPr>
            </w:pPr>
            <w:r w:rsidRPr="00D868AB">
              <w:rPr>
                <w:rFonts w:cs="Arial"/>
                <w:sz w:val="20"/>
                <w:lang w:val="es-ES"/>
              </w:rPr>
              <w:t>50000</w:t>
            </w: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AA0CC5" w14:textId="77777777" w:rsidR="00D868AB" w:rsidRPr="00D868AB" w:rsidRDefault="00D868AB" w:rsidP="00D868AB">
            <w:pPr>
              <w:rPr>
                <w:rFonts w:cs="Arial"/>
                <w:sz w:val="20"/>
                <w:lang w:val="es-ES"/>
              </w:rPr>
            </w:pPr>
            <w:r w:rsidRPr="00D868AB">
              <w:rPr>
                <w:rFonts w:cs="Arial"/>
                <w:sz w:val="20"/>
                <w:lang w:val="es-ES"/>
              </w:rPr>
              <w:t>Bienes Muebles, Inmuebles e Intangibles.</w:t>
            </w:r>
          </w:p>
        </w:tc>
        <w:tc>
          <w:tcPr>
            <w:tcW w:w="18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8C78B" w14:textId="77777777" w:rsidR="00D868AB" w:rsidRPr="00D868AB" w:rsidRDefault="00D868AB" w:rsidP="00D868AB">
            <w:pPr>
              <w:jc w:val="right"/>
              <w:rPr>
                <w:rFonts w:cs="Arial"/>
                <w:sz w:val="20"/>
                <w:lang w:val="es-ES"/>
              </w:rPr>
            </w:pPr>
            <w:r w:rsidRPr="00D868AB">
              <w:rPr>
                <w:rFonts w:cs="Arial"/>
                <w:sz w:val="20"/>
                <w:lang w:val="es-ES"/>
              </w:rPr>
              <w:t>0</w:t>
            </w:r>
          </w:p>
        </w:tc>
      </w:tr>
      <w:tr w:rsidR="00D868AB" w:rsidRPr="00D868AB" w14:paraId="696DEADE" w14:textId="77777777" w:rsidTr="00A755A7">
        <w:trPr>
          <w:trHeight w:val="20"/>
          <w:jc w:val="center"/>
        </w:trPr>
        <w:tc>
          <w:tcPr>
            <w:tcW w:w="13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627BD1" w14:textId="77777777" w:rsidR="00D868AB" w:rsidRPr="00D868AB" w:rsidRDefault="00D868AB" w:rsidP="00D868AB">
            <w:pPr>
              <w:rPr>
                <w:rFonts w:cs="Arial"/>
                <w:sz w:val="20"/>
                <w:lang w:val="es-ES"/>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4E57B" w14:textId="77777777" w:rsidR="00D868AB" w:rsidRPr="00D868AB" w:rsidRDefault="00D868AB" w:rsidP="00D868AB">
            <w:pPr>
              <w:jc w:val="center"/>
              <w:rPr>
                <w:rFonts w:cs="Arial"/>
                <w:b/>
                <w:bCs/>
                <w:sz w:val="20"/>
                <w:lang w:val="es-ES"/>
              </w:rPr>
            </w:pPr>
            <w:r w:rsidRPr="00D868AB">
              <w:rPr>
                <w:rFonts w:cs="Arial"/>
                <w:b/>
                <w:bCs/>
                <w:sz w:val="20"/>
                <w:lang w:val="es-ES"/>
              </w:rPr>
              <w:t>Total</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53547088" w14:textId="77777777" w:rsidR="00D868AB" w:rsidRPr="00D868AB" w:rsidRDefault="00D868AB" w:rsidP="00D868AB">
            <w:pPr>
              <w:jc w:val="right"/>
              <w:rPr>
                <w:rFonts w:cs="Arial"/>
                <w:b/>
                <w:sz w:val="20"/>
                <w:lang w:val="es-ES"/>
              </w:rPr>
            </w:pPr>
            <w:r w:rsidRPr="00D868AB">
              <w:rPr>
                <w:rFonts w:cs="Arial"/>
                <w:b/>
                <w:sz w:val="20"/>
                <w:lang w:val="es-ES"/>
              </w:rPr>
              <w:t>251,000,000</w:t>
            </w:r>
          </w:p>
        </w:tc>
      </w:tr>
    </w:tbl>
    <w:p w14:paraId="38D84235" w14:textId="77777777" w:rsidR="00D868AB" w:rsidRPr="00D868AB" w:rsidRDefault="00D868AB" w:rsidP="00D868AB">
      <w:pPr>
        <w:rPr>
          <w:rFonts w:cs="Arial"/>
          <w:lang w:val="es-ES"/>
        </w:rPr>
      </w:pPr>
    </w:p>
    <w:p w14:paraId="5B70B2E2" w14:textId="77777777" w:rsidR="00D868AB" w:rsidRPr="00D868AB" w:rsidRDefault="00D868AB" w:rsidP="00D868AB">
      <w:pPr>
        <w:rPr>
          <w:rFonts w:cs="Arial"/>
          <w:lang w:val="es-ES"/>
        </w:rPr>
      </w:pPr>
      <w:r w:rsidRPr="00D868AB">
        <w:rPr>
          <w:rFonts w:cs="Arial"/>
          <w:lang w:val="es-ES"/>
        </w:rPr>
        <w:t xml:space="preserve">En el </w:t>
      </w:r>
      <w:r w:rsidRPr="00D868AB">
        <w:rPr>
          <w:rFonts w:cs="Arial"/>
          <w:b/>
          <w:lang w:val="es-ES"/>
        </w:rPr>
        <w:t>Anexo 5 Clasificación por Objeto del Gasto del Poder Judicial</w:t>
      </w:r>
      <w:r w:rsidRPr="00D868AB">
        <w:rPr>
          <w:rFonts w:cs="Arial"/>
          <w:lang w:val="es-ES"/>
        </w:rPr>
        <w:t xml:space="preserve"> del presente Decreto, se presenta la Clasificación por Objeto del Gasto a nivel de Capítulo, Concepto, Partida Genérica y Partida Específica, de las asignaciones previstas para el Poder Judicial del Estado. </w:t>
      </w:r>
    </w:p>
    <w:p w14:paraId="0D8B7AD2" w14:textId="3BCDCD14" w:rsidR="00D868AB" w:rsidRDefault="00D868AB" w:rsidP="00D868AB">
      <w:pPr>
        <w:rPr>
          <w:rFonts w:cs="Arial"/>
          <w:lang w:val="es-ES"/>
        </w:rPr>
      </w:pPr>
    </w:p>
    <w:p w14:paraId="6141466A" w14:textId="6A863D14" w:rsidR="00D85BE9" w:rsidRDefault="00D85BE9" w:rsidP="00D868AB">
      <w:pPr>
        <w:rPr>
          <w:rFonts w:cs="Arial"/>
          <w:lang w:val="es-ES"/>
        </w:rPr>
      </w:pPr>
    </w:p>
    <w:p w14:paraId="3AE219C8" w14:textId="52E56AF8" w:rsidR="00D85BE9" w:rsidRDefault="00D85BE9" w:rsidP="00D868AB">
      <w:pPr>
        <w:rPr>
          <w:rFonts w:cs="Arial"/>
          <w:lang w:val="es-ES"/>
        </w:rPr>
      </w:pPr>
    </w:p>
    <w:p w14:paraId="46459119" w14:textId="7F963F1B" w:rsidR="00D85BE9" w:rsidRDefault="00D85BE9" w:rsidP="00D868AB">
      <w:pPr>
        <w:rPr>
          <w:rFonts w:cs="Arial"/>
          <w:lang w:val="es-ES"/>
        </w:rPr>
      </w:pPr>
    </w:p>
    <w:p w14:paraId="41FFF84D" w14:textId="69C69181" w:rsidR="00D85BE9" w:rsidRDefault="00D85BE9" w:rsidP="00D868AB">
      <w:pPr>
        <w:rPr>
          <w:rFonts w:cs="Arial"/>
          <w:lang w:val="es-ES"/>
        </w:rPr>
      </w:pPr>
    </w:p>
    <w:p w14:paraId="01C8EC7E" w14:textId="77777777" w:rsidR="00D85BE9" w:rsidRPr="00D868AB" w:rsidRDefault="00D85BE9" w:rsidP="00D868AB">
      <w:pPr>
        <w:rPr>
          <w:rFonts w:cs="Arial"/>
          <w:lang w:val="es-ES"/>
        </w:rPr>
      </w:pPr>
    </w:p>
    <w:p w14:paraId="3AF38149" w14:textId="77777777" w:rsidR="00D868AB" w:rsidRPr="00D868AB" w:rsidRDefault="00D868AB" w:rsidP="00D868AB">
      <w:pPr>
        <w:rPr>
          <w:rFonts w:cs="Arial"/>
          <w:lang w:val="es-ES"/>
        </w:rPr>
      </w:pPr>
    </w:p>
    <w:p w14:paraId="2AB3B3CC" w14:textId="77777777" w:rsidR="00D868AB" w:rsidRPr="00D868AB" w:rsidRDefault="00D868AB" w:rsidP="00D868AB">
      <w:pPr>
        <w:jc w:val="center"/>
        <w:rPr>
          <w:rFonts w:eastAsia="Times New Roman" w:cs="Arial"/>
          <w:b/>
          <w:lang w:val="es-ES"/>
        </w:rPr>
      </w:pPr>
      <w:r w:rsidRPr="00D868AB">
        <w:rPr>
          <w:rFonts w:eastAsia="Times New Roman" w:cs="Arial"/>
          <w:b/>
          <w:lang w:val="es-ES"/>
        </w:rPr>
        <w:lastRenderedPageBreak/>
        <w:t>CAPÍTULO IV</w:t>
      </w:r>
    </w:p>
    <w:p w14:paraId="4B0570A0" w14:textId="77777777" w:rsidR="00D868AB" w:rsidRPr="00D868AB" w:rsidRDefault="00D868AB" w:rsidP="00D868AB">
      <w:pPr>
        <w:keepNext/>
        <w:keepLines/>
        <w:jc w:val="center"/>
        <w:outlineLvl w:val="0"/>
        <w:rPr>
          <w:rFonts w:eastAsia="Times New Roman" w:cs="Arial"/>
          <w:b/>
          <w:szCs w:val="32"/>
          <w:lang w:val="es-ES"/>
        </w:rPr>
      </w:pPr>
      <w:bookmarkStart w:id="85" w:name="_Toc22021965"/>
      <w:bookmarkStart w:id="86" w:name="_Toc22983218"/>
      <w:r w:rsidRPr="00D868AB">
        <w:rPr>
          <w:rFonts w:eastAsia="Times New Roman" w:cs="Arial"/>
          <w:b/>
          <w:szCs w:val="32"/>
          <w:lang w:val="es-ES"/>
        </w:rPr>
        <w:t xml:space="preserve">DE LAS PREVISIONES PARA LOS ÓRGANOS AUTÓNOMOS ELECTORALES Y </w:t>
      </w:r>
      <w:r w:rsidRPr="00D868AB">
        <w:rPr>
          <w:rFonts w:eastAsia="Times New Roman" w:cs="Arial"/>
          <w:b/>
          <w:szCs w:val="32"/>
          <w:lang w:val="es-ES"/>
        </w:rPr>
        <w:br/>
        <w:t>DEL FINANCIAMIENTO A PARTIDOS POLÍTICOS</w:t>
      </w:r>
      <w:bookmarkEnd w:id="85"/>
      <w:bookmarkEnd w:id="86"/>
    </w:p>
    <w:p w14:paraId="2ABE89F6" w14:textId="77777777" w:rsidR="00D868AB" w:rsidRPr="00D868AB" w:rsidRDefault="00D868AB" w:rsidP="00D868AB">
      <w:pPr>
        <w:jc w:val="left"/>
        <w:rPr>
          <w:rFonts w:eastAsia="Calibri" w:cs="Arial"/>
          <w:lang w:val="es-ES" w:eastAsia="en-US"/>
        </w:rPr>
      </w:pPr>
    </w:p>
    <w:p w14:paraId="6ABF620E" w14:textId="77777777" w:rsidR="00D868AB" w:rsidRPr="00D868AB" w:rsidRDefault="00D868AB" w:rsidP="00D868AB">
      <w:pPr>
        <w:jc w:val="left"/>
        <w:rPr>
          <w:rFonts w:eastAsia="Calibri" w:cs="Arial"/>
          <w:lang w:val="es-ES" w:eastAsia="en-US"/>
        </w:rPr>
      </w:pPr>
    </w:p>
    <w:p w14:paraId="4B219C0F" w14:textId="77777777" w:rsidR="00D868AB" w:rsidRPr="00D868AB" w:rsidRDefault="00D868AB" w:rsidP="00D868AB">
      <w:pPr>
        <w:rPr>
          <w:rFonts w:cs="Arial"/>
          <w:lang w:val="es-ES"/>
        </w:rPr>
      </w:pPr>
      <w:r w:rsidRPr="00D868AB">
        <w:rPr>
          <w:rFonts w:cs="Arial"/>
          <w:b/>
          <w:lang w:val="es-ES"/>
        </w:rPr>
        <w:t>Artículo 22.</w:t>
      </w:r>
      <w:r w:rsidRPr="00D868AB">
        <w:rPr>
          <w:rFonts w:cs="Arial"/>
          <w:lang w:val="es-ES"/>
        </w:rPr>
        <w:t xml:space="preserve"> La asignación presupuestal para los </w:t>
      </w:r>
      <w:r w:rsidRPr="00D868AB">
        <w:rPr>
          <w:rFonts w:cs="Arial"/>
          <w:b/>
          <w:lang w:val="es-ES"/>
        </w:rPr>
        <w:t>Órganos Autónomos Electorales</w:t>
      </w:r>
      <w:r w:rsidRPr="00D868AB">
        <w:rPr>
          <w:rFonts w:cs="Arial"/>
          <w:lang w:val="es-ES"/>
        </w:rPr>
        <w:t>, es la siguiente:</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5528"/>
        <w:gridCol w:w="1701"/>
      </w:tblGrid>
      <w:tr w:rsidR="00D868AB" w:rsidRPr="00D868AB" w14:paraId="617C6D30" w14:textId="77777777" w:rsidTr="00A755A7">
        <w:trPr>
          <w:trHeight w:val="405"/>
          <w:tblHeader/>
          <w:jc w:val="center"/>
        </w:trPr>
        <w:tc>
          <w:tcPr>
            <w:tcW w:w="8217" w:type="dxa"/>
            <w:gridSpan w:val="3"/>
            <w:tcBorders>
              <w:top w:val="nil"/>
              <w:left w:val="nil"/>
              <w:bottom w:val="single" w:sz="4" w:space="0" w:color="auto"/>
              <w:right w:val="nil"/>
            </w:tcBorders>
            <w:shd w:val="clear" w:color="auto" w:fill="auto"/>
            <w:vAlign w:val="center"/>
          </w:tcPr>
          <w:p w14:paraId="6199B9DE" w14:textId="77777777" w:rsidR="00D868AB" w:rsidRPr="00D868AB" w:rsidRDefault="00D868AB" w:rsidP="00D868AB">
            <w:pPr>
              <w:jc w:val="center"/>
              <w:rPr>
                <w:rFonts w:cs="Arial"/>
                <w:b/>
                <w:bCs/>
                <w:sz w:val="20"/>
                <w:lang w:val="es-ES"/>
              </w:rPr>
            </w:pPr>
            <w:bookmarkStart w:id="87" w:name="_Toc522869238"/>
            <w:bookmarkStart w:id="88" w:name="_Toc526757449"/>
            <w:bookmarkStart w:id="89" w:name="_Toc22021887"/>
            <w:bookmarkStart w:id="90" w:name="_Toc22983160"/>
            <w:r w:rsidRPr="00D868AB">
              <w:rPr>
                <w:rFonts w:eastAsia="Times New Roman" w:cs="Arial"/>
                <w:b/>
                <w:sz w:val="20"/>
                <w:lang w:val="es-ES"/>
              </w:rPr>
              <w:t xml:space="preserve">Tabla 18. </w:t>
            </w:r>
            <w:r w:rsidRPr="00D868AB">
              <w:rPr>
                <w:rFonts w:cs="Arial"/>
                <w:b/>
                <w:sz w:val="20"/>
                <w:lang w:val="es-ES"/>
              </w:rPr>
              <w:t>Órganos Autónomos Electorales</w:t>
            </w:r>
            <w:bookmarkEnd w:id="87"/>
            <w:bookmarkEnd w:id="88"/>
            <w:bookmarkEnd w:id="89"/>
            <w:bookmarkEnd w:id="90"/>
          </w:p>
        </w:tc>
      </w:tr>
      <w:tr w:rsidR="00D868AB" w:rsidRPr="00D868AB" w14:paraId="040C5251"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5A7B8" w14:textId="77777777" w:rsidR="00D868AB" w:rsidRPr="00D868AB" w:rsidRDefault="00D868AB" w:rsidP="00D868AB">
            <w:pPr>
              <w:jc w:val="center"/>
              <w:rPr>
                <w:rFonts w:cs="Arial"/>
                <w:b/>
                <w:bCs/>
                <w:sz w:val="20"/>
                <w:lang w:val="es-ES"/>
              </w:rPr>
            </w:pPr>
            <w:r w:rsidRPr="00D868AB">
              <w:rPr>
                <w:rFonts w:cs="Arial"/>
                <w:b/>
                <w:bCs/>
                <w:sz w:val="20"/>
                <w:lang w:val="es-ES"/>
              </w:rPr>
              <w:t>Clave</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B04385" w14:textId="77777777" w:rsidR="00D868AB" w:rsidRPr="00D868AB" w:rsidRDefault="00D868AB" w:rsidP="00D868AB">
            <w:pPr>
              <w:jc w:val="center"/>
              <w:rPr>
                <w:rFonts w:cs="Arial"/>
                <w:b/>
                <w:bCs/>
                <w:sz w:val="20"/>
                <w:lang w:val="es-ES"/>
              </w:rPr>
            </w:pPr>
            <w:r w:rsidRPr="00D868AB">
              <w:rPr>
                <w:rFonts w:cs="Arial"/>
                <w:b/>
                <w:bCs/>
                <w:sz w:val="20"/>
                <w:lang w:val="es-ES"/>
              </w:rPr>
              <w:t>Concepto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1AFA96" w14:textId="77777777" w:rsidR="00D868AB" w:rsidRPr="00D868AB" w:rsidRDefault="00D868AB" w:rsidP="00D868AB">
            <w:pPr>
              <w:jc w:val="center"/>
              <w:rPr>
                <w:rFonts w:cs="Arial"/>
                <w:b/>
                <w:bCs/>
                <w:sz w:val="20"/>
                <w:lang w:val="es-ES"/>
              </w:rPr>
            </w:pPr>
            <w:r w:rsidRPr="00D868AB">
              <w:rPr>
                <w:rFonts w:cs="Arial"/>
                <w:b/>
                <w:bCs/>
                <w:sz w:val="20"/>
                <w:lang w:val="es-ES"/>
              </w:rPr>
              <w:t>Asignación Presupuestal</w:t>
            </w:r>
          </w:p>
        </w:tc>
      </w:tr>
      <w:tr w:rsidR="00D868AB" w:rsidRPr="00D868AB" w14:paraId="78324318"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BEB0C9" w14:textId="77777777" w:rsidR="00D868AB" w:rsidRPr="00D868AB" w:rsidRDefault="00D868AB" w:rsidP="00D868AB">
            <w:pPr>
              <w:jc w:val="center"/>
              <w:rPr>
                <w:rFonts w:cs="Arial"/>
                <w:sz w:val="20"/>
                <w:lang w:val="es-ES"/>
              </w:rPr>
            </w:pPr>
            <w:r w:rsidRPr="00D868AB">
              <w:rPr>
                <w:rFonts w:cs="Arial"/>
                <w:sz w:val="20"/>
                <w:lang w:val="es-ES"/>
              </w:rPr>
              <w:t>41403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90F42D" w14:textId="77777777" w:rsidR="00D868AB" w:rsidRPr="00D868AB" w:rsidRDefault="00D868AB" w:rsidP="00D868AB">
            <w:pPr>
              <w:rPr>
                <w:rFonts w:cs="Arial"/>
                <w:sz w:val="20"/>
                <w:lang w:val="es-ES"/>
              </w:rPr>
            </w:pPr>
            <w:r w:rsidRPr="00D868AB">
              <w:rPr>
                <w:rFonts w:cs="Arial"/>
                <w:sz w:val="20"/>
                <w:lang w:val="es-ES"/>
              </w:rPr>
              <w:t>Instituto Electoral del Estado.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41E10" w14:textId="77777777" w:rsidR="00D868AB" w:rsidRPr="00D868AB" w:rsidRDefault="00D868AB" w:rsidP="00D868AB">
            <w:pPr>
              <w:jc w:val="right"/>
              <w:rPr>
                <w:rFonts w:cs="Arial"/>
                <w:sz w:val="20"/>
                <w:lang w:val="es-ES"/>
              </w:rPr>
            </w:pPr>
            <w:r w:rsidRPr="00D868AB">
              <w:rPr>
                <w:rFonts w:cs="Arial"/>
                <w:color w:val="000000"/>
                <w:sz w:val="20"/>
                <w:szCs w:val="20"/>
              </w:rPr>
              <w:t>98,940,107</w:t>
            </w:r>
          </w:p>
        </w:tc>
      </w:tr>
      <w:tr w:rsidR="00D868AB" w:rsidRPr="00D868AB" w14:paraId="39FC46F2" w14:textId="77777777" w:rsidTr="00A755A7">
        <w:trPr>
          <w:trHeight w:val="20"/>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3B44F684" w14:textId="77777777" w:rsidR="00D868AB" w:rsidRPr="00D868AB" w:rsidRDefault="00D868AB" w:rsidP="00D868AB">
            <w:pPr>
              <w:jc w:val="center"/>
              <w:rPr>
                <w:rFonts w:cs="Arial"/>
                <w:sz w:val="20"/>
                <w:lang w:val="es-ES"/>
              </w:rPr>
            </w:pPr>
            <w:r w:rsidRPr="00D868AB">
              <w:rPr>
                <w:rFonts w:cs="Arial"/>
                <w:sz w:val="20"/>
                <w:lang w:val="es-ES"/>
              </w:rPr>
              <w:t>41406</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1F719" w14:textId="77777777" w:rsidR="00D868AB" w:rsidRPr="00D868AB" w:rsidRDefault="00D868AB" w:rsidP="00D868AB">
            <w:pPr>
              <w:rPr>
                <w:rFonts w:cs="Arial"/>
                <w:sz w:val="20"/>
                <w:lang w:val="es-ES"/>
              </w:rPr>
            </w:pPr>
            <w:r w:rsidRPr="00D868AB">
              <w:rPr>
                <w:rFonts w:cs="Arial"/>
                <w:sz w:val="20"/>
                <w:lang w:val="es-ES"/>
              </w:rPr>
              <w:t>Tribunal Electoral del Estado.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16F6B" w14:textId="77777777" w:rsidR="00D868AB" w:rsidRPr="00D868AB" w:rsidRDefault="00D868AB" w:rsidP="00D868AB">
            <w:pPr>
              <w:jc w:val="right"/>
              <w:rPr>
                <w:rFonts w:cs="Arial"/>
                <w:sz w:val="20"/>
                <w:lang w:val="es-ES"/>
              </w:rPr>
            </w:pPr>
            <w:r w:rsidRPr="00D868AB">
              <w:rPr>
                <w:rFonts w:cs="Arial"/>
                <w:color w:val="000000"/>
                <w:sz w:val="20"/>
                <w:szCs w:val="20"/>
              </w:rPr>
              <w:t>12,286,967</w:t>
            </w:r>
          </w:p>
        </w:tc>
      </w:tr>
    </w:tbl>
    <w:p w14:paraId="1E3A7B0C" w14:textId="77777777" w:rsidR="00D868AB" w:rsidRPr="00D868AB" w:rsidRDefault="00D868AB" w:rsidP="00D868AB">
      <w:pPr>
        <w:rPr>
          <w:rFonts w:cs="Arial"/>
          <w:lang w:val="es-ES"/>
        </w:rPr>
      </w:pPr>
    </w:p>
    <w:p w14:paraId="45A286CB" w14:textId="291582E8" w:rsidR="00D868AB" w:rsidRPr="00D85BE9" w:rsidRDefault="00D868AB" w:rsidP="00D85BE9">
      <w:pPr>
        <w:ind w:left="567" w:hanging="567"/>
        <w:rPr>
          <w:rFonts w:eastAsia="Times New Roman" w:cs="Arial"/>
        </w:rPr>
      </w:pPr>
      <w:r w:rsidRPr="00D868AB">
        <w:rPr>
          <w:rFonts w:eastAsia="Times New Roman" w:cs="Arial"/>
        </w:rPr>
        <w:t xml:space="preserve">I. </w:t>
      </w:r>
      <w:r w:rsidRPr="00D868AB">
        <w:rPr>
          <w:rFonts w:eastAsia="Times New Roman" w:cs="Arial"/>
        </w:rPr>
        <w:tab/>
        <w:t xml:space="preserve">La asignación presupuestal para el Instituto Electoral del Estado, se </w:t>
      </w:r>
      <w:r w:rsidR="00D85BE9">
        <w:rPr>
          <w:rFonts w:eastAsia="Times New Roman" w:cs="Arial"/>
        </w:rPr>
        <w:t>integra de la siguiente manera.</w:t>
      </w:r>
    </w:p>
    <w:p w14:paraId="0719E128" w14:textId="77777777" w:rsidR="00D868AB" w:rsidRPr="00D868AB" w:rsidRDefault="00D868AB" w:rsidP="00D868AB">
      <w:pPr>
        <w:jc w:val="center"/>
        <w:rPr>
          <w:rFonts w:eastAsia="Times New Roman" w:cs="Arial"/>
          <w:b/>
          <w:sz w:val="20"/>
          <w:lang w:val="es-ES"/>
        </w:rPr>
      </w:pPr>
      <w:bookmarkStart w:id="91" w:name="_Toc522869243"/>
      <w:bookmarkStart w:id="92" w:name="_Toc526757456"/>
      <w:bookmarkStart w:id="93" w:name="_Toc22021966"/>
      <w:bookmarkStart w:id="94" w:name="_Toc22983219"/>
      <w:r w:rsidRPr="00D868AB">
        <w:rPr>
          <w:rFonts w:eastAsia="Times New Roman" w:cs="Arial"/>
          <w:b/>
          <w:sz w:val="20"/>
          <w:lang w:val="es-ES"/>
        </w:rPr>
        <w:t xml:space="preserve">Tabla 19. </w:t>
      </w:r>
      <w:bookmarkEnd w:id="91"/>
      <w:bookmarkEnd w:id="92"/>
      <w:bookmarkEnd w:id="93"/>
      <w:bookmarkEnd w:id="94"/>
      <w:r w:rsidRPr="00D868AB">
        <w:rPr>
          <w:rFonts w:eastAsia="Times New Roman" w:cs="Arial"/>
          <w:b/>
          <w:sz w:val="20"/>
          <w:lang w:val="es-ES"/>
        </w:rPr>
        <w:t>Instituto Electoral del Estado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5"/>
        <w:gridCol w:w="2131"/>
      </w:tblGrid>
      <w:tr w:rsidR="00D868AB" w:rsidRPr="00D868AB" w14:paraId="61491BA6" w14:textId="77777777" w:rsidTr="00A755A7">
        <w:trPr>
          <w:trHeight w:val="227"/>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72FB" w14:textId="77777777" w:rsidR="00D868AB" w:rsidRPr="00D868AB" w:rsidRDefault="00D868AB" w:rsidP="00D868AB">
            <w:pPr>
              <w:jc w:val="center"/>
              <w:rPr>
                <w:rFonts w:cs="Arial"/>
                <w:b/>
                <w:sz w:val="20"/>
                <w:lang w:val="es-ES"/>
              </w:rPr>
            </w:pPr>
            <w:r w:rsidRPr="00D868AB">
              <w:rPr>
                <w:rFonts w:cs="Arial"/>
                <w:b/>
                <w:sz w:val="20"/>
                <w:lang w:val="es-ES"/>
              </w:rPr>
              <w:t>Concepto</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4ACA8B" w14:textId="77777777" w:rsidR="00D868AB" w:rsidRPr="00D868AB" w:rsidRDefault="00D868AB" w:rsidP="00D868AB">
            <w:pPr>
              <w:jc w:val="center"/>
              <w:rPr>
                <w:rFonts w:cs="Arial"/>
                <w:b/>
                <w:sz w:val="20"/>
                <w:lang w:val="es-ES"/>
              </w:rPr>
            </w:pPr>
            <w:r w:rsidRPr="00D868AB">
              <w:rPr>
                <w:rFonts w:cs="Arial"/>
                <w:b/>
                <w:sz w:val="20"/>
                <w:lang w:val="es-ES"/>
              </w:rPr>
              <w:t>Asignación Presupuestal</w:t>
            </w:r>
          </w:p>
        </w:tc>
      </w:tr>
      <w:tr w:rsidR="00D868AB" w:rsidRPr="00D868AB" w14:paraId="42430BE6" w14:textId="77777777" w:rsidTr="00A755A7">
        <w:trPr>
          <w:trHeight w:val="227"/>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tcPr>
          <w:p w14:paraId="4CB69163" w14:textId="77777777" w:rsidR="00D868AB" w:rsidRPr="00D868AB" w:rsidRDefault="00D868AB" w:rsidP="00D868AB">
            <w:pPr>
              <w:rPr>
                <w:rFonts w:cs="Arial"/>
                <w:sz w:val="20"/>
                <w:lang w:val="es-ES"/>
              </w:rPr>
            </w:pPr>
            <w:r w:rsidRPr="00D868AB">
              <w:rPr>
                <w:rFonts w:eastAsia="Times New Roman" w:cs="Arial"/>
                <w:sz w:val="20"/>
                <w:lang w:val="es-ES"/>
              </w:rPr>
              <w:t>Transferencias al Instituto Electoral del Estado.</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2F453E4" w14:textId="77777777" w:rsidR="00D868AB" w:rsidRPr="00D868AB" w:rsidRDefault="00D868AB" w:rsidP="00D868AB">
            <w:pPr>
              <w:jc w:val="right"/>
              <w:rPr>
                <w:rFonts w:cs="Arial"/>
                <w:sz w:val="20"/>
                <w:lang w:val="es-ES"/>
              </w:rPr>
            </w:pPr>
            <w:r w:rsidRPr="00D868AB">
              <w:rPr>
                <w:rFonts w:cs="Arial"/>
                <w:color w:val="000000"/>
                <w:sz w:val="20"/>
                <w:szCs w:val="20"/>
              </w:rPr>
              <w:t xml:space="preserve">             62,476,534 </w:t>
            </w:r>
          </w:p>
        </w:tc>
      </w:tr>
      <w:tr w:rsidR="00D868AB" w:rsidRPr="00D868AB" w14:paraId="2726D7F8" w14:textId="77777777" w:rsidTr="00A755A7">
        <w:trPr>
          <w:trHeight w:val="227"/>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C47A1" w14:textId="77777777" w:rsidR="00D868AB" w:rsidRPr="00D868AB" w:rsidRDefault="00D868AB" w:rsidP="00D868AB">
            <w:pPr>
              <w:rPr>
                <w:rFonts w:cs="Arial"/>
                <w:sz w:val="20"/>
                <w:lang w:val="es-ES"/>
              </w:rPr>
            </w:pPr>
            <w:r w:rsidRPr="00D868AB">
              <w:rPr>
                <w:rFonts w:cs="Arial"/>
                <w:sz w:val="20"/>
                <w:lang w:val="es-ES"/>
              </w:rPr>
              <w:t>Financiamiento Público Ordinario a Partidos Políticos.</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3AC4B37F" w14:textId="77777777" w:rsidR="00D868AB" w:rsidRPr="00D868AB" w:rsidRDefault="00D868AB" w:rsidP="00D868AB">
            <w:pPr>
              <w:jc w:val="right"/>
              <w:rPr>
                <w:rFonts w:cs="Arial"/>
                <w:sz w:val="20"/>
                <w:lang w:val="es-ES"/>
              </w:rPr>
            </w:pPr>
            <w:r w:rsidRPr="00D868AB">
              <w:rPr>
                <w:rFonts w:cs="Arial"/>
                <w:color w:val="000000"/>
                <w:sz w:val="20"/>
                <w:szCs w:val="20"/>
              </w:rPr>
              <w:t>36,463,573</w:t>
            </w:r>
          </w:p>
        </w:tc>
      </w:tr>
      <w:tr w:rsidR="00D868AB" w:rsidRPr="00D868AB" w14:paraId="5155FA74" w14:textId="77777777" w:rsidTr="00A755A7">
        <w:trPr>
          <w:trHeight w:val="227"/>
          <w:jc w:val="center"/>
        </w:trPr>
        <w:tc>
          <w:tcPr>
            <w:tcW w:w="59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380DDA" w14:textId="77777777" w:rsidR="00D868AB" w:rsidRPr="00D868AB" w:rsidRDefault="00D868AB" w:rsidP="00D868AB">
            <w:pPr>
              <w:jc w:val="center"/>
              <w:rPr>
                <w:rFonts w:cs="Arial"/>
                <w:b/>
                <w:sz w:val="20"/>
                <w:lang w:val="es-ES"/>
              </w:rPr>
            </w:pPr>
            <w:r w:rsidRPr="00D868AB">
              <w:rPr>
                <w:rFonts w:cs="Arial"/>
                <w:b/>
                <w:sz w:val="20"/>
                <w:lang w:val="es-ES"/>
              </w:rPr>
              <w:t>Total</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397825FC" w14:textId="77777777" w:rsidR="00D868AB" w:rsidRPr="00D868AB" w:rsidRDefault="00D868AB" w:rsidP="00D868AB">
            <w:pPr>
              <w:jc w:val="right"/>
              <w:rPr>
                <w:rFonts w:cs="Arial"/>
                <w:b/>
                <w:sz w:val="20"/>
                <w:lang w:val="es-ES"/>
              </w:rPr>
            </w:pPr>
            <w:r w:rsidRPr="00D868AB">
              <w:rPr>
                <w:rFonts w:cs="Arial"/>
                <w:b/>
                <w:bCs/>
                <w:color w:val="000000"/>
                <w:sz w:val="20"/>
                <w:szCs w:val="20"/>
              </w:rPr>
              <w:t xml:space="preserve">             98,940,107 </w:t>
            </w:r>
          </w:p>
        </w:tc>
      </w:tr>
    </w:tbl>
    <w:p w14:paraId="6A762009" w14:textId="77777777" w:rsidR="00D868AB" w:rsidRPr="00D868AB" w:rsidRDefault="00D868AB" w:rsidP="00D868AB">
      <w:pPr>
        <w:rPr>
          <w:rFonts w:eastAsia="Times New Roman" w:cs="Arial"/>
          <w:lang w:val="es-ES"/>
        </w:rPr>
      </w:pPr>
    </w:p>
    <w:p w14:paraId="50B7E8B0" w14:textId="77777777" w:rsidR="00D868AB" w:rsidRPr="00D868AB" w:rsidRDefault="00D868AB" w:rsidP="00D868AB">
      <w:pPr>
        <w:rPr>
          <w:rFonts w:cs="Arial"/>
          <w:lang w:val="es-ES"/>
        </w:rPr>
      </w:pPr>
      <w:r w:rsidRPr="00D868AB">
        <w:rPr>
          <w:rFonts w:cs="Arial"/>
          <w:lang w:val="es-ES"/>
        </w:rPr>
        <w:t>En atención a lo dispuesto en la Ley de Presupuesto, Código Electoral del Estado de Colima y demás ordenamientos aplicables, los órganos autónomos electorales administrarán y ejercerán en forma autónoma los recursos aprobados en el presente Decreto.</w:t>
      </w:r>
    </w:p>
    <w:p w14:paraId="3A668599" w14:textId="77777777" w:rsidR="00D868AB" w:rsidRPr="00D868AB" w:rsidRDefault="00D868AB" w:rsidP="00D868AB">
      <w:pPr>
        <w:rPr>
          <w:rFonts w:cs="Arial"/>
          <w:lang w:val="es-ES"/>
        </w:rPr>
      </w:pPr>
    </w:p>
    <w:p w14:paraId="22A63AFC" w14:textId="77777777" w:rsidR="00D868AB" w:rsidRPr="00D868AB" w:rsidRDefault="00D868AB" w:rsidP="00D868AB">
      <w:pPr>
        <w:jc w:val="center"/>
        <w:rPr>
          <w:rFonts w:eastAsia="Times New Roman" w:cs="Arial"/>
          <w:b/>
          <w:lang w:val="es-ES"/>
        </w:rPr>
      </w:pPr>
      <w:bookmarkStart w:id="95" w:name="_Toc22021899"/>
      <w:bookmarkStart w:id="96" w:name="_Toc22983169"/>
      <w:r w:rsidRPr="00D868AB">
        <w:rPr>
          <w:rFonts w:eastAsia="Times New Roman" w:cs="Arial"/>
          <w:b/>
          <w:lang w:val="es-ES"/>
        </w:rPr>
        <w:t xml:space="preserve">CAPÍTULO </w:t>
      </w:r>
      <w:bookmarkEnd w:id="95"/>
      <w:bookmarkEnd w:id="96"/>
      <w:r w:rsidRPr="00D868AB">
        <w:rPr>
          <w:rFonts w:eastAsia="Times New Roman" w:cs="Arial"/>
          <w:b/>
          <w:lang w:val="es-ES"/>
        </w:rPr>
        <w:t>V</w:t>
      </w:r>
    </w:p>
    <w:p w14:paraId="5E319277" w14:textId="77777777" w:rsidR="00D868AB" w:rsidRPr="00D868AB" w:rsidRDefault="00D868AB" w:rsidP="00D868AB">
      <w:pPr>
        <w:keepNext/>
        <w:keepLines/>
        <w:jc w:val="center"/>
        <w:outlineLvl w:val="0"/>
        <w:rPr>
          <w:rFonts w:eastAsia="Times New Roman" w:cs="Arial"/>
          <w:b/>
          <w:szCs w:val="32"/>
          <w:lang w:val="es-ES"/>
        </w:rPr>
      </w:pPr>
      <w:bookmarkStart w:id="97" w:name="_Toc22021900"/>
      <w:bookmarkStart w:id="98" w:name="_Toc22983170"/>
      <w:r w:rsidRPr="00D868AB">
        <w:rPr>
          <w:rFonts w:eastAsia="Times New Roman" w:cs="Arial"/>
          <w:b/>
          <w:szCs w:val="32"/>
          <w:lang w:val="es-ES"/>
        </w:rPr>
        <w:t>ADMINISTRACIÓN PÚBLICA CENTRALIZADA Y DESCENTRALIZADA</w:t>
      </w:r>
      <w:bookmarkEnd w:id="97"/>
      <w:bookmarkEnd w:id="98"/>
    </w:p>
    <w:p w14:paraId="2ECCC390" w14:textId="77777777" w:rsidR="00D868AB" w:rsidRPr="00D868AB" w:rsidRDefault="00D868AB" w:rsidP="00D868AB">
      <w:pPr>
        <w:tabs>
          <w:tab w:val="left" w:pos="484"/>
        </w:tabs>
        <w:rPr>
          <w:rFonts w:cs="Arial"/>
          <w:lang w:val="es-ES"/>
        </w:rPr>
      </w:pPr>
    </w:p>
    <w:p w14:paraId="0077271C" w14:textId="77777777" w:rsidR="00D868AB" w:rsidRPr="00D868AB" w:rsidRDefault="00D868AB" w:rsidP="00D868AB">
      <w:pPr>
        <w:rPr>
          <w:rFonts w:eastAsia="Times New Roman" w:cs="Arial"/>
        </w:rPr>
      </w:pPr>
      <w:r w:rsidRPr="00D868AB">
        <w:rPr>
          <w:rFonts w:cs="Arial"/>
          <w:b/>
          <w:lang w:val="es-ES"/>
        </w:rPr>
        <w:t>Artículo 23</w:t>
      </w:r>
      <w:r w:rsidRPr="00D868AB">
        <w:rPr>
          <w:rFonts w:cs="Arial"/>
          <w:lang w:val="es-ES"/>
        </w:rPr>
        <w:t xml:space="preserve">. </w:t>
      </w:r>
      <w:r w:rsidRPr="00D868AB">
        <w:rPr>
          <w:rFonts w:eastAsia="Times New Roman" w:cs="Arial"/>
        </w:rPr>
        <w:t xml:space="preserve">Las erogaciones previstas para </w:t>
      </w:r>
      <w:r w:rsidRPr="00D868AB">
        <w:rPr>
          <w:rFonts w:eastAsia="Times New Roman" w:cs="Arial"/>
          <w:b/>
        </w:rPr>
        <w:t>la Administración Pública Centralizada, Transferencias y Ramos Generales</w:t>
      </w:r>
      <w:r w:rsidRPr="00D868AB">
        <w:rPr>
          <w:rFonts w:eastAsia="Times New Roman" w:cs="Arial"/>
        </w:rPr>
        <w:t xml:space="preserve"> se distribuyen de la siguiente forma:</w:t>
      </w:r>
    </w:p>
    <w:p w14:paraId="76240EB2" w14:textId="77777777" w:rsidR="00D868AB" w:rsidRPr="00D868AB" w:rsidRDefault="00D868AB" w:rsidP="00D868AB">
      <w:pPr>
        <w:rPr>
          <w:rFonts w:eastAsia="Times New Roman" w:cs="Arial"/>
        </w:rPr>
      </w:pPr>
    </w:p>
    <w:p w14:paraId="6054C557" w14:textId="77777777" w:rsidR="00D868AB" w:rsidRPr="00D868AB" w:rsidRDefault="00D868AB" w:rsidP="00D868AB">
      <w:pPr>
        <w:ind w:left="284" w:hanging="284"/>
        <w:rPr>
          <w:rFonts w:eastAsia="Times New Roman" w:cs="Arial"/>
        </w:rPr>
      </w:pPr>
      <w:r w:rsidRPr="00D868AB">
        <w:rPr>
          <w:rFonts w:eastAsia="Times New Roman" w:cs="Arial"/>
        </w:rPr>
        <w:t>I.</w:t>
      </w:r>
      <w:r w:rsidRPr="00D868AB">
        <w:rPr>
          <w:rFonts w:eastAsia="Times New Roman" w:cs="Arial"/>
        </w:rPr>
        <w:tab/>
        <w:t xml:space="preserve">Las asignaciones previstas en el presupuesto de egresos para </w:t>
      </w:r>
      <w:r w:rsidRPr="00D868AB">
        <w:rPr>
          <w:rFonts w:eastAsia="Times New Roman" w:cs="Arial"/>
          <w:b/>
        </w:rPr>
        <w:t>la Administración Pública Centralizada</w:t>
      </w:r>
      <w:r w:rsidRPr="00D868AB">
        <w:rPr>
          <w:rFonts w:eastAsia="Times New Roman" w:cs="Arial"/>
        </w:rPr>
        <w:t>, se distribuyen de la siguiente manera:</w:t>
      </w:r>
    </w:p>
    <w:p w14:paraId="2F237798" w14:textId="77777777" w:rsidR="00D868AB" w:rsidRPr="00D868AB" w:rsidRDefault="00D868AB"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37"/>
        <w:gridCol w:w="1885"/>
      </w:tblGrid>
      <w:tr w:rsidR="00D868AB" w:rsidRPr="00D868AB" w14:paraId="383E83CA" w14:textId="77777777" w:rsidTr="00A755A7">
        <w:trPr>
          <w:trHeight w:val="227"/>
          <w:tblHeader/>
          <w:jc w:val="center"/>
        </w:trPr>
        <w:tc>
          <w:tcPr>
            <w:tcW w:w="8339" w:type="dxa"/>
            <w:gridSpan w:val="3"/>
            <w:tcBorders>
              <w:top w:val="nil"/>
              <w:left w:val="nil"/>
              <w:bottom w:val="single" w:sz="4" w:space="0" w:color="auto"/>
              <w:right w:val="nil"/>
            </w:tcBorders>
            <w:shd w:val="clear" w:color="auto" w:fill="auto"/>
            <w:vAlign w:val="center"/>
          </w:tcPr>
          <w:p w14:paraId="7EAFC5A7" w14:textId="77777777" w:rsidR="00D868AB" w:rsidRPr="00D868AB" w:rsidRDefault="00D868AB" w:rsidP="00D868AB">
            <w:pPr>
              <w:jc w:val="center"/>
              <w:rPr>
                <w:rFonts w:cs="Arial"/>
                <w:b/>
                <w:bCs/>
                <w:sz w:val="20"/>
                <w:lang w:val="es-ES"/>
              </w:rPr>
            </w:pPr>
            <w:bookmarkStart w:id="99" w:name="_Toc22021902"/>
            <w:bookmarkStart w:id="100" w:name="_Toc22983171"/>
            <w:r w:rsidRPr="00D868AB">
              <w:rPr>
                <w:rFonts w:eastAsia="Times New Roman" w:cs="Arial"/>
                <w:b/>
                <w:sz w:val="20"/>
                <w:lang w:val="es-ES"/>
              </w:rPr>
              <w:t>Tabla 20. Administración Pública Centralizada</w:t>
            </w:r>
            <w:bookmarkEnd w:id="99"/>
            <w:bookmarkEnd w:id="100"/>
          </w:p>
        </w:tc>
      </w:tr>
      <w:tr w:rsidR="00D868AB" w:rsidRPr="00D868AB" w14:paraId="20D3DE25" w14:textId="77777777" w:rsidTr="00A755A7">
        <w:trPr>
          <w:trHeight w:val="227"/>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52BA6B" w14:textId="77777777" w:rsidR="00D868AB" w:rsidRPr="00D868AB" w:rsidRDefault="00D868AB" w:rsidP="00D868AB">
            <w:pPr>
              <w:contextualSpacing/>
              <w:jc w:val="center"/>
              <w:rPr>
                <w:rFonts w:cs="Arial"/>
                <w:b/>
                <w:bCs/>
                <w:sz w:val="20"/>
                <w:szCs w:val="20"/>
                <w:lang w:val="es-ES"/>
              </w:rPr>
            </w:pPr>
            <w:r w:rsidRPr="00D868AB">
              <w:rPr>
                <w:rFonts w:cs="Arial"/>
                <w:b/>
                <w:bCs/>
                <w:sz w:val="20"/>
                <w:szCs w:val="20"/>
                <w:lang w:val="es-ES"/>
              </w:rPr>
              <w:t>Clave</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67322" w14:textId="77777777" w:rsidR="00D868AB" w:rsidRPr="00D868AB" w:rsidRDefault="00D868AB" w:rsidP="00D868AB">
            <w:pPr>
              <w:contextualSpacing/>
              <w:jc w:val="center"/>
              <w:rPr>
                <w:rFonts w:cs="Arial"/>
                <w:b/>
                <w:bCs/>
                <w:sz w:val="20"/>
                <w:szCs w:val="20"/>
                <w:lang w:val="es-ES"/>
              </w:rPr>
            </w:pPr>
            <w:r w:rsidRPr="00D868AB">
              <w:rPr>
                <w:rFonts w:cs="Arial"/>
                <w:b/>
                <w:bCs/>
                <w:sz w:val="20"/>
                <w:szCs w:val="20"/>
                <w:lang w:val="es-ES"/>
              </w:rPr>
              <w:t>Unidad Presupuestal</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3BDE81" w14:textId="77777777" w:rsidR="00D868AB" w:rsidRPr="00D868AB" w:rsidRDefault="00D868AB" w:rsidP="00D868AB">
            <w:pPr>
              <w:contextualSpacing/>
              <w:jc w:val="center"/>
              <w:rPr>
                <w:rFonts w:cs="Arial"/>
                <w:b/>
                <w:bCs/>
                <w:sz w:val="20"/>
                <w:szCs w:val="20"/>
                <w:lang w:val="es-ES"/>
              </w:rPr>
            </w:pPr>
            <w:r w:rsidRPr="00D868AB">
              <w:rPr>
                <w:rFonts w:cs="Arial"/>
                <w:b/>
                <w:bCs/>
                <w:sz w:val="20"/>
                <w:szCs w:val="20"/>
                <w:lang w:val="es-ES"/>
              </w:rPr>
              <w:t>Asignación Presupuestal</w:t>
            </w:r>
          </w:p>
        </w:tc>
      </w:tr>
      <w:tr w:rsidR="00D868AB" w:rsidRPr="00D868AB" w14:paraId="3ECFB26C"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FDFED7"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010000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6704B" w14:textId="77777777" w:rsidR="00D868AB" w:rsidRPr="00D868AB" w:rsidRDefault="00D868AB" w:rsidP="00D868AB">
            <w:pPr>
              <w:contextualSpacing/>
              <w:rPr>
                <w:rFonts w:cs="Arial"/>
                <w:sz w:val="18"/>
                <w:szCs w:val="18"/>
                <w:lang w:val="es-ES"/>
              </w:rPr>
            </w:pPr>
            <w:r w:rsidRPr="00D868AB">
              <w:rPr>
                <w:rFonts w:cs="Arial"/>
                <w:color w:val="000000"/>
                <w:sz w:val="18"/>
                <w:szCs w:val="18"/>
              </w:rPr>
              <w:t>Oficina de la Gubernatura.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EE68E" w14:textId="77777777" w:rsidR="00D868AB" w:rsidRPr="00D868AB" w:rsidRDefault="00D868AB" w:rsidP="00D868AB">
            <w:pPr>
              <w:jc w:val="right"/>
              <w:rPr>
                <w:rFonts w:cs="Arial"/>
                <w:sz w:val="18"/>
                <w:szCs w:val="18"/>
                <w:lang w:val="es-ES"/>
              </w:rPr>
            </w:pPr>
            <w:r w:rsidRPr="00D868AB">
              <w:rPr>
                <w:rFonts w:cs="Arial"/>
                <w:color w:val="000000"/>
                <w:sz w:val="18"/>
                <w:szCs w:val="18"/>
              </w:rPr>
              <w:t>110,289,833</w:t>
            </w:r>
          </w:p>
        </w:tc>
      </w:tr>
      <w:tr w:rsidR="00D868AB" w:rsidRPr="00D868AB" w14:paraId="5CB90872"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FCB519"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020000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BC4E15" w14:textId="77777777" w:rsidR="00D868AB" w:rsidRPr="00D868AB" w:rsidRDefault="00D868AB" w:rsidP="00D868AB">
            <w:pPr>
              <w:contextualSpacing/>
              <w:rPr>
                <w:rFonts w:cs="Arial"/>
                <w:sz w:val="18"/>
                <w:szCs w:val="18"/>
                <w:lang w:val="es-ES"/>
              </w:rPr>
            </w:pPr>
            <w:r w:rsidRPr="00D868AB">
              <w:rPr>
                <w:rFonts w:cs="Arial"/>
                <w:color w:val="000000"/>
                <w:sz w:val="18"/>
                <w:szCs w:val="18"/>
              </w:rPr>
              <w:t>Secretaría General de Gobierno.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0C58D8" w14:textId="77777777" w:rsidR="00D868AB" w:rsidRPr="00D868AB" w:rsidRDefault="00D868AB" w:rsidP="00D868AB">
            <w:pPr>
              <w:jc w:val="right"/>
              <w:rPr>
                <w:rFonts w:cs="Arial"/>
                <w:sz w:val="18"/>
                <w:szCs w:val="18"/>
                <w:lang w:val="es-ES"/>
              </w:rPr>
            </w:pPr>
            <w:r w:rsidRPr="00D868AB">
              <w:rPr>
                <w:rFonts w:cs="Arial"/>
                <w:color w:val="000000"/>
                <w:sz w:val="18"/>
                <w:szCs w:val="18"/>
              </w:rPr>
              <w:t>584,258,753</w:t>
            </w:r>
          </w:p>
        </w:tc>
      </w:tr>
      <w:tr w:rsidR="00D868AB" w:rsidRPr="00D868AB" w14:paraId="2914F7E4"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85DD2C"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030000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4782C011" w14:textId="77777777" w:rsidR="00D868AB" w:rsidRPr="00D868AB" w:rsidRDefault="00D868AB" w:rsidP="00D868AB">
            <w:pPr>
              <w:contextualSpacing/>
              <w:rPr>
                <w:rFonts w:cs="Arial"/>
                <w:sz w:val="18"/>
                <w:szCs w:val="18"/>
                <w:lang w:val="es-ES"/>
              </w:rPr>
            </w:pPr>
            <w:r w:rsidRPr="00D868AB">
              <w:rPr>
                <w:rFonts w:cs="Arial"/>
                <w:color w:val="000000"/>
                <w:sz w:val="18"/>
                <w:szCs w:val="18"/>
              </w:rPr>
              <w:t>Secretaría de Planeación, Finanzas y Administración.</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0F3945" w14:textId="77777777" w:rsidR="00D868AB" w:rsidRPr="00D868AB" w:rsidRDefault="00D868AB" w:rsidP="00D868AB">
            <w:pPr>
              <w:jc w:val="right"/>
              <w:rPr>
                <w:rFonts w:cs="Arial"/>
                <w:sz w:val="18"/>
                <w:szCs w:val="18"/>
                <w:lang w:val="es-ES"/>
              </w:rPr>
            </w:pPr>
            <w:r w:rsidRPr="00D868AB">
              <w:rPr>
                <w:rFonts w:cs="Arial"/>
                <w:color w:val="000000"/>
                <w:sz w:val="18"/>
                <w:szCs w:val="18"/>
              </w:rPr>
              <w:t>393,283,679</w:t>
            </w:r>
          </w:p>
        </w:tc>
      </w:tr>
      <w:tr w:rsidR="00D868AB" w:rsidRPr="00D868AB" w14:paraId="3DFA91F1"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76A7FE"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lastRenderedPageBreak/>
              <w:t>040000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77177DA8" w14:textId="77777777" w:rsidR="00D868AB" w:rsidRPr="00D868AB" w:rsidRDefault="00D868AB" w:rsidP="00D868AB">
            <w:pPr>
              <w:contextualSpacing/>
              <w:rPr>
                <w:rFonts w:cs="Arial"/>
                <w:sz w:val="18"/>
                <w:szCs w:val="18"/>
                <w:lang w:val="es-ES"/>
              </w:rPr>
            </w:pPr>
            <w:r w:rsidRPr="00D868AB">
              <w:rPr>
                <w:rFonts w:cs="Arial"/>
                <w:color w:val="000000"/>
                <w:sz w:val="18"/>
                <w:szCs w:val="18"/>
              </w:rPr>
              <w:t>Secretaría de Bienestar, Inclusión Social y Mujeres.</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C93AF" w14:textId="77777777" w:rsidR="00D868AB" w:rsidRPr="00D868AB" w:rsidRDefault="00D868AB" w:rsidP="00D868AB">
            <w:pPr>
              <w:jc w:val="right"/>
              <w:rPr>
                <w:rFonts w:cs="Arial"/>
                <w:sz w:val="18"/>
                <w:szCs w:val="18"/>
                <w:lang w:val="es-ES"/>
              </w:rPr>
            </w:pPr>
            <w:r w:rsidRPr="00D868AB">
              <w:rPr>
                <w:rFonts w:cs="Arial"/>
                <w:color w:val="000000"/>
                <w:sz w:val="18"/>
                <w:szCs w:val="18"/>
              </w:rPr>
              <w:t>912,263,063</w:t>
            </w:r>
          </w:p>
        </w:tc>
      </w:tr>
      <w:tr w:rsidR="00D868AB" w:rsidRPr="00D868AB" w14:paraId="149B0F1B"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D9D92"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050000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1552CDC6" w14:textId="77777777" w:rsidR="00D868AB" w:rsidRPr="00D868AB" w:rsidRDefault="00D868AB" w:rsidP="00D868AB">
            <w:pPr>
              <w:contextualSpacing/>
              <w:rPr>
                <w:rFonts w:cs="Arial"/>
                <w:sz w:val="18"/>
                <w:szCs w:val="18"/>
                <w:lang w:val="es-ES"/>
              </w:rPr>
            </w:pPr>
            <w:r w:rsidRPr="00D868AB">
              <w:rPr>
                <w:rFonts w:cs="Arial"/>
                <w:color w:val="000000"/>
                <w:sz w:val="18"/>
                <w:szCs w:val="18"/>
              </w:rPr>
              <w:t>Secretaría de Infraestructura, Desarrollo Urbano y Movilidad.</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CCF57" w14:textId="77777777" w:rsidR="00D868AB" w:rsidRPr="00D868AB" w:rsidRDefault="00D868AB" w:rsidP="00D868AB">
            <w:pPr>
              <w:jc w:val="right"/>
              <w:rPr>
                <w:rFonts w:cs="Arial"/>
                <w:sz w:val="18"/>
                <w:szCs w:val="18"/>
                <w:lang w:val="es-ES"/>
              </w:rPr>
            </w:pPr>
            <w:r w:rsidRPr="00D868AB">
              <w:rPr>
                <w:rFonts w:cs="Arial"/>
                <w:color w:val="000000"/>
                <w:sz w:val="18"/>
                <w:szCs w:val="18"/>
              </w:rPr>
              <w:t>249,996,416</w:t>
            </w:r>
          </w:p>
        </w:tc>
      </w:tr>
      <w:tr w:rsidR="00D868AB" w:rsidRPr="00D868AB" w14:paraId="06A70D9C"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F31C3"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060000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4544CD19" w14:textId="77777777" w:rsidR="00D868AB" w:rsidRPr="00D868AB" w:rsidRDefault="00D868AB" w:rsidP="00D868AB">
            <w:pPr>
              <w:contextualSpacing/>
              <w:rPr>
                <w:rFonts w:cs="Arial"/>
                <w:sz w:val="18"/>
                <w:szCs w:val="18"/>
                <w:lang w:val="es-ES"/>
              </w:rPr>
            </w:pPr>
            <w:r w:rsidRPr="00D868AB">
              <w:rPr>
                <w:rFonts w:cs="Arial"/>
                <w:color w:val="000000"/>
                <w:sz w:val="18"/>
                <w:szCs w:val="18"/>
              </w:rPr>
              <w:t>Secretaría de Educación y Cultura.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D07F4" w14:textId="77777777" w:rsidR="00D868AB" w:rsidRPr="00D868AB" w:rsidRDefault="00D868AB" w:rsidP="00D868AB">
            <w:pPr>
              <w:jc w:val="right"/>
              <w:rPr>
                <w:rFonts w:cs="Arial"/>
                <w:sz w:val="18"/>
                <w:szCs w:val="18"/>
                <w:lang w:val="es-ES"/>
              </w:rPr>
            </w:pPr>
            <w:r w:rsidRPr="00D868AB">
              <w:rPr>
                <w:rFonts w:cs="Arial"/>
                <w:color w:val="000000"/>
                <w:sz w:val="18"/>
                <w:szCs w:val="18"/>
              </w:rPr>
              <w:t>8,025,967,276</w:t>
            </w:r>
          </w:p>
        </w:tc>
      </w:tr>
      <w:tr w:rsidR="00D868AB" w:rsidRPr="00D868AB" w14:paraId="09E26A24"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C1D7C9"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070000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14802A1D" w14:textId="77777777" w:rsidR="00D868AB" w:rsidRPr="00D868AB" w:rsidRDefault="00D868AB" w:rsidP="00D868AB">
            <w:pPr>
              <w:contextualSpacing/>
              <w:rPr>
                <w:rFonts w:cs="Arial"/>
                <w:sz w:val="18"/>
                <w:szCs w:val="18"/>
                <w:lang w:val="es-ES"/>
              </w:rPr>
            </w:pPr>
            <w:r w:rsidRPr="00D868AB">
              <w:rPr>
                <w:rFonts w:cs="Arial"/>
                <w:color w:val="000000"/>
                <w:sz w:val="18"/>
                <w:szCs w:val="18"/>
              </w:rPr>
              <w:t>Secretaría de Salud.</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DC6A30" w14:textId="77777777" w:rsidR="00D868AB" w:rsidRPr="00D868AB" w:rsidRDefault="00D868AB" w:rsidP="00D868AB">
            <w:pPr>
              <w:jc w:val="right"/>
              <w:rPr>
                <w:rFonts w:cs="Arial"/>
                <w:sz w:val="18"/>
                <w:szCs w:val="18"/>
                <w:lang w:val="es-ES"/>
              </w:rPr>
            </w:pPr>
            <w:r w:rsidRPr="00D868AB">
              <w:rPr>
                <w:rFonts w:cs="Arial"/>
                <w:color w:val="000000"/>
                <w:sz w:val="18"/>
                <w:szCs w:val="18"/>
              </w:rPr>
              <w:t>2,278,923,012</w:t>
            </w:r>
          </w:p>
        </w:tc>
      </w:tr>
      <w:tr w:rsidR="00D868AB" w:rsidRPr="00D868AB" w14:paraId="28D6A69B"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0E8B1E"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080000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1EFBE5E7" w14:textId="77777777" w:rsidR="00D868AB" w:rsidRPr="00D868AB" w:rsidRDefault="00D868AB" w:rsidP="00D868AB">
            <w:pPr>
              <w:contextualSpacing/>
              <w:rPr>
                <w:rFonts w:cs="Arial"/>
                <w:sz w:val="18"/>
                <w:szCs w:val="18"/>
                <w:lang w:val="es-ES"/>
              </w:rPr>
            </w:pPr>
            <w:r w:rsidRPr="00D868AB">
              <w:rPr>
                <w:rFonts w:cs="Arial"/>
                <w:color w:val="000000"/>
                <w:sz w:val="18"/>
                <w:szCs w:val="18"/>
              </w:rPr>
              <w:t>Secretaría de Desarrollo Económico.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F86E4" w14:textId="77777777" w:rsidR="00D868AB" w:rsidRPr="00D868AB" w:rsidRDefault="00D868AB" w:rsidP="00D868AB">
            <w:pPr>
              <w:jc w:val="right"/>
              <w:rPr>
                <w:rFonts w:cs="Arial"/>
                <w:sz w:val="18"/>
                <w:szCs w:val="18"/>
                <w:lang w:val="es-ES"/>
              </w:rPr>
            </w:pPr>
            <w:r w:rsidRPr="00D868AB">
              <w:rPr>
                <w:rFonts w:cs="Arial"/>
                <w:color w:val="000000"/>
                <w:sz w:val="18"/>
                <w:szCs w:val="18"/>
              </w:rPr>
              <w:t>249,047,992</w:t>
            </w:r>
          </w:p>
        </w:tc>
      </w:tr>
      <w:tr w:rsidR="00D868AB" w:rsidRPr="00D868AB" w14:paraId="613786E5"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2509D"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090000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329B7BBD" w14:textId="77777777" w:rsidR="00D868AB" w:rsidRPr="00D868AB" w:rsidRDefault="00D868AB" w:rsidP="00D868AB">
            <w:pPr>
              <w:contextualSpacing/>
              <w:rPr>
                <w:rFonts w:cs="Arial"/>
                <w:sz w:val="18"/>
                <w:szCs w:val="18"/>
                <w:lang w:val="es-ES"/>
              </w:rPr>
            </w:pPr>
            <w:r w:rsidRPr="00D868AB">
              <w:rPr>
                <w:rFonts w:cs="Arial"/>
                <w:color w:val="000000"/>
                <w:sz w:val="18"/>
                <w:szCs w:val="18"/>
              </w:rPr>
              <w:t>Contraloría General del Estado.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6E04C" w14:textId="77777777" w:rsidR="00D868AB" w:rsidRPr="00D868AB" w:rsidRDefault="00D868AB" w:rsidP="00D868AB">
            <w:pPr>
              <w:jc w:val="right"/>
              <w:rPr>
                <w:rFonts w:cs="Arial"/>
                <w:sz w:val="18"/>
                <w:szCs w:val="18"/>
                <w:lang w:val="es-ES"/>
              </w:rPr>
            </w:pPr>
            <w:r w:rsidRPr="00D868AB">
              <w:rPr>
                <w:rFonts w:cs="Arial"/>
                <w:color w:val="000000"/>
                <w:sz w:val="18"/>
                <w:szCs w:val="18"/>
              </w:rPr>
              <w:t>21,345,656</w:t>
            </w:r>
          </w:p>
        </w:tc>
      </w:tr>
      <w:tr w:rsidR="00D868AB" w:rsidRPr="00D868AB" w14:paraId="43D7E484"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3EDD61"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100000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48BF9214" w14:textId="77777777" w:rsidR="00D868AB" w:rsidRPr="00D868AB" w:rsidRDefault="00D868AB" w:rsidP="00D868AB">
            <w:pPr>
              <w:contextualSpacing/>
              <w:rPr>
                <w:rFonts w:cs="Arial"/>
                <w:sz w:val="18"/>
                <w:szCs w:val="18"/>
                <w:lang w:val="es-ES"/>
              </w:rPr>
            </w:pPr>
            <w:r w:rsidRPr="00D868AB">
              <w:rPr>
                <w:rFonts w:cs="Arial"/>
                <w:color w:val="000000"/>
                <w:sz w:val="18"/>
                <w:szCs w:val="18"/>
              </w:rPr>
              <w:t>Secretaría de Seguridad Pública.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3D9CF" w14:textId="77777777" w:rsidR="00D868AB" w:rsidRPr="00D868AB" w:rsidRDefault="00D868AB" w:rsidP="00D868AB">
            <w:pPr>
              <w:jc w:val="right"/>
              <w:rPr>
                <w:rFonts w:cs="Arial"/>
                <w:sz w:val="18"/>
                <w:szCs w:val="18"/>
                <w:lang w:val="es-ES"/>
              </w:rPr>
            </w:pPr>
            <w:r w:rsidRPr="00D868AB">
              <w:rPr>
                <w:rFonts w:cs="Arial"/>
                <w:color w:val="000000"/>
                <w:sz w:val="18"/>
                <w:szCs w:val="18"/>
              </w:rPr>
              <w:t>659,639,482</w:t>
            </w:r>
          </w:p>
        </w:tc>
      </w:tr>
      <w:tr w:rsidR="00D868AB" w:rsidRPr="00D868AB" w14:paraId="0A374103"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6681C8"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110000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138DA9BB" w14:textId="77777777" w:rsidR="00D868AB" w:rsidRPr="00D868AB" w:rsidRDefault="00D868AB" w:rsidP="00D868AB">
            <w:pPr>
              <w:contextualSpacing/>
              <w:rPr>
                <w:rFonts w:cs="Arial"/>
                <w:sz w:val="18"/>
                <w:szCs w:val="18"/>
                <w:lang w:val="es-ES"/>
              </w:rPr>
            </w:pPr>
            <w:r w:rsidRPr="00D868AB">
              <w:rPr>
                <w:rFonts w:cs="Arial"/>
                <w:color w:val="000000"/>
                <w:sz w:val="18"/>
                <w:szCs w:val="18"/>
              </w:rPr>
              <w:t>Consejería Jurídica del Poder Ejecutivo.</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516C4" w14:textId="77777777" w:rsidR="00D868AB" w:rsidRPr="00D868AB" w:rsidRDefault="00D868AB" w:rsidP="00D868AB">
            <w:pPr>
              <w:jc w:val="right"/>
              <w:rPr>
                <w:rFonts w:cs="Arial"/>
                <w:sz w:val="18"/>
                <w:szCs w:val="18"/>
                <w:lang w:val="es-ES"/>
              </w:rPr>
            </w:pPr>
            <w:r w:rsidRPr="00D868AB">
              <w:rPr>
                <w:rFonts w:cs="Arial"/>
                <w:color w:val="000000"/>
                <w:sz w:val="18"/>
                <w:szCs w:val="18"/>
              </w:rPr>
              <w:t>32,493,560</w:t>
            </w:r>
          </w:p>
        </w:tc>
      </w:tr>
      <w:tr w:rsidR="00D868AB" w:rsidRPr="00D868AB" w14:paraId="0EFD8FC2"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C5C179"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120000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9BE6F8" w14:textId="77777777" w:rsidR="00D868AB" w:rsidRPr="00D868AB" w:rsidRDefault="00D868AB" w:rsidP="00D868AB">
            <w:pPr>
              <w:contextualSpacing/>
              <w:rPr>
                <w:rFonts w:cs="Arial"/>
                <w:sz w:val="18"/>
                <w:szCs w:val="18"/>
                <w:lang w:val="es-ES"/>
              </w:rPr>
            </w:pPr>
            <w:r w:rsidRPr="00D868AB">
              <w:rPr>
                <w:rFonts w:cs="Arial"/>
                <w:color w:val="000000"/>
                <w:sz w:val="18"/>
                <w:szCs w:val="18"/>
              </w:rPr>
              <w:t>Transferencias, Asignaciones, Subsidios y Otras Ayudas.</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F891C8" w14:textId="77777777" w:rsidR="00D868AB" w:rsidRPr="00D868AB" w:rsidRDefault="00D868AB" w:rsidP="00D868AB">
            <w:pPr>
              <w:jc w:val="right"/>
              <w:rPr>
                <w:rFonts w:cs="Arial"/>
                <w:sz w:val="18"/>
                <w:szCs w:val="18"/>
                <w:lang w:val="es-ES"/>
              </w:rPr>
            </w:pPr>
            <w:r w:rsidRPr="00D868AB">
              <w:rPr>
                <w:rFonts w:cs="Arial"/>
                <w:color w:val="000000"/>
                <w:sz w:val="18"/>
                <w:szCs w:val="18"/>
              </w:rPr>
              <w:t>2,848,714,434</w:t>
            </w:r>
          </w:p>
        </w:tc>
      </w:tr>
      <w:tr w:rsidR="00D868AB" w:rsidRPr="00D868AB" w14:paraId="114C0D75"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80C0BF"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130000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6F2CDD" w14:textId="77777777" w:rsidR="00D868AB" w:rsidRPr="00D868AB" w:rsidRDefault="00D868AB" w:rsidP="00D868AB">
            <w:pPr>
              <w:contextualSpacing/>
              <w:rPr>
                <w:rFonts w:cs="Arial"/>
                <w:sz w:val="18"/>
                <w:szCs w:val="18"/>
                <w:lang w:val="es-ES"/>
              </w:rPr>
            </w:pPr>
            <w:r w:rsidRPr="00D868AB">
              <w:rPr>
                <w:rFonts w:cs="Arial"/>
                <w:color w:val="000000"/>
                <w:sz w:val="18"/>
                <w:szCs w:val="18"/>
              </w:rPr>
              <w:t>Participaciones y Aportaciones.</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18ED16" w14:textId="77777777" w:rsidR="00D868AB" w:rsidRPr="00D868AB" w:rsidRDefault="00D868AB" w:rsidP="00D868AB">
            <w:pPr>
              <w:jc w:val="right"/>
              <w:rPr>
                <w:rFonts w:cs="Arial"/>
                <w:sz w:val="18"/>
                <w:szCs w:val="18"/>
                <w:lang w:val="es-ES"/>
              </w:rPr>
            </w:pPr>
            <w:r w:rsidRPr="00D868AB">
              <w:rPr>
                <w:rFonts w:cs="Arial"/>
                <w:color w:val="000000"/>
                <w:sz w:val="18"/>
                <w:szCs w:val="18"/>
              </w:rPr>
              <w:t>3,297,624,261</w:t>
            </w:r>
          </w:p>
        </w:tc>
      </w:tr>
      <w:tr w:rsidR="00D868AB" w:rsidRPr="00D868AB" w14:paraId="5861E1DB"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ACF848"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140000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DA42B" w14:textId="77777777" w:rsidR="00D868AB" w:rsidRPr="00D868AB" w:rsidRDefault="00D868AB" w:rsidP="00D868AB">
            <w:pPr>
              <w:contextualSpacing/>
              <w:rPr>
                <w:rFonts w:cs="Arial"/>
                <w:sz w:val="18"/>
                <w:szCs w:val="18"/>
                <w:lang w:val="es-ES"/>
              </w:rPr>
            </w:pPr>
            <w:r w:rsidRPr="00D868AB">
              <w:rPr>
                <w:rFonts w:cs="Arial"/>
                <w:color w:val="000000"/>
                <w:sz w:val="18"/>
                <w:szCs w:val="18"/>
              </w:rPr>
              <w:t>Erogaciones Extraordinarias.</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FE070" w14:textId="77777777" w:rsidR="00D868AB" w:rsidRPr="00D868AB" w:rsidRDefault="00D868AB" w:rsidP="00D868AB">
            <w:pPr>
              <w:jc w:val="right"/>
              <w:rPr>
                <w:rFonts w:cs="Arial"/>
                <w:sz w:val="18"/>
                <w:szCs w:val="18"/>
                <w:lang w:val="es-ES"/>
              </w:rPr>
            </w:pPr>
            <w:r w:rsidRPr="00D868AB">
              <w:rPr>
                <w:rFonts w:cs="Arial"/>
                <w:color w:val="000000"/>
                <w:sz w:val="18"/>
                <w:szCs w:val="18"/>
              </w:rPr>
              <w:t>1,800,000</w:t>
            </w:r>
          </w:p>
        </w:tc>
      </w:tr>
      <w:tr w:rsidR="00D868AB" w:rsidRPr="00D868AB" w14:paraId="29CDE308"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27F1A"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150000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72DB8A" w14:textId="77777777" w:rsidR="00D868AB" w:rsidRPr="00D868AB" w:rsidRDefault="00D868AB" w:rsidP="00D868AB">
            <w:pPr>
              <w:contextualSpacing/>
              <w:rPr>
                <w:rFonts w:cs="Arial"/>
                <w:sz w:val="18"/>
                <w:szCs w:val="18"/>
                <w:lang w:val="es-ES"/>
              </w:rPr>
            </w:pPr>
            <w:r w:rsidRPr="00D868AB">
              <w:rPr>
                <w:rFonts w:cs="Arial"/>
                <w:color w:val="000000"/>
                <w:sz w:val="18"/>
                <w:szCs w:val="18"/>
              </w:rPr>
              <w:t>Cancelación de Pasivos.</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D27D4" w14:textId="77777777" w:rsidR="00D868AB" w:rsidRPr="00D868AB" w:rsidRDefault="00D868AB" w:rsidP="00D868AB">
            <w:pPr>
              <w:jc w:val="right"/>
              <w:rPr>
                <w:rFonts w:cs="Arial"/>
                <w:sz w:val="18"/>
                <w:szCs w:val="18"/>
                <w:lang w:val="es-ES"/>
              </w:rPr>
            </w:pPr>
            <w:r w:rsidRPr="00D868AB">
              <w:rPr>
                <w:rFonts w:cs="Arial"/>
                <w:color w:val="000000"/>
                <w:sz w:val="18"/>
                <w:szCs w:val="18"/>
              </w:rPr>
              <w:t>157,361,143</w:t>
            </w:r>
          </w:p>
        </w:tc>
      </w:tr>
      <w:tr w:rsidR="00D868AB" w:rsidRPr="00D868AB" w14:paraId="74D433AC"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8B7CDA" w14:textId="77777777" w:rsidR="00D868AB" w:rsidRPr="00D868AB" w:rsidRDefault="00D868AB" w:rsidP="00D868AB">
            <w:pPr>
              <w:contextualSpacing/>
              <w:jc w:val="center"/>
              <w:rPr>
                <w:rFonts w:cs="Arial"/>
                <w:sz w:val="18"/>
                <w:szCs w:val="18"/>
                <w:lang w:val="es-ES"/>
              </w:rPr>
            </w:pPr>
            <w:r w:rsidRPr="00D868AB">
              <w:rPr>
                <w:rFonts w:cs="Arial"/>
                <w:sz w:val="18"/>
                <w:szCs w:val="18"/>
                <w:lang w:val="es-ES"/>
              </w:rPr>
              <w:t>160000</w:t>
            </w: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193F5" w14:textId="77777777" w:rsidR="00D868AB" w:rsidRPr="00D868AB" w:rsidRDefault="00D868AB" w:rsidP="00D868AB">
            <w:pPr>
              <w:contextualSpacing/>
              <w:rPr>
                <w:rFonts w:cs="Arial"/>
                <w:sz w:val="18"/>
                <w:szCs w:val="18"/>
                <w:lang w:val="es-ES"/>
              </w:rPr>
            </w:pPr>
            <w:r w:rsidRPr="00D868AB">
              <w:rPr>
                <w:rFonts w:cs="Arial"/>
                <w:color w:val="000000"/>
                <w:sz w:val="18"/>
                <w:szCs w:val="18"/>
              </w:rPr>
              <w:t>Deuda Pública.</w:t>
            </w:r>
          </w:p>
        </w:tc>
        <w:tc>
          <w:tcPr>
            <w:tcW w:w="18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D5F2E6" w14:textId="77777777" w:rsidR="00D868AB" w:rsidRPr="00D868AB" w:rsidRDefault="00D868AB" w:rsidP="00D868AB">
            <w:pPr>
              <w:jc w:val="right"/>
              <w:rPr>
                <w:rFonts w:cs="Arial"/>
                <w:sz w:val="18"/>
                <w:szCs w:val="18"/>
                <w:lang w:val="es-ES"/>
              </w:rPr>
            </w:pPr>
            <w:r w:rsidRPr="00D868AB">
              <w:rPr>
                <w:rFonts w:cs="Arial"/>
                <w:color w:val="000000"/>
                <w:sz w:val="18"/>
                <w:szCs w:val="18"/>
              </w:rPr>
              <w:t>732,291,440</w:t>
            </w:r>
          </w:p>
        </w:tc>
      </w:tr>
      <w:tr w:rsidR="00D868AB" w:rsidRPr="00D868AB" w14:paraId="402E320A" w14:textId="77777777" w:rsidTr="00A755A7">
        <w:trPr>
          <w:trHeight w:val="227"/>
          <w:jc w:val="cent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CF50B0" w14:textId="77777777" w:rsidR="00D868AB" w:rsidRPr="00D868AB" w:rsidRDefault="00D868AB" w:rsidP="00D868AB">
            <w:pPr>
              <w:contextualSpacing/>
              <w:jc w:val="center"/>
              <w:rPr>
                <w:rFonts w:cs="Arial"/>
                <w:b/>
                <w:bCs/>
                <w:sz w:val="18"/>
                <w:szCs w:val="18"/>
                <w:lang w:val="es-ES"/>
              </w:rPr>
            </w:pPr>
          </w:p>
        </w:tc>
        <w:tc>
          <w:tcPr>
            <w:tcW w:w="5637" w:type="dxa"/>
            <w:tcBorders>
              <w:top w:val="single" w:sz="4" w:space="0" w:color="auto"/>
              <w:left w:val="single" w:sz="4" w:space="0" w:color="auto"/>
              <w:bottom w:val="single" w:sz="4" w:space="0" w:color="auto"/>
              <w:right w:val="single" w:sz="4" w:space="0" w:color="auto"/>
            </w:tcBorders>
            <w:shd w:val="clear" w:color="auto" w:fill="auto"/>
            <w:vAlign w:val="center"/>
          </w:tcPr>
          <w:p w14:paraId="2B572583" w14:textId="77777777" w:rsidR="00D868AB" w:rsidRPr="00D868AB" w:rsidRDefault="00D868AB" w:rsidP="00D868AB">
            <w:pPr>
              <w:contextualSpacing/>
              <w:jc w:val="center"/>
              <w:rPr>
                <w:rFonts w:cs="Arial"/>
                <w:b/>
                <w:bCs/>
                <w:sz w:val="18"/>
                <w:szCs w:val="18"/>
                <w:lang w:val="es-ES"/>
              </w:rPr>
            </w:pPr>
            <w:r w:rsidRPr="00D868AB">
              <w:rPr>
                <w:rFonts w:cs="Arial"/>
                <w:b/>
                <w:bCs/>
                <w:sz w:val="18"/>
                <w:szCs w:val="18"/>
                <w:lang w:val="es-ES"/>
              </w:rPr>
              <w:t>Total</w:t>
            </w:r>
          </w:p>
        </w:tc>
        <w:tc>
          <w:tcPr>
            <w:tcW w:w="1885" w:type="dxa"/>
            <w:tcBorders>
              <w:top w:val="single" w:sz="4" w:space="0" w:color="auto"/>
              <w:left w:val="single" w:sz="4" w:space="0" w:color="auto"/>
              <w:bottom w:val="single" w:sz="4" w:space="0" w:color="auto"/>
              <w:right w:val="single" w:sz="4" w:space="0" w:color="auto"/>
            </w:tcBorders>
            <w:shd w:val="clear" w:color="auto" w:fill="auto"/>
            <w:vAlign w:val="center"/>
          </w:tcPr>
          <w:p w14:paraId="4946E78F"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20,555,300,000</w:t>
            </w:r>
          </w:p>
        </w:tc>
      </w:tr>
    </w:tbl>
    <w:p w14:paraId="47428259" w14:textId="77777777" w:rsidR="00D868AB" w:rsidRPr="00D868AB" w:rsidRDefault="00D868AB" w:rsidP="00D868AB">
      <w:pPr>
        <w:ind w:left="567" w:hanging="567"/>
        <w:rPr>
          <w:rFonts w:eastAsia="Times New Roman" w:cs="Arial"/>
        </w:rPr>
      </w:pPr>
    </w:p>
    <w:p w14:paraId="5D8F6C91" w14:textId="77777777" w:rsidR="00D868AB" w:rsidRPr="00D868AB" w:rsidRDefault="00D868AB" w:rsidP="00D868AB">
      <w:pPr>
        <w:ind w:left="567" w:hanging="567"/>
        <w:rPr>
          <w:rFonts w:eastAsia="Times New Roman" w:cs="Arial"/>
        </w:rPr>
      </w:pPr>
      <w:r w:rsidRPr="00D868AB">
        <w:rPr>
          <w:rFonts w:eastAsia="Times New Roman" w:cs="Arial"/>
        </w:rPr>
        <w:t>II.</w:t>
      </w:r>
      <w:r w:rsidRPr="00D868AB">
        <w:rPr>
          <w:rFonts w:eastAsia="Times New Roman" w:cs="Arial"/>
        </w:rPr>
        <w:tab/>
        <w:t xml:space="preserve">Las asignaciones previstas en el presupuesto de egresos para </w:t>
      </w:r>
      <w:r w:rsidRPr="00D868AB">
        <w:rPr>
          <w:rFonts w:eastAsia="Times New Roman" w:cs="Arial"/>
          <w:b/>
        </w:rPr>
        <w:t>la Administración Pública Centralizada</w:t>
      </w:r>
      <w:r w:rsidRPr="00D868AB">
        <w:rPr>
          <w:rFonts w:eastAsia="Times New Roman" w:cs="Arial"/>
        </w:rPr>
        <w:t>, por Unidad Presupuestal y Unidad Responsable se distribuyen de la siguiente manera:</w:t>
      </w:r>
    </w:p>
    <w:p w14:paraId="6244E784" w14:textId="77777777" w:rsidR="00D868AB" w:rsidRPr="00D868AB" w:rsidRDefault="00D868AB" w:rsidP="00D868AB">
      <w:pPr>
        <w:keepNext/>
        <w:keepLines/>
        <w:outlineLvl w:val="2"/>
        <w:rPr>
          <w:rFonts w:eastAsia="Times New Roman" w:cs="Arial"/>
          <w:b/>
          <w:szCs w:val="24"/>
          <w:lang w:val="es-ES" w:eastAsia="en-US"/>
        </w:rPr>
      </w:pPr>
    </w:p>
    <w:tbl>
      <w:tblPr>
        <w:tblW w:w="8472" w:type="dxa"/>
        <w:jc w:val="center"/>
        <w:tblCellMar>
          <w:left w:w="70" w:type="dxa"/>
          <w:right w:w="70" w:type="dxa"/>
        </w:tblCellMar>
        <w:tblLook w:val="04A0" w:firstRow="1" w:lastRow="0" w:firstColumn="1" w:lastColumn="0" w:noHBand="0" w:noVBand="1"/>
      </w:tblPr>
      <w:tblGrid>
        <w:gridCol w:w="808"/>
        <w:gridCol w:w="6133"/>
        <w:gridCol w:w="1531"/>
      </w:tblGrid>
      <w:tr w:rsidR="00D868AB" w:rsidRPr="00D868AB" w14:paraId="05BC9C6E" w14:textId="77777777" w:rsidTr="00A755A7">
        <w:trPr>
          <w:trHeight w:val="20"/>
          <w:tblHeader/>
          <w:jc w:val="center"/>
        </w:trPr>
        <w:tc>
          <w:tcPr>
            <w:tcW w:w="8472" w:type="dxa"/>
            <w:gridSpan w:val="3"/>
            <w:tcBorders>
              <w:bottom w:val="single" w:sz="4" w:space="0" w:color="auto"/>
            </w:tcBorders>
            <w:shd w:val="clear" w:color="auto" w:fill="auto"/>
            <w:noWrap/>
            <w:vAlign w:val="center"/>
          </w:tcPr>
          <w:p w14:paraId="0872A1ED" w14:textId="77777777" w:rsidR="00D868AB" w:rsidRPr="00D868AB" w:rsidRDefault="00D868AB" w:rsidP="00D868AB">
            <w:pPr>
              <w:jc w:val="center"/>
              <w:rPr>
                <w:rFonts w:eastAsia="Times New Roman" w:cs="Arial"/>
                <w:b/>
                <w:sz w:val="18"/>
                <w:szCs w:val="18"/>
                <w:lang w:val="es-ES"/>
              </w:rPr>
            </w:pPr>
            <w:r w:rsidRPr="00D868AB">
              <w:rPr>
                <w:rFonts w:eastAsia="Times New Roman" w:cs="Arial"/>
                <w:b/>
                <w:sz w:val="18"/>
                <w:szCs w:val="18"/>
                <w:lang w:val="es-ES"/>
              </w:rPr>
              <w:t>Tabla 21. Administración Pública Centralizada</w:t>
            </w:r>
          </w:p>
          <w:p w14:paraId="30BAB4F3" w14:textId="77777777" w:rsidR="00D868AB" w:rsidRPr="00D868AB" w:rsidRDefault="00D868AB" w:rsidP="00D868AB">
            <w:pPr>
              <w:jc w:val="center"/>
              <w:rPr>
                <w:rFonts w:cs="Arial"/>
                <w:b/>
                <w:bCs/>
                <w:sz w:val="18"/>
                <w:szCs w:val="18"/>
                <w:lang w:val="es-ES"/>
              </w:rPr>
            </w:pPr>
            <w:r w:rsidRPr="00D868AB">
              <w:rPr>
                <w:rFonts w:cs="Arial"/>
                <w:b/>
                <w:sz w:val="18"/>
                <w:szCs w:val="18"/>
                <w:lang w:val="es-ES"/>
              </w:rPr>
              <w:t>(Unidad Presupuestal y Unidad Responsable)</w:t>
            </w:r>
          </w:p>
        </w:tc>
      </w:tr>
      <w:tr w:rsidR="00D868AB" w:rsidRPr="00D868AB" w14:paraId="0FBA63A1" w14:textId="77777777" w:rsidTr="00A755A7">
        <w:trPr>
          <w:trHeight w:val="20"/>
          <w:tblHeader/>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9ECBF"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Clave</w:t>
            </w:r>
          </w:p>
        </w:tc>
        <w:tc>
          <w:tcPr>
            <w:tcW w:w="6133" w:type="dxa"/>
            <w:tcBorders>
              <w:top w:val="single" w:sz="4" w:space="0" w:color="auto"/>
              <w:left w:val="nil"/>
              <w:bottom w:val="single" w:sz="4" w:space="0" w:color="auto"/>
              <w:right w:val="single" w:sz="4" w:space="0" w:color="auto"/>
            </w:tcBorders>
            <w:shd w:val="clear" w:color="auto" w:fill="auto"/>
            <w:vAlign w:val="center"/>
            <w:hideMark/>
          </w:tcPr>
          <w:p w14:paraId="708C2B7C"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Unidad Presupuestal</w:t>
            </w:r>
          </w:p>
        </w:tc>
        <w:tc>
          <w:tcPr>
            <w:tcW w:w="1531" w:type="dxa"/>
            <w:tcBorders>
              <w:top w:val="single" w:sz="4" w:space="0" w:color="auto"/>
              <w:left w:val="nil"/>
              <w:bottom w:val="single" w:sz="4" w:space="0" w:color="auto"/>
              <w:right w:val="single" w:sz="4" w:space="0" w:color="auto"/>
            </w:tcBorders>
            <w:shd w:val="clear" w:color="auto" w:fill="auto"/>
            <w:vAlign w:val="center"/>
            <w:hideMark/>
          </w:tcPr>
          <w:p w14:paraId="4C6D148E"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Asignación Presupuestal</w:t>
            </w:r>
          </w:p>
        </w:tc>
      </w:tr>
      <w:tr w:rsidR="00D868AB" w:rsidRPr="00D868AB" w14:paraId="735EA6B3"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8CDB5F"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010000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2C8BB15"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Oficina de la Gubernatura.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9BDD9F0"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110,289,833</w:t>
            </w:r>
          </w:p>
        </w:tc>
      </w:tr>
      <w:tr w:rsidR="00D868AB" w:rsidRPr="00D868AB" w14:paraId="7BB4A79F"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2E0B0E"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010100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E6ACC76"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Oficina de la Gubernatura.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232A36F"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55,175,118</w:t>
            </w:r>
          </w:p>
        </w:tc>
      </w:tr>
      <w:tr w:rsidR="00D868AB" w:rsidRPr="00D868AB" w14:paraId="406EEB29"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F77D8"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010101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6F587B1"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Jefe de la Oficina de la Gubernatura.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4634C33"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55,175,118</w:t>
            </w:r>
          </w:p>
        </w:tc>
      </w:tr>
      <w:tr w:rsidR="00D868AB" w:rsidRPr="00D868AB" w14:paraId="699584D7"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06B4B"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010200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14610F90"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Técnica de Enlace Gubernamental.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A9ECFC4"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15,881,611</w:t>
            </w:r>
          </w:p>
        </w:tc>
      </w:tr>
      <w:tr w:rsidR="00D868AB" w:rsidRPr="00D868AB" w14:paraId="12A067E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1628DD"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010201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52A6A51"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Secretaría Técnica de Enlace Gubernamental.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73DA2ED"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15,881,611</w:t>
            </w:r>
          </w:p>
        </w:tc>
      </w:tr>
      <w:tr w:rsidR="00D868AB" w:rsidRPr="00D868AB" w14:paraId="570A45FF"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E712B"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010300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B084235"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Dirección General de Comunicación Social.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6E0BEF2"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34,494,296</w:t>
            </w:r>
          </w:p>
        </w:tc>
      </w:tr>
      <w:tr w:rsidR="00D868AB" w:rsidRPr="00D868AB" w14:paraId="09BE9DF9"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2C19AF"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010301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6E22470"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Dirección General de Comunicación Social.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C9CE308"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34,494,296</w:t>
            </w:r>
          </w:p>
        </w:tc>
      </w:tr>
      <w:tr w:rsidR="00D868AB" w:rsidRPr="00D868AB" w14:paraId="0B2909BB"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BF1ACB"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010400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E73C691"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Dirección General de Asesores.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A95AD5F"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4,738,808</w:t>
            </w:r>
          </w:p>
        </w:tc>
      </w:tr>
      <w:tr w:rsidR="00D868AB" w:rsidRPr="00D868AB" w14:paraId="5A750F0F"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6F3D8"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010401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8A5860D"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Dirección General de Asesores.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1147FBC"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4,738,808</w:t>
            </w:r>
          </w:p>
        </w:tc>
      </w:tr>
      <w:tr w:rsidR="00D868AB" w:rsidRPr="00D868AB" w14:paraId="18C334D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FA264"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020000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395BE67"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General de Gobierno.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2B65AB9"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584,258,753</w:t>
            </w:r>
          </w:p>
        </w:tc>
      </w:tr>
      <w:tr w:rsidR="00D868AB" w:rsidRPr="00D868AB" w14:paraId="1851C9CB"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FCAF8"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020100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5AA46EA"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General de Gobierno.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06F490A"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128,420,407</w:t>
            </w:r>
          </w:p>
        </w:tc>
      </w:tr>
      <w:tr w:rsidR="00D868AB" w:rsidRPr="00D868AB" w14:paraId="29E56CA4"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73D53"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020101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4B8650E"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Secretaría General de Gobierno.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109A400"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125,414,816</w:t>
            </w:r>
          </w:p>
        </w:tc>
      </w:tr>
      <w:tr w:rsidR="00D868AB" w:rsidRPr="00D868AB" w14:paraId="08270653"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85A4D8"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020102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F11E76E"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Oficina de Enlace Delegación Colima S.R.E.</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CE8558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3,005,591</w:t>
            </w:r>
          </w:p>
        </w:tc>
      </w:tr>
      <w:tr w:rsidR="00D868AB" w:rsidRPr="00D868AB" w14:paraId="0EF2E3E1"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A5A8B"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020200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FE06FC5"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Dirección General de Gobierno.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02CBA46"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50,731,291</w:t>
            </w:r>
          </w:p>
        </w:tc>
      </w:tr>
      <w:tr w:rsidR="00D868AB" w:rsidRPr="00D868AB" w14:paraId="7662F076"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CD70D"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020201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872DCEC"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Dirección General de Gobierno.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9922358"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50,731,291</w:t>
            </w:r>
          </w:p>
        </w:tc>
      </w:tr>
      <w:tr w:rsidR="00D868AB" w:rsidRPr="00D868AB" w14:paraId="5510C978"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AFC4B2"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020300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E19B4D0"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Secretariado Ejecutivo del Sistema Estatal de Seguridad Pública.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B3A425E"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395,755,930</w:t>
            </w:r>
          </w:p>
        </w:tc>
      </w:tr>
      <w:tr w:rsidR="00D868AB" w:rsidRPr="00D868AB" w14:paraId="1ABB10BE"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DD8B7"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020301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E3F88F9"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del Secretariado Ejecutivo del Sistema Estatal de Seguridad Pública.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6767D8B"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381,525,891</w:t>
            </w:r>
          </w:p>
        </w:tc>
      </w:tr>
      <w:tr w:rsidR="00D868AB" w:rsidRPr="00D868AB" w14:paraId="17EBED71"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E1B4C"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lastRenderedPageBreak/>
              <w:t>020302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1E9F705"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Centro Estatal de Prevención Social de la Violencia y la Delincuencia con Participación Ciudadana.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7B64E70"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2,366,989</w:t>
            </w:r>
          </w:p>
        </w:tc>
      </w:tr>
      <w:tr w:rsidR="00D868AB" w:rsidRPr="00D868AB" w14:paraId="405C034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00B7D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020303</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39A220E"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Centro Estatal de Evaluación y Control de Confianza.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B19303A"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11,863,050</w:t>
            </w:r>
          </w:p>
        </w:tc>
      </w:tr>
      <w:tr w:rsidR="00D868AB" w:rsidRPr="00D868AB" w14:paraId="40AA6F73"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77FE9"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020400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5F2C671"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Centro de Coordinación, Control, Comando, Comunicación, Cómputo e Inteligencia.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DB3AAC1"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9,351,125</w:t>
            </w:r>
          </w:p>
        </w:tc>
      </w:tr>
      <w:tr w:rsidR="00D868AB" w:rsidRPr="00D868AB" w14:paraId="694D5F3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2779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020401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9332D34"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Centro de Coordinación, Control, Comando, Comunicación, Cómputo e Inteligencia.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B5A1110"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9,351,125</w:t>
            </w:r>
          </w:p>
        </w:tc>
      </w:tr>
      <w:tr w:rsidR="00D868AB" w:rsidRPr="00D868AB" w14:paraId="2D2A9CF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B8B7D"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030000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5331C90"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Planeación, Finanzas y Administración.</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4DBBE90"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393,283,679</w:t>
            </w:r>
          </w:p>
        </w:tc>
      </w:tr>
      <w:tr w:rsidR="00D868AB" w:rsidRPr="00D868AB" w14:paraId="718353A3"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D5675B"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030100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3EAF8E8"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Planeación, Finanzas y Administración.</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85BB6DE"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212,981,678</w:t>
            </w:r>
          </w:p>
        </w:tc>
      </w:tr>
      <w:tr w:rsidR="00D868AB" w:rsidRPr="00D868AB" w14:paraId="0E595AAA"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2C911F"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6C82450"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Secretaría de Planeación, Finanzas y Administración.</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725C091"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59,006,059</w:t>
            </w:r>
          </w:p>
        </w:tc>
      </w:tr>
      <w:tr w:rsidR="00D868AB" w:rsidRPr="00D868AB" w14:paraId="1A4866BA"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7D306"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030102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267478E"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Ingresos.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F30B2C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79,749,539</w:t>
            </w:r>
          </w:p>
        </w:tc>
      </w:tr>
      <w:tr w:rsidR="00D868AB" w:rsidRPr="00D868AB" w14:paraId="73B2151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9A889"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030103</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FE38E1A"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Egresos.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7CF385D"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43,791,285</w:t>
            </w:r>
          </w:p>
        </w:tc>
      </w:tr>
      <w:tr w:rsidR="00D868AB" w:rsidRPr="00D868AB" w14:paraId="5FA30DB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0BE66"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030104</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5F4FFD4"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Planeación.</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30771BC"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21,291,615</w:t>
            </w:r>
          </w:p>
        </w:tc>
      </w:tr>
      <w:tr w:rsidR="00D868AB" w:rsidRPr="00D868AB" w14:paraId="31CD70B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300B4"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030105</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44EA23A"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Jurídica.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7B264B0"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5,229,648</w:t>
            </w:r>
          </w:p>
        </w:tc>
      </w:tr>
      <w:tr w:rsidR="00D868AB" w:rsidRPr="00D868AB" w14:paraId="35C9B3FE"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698F25"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030106</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9A54B8B"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Unidad de Inteligencia Patrimonial y Económica.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54FE9D1"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2,836,532</w:t>
            </w:r>
          </w:p>
        </w:tc>
      </w:tr>
      <w:tr w:rsidR="00D868AB" w:rsidRPr="00D868AB" w14:paraId="26538D0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AF28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030107</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D0754C0"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Tecnologías de Información y Comunicación.</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D4B2191"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1,077,000</w:t>
            </w:r>
          </w:p>
        </w:tc>
      </w:tr>
      <w:tr w:rsidR="00D868AB" w:rsidRPr="00D868AB" w14:paraId="4EEA9D4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55CE62"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030200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CDB7012"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Subsecretaría de Administración.</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9676717"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180,302,001</w:t>
            </w:r>
          </w:p>
        </w:tc>
      </w:tr>
      <w:tr w:rsidR="00D868AB" w:rsidRPr="00D868AB" w14:paraId="3785E6D9"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A03796"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2812EF7"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Subsecretaría de Administración.</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0F3796C"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35,303,847</w:t>
            </w:r>
          </w:p>
        </w:tc>
      </w:tr>
      <w:tr w:rsidR="00D868AB" w:rsidRPr="00D868AB" w14:paraId="6B0D94D2"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5D8A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030202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085D6B0"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Administración y Recursos Materiales.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989EB1D"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63,740,401</w:t>
            </w:r>
          </w:p>
        </w:tc>
      </w:tr>
      <w:tr w:rsidR="00D868AB" w:rsidRPr="00D868AB" w14:paraId="08CC680E"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31B9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030203</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F169839"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Capital Humano.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0DA7BCD"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60,163,119</w:t>
            </w:r>
          </w:p>
        </w:tc>
      </w:tr>
      <w:tr w:rsidR="00D868AB" w:rsidRPr="00D868AB" w14:paraId="322FC2C8"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088E0"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030204</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94FBE2A"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Enlaces Administrativos.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33EFAF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21,094,634</w:t>
            </w:r>
          </w:p>
        </w:tc>
      </w:tr>
      <w:tr w:rsidR="00D868AB" w:rsidRPr="00D868AB" w14:paraId="660D2CF4"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504AB2"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040000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C4E78EA"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Bienestar, Inclusión Social y Mujeres.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981725D"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912,263,063</w:t>
            </w:r>
          </w:p>
        </w:tc>
      </w:tr>
      <w:tr w:rsidR="00D868AB" w:rsidRPr="00D868AB" w14:paraId="36F5F47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827E4F"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040100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334653C"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Bienestar, Inclusión Social y Mujeres.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C1C5BAF"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903,270,734</w:t>
            </w:r>
          </w:p>
        </w:tc>
      </w:tr>
      <w:tr w:rsidR="00D868AB" w:rsidRPr="00D868AB" w14:paraId="14FB948F"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11474"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040101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86A6168"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Secretaría de Bienestar, Inclusión Social y Mujeres.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427C69F"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881,464,383</w:t>
            </w:r>
          </w:p>
        </w:tc>
      </w:tr>
      <w:tr w:rsidR="00D868AB" w:rsidRPr="00D868AB" w14:paraId="3E8A38B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F00C7"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040102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D4D8911"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del Bienestar.</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290228D"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21,077,277</w:t>
            </w:r>
          </w:p>
        </w:tc>
      </w:tr>
      <w:tr w:rsidR="00D868AB" w:rsidRPr="00D868AB" w14:paraId="37FF2F48"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F895E"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040103</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435CBC5"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Atención a Grupos Vulnerables e Inclusión Social.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ED6F845"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729,074</w:t>
            </w:r>
          </w:p>
        </w:tc>
      </w:tr>
      <w:tr w:rsidR="00D868AB" w:rsidRPr="00D868AB" w14:paraId="043473E9"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C5AA2F"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040200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11E9C6C"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Subsecretaría de las Juventudes.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E63C2C8"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8,992,329</w:t>
            </w:r>
          </w:p>
        </w:tc>
      </w:tr>
      <w:tr w:rsidR="00D868AB" w:rsidRPr="00D868AB" w14:paraId="72F4AFA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4F71D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040201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1CFD1F2"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Subsecretaría de las Juventudes.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CB6269F"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7,923,291</w:t>
            </w:r>
          </w:p>
        </w:tc>
      </w:tr>
      <w:tr w:rsidR="00D868AB" w:rsidRPr="00D868AB" w14:paraId="7B6FE92B"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45AE3"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040202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21F849E"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 xml:space="preserve">Dirección General de Participación y Desarrollo de las Juventudes. </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E2F662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1,069,038</w:t>
            </w:r>
          </w:p>
        </w:tc>
      </w:tr>
      <w:tr w:rsidR="00D868AB" w:rsidRPr="00D868AB" w14:paraId="479B21D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11D92"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050000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5E822C3"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Infraestructura, Desarrollo Urbano y Movilidad.</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58A5993"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249,996,416</w:t>
            </w:r>
          </w:p>
        </w:tc>
      </w:tr>
      <w:tr w:rsidR="00D868AB" w:rsidRPr="00D868AB" w14:paraId="34B9B4F3"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EDD60"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050100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92F674B"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Infraestructura, Desarrollo Urbano y Movilidad.</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A9A83A9"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182,991,460</w:t>
            </w:r>
          </w:p>
        </w:tc>
      </w:tr>
      <w:tr w:rsidR="00D868AB" w:rsidRPr="00D868AB" w14:paraId="67460868"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9DD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050101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16378A4A"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Secretaría de Infraestructura, Desarrollo Urbano y Movilidad.</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BC10768"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115,678,344</w:t>
            </w:r>
          </w:p>
        </w:tc>
      </w:tr>
      <w:tr w:rsidR="00D868AB" w:rsidRPr="00D868AB" w14:paraId="6A92FFA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D5FB7"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050102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00DB277"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Regulación y Ordenamiento Urbano.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88467E7"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27,521,871</w:t>
            </w:r>
          </w:p>
        </w:tc>
      </w:tr>
      <w:tr w:rsidR="00D868AB" w:rsidRPr="00D868AB" w14:paraId="23403984"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78C3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050103</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37B7AFE"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Caminos.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32A27A9"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12,095,356</w:t>
            </w:r>
          </w:p>
        </w:tc>
      </w:tr>
      <w:tr w:rsidR="00D868AB" w:rsidRPr="00D868AB" w14:paraId="73466E43"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B3C7D"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050104</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87C88CF"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Obra Pública.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C9961B7"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16,911,510</w:t>
            </w:r>
          </w:p>
        </w:tc>
      </w:tr>
      <w:tr w:rsidR="00D868AB" w:rsidRPr="00D868AB" w14:paraId="06B865C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0F6CD"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050105</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008F70D"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Proyectos.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2FAB32C"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10,784,379</w:t>
            </w:r>
          </w:p>
        </w:tc>
      </w:tr>
      <w:tr w:rsidR="00D868AB" w:rsidRPr="00D868AB" w14:paraId="0DD9081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5E92C"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050200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86F2151"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Subsecretaría de Movilidad.</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A5DDC4B"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67,004,956</w:t>
            </w:r>
          </w:p>
        </w:tc>
      </w:tr>
      <w:tr w:rsidR="00D868AB" w:rsidRPr="00D868AB" w14:paraId="78960B61"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8CBFF"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050201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456EDD3"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Subsecretaría de Movilidad.</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5EE789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17,202,367</w:t>
            </w:r>
          </w:p>
        </w:tc>
      </w:tr>
      <w:tr w:rsidR="00D868AB" w:rsidRPr="00D868AB" w14:paraId="495CD39B"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F7B1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050202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1627FD2"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del Sistema Integrado de Movilidad.</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ACE59E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13,746,233</w:t>
            </w:r>
          </w:p>
        </w:tc>
      </w:tr>
      <w:tr w:rsidR="00D868AB" w:rsidRPr="00D868AB" w14:paraId="70EFC184"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EBA7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050203</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0B493A4"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Regulación y Control.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A90D2B3"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36,056,356</w:t>
            </w:r>
          </w:p>
        </w:tc>
      </w:tr>
      <w:tr w:rsidR="00D868AB" w:rsidRPr="00D868AB" w14:paraId="6886012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FD067"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060000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D4AC52C"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Educación y Cultura.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87B2D4F"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8,025,967,276</w:t>
            </w:r>
          </w:p>
        </w:tc>
      </w:tr>
      <w:tr w:rsidR="00D868AB" w:rsidRPr="00D868AB" w14:paraId="637D44FA"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E6D349"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060100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D449878"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Educación y Cultura.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B9A24A8"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2,603,527,563</w:t>
            </w:r>
          </w:p>
        </w:tc>
      </w:tr>
      <w:tr w:rsidR="00D868AB" w:rsidRPr="00D868AB" w14:paraId="730C155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CC2614"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lastRenderedPageBreak/>
              <w:t>060101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DDD9F63"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Secretaría de Educación y Cultura.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A3875CD"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2,472,791,290</w:t>
            </w:r>
          </w:p>
        </w:tc>
      </w:tr>
      <w:tr w:rsidR="00D868AB" w:rsidRPr="00D868AB" w14:paraId="1C3263DE"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B523E"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060103</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EAEF1CF"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Instituto Superior de Educación Normal del Estado de Colima.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87F7183"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130,736,273</w:t>
            </w:r>
          </w:p>
        </w:tc>
      </w:tr>
      <w:tr w:rsidR="00D868AB" w:rsidRPr="00D868AB" w14:paraId="6C9F666F"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2DF4BE"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060200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213069A"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Subsecretaría de Educación.</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EF0F2CD"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5,310,950,349</w:t>
            </w:r>
          </w:p>
        </w:tc>
      </w:tr>
      <w:tr w:rsidR="00D868AB" w:rsidRPr="00D868AB" w14:paraId="7EE1EC66"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99780"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060201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8A5E7FB"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Subsecretaría de Educación.</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FC18A42"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4,684,182,806</w:t>
            </w:r>
          </w:p>
        </w:tc>
      </w:tr>
      <w:tr w:rsidR="00D868AB" w:rsidRPr="00D868AB" w14:paraId="48834919"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710DF"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060202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78F12C1"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de Educación Pública.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6CF447D"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626,767,543</w:t>
            </w:r>
          </w:p>
        </w:tc>
      </w:tr>
      <w:tr w:rsidR="00D868AB" w:rsidRPr="00D868AB" w14:paraId="60BD0D14"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82E2E"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060300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C307C58"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Subsecretaría de Cultura.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B1F0985"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111,489,364</w:t>
            </w:r>
          </w:p>
        </w:tc>
      </w:tr>
      <w:tr w:rsidR="00D868AB" w:rsidRPr="00D868AB" w14:paraId="1D564CF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BA955"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060301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78BFF65"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Subsecretaría de Cultura.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0D16D2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81,779,153</w:t>
            </w:r>
          </w:p>
        </w:tc>
      </w:tr>
      <w:tr w:rsidR="00D868AB" w:rsidRPr="00D868AB" w14:paraId="1A94E4D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44022"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060302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3AD10FF"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Cultura.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171ECC3"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20,058,682</w:t>
            </w:r>
          </w:p>
        </w:tc>
      </w:tr>
      <w:tr w:rsidR="00D868AB" w:rsidRPr="00D868AB" w14:paraId="59B211F9"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C949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060303</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C7DB921"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Artes y Humanidades.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E33F104"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9,651,529</w:t>
            </w:r>
          </w:p>
        </w:tc>
      </w:tr>
      <w:tr w:rsidR="00D868AB" w:rsidRPr="00D868AB" w14:paraId="4F379437"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87079"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070000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4AFA4D5"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Salud.</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1532ECF"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2,278,923,012</w:t>
            </w:r>
          </w:p>
        </w:tc>
      </w:tr>
      <w:tr w:rsidR="00D868AB" w:rsidRPr="00D868AB" w14:paraId="7702C0C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3DD3BB"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070100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8F066EE"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Salud.</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9A98290"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2,240,988,972</w:t>
            </w:r>
          </w:p>
        </w:tc>
      </w:tr>
      <w:tr w:rsidR="00D868AB" w:rsidRPr="00D868AB" w14:paraId="0E8279D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B674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070101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DA67499"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Secretaría de Salud.</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5D3EEF1"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2,240,988,972</w:t>
            </w:r>
          </w:p>
        </w:tc>
      </w:tr>
      <w:tr w:rsidR="00D868AB" w:rsidRPr="00D868AB" w14:paraId="7D9E8097"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889188"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070200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1843EE3E"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Hospital Materno Infantil.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1178037"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37,934,040</w:t>
            </w:r>
          </w:p>
        </w:tc>
      </w:tr>
      <w:tr w:rsidR="00D868AB" w:rsidRPr="00D868AB" w14:paraId="60BAA5EA"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80D0E"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070201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3D99C30"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Hospital Materno Infantil.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E49CFE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37,934,040</w:t>
            </w:r>
          </w:p>
        </w:tc>
      </w:tr>
      <w:tr w:rsidR="00D868AB" w:rsidRPr="00D868AB" w14:paraId="7EE3A1E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7BF4A5"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080000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5655AB2"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Desarrollo Económico.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C554923"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249,047,992</w:t>
            </w:r>
          </w:p>
        </w:tc>
      </w:tr>
      <w:tr w:rsidR="00D868AB" w:rsidRPr="00D868AB" w14:paraId="15BFBCE7"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6DAC1"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080100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0C31506"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Desarrollo Económico.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70A6B35"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65,820,438</w:t>
            </w:r>
          </w:p>
        </w:tc>
      </w:tr>
      <w:tr w:rsidR="00D868AB" w:rsidRPr="00D868AB" w14:paraId="0DF0FDEA"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EABED"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080101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8D6A446"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Secretaría de Desarrollo Económico.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D68F0F7"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55,952,084</w:t>
            </w:r>
          </w:p>
        </w:tc>
      </w:tr>
      <w:tr w:rsidR="00D868AB" w:rsidRPr="00D868AB" w14:paraId="40864CC6"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9A6BD"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080102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18E8B5C"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Dirección General de Desarrollo Económico.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4851513"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9,868,354</w:t>
            </w:r>
          </w:p>
        </w:tc>
      </w:tr>
      <w:tr w:rsidR="00D868AB" w:rsidRPr="00D868AB" w14:paraId="1801E180"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3C1DB8"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080200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C4D1B39"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Subsecretaría de Desarrollo Rural.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51A2B74"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101,862,197</w:t>
            </w:r>
          </w:p>
        </w:tc>
      </w:tr>
      <w:tr w:rsidR="00D868AB" w:rsidRPr="00D868AB" w14:paraId="1E7C43B9"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4B59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080201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027C76F"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Subsecretaría de Desarrollo Rural.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11ADC25"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101,862,197</w:t>
            </w:r>
          </w:p>
        </w:tc>
      </w:tr>
      <w:tr w:rsidR="00D868AB" w:rsidRPr="00D868AB" w14:paraId="65CE5CB0"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EC03D"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080300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261A832"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Subsecretaría de Turismo.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77E5D4F"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35,108,512</w:t>
            </w:r>
          </w:p>
        </w:tc>
      </w:tr>
      <w:tr w:rsidR="00D868AB" w:rsidRPr="00D868AB" w14:paraId="3F28294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6C699"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080301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CBD9C52"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Subsecretaría de Turismo.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122CD3B"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35,108,512</w:t>
            </w:r>
          </w:p>
        </w:tc>
      </w:tr>
      <w:tr w:rsidR="00D868AB" w:rsidRPr="00D868AB" w14:paraId="7EB6230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532C9"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080400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23A0B41"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Subsecretaría del Trabajo.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7CEAC55"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46,256,845</w:t>
            </w:r>
          </w:p>
        </w:tc>
      </w:tr>
      <w:tr w:rsidR="00D868AB" w:rsidRPr="00D868AB" w14:paraId="6C79055B"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6B9253"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080401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5D94382"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Subsecretaría del Trabajo.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AFFA565"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46,256,845</w:t>
            </w:r>
          </w:p>
        </w:tc>
      </w:tr>
      <w:tr w:rsidR="00D868AB" w:rsidRPr="00D868AB" w14:paraId="39011409"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F6306"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090000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416DDD5"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Contraloría General del Estado.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C490993"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21,345,656</w:t>
            </w:r>
          </w:p>
        </w:tc>
      </w:tr>
      <w:tr w:rsidR="00D868AB" w:rsidRPr="00D868AB" w14:paraId="0CC0CA6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A699E"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090100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262D620"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Contraloría General del Estado.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4BD49B1"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21,345,656</w:t>
            </w:r>
          </w:p>
        </w:tc>
      </w:tr>
      <w:tr w:rsidR="00D868AB" w:rsidRPr="00D868AB" w14:paraId="72B8B49B"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214CEC"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090101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790D779"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Contraloría General del Estado.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AA6F959"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21,345,656</w:t>
            </w:r>
          </w:p>
        </w:tc>
      </w:tr>
      <w:tr w:rsidR="00D868AB" w:rsidRPr="00D868AB" w14:paraId="3607E3BA"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58017"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100000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F3FCDD9"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Seguridad Pública.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DC8A8FE"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659,639,482</w:t>
            </w:r>
          </w:p>
        </w:tc>
      </w:tr>
      <w:tr w:rsidR="00D868AB" w:rsidRPr="00D868AB" w14:paraId="00B91C88"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B82D09"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100100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1FA4A3A3"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Secretaría de Seguridad Pública.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A26773D"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69,551,223</w:t>
            </w:r>
          </w:p>
        </w:tc>
      </w:tr>
      <w:tr w:rsidR="00D868AB" w:rsidRPr="00D868AB" w14:paraId="0872F3C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837D1"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100101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CD21F6B"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Secretaría de Seguridad Pública.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40C5704"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69,551,223</w:t>
            </w:r>
          </w:p>
        </w:tc>
      </w:tr>
      <w:tr w:rsidR="00D868AB" w:rsidRPr="00D868AB" w14:paraId="1D79564E"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E92B3"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100200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D4EB778"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Dirección General de la Policía Estatal Preventiva.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FE1334A"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348,542,566</w:t>
            </w:r>
          </w:p>
        </w:tc>
      </w:tr>
      <w:tr w:rsidR="00D868AB" w:rsidRPr="00D868AB" w14:paraId="2F134550"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F0BF8F"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100201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8F1A6E4"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Dirección General de la Policía Estatal Preventiva.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99C5FC7"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348,542,566</w:t>
            </w:r>
          </w:p>
        </w:tc>
      </w:tr>
      <w:tr w:rsidR="00D868AB" w:rsidRPr="00D868AB" w14:paraId="162D7CAE"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6D6BF"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100300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B791834"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Dirección General de Prevención y Reinserción Social.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FA27348"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182,651,263</w:t>
            </w:r>
          </w:p>
        </w:tc>
      </w:tr>
      <w:tr w:rsidR="00D868AB" w:rsidRPr="00D868AB" w14:paraId="68681D2A"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4EBDC"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100301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FA95028"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Dirección General de Prevención y Reinserción Social.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D74E453"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182,651,263</w:t>
            </w:r>
          </w:p>
        </w:tc>
      </w:tr>
      <w:tr w:rsidR="00D868AB" w:rsidRPr="00D868AB" w14:paraId="07427BC0"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3CC5D"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100400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7341282"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Instituto Especializado en la Ejecución de Medidas para Adolescentes del Estado.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3B6CF7B"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23,574,239</w:t>
            </w:r>
          </w:p>
        </w:tc>
      </w:tr>
      <w:tr w:rsidR="00D868AB" w:rsidRPr="00D868AB" w14:paraId="24F0973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234F7"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100401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006B4C2"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del Instituto Especializado en la Ejecución de Medidas para Adolescentes del Estado.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C5145D4"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23,574,239</w:t>
            </w:r>
          </w:p>
        </w:tc>
      </w:tr>
      <w:tr w:rsidR="00D868AB" w:rsidRPr="00D868AB" w14:paraId="0BC03518"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580C7"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100500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B8A38CB"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Dirección General del Instituto de Formación, Capacitación y Profesionalización Policial.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0B1B02C"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5,559,778</w:t>
            </w:r>
          </w:p>
        </w:tc>
      </w:tr>
      <w:tr w:rsidR="00D868AB" w:rsidRPr="00D868AB" w14:paraId="1689D1A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C19A88"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100501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95231D2"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Dirección General del Instituto de Formación, Capacitación y Profesionalización Policial.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14DF3AC"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5,559,778</w:t>
            </w:r>
          </w:p>
        </w:tc>
      </w:tr>
      <w:tr w:rsidR="00D868AB" w:rsidRPr="00D868AB" w14:paraId="63496CD1"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3D7233"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100600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1052E9A5"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Dirección General de la Policía Auxiliar del Estado de Colima.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7DA0D9F"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27,507,135</w:t>
            </w:r>
          </w:p>
        </w:tc>
      </w:tr>
      <w:tr w:rsidR="00D868AB" w:rsidRPr="00D868AB" w14:paraId="6DEEDC0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E088E3"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lastRenderedPageBreak/>
              <w:t>100601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AF022B6"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Dirección General de la Policía Auxiliar del Estado de Colima.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9708D6F"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27,507,135</w:t>
            </w:r>
          </w:p>
        </w:tc>
      </w:tr>
      <w:tr w:rsidR="00D868AB" w:rsidRPr="00D868AB" w14:paraId="7A50A6B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CBAF5"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100700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F1D39EB"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Subsecretaría de Participación Ciudadana y Prevención del Delito.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F43E262"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2,253,278</w:t>
            </w:r>
          </w:p>
        </w:tc>
      </w:tr>
      <w:tr w:rsidR="00D868AB" w:rsidRPr="00D868AB" w14:paraId="2CBE23F8"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197209"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100701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23880F1"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Subsecretaría de Participación Ciudadana y Prevención del Delito.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CB73D79"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2,253,278</w:t>
            </w:r>
          </w:p>
        </w:tc>
      </w:tr>
      <w:tr w:rsidR="00D868AB" w:rsidRPr="00D868AB" w14:paraId="15ECCFB1"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6AB33"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110000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4928FA9"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Consejería Jurídica del Poder Ejecutivo.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59DE87E"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32,493,560</w:t>
            </w:r>
          </w:p>
        </w:tc>
      </w:tr>
      <w:tr w:rsidR="00D868AB" w:rsidRPr="00D868AB" w14:paraId="6C016A28"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E86955"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110100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71DA5EA"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Consejería Jurídica del Poder Ejecutivo.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772D926"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8,380,832</w:t>
            </w:r>
          </w:p>
        </w:tc>
      </w:tr>
      <w:tr w:rsidR="00D868AB" w:rsidRPr="00D868AB" w14:paraId="7287DA28"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27B31"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110101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04CC79D"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 la Consejería Jurídica del Poder Ejecutivo.</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C92B073"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8,380,832</w:t>
            </w:r>
          </w:p>
        </w:tc>
      </w:tr>
      <w:tr w:rsidR="00D868AB" w:rsidRPr="00D868AB" w14:paraId="0688587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91B14"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110200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1E20B37F"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Dirección General de Control y Gestión Jurídica.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792D1D2"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5,207,567</w:t>
            </w:r>
          </w:p>
        </w:tc>
      </w:tr>
      <w:tr w:rsidR="00D868AB" w:rsidRPr="00D868AB" w14:paraId="13F27A5D"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B63AF3"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110201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50049D4"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Dirección General de Control y Gestión Jurídica.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71D23C7"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5,207,567</w:t>
            </w:r>
          </w:p>
        </w:tc>
      </w:tr>
      <w:tr w:rsidR="00D868AB" w:rsidRPr="00D868AB" w14:paraId="1B1EB7D9"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4CF8EE"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110300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1BF6B6AD"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Instituto de la Defensoría Pública del Estado de Colima.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2CADA1F"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18,905,161</w:t>
            </w:r>
          </w:p>
        </w:tc>
      </w:tr>
      <w:tr w:rsidR="00D868AB" w:rsidRPr="00D868AB" w14:paraId="12701223"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7FB87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110301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2D50673"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Despacho del Instituto de la Defensoría Pública del Estado de Colima.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165335C"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18,905,161</w:t>
            </w:r>
          </w:p>
        </w:tc>
      </w:tr>
      <w:tr w:rsidR="00D868AB" w:rsidRPr="00D868AB" w14:paraId="2A7BBF74"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7487A7"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120000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18501B0"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Transferencias, Asignaciones, Subsidios y Otras Ayudas.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69E85B2"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2,848,714,434</w:t>
            </w:r>
          </w:p>
        </w:tc>
      </w:tr>
      <w:tr w:rsidR="00D868AB" w:rsidRPr="00D868AB" w14:paraId="1C161892"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C8B0C"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120100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71F3742"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Transferencias, Asignaciones, Subsidios y Otras Ayudas.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397A807"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1,308,758,878</w:t>
            </w:r>
          </w:p>
        </w:tc>
      </w:tr>
      <w:tr w:rsidR="00D868AB" w:rsidRPr="00D868AB" w14:paraId="28B79FD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B94E9E"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120101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E09B201"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Transferencias, Asignaciones, Subsidios y Otras Ayudas.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4FEA974"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1,308,758,878</w:t>
            </w:r>
          </w:p>
        </w:tc>
      </w:tr>
      <w:tr w:rsidR="00D868AB" w:rsidRPr="00D868AB" w14:paraId="01771A29"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7C70CC"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120200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C000C96"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Ayudas Sociales.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8EFC576"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400,518,398</w:t>
            </w:r>
          </w:p>
        </w:tc>
      </w:tr>
      <w:tr w:rsidR="00D868AB" w:rsidRPr="00D868AB" w14:paraId="7084F6E4"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345A6"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120201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703D855"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Ayudas Sociales.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98F10D1"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400,518,398</w:t>
            </w:r>
          </w:p>
        </w:tc>
      </w:tr>
      <w:tr w:rsidR="00D868AB" w:rsidRPr="00D868AB" w14:paraId="7821709E"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008848"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120300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7790AF3"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Pensiones y Jubilaciones.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9A5C91E"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1,139,437,158</w:t>
            </w:r>
          </w:p>
        </w:tc>
      </w:tr>
      <w:tr w:rsidR="00D868AB" w:rsidRPr="00D868AB" w14:paraId="5149B5EA"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EA4CBE"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120301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88EEBDD"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Pensiones Magisterio y Burocracia.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DFB6B22"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351,959,346</w:t>
            </w:r>
          </w:p>
        </w:tc>
      </w:tr>
      <w:tr w:rsidR="00D868AB" w:rsidRPr="00D868AB" w14:paraId="1AB09464"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4C58D"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120302</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64AB6925"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Jubilaciones Magisterio y Burocracia.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1EED8FC1"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787,477,812</w:t>
            </w:r>
          </w:p>
        </w:tc>
      </w:tr>
      <w:tr w:rsidR="00D868AB" w:rsidRPr="00D868AB" w14:paraId="5AEB04D5"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39796D"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130000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EF40DCF"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Participaciones y Aportaciones.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3C2956C"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3,297,624,261</w:t>
            </w:r>
          </w:p>
        </w:tc>
      </w:tr>
      <w:tr w:rsidR="00D868AB" w:rsidRPr="00D868AB" w14:paraId="2DDD2ED3"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254CDA"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130100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3020923"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Participaciones y Aportaciones.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0253133"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3,297,624,261</w:t>
            </w:r>
          </w:p>
        </w:tc>
      </w:tr>
      <w:tr w:rsidR="00D868AB" w:rsidRPr="00D868AB" w14:paraId="16B1C4D0"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A0F18"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130101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F01C903"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Participaciones y Aportaciones.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728941E4"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3,297,624,261</w:t>
            </w:r>
          </w:p>
        </w:tc>
      </w:tr>
      <w:tr w:rsidR="00D868AB" w:rsidRPr="00D868AB" w14:paraId="56EFA85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81224"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140000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83CB9DB"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Erogaciones Extraordinarias.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CB2EB09"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1,800,000</w:t>
            </w:r>
          </w:p>
        </w:tc>
      </w:tr>
      <w:tr w:rsidR="00D868AB" w:rsidRPr="00D868AB" w14:paraId="1FCDB83A"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1AC76F"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140100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561CA62"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Erogaciones Extraordinarias.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439E025E"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1,800,000</w:t>
            </w:r>
          </w:p>
        </w:tc>
      </w:tr>
      <w:tr w:rsidR="00D868AB" w:rsidRPr="00D868AB" w14:paraId="3820B95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214803"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140101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41D464BF"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Erogaciones Extraordinarias.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C29BC12"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1,800,000</w:t>
            </w:r>
          </w:p>
        </w:tc>
      </w:tr>
      <w:tr w:rsidR="00D868AB" w:rsidRPr="00D868AB" w14:paraId="46B7B220"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3C873"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150000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6DDCF4D"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Cancelación de Pasivos.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666898D"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157,361,143</w:t>
            </w:r>
          </w:p>
        </w:tc>
      </w:tr>
      <w:tr w:rsidR="00D868AB" w:rsidRPr="00D868AB" w14:paraId="03C21122"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394F8B"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150100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1AD39C7"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Cancelación de Pasivos.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D8E3632"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157,361,143</w:t>
            </w:r>
          </w:p>
        </w:tc>
      </w:tr>
      <w:tr w:rsidR="00D868AB" w:rsidRPr="00D868AB" w14:paraId="683D466A"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17FE39"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150101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7E80A55F"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Cancelación de Pasivos.</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8553775"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157,361,143</w:t>
            </w:r>
          </w:p>
        </w:tc>
      </w:tr>
      <w:tr w:rsidR="00D868AB" w:rsidRPr="00D868AB" w14:paraId="15BA7CA2"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33238"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160000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086A3C6E"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Deuda Pública.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6E9CF045"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732,291,440</w:t>
            </w:r>
          </w:p>
        </w:tc>
      </w:tr>
      <w:tr w:rsidR="00D868AB" w:rsidRPr="00D868AB" w14:paraId="433E5AD6"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C062E"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160100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3595D672"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Amortizaciones de la Deuda.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5050B50C"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309,935,579</w:t>
            </w:r>
          </w:p>
        </w:tc>
      </w:tr>
      <w:tr w:rsidR="00D868AB" w:rsidRPr="00D868AB" w14:paraId="24014474"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2F968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160101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1EAEFAF6"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Amortizaciones de la Deuda.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39DE6624"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309,935,579</w:t>
            </w:r>
          </w:p>
        </w:tc>
      </w:tr>
      <w:tr w:rsidR="00D868AB" w:rsidRPr="00D868AB" w14:paraId="393796DC"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ABD3A8"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160200</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5DE3B2BD" w14:textId="77777777" w:rsidR="00D868AB" w:rsidRPr="00D868AB" w:rsidRDefault="00D868AB" w:rsidP="00D868AB">
            <w:pPr>
              <w:rPr>
                <w:rFonts w:eastAsia="Times New Roman" w:cs="Arial"/>
                <w:b/>
                <w:bCs/>
                <w:color w:val="000000"/>
                <w:sz w:val="18"/>
                <w:szCs w:val="18"/>
              </w:rPr>
            </w:pPr>
            <w:r w:rsidRPr="00D868AB">
              <w:rPr>
                <w:rFonts w:eastAsia="Times New Roman" w:cs="Arial"/>
                <w:b/>
                <w:bCs/>
                <w:color w:val="000000"/>
                <w:sz w:val="18"/>
                <w:szCs w:val="18"/>
              </w:rPr>
              <w:t>Intereses de la Deuda Pública.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034CED48"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422,355,861</w:t>
            </w:r>
          </w:p>
        </w:tc>
      </w:tr>
      <w:tr w:rsidR="00D868AB" w:rsidRPr="00D868AB" w14:paraId="5BE4F97F"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33624"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160201</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460C0BF"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Intereses de la Deuda Pública.</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ECF25AC"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422,355,861</w:t>
            </w:r>
          </w:p>
        </w:tc>
      </w:tr>
      <w:tr w:rsidR="00D868AB" w:rsidRPr="00D868AB" w14:paraId="306730FE" w14:textId="77777777" w:rsidTr="00A755A7">
        <w:trPr>
          <w:trHeight w:val="20"/>
          <w:jc w:val="center"/>
        </w:trPr>
        <w:tc>
          <w:tcPr>
            <w:tcW w:w="8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457F2" w14:textId="77777777" w:rsidR="00D868AB" w:rsidRPr="00D868AB" w:rsidRDefault="00D868AB" w:rsidP="00D868AB">
            <w:pPr>
              <w:jc w:val="left"/>
              <w:rPr>
                <w:rFonts w:eastAsia="Times New Roman" w:cs="Arial"/>
                <w:b/>
                <w:bCs/>
                <w:color w:val="000000"/>
                <w:sz w:val="18"/>
                <w:szCs w:val="18"/>
              </w:rPr>
            </w:pPr>
            <w:r w:rsidRPr="00D868AB">
              <w:rPr>
                <w:rFonts w:eastAsia="Times New Roman" w:cs="Arial"/>
                <w:b/>
                <w:bCs/>
                <w:color w:val="000000"/>
                <w:sz w:val="18"/>
                <w:szCs w:val="18"/>
              </w:rPr>
              <w:t> </w:t>
            </w:r>
          </w:p>
        </w:tc>
        <w:tc>
          <w:tcPr>
            <w:tcW w:w="6133" w:type="dxa"/>
            <w:tcBorders>
              <w:top w:val="single" w:sz="4" w:space="0" w:color="auto"/>
              <w:left w:val="nil"/>
              <w:bottom w:val="single" w:sz="4" w:space="0" w:color="auto"/>
              <w:right w:val="single" w:sz="4" w:space="0" w:color="auto"/>
            </w:tcBorders>
            <w:shd w:val="clear" w:color="auto" w:fill="auto"/>
            <w:noWrap/>
            <w:vAlign w:val="center"/>
            <w:hideMark/>
          </w:tcPr>
          <w:p w14:paraId="2AEEE4D0"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Total</w:t>
            </w:r>
          </w:p>
        </w:tc>
        <w:tc>
          <w:tcPr>
            <w:tcW w:w="1531" w:type="dxa"/>
            <w:tcBorders>
              <w:top w:val="single" w:sz="4" w:space="0" w:color="auto"/>
              <w:left w:val="nil"/>
              <w:bottom w:val="single" w:sz="4" w:space="0" w:color="auto"/>
              <w:right w:val="single" w:sz="4" w:space="0" w:color="auto"/>
            </w:tcBorders>
            <w:shd w:val="clear" w:color="auto" w:fill="auto"/>
            <w:noWrap/>
            <w:vAlign w:val="center"/>
          </w:tcPr>
          <w:p w14:paraId="29CCC9D1"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18"/>
                <w:szCs w:val="18"/>
              </w:rPr>
              <w:t>20,555,300,000</w:t>
            </w:r>
          </w:p>
        </w:tc>
      </w:tr>
    </w:tbl>
    <w:p w14:paraId="01CF407E" w14:textId="77777777" w:rsidR="00D868AB" w:rsidRPr="00D868AB" w:rsidRDefault="00D868AB" w:rsidP="00D868AB">
      <w:pPr>
        <w:rPr>
          <w:rFonts w:cs="Arial"/>
        </w:rPr>
      </w:pPr>
    </w:p>
    <w:p w14:paraId="06E9C871" w14:textId="77777777" w:rsidR="00D868AB" w:rsidRPr="00D868AB" w:rsidRDefault="00D868AB" w:rsidP="00D868AB">
      <w:pPr>
        <w:ind w:left="567" w:hanging="567"/>
        <w:rPr>
          <w:rFonts w:eastAsia="Times New Roman" w:cs="Arial"/>
        </w:rPr>
      </w:pPr>
    </w:p>
    <w:p w14:paraId="51BB400A" w14:textId="77777777" w:rsidR="00D868AB" w:rsidRPr="00D868AB" w:rsidRDefault="00D868AB" w:rsidP="00D868AB">
      <w:pPr>
        <w:ind w:left="567" w:hanging="567"/>
        <w:rPr>
          <w:rFonts w:eastAsia="Times New Roman" w:cs="Arial"/>
        </w:rPr>
      </w:pPr>
      <w:r w:rsidRPr="00D868AB">
        <w:rPr>
          <w:rFonts w:eastAsia="Times New Roman" w:cs="Arial"/>
        </w:rPr>
        <w:t>III.</w:t>
      </w:r>
      <w:r w:rsidRPr="00D868AB">
        <w:rPr>
          <w:rFonts w:eastAsia="Times New Roman" w:cs="Arial"/>
        </w:rPr>
        <w:tab/>
        <w:t>Las asignaciones previstas con recursos de libre disposición para la</w:t>
      </w:r>
      <w:r w:rsidRPr="00D868AB">
        <w:rPr>
          <w:rFonts w:eastAsia="Times New Roman" w:cs="Arial"/>
          <w:b/>
        </w:rPr>
        <w:t xml:space="preserve"> Administración Pública Paraestatal</w:t>
      </w:r>
      <w:r w:rsidRPr="00D868AB">
        <w:rPr>
          <w:rFonts w:eastAsia="Times New Roman" w:cs="Arial"/>
        </w:rPr>
        <w:t>, se distribuyen de la siguiente manera:</w:t>
      </w:r>
    </w:p>
    <w:tbl>
      <w:tblPr>
        <w:tblW w:w="8361" w:type="dxa"/>
        <w:jc w:val="center"/>
        <w:tblCellMar>
          <w:left w:w="70" w:type="dxa"/>
          <w:right w:w="70" w:type="dxa"/>
        </w:tblCellMar>
        <w:tblLook w:val="04A0" w:firstRow="1" w:lastRow="0" w:firstColumn="1" w:lastColumn="0" w:noHBand="0" w:noVBand="1"/>
      </w:tblPr>
      <w:tblGrid>
        <w:gridCol w:w="697"/>
        <w:gridCol w:w="6244"/>
        <w:gridCol w:w="1420"/>
      </w:tblGrid>
      <w:tr w:rsidR="00D868AB" w:rsidRPr="00D868AB" w14:paraId="4C62ECC5" w14:textId="77777777" w:rsidTr="00A755A7">
        <w:trPr>
          <w:trHeight w:val="20"/>
          <w:tblHeader/>
          <w:jc w:val="center"/>
        </w:trPr>
        <w:tc>
          <w:tcPr>
            <w:tcW w:w="8361" w:type="dxa"/>
            <w:gridSpan w:val="3"/>
            <w:tcBorders>
              <w:bottom w:val="single" w:sz="4" w:space="0" w:color="auto"/>
            </w:tcBorders>
            <w:shd w:val="clear" w:color="auto" w:fill="auto"/>
            <w:vAlign w:val="center"/>
          </w:tcPr>
          <w:p w14:paraId="3A90EF76" w14:textId="77777777" w:rsidR="00D868AB" w:rsidRPr="00D868AB" w:rsidRDefault="00D868AB" w:rsidP="00D868AB">
            <w:pPr>
              <w:jc w:val="center"/>
              <w:rPr>
                <w:rFonts w:eastAsia="Times New Roman" w:cs="Arial"/>
                <w:b/>
                <w:strike/>
                <w:sz w:val="20"/>
                <w:szCs w:val="20"/>
              </w:rPr>
            </w:pPr>
            <w:r w:rsidRPr="00D868AB">
              <w:rPr>
                <w:rFonts w:eastAsia="Times New Roman" w:cs="Arial"/>
                <w:b/>
                <w:sz w:val="20"/>
                <w:szCs w:val="20"/>
              </w:rPr>
              <w:lastRenderedPageBreak/>
              <w:t>Tabla 22. Transferencias a la Administración Pública Paraestatal</w:t>
            </w:r>
          </w:p>
          <w:p w14:paraId="653F6718"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sz w:val="20"/>
                <w:szCs w:val="20"/>
              </w:rPr>
              <w:t>(Aportación Estatal)</w:t>
            </w:r>
          </w:p>
        </w:tc>
      </w:tr>
      <w:tr w:rsidR="00D868AB" w:rsidRPr="00D868AB" w14:paraId="671A8159" w14:textId="77777777" w:rsidTr="00A755A7">
        <w:trPr>
          <w:trHeight w:val="20"/>
          <w:tblHeader/>
          <w:jc w:val="center"/>
        </w:trPr>
        <w:tc>
          <w:tcPr>
            <w:tcW w:w="6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220E5F"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Clave</w:t>
            </w:r>
          </w:p>
        </w:tc>
        <w:tc>
          <w:tcPr>
            <w:tcW w:w="6244" w:type="dxa"/>
            <w:tcBorders>
              <w:top w:val="single" w:sz="4" w:space="0" w:color="auto"/>
              <w:left w:val="nil"/>
              <w:bottom w:val="single" w:sz="4" w:space="0" w:color="auto"/>
              <w:right w:val="single" w:sz="4" w:space="0" w:color="auto"/>
            </w:tcBorders>
            <w:shd w:val="clear" w:color="auto" w:fill="auto"/>
            <w:noWrap/>
            <w:vAlign w:val="center"/>
            <w:hideMark/>
          </w:tcPr>
          <w:p w14:paraId="578E0CF4"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Concepto</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14:paraId="7F93E08D"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Asignación Presupuestal</w:t>
            </w:r>
          </w:p>
        </w:tc>
      </w:tr>
      <w:tr w:rsidR="00D868AB" w:rsidRPr="00D868AB" w14:paraId="13285C78"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EE1248C"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1E43FA4F" w14:textId="77777777" w:rsidR="00D868AB" w:rsidRPr="00D868AB" w:rsidRDefault="00D868AB" w:rsidP="00D868AB">
            <w:pPr>
              <w:jc w:val="left"/>
              <w:rPr>
                <w:rFonts w:eastAsia="Times New Roman" w:cs="Arial"/>
                <w:b/>
                <w:bCs/>
                <w:color w:val="000000"/>
                <w:sz w:val="18"/>
                <w:szCs w:val="18"/>
              </w:rPr>
            </w:pPr>
            <w:r w:rsidRPr="00D868AB">
              <w:rPr>
                <w:rFonts w:eastAsia="Times New Roman" w:cs="Arial"/>
                <w:b/>
                <w:bCs/>
                <w:color w:val="000000"/>
                <w:sz w:val="18"/>
                <w:szCs w:val="18"/>
              </w:rPr>
              <w:t>Oficina de la Gubernatura.</w:t>
            </w:r>
          </w:p>
        </w:tc>
        <w:tc>
          <w:tcPr>
            <w:tcW w:w="1420" w:type="dxa"/>
            <w:tcBorders>
              <w:top w:val="nil"/>
              <w:left w:val="nil"/>
              <w:bottom w:val="single" w:sz="4" w:space="0" w:color="auto"/>
              <w:right w:val="single" w:sz="4" w:space="0" w:color="auto"/>
            </w:tcBorders>
            <w:shd w:val="clear" w:color="auto" w:fill="auto"/>
            <w:noWrap/>
            <w:vAlign w:val="bottom"/>
            <w:hideMark/>
          </w:tcPr>
          <w:p w14:paraId="30E66E75"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 </w:t>
            </w:r>
          </w:p>
        </w:tc>
      </w:tr>
      <w:tr w:rsidR="00D868AB" w:rsidRPr="00D868AB" w14:paraId="635E1BE9"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E701288"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41510</w:t>
            </w:r>
          </w:p>
        </w:tc>
        <w:tc>
          <w:tcPr>
            <w:tcW w:w="6244" w:type="dxa"/>
            <w:tcBorders>
              <w:top w:val="nil"/>
              <w:left w:val="nil"/>
              <w:bottom w:val="single" w:sz="4" w:space="0" w:color="auto"/>
              <w:right w:val="single" w:sz="4" w:space="0" w:color="auto"/>
            </w:tcBorders>
            <w:shd w:val="clear" w:color="auto" w:fill="auto"/>
            <w:noWrap/>
            <w:vAlign w:val="center"/>
            <w:hideMark/>
          </w:tcPr>
          <w:p w14:paraId="7C83A1F3"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Colimense de Radio y Televisión.</w:t>
            </w:r>
          </w:p>
        </w:tc>
        <w:tc>
          <w:tcPr>
            <w:tcW w:w="1420" w:type="dxa"/>
            <w:tcBorders>
              <w:top w:val="nil"/>
              <w:left w:val="nil"/>
              <w:bottom w:val="single" w:sz="4" w:space="0" w:color="auto"/>
              <w:right w:val="single" w:sz="4" w:space="0" w:color="auto"/>
            </w:tcBorders>
            <w:shd w:val="clear" w:color="auto" w:fill="auto"/>
            <w:noWrap/>
            <w:vAlign w:val="center"/>
          </w:tcPr>
          <w:p w14:paraId="60E8F078"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23,748,507</w:t>
            </w:r>
          </w:p>
        </w:tc>
      </w:tr>
      <w:tr w:rsidR="00D868AB" w:rsidRPr="00D868AB" w14:paraId="2622CA05"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C619E33"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37FEDB3A" w14:textId="77777777" w:rsidR="00D868AB" w:rsidRPr="00D868AB" w:rsidRDefault="00D868AB" w:rsidP="00D868AB">
            <w:pPr>
              <w:jc w:val="left"/>
              <w:rPr>
                <w:rFonts w:eastAsia="Times New Roman" w:cs="Arial"/>
                <w:b/>
                <w:bCs/>
                <w:color w:val="000000"/>
                <w:sz w:val="18"/>
                <w:szCs w:val="18"/>
              </w:rPr>
            </w:pPr>
            <w:r w:rsidRPr="00D868AB">
              <w:rPr>
                <w:rFonts w:eastAsia="Times New Roman" w:cs="Arial"/>
                <w:b/>
                <w:bCs/>
                <w:color w:val="000000"/>
                <w:sz w:val="18"/>
                <w:szCs w:val="18"/>
              </w:rPr>
              <w:t>Secretaría General de Gobierno.</w:t>
            </w:r>
          </w:p>
        </w:tc>
        <w:tc>
          <w:tcPr>
            <w:tcW w:w="1420" w:type="dxa"/>
            <w:tcBorders>
              <w:top w:val="nil"/>
              <w:left w:val="nil"/>
              <w:bottom w:val="single" w:sz="4" w:space="0" w:color="auto"/>
              <w:right w:val="single" w:sz="4" w:space="0" w:color="auto"/>
            </w:tcBorders>
            <w:shd w:val="clear" w:color="auto" w:fill="auto"/>
            <w:noWrap/>
            <w:vAlign w:val="center"/>
          </w:tcPr>
          <w:p w14:paraId="472D0B99"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 </w:t>
            </w:r>
          </w:p>
        </w:tc>
      </w:tr>
      <w:tr w:rsidR="00D868AB" w:rsidRPr="00D868AB" w14:paraId="22362295"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FACE8B3"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41501</w:t>
            </w:r>
          </w:p>
        </w:tc>
        <w:tc>
          <w:tcPr>
            <w:tcW w:w="6244" w:type="dxa"/>
            <w:tcBorders>
              <w:top w:val="nil"/>
              <w:left w:val="nil"/>
              <w:bottom w:val="single" w:sz="4" w:space="0" w:color="auto"/>
              <w:right w:val="single" w:sz="4" w:space="0" w:color="auto"/>
            </w:tcBorders>
            <w:shd w:val="clear" w:color="auto" w:fill="auto"/>
            <w:noWrap/>
            <w:vAlign w:val="center"/>
            <w:hideMark/>
          </w:tcPr>
          <w:p w14:paraId="4767EE6C"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Comisión de Búsqueda de Personas del Estado de Colima.</w:t>
            </w:r>
          </w:p>
        </w:tc>
        <w:tc>
          <w:tcPr>
            <w:tcW w:w="1420" w:type="dxa"/>
            <w:tcBorders>
              <w:top w:val="nil"/>
              <w:left w:val="nil"/>
              <w:bottom w:val="single" w:sz="4" w:space="0" w:color="auto"/>
              <w:right w:val="single" w:sz="4" w:space="0" w:color="auto"/>
            </w:tcBorders>
            <w:shd w:val="clear" w:color="auto" w:fill="auto"/>
            <w:noWrap/>
            <w:vAlign w:val="center"/>
          </w:tcPr>
          <w:p w14:paraId="79328570"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1,800,000</w:t>
            </w:r>
          </w:p>
        </w:tc>
      </w:tr>
      <w:tr w:rsidR="00D868AB" w:rsidRPr="00D868AB" w14:paraId="659814D8"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1D98294"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41512</w:t>
            </w:r>
          </w:p>
        </w:tc>
        <w:tc>
          <w:tcPr>
            <w:tcW w:w="6244" w:type="dxa"/>
            <w:tcBorders>
              <w:top w:val="nil"/>
              <w:left w:val="nil"/>
              <w:bottom w:val="single" w:sz="4" w:space="0" w:color="auto"/>
              <w:right w:val="single" w:sz="4" w:space="0" w:color="auto"/>
            </w:tcBorders>
            <w:shd w:val="clear" w:color="auto" w:fill="auto"/>
            <w:noWrap/>
            <w:vAlign w:val="center"/>
            <w:hideMark/>
          </w:tcPr>
          <w:p w14:paraId="60731013"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Centro Estatal para la Prevención y Atención a la Violencia Familiar.</w:t>
            </w:r>
          </w:p>
        </w:tc>
        <w:tc>
          <w:tcPr>
            <w:tcW w:w="1420" w:type="dxa"/>
            <w:tcBorders>
              <w:top w:val="nil"/>
              <w:left w:val="nil"/>
              <w:bottom w:val="single" w:sz="4" w:space="0" w:color="auto"/>
              <w:right w:val="single" w:sz="4" w:space="0" w:color="auto"/>
            </w:tcBorders>
            <w:shd w:val="clear" w:color="auto" w:fill="auto"/>
            <w:noWrap/>
            <w:vAlign w:val="center"/>
          </w:tcPr>
          <w:p w14:paraId="393C9E77"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3,927,906</w:t>
            </w:r>
          </w:p>
        </w:tc>
      </w:tr>
      <w:tr w:rsidR="00D868AB" w:rsidRPr="00D868AB" w14:paraId="09553A4A"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664859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41523</w:t>
            </w:r>
          </w:p>
        </w:tc>
        <w:tc>
          <w:tcPr>
            <w:tcW w:w="6244" w:type="dxa"/>
            <w:tcBorders>
              <w:top w:val="nil"/>
              <w:left w:val="nil"/>
              <w:bottom w:val="single" w:sz="4" w:space="0" w:color="auto"/>
              <w:right w:val="single" w:sz="4" w:space="0" w:color="auto"/>
            </w:tcBorders>
            <w:shd w:val="clear" w:color="auto" w:fill="auto"/>
            <w:noWrap/>
            <w:vAlign w:val="center"/>
            <w:hideMark/>
          </w:tcPr>
          <w:p w14:paraId="29662456"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para el Registro del Territorio del Estado de Colima.</w:t>
            </w:r>
          </w:p>
        </w:tc>
        <w:tc>
          <w:tcPr>
            <w:tcW w:w="1420" w:type="dxa"/>
            <w:tcBorders>
              <w:top w:val="nil"/>
              <w:left w:val="nil"/>
              <w:bottom w:val="single" w:sz="4" w:space="0" w:color="auto"/>
              <w:right w:val="single" w:sz="4" w:space="0" w:color="auto"/>
            </w:tcBorders>
            <w:shd w:val="clear" w:color="auto" w:fill="auto"/>
            <w:noWrap/>
            <w:vAlign w:val="center"/>
          </w:tcPr>
          <w:p w14:paraId="4E8CC458"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39,868,422</w:t>
            </w:r>
          </w:p>
        </w:tc>
      </w:tr>
      <w:tr w:rsidR="00D868AB" w:rsidRPr="00D868AB" w14:paraId="5CA2835A"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5A9E5F4"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41563</w:t>
            </w:r>
          </w:p>
        </w:tc>
        <w:tc>
          <w:tcPr>
            <w:tcW w:w="6244" w:type="dxa"/>
            <w:tcBorders>
              <w:top w:val="nil"/>
              <w:left w:val="nil"/>
              <w:bottom w:val="single" w:sz="4" w:space="0" w:color="auto"/>
              <w:right w:val="single" w:sz="4" w:space="0" w:color="auto"/>
            </w:tcBorders>
            <w:shd w:val="clear" w:color="auto" w:fill="auto"/>
            <w:noWrap/>
            <w:vAlign w:val="center"/>
            <w:hideMark/>
          </w:tcPr>
          <w:p w14:paraId="01E7768B"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Procuraduría de Protección de Niñas, Niños y Adolescentes.</w:t>
            </w:r>
          </w:p>
        </w:tc>
        <w:tc>
          <w:tcPr>
            <w:tcW w:w="1420" w:type="dxa"/>
            <w:tcBorders>
              <w:top w:val="nil"/>
              <w:left w:val="nil"/>
              <w:bottom w:val="single" w:sz="4" w:space="0" w:color="auto"/>
              <w:right w:val="single" w:sz="4" w:space="0" w:color="auto"/>
            </w:tcBorders>
            <w:shd w:val="clear" w:color="auto" w:fill="auto"/>
            <w:noWrap/>
            <w:vAlign w:val="center"/>
          </w:tcPr>
          <w:p w14:paraId="27BB6F1D"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11,411,409</w:t>
            </w:r>
          </w:p>
        </w:tc>
      </w:tr>
      <w:tr w:rsidR="00D868AB" w:rsidRPr="00D868AB" w14:paraId="423A495C"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196000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44801</w:t>
            </w:r>
          </w:p>
        </w:tc>
        <w:tc>
          <w:tcPr>
            <w:tcW w:w="6244" w:type="dxa"/>
            <w:tcBorders>
              <w:top w:val="nil"/>
              <w:left w:val="nil"/>
              <w:bottom w:val="single" w:sz="4" w:space="0" w:color="auto"/>
              <w:right w:val="single" w:sz="4" w:space="0" w:color="auto"/>
            </w:tcBorders>
            <w:shd w:val="clear" w:color="auto" w:fill="auto"/>
            <w:noWrap/>
            <w:vAlign w:val="center"/>
            <w:hideMark/>
          </w:tcPr>
          <w:p w14:paraId="528C727F"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Unidad Estatal de Protección Civil.</w:t>
            </w:r>
          </w:p>
        </w:tc>
        <w:tc>
          <w:tcPr>
            <w:tcW w:w="1420" w:type="dxa"/>
            <w:tcBorders>
              <w:top w:val="nil"/>
              <w:left w:val="nil"/>
              <w:bottom w:val="single" w:sz="4" w:space="0" w:color="auto"/>
              <w:right w:val="single" w:sz="4" w:space="0" w:color="auto"/>
            </w:tcBorders>
            <w:shd w:val="clear" w:color="auto" w:fill="auto"/>
            <w:noWrap/>
            <w:vAlign w:val="center"/>
          </w:tcPr>
          <w:p w14:paraId="71115D6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19,383,525</w:t>
            </w:r>
          </w:p>
        </w:tc>
      </w:tr>
      <w:tr w:rsidR="00D868AB" w:rsidRPr="00D868AB" w14:paraId="447618DA"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11D26C3"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6664E699" w14:textId="77777777" w:rsidR="00D868AB" w:rsidRPr="00D868AB" w:rsidRDefault="00D868AB" w:rsidP="00D868AB">
            <w:pPr>
              <w:jc w:val="left"/>
              <w:rPr>
                <w:rFonts w:eastAsia="Times New Roman" w:cs="Arial"/>
                <w:b/>
                <w:bCs/>
                <w:color w:val="000000"/>
                <w:sz w:val="18"/>
                <w:szCs w:val="18"/>
              </w:rPr>
            </w:pPr>
            <w:r w:rsidRPr="00D868AB">
              <w:rPr>
                <w:rFonts w:eastAsia="Times New Roman" w:cs="Arial"/>
                <w:b/>
                <w:bCs/>
                <w:color w:val="000000"/>
                <w:sz w:val="18"/>
                <w:szCs w:val="18"/>
              </w:rPr>
              <w:t>Secretaría de Planeación, Finanzas y Administración.</w:t>
            </w:r>
          </w:p>
        </w:tc>
        <w:tc>
          <w:tcPr>
            <w:tcW w:w="1420" w:type="dxa"/>
            <w:tcBorders>
              <w:top w:val="nil"/>
              <w:left w:val="nil"/>
              <w:bottom w:val="single" w:sz="4" w:space="0" w:color="auto"/>
              <w:right w:val="single" w:sz="4" w:space="0" w:color="auto"/>
            </w:tcBorders>
            <w:shd w:val="clear" w:color="auto" w:fill="auto"/>
            <w:noWrap/>
            <w:vAlign w:val="center"/>
          </w:tcPr>
          <w:p w14:paraId="47EF5AAA"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 </w:t>
            </w:r>
          </w:p>
        </w:tc>
      </w:tr>
      <w:tr w:rsidR="00D868AB" w:rsidRPr="00D868AB" w14:paraId="0007B0F2"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1A44F05"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41124</w:t>
            </w:r>
          </w:p>
        </w:tc>
        <w:tc>
          <w:tcPr>
            <w:tcW w:w="6244" w:type="dxa"/>
            <w:tcBorders>
              <w:top w:val="nil"/>
              <w:left w:val="nil"/>
              <w:bottom w:val="single" w:sz="4" w:space="0" w:color="auto"/>
              <w:right w:val="single" w:sz="4" w:space="0" w:color="auto"/>
            </w:tcBorders>
            <w:shd w:val="clear" w:color="auto" w:fill="auto"/>
            <w:noWrap/>
            <w:vAlign w:val="center"/>
            <w:hideMark/>
          </w:tcPr>
          <w:p w14:paraId="177834E8"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Técnico Hacendario del Estado de Colima.</w:t>
            </w:r>
          </w:p>
        </w:tc>
        <w:tc>
          <w:tcPr>
            <w:tcW w:w="1420" w:type="dxa"/>
            <w:tcBorders>
              <w:top w:val="nil"/>
              <w:left w:val="nil"/>
              <w:bottom w:val="single" w:sz="4" w:space="0" w:color="auto"/>
              <w:right w:val="single" w:sz="4" w:space="0" w:color="auto"/>
            </w:tcBorders>
            <w:shd w:val="clear" w:color="auto" w:fill="auto"/>
            <w:noWrap/>
            <w:vAlign w:val="center"/>
          </w:tcPr>
          <w:p w14:paraId="799263B3"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1,068,432</w:t>
            </w:r>
          </w:p>
        </w:tc>
      </w:tr>
      <w:tr w:rsidR="00D868AB" w:rsidRPr="00D868AB" w14:paraId="3C938765"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21BE6C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41504</w:t>
            </w:r>
          </w:p>
        </w:tc>
        <w:tc>
          <w:tcPr>
            <w:tcW w:w="6244" w:type="dxa"/>
            <w:tcBorders>
              <w:top w:val="nil"/>
              <w:left w:val="nil"/>
              <w:bottom w:val="single" w:sz="4" w:space="0" w:color="auto"/>
              <w:right w:val="single" w:sz="4" w:space="0" w:color="auto"/>
            </w:tcBorders>
            <w:shd w:val="clear" w:color="auto" w:fill="auto"/>
            <w:noWrap/>
            <w:vAlign w:val="center"/>
            <w:hideMark/>
          </w:tcPr>
          <w:p w14:paraId="4371BA09"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Consejo de Participación Social del Estado de Colima.</w:t>
            </w:r>
          </w:p>
        </w:tc>
        <w:tc>
          <w:tcPr>
            <w:tcW w:w="1420" w:type="dxa"/>
            <w:tcBorders>
              <w:top w:val="nil"/>
              <w:left w:val="nil"/>
              <w:bottom w:val="single" w:sz="4" w:space="0" w:color="auto"/>
              <w:right w:val="single" w:sz="4" w:space="0" w:color="auto"/>
            </w:tcBorders>
            <w:shd w:val="clear" w:color="auto" w:fill="auto"/>
            <w:noWrap/>
            <w:vAlign w:val="center"/>
          </w:tcPr>
          <w:p w14:paraId="7CFACCE6"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517,150</w:t>
            </w:r>
          </w:p>
        </w:tc>
      </w:tr>
      <w:tr w:rsidR="00D868AB" w:rsidRPr="00D868AB" w14:paraId="3F70E59B"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2BE00A4"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41521</w:t>
            </w:r>
          </w:p>
        </w:tc>
        <w:tc>
          <w:tcPr>
            <w:tcW w:w="6244" w:type="dxa"/>
            <w:tcBorders>
              <w:top w:val="nil"/>
              <w:left w:val="nil"/>
              <w:bottom w:val="single" w:sz="4" w:space="0" w:color="auto"/>
              <w:right w:val="single" w:sz="4" w:space="0" w:color="auto"/>
            </w:tcBorders>
            <w:shd w:val="clear" w:color="auto" w:fill="auto"/>
            <w:noWrap/>
            <w:vAlign w:val="center"/>
            <w:hideMark/>
          </w:tcPr>
          <w:p w14:paraId="4E2B49FA"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Colimense para la Sociedad de la Información y el Conocimiento.</w:t>
            </w:r>
          </w:p>
        </w:tc>
        <w:tc>
          <w:tcPr>
            <w:tcW w:w="1420" w:type="dxa"/>
            <w:tcBorders>
              <w:top w:val="nil"/>
              <w:left w:val="nil"/>
              <w:bottom w:val="single" w:sz="4" w:space="0" w:color="auto"/>
              <w:right w:val="single" w:sz="4" w:space="0" w:color="auto"/>
            </w:tcBorders>
            <w:shd w:val="clear" w:color="auto" w:fill="auto"/>
            <w:noWrap/>
            <w:vAlign w:val="center"/>
          </w:tcPr>
          <w:p w14:paraId="6DC1D0B7"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17,687,913</w:t>
            </w:r>
          </w:p>
        </w:tc>
      </w:tr>
      <w:tr w:rsidR="00D868AB" w:rsidRPr="00D868AB" w14:paraId="4066351F"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9253F27"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41561</w:t>
            </w:r>
          </w:p>
        </w:tc>
        <w:tc>
          <w:tcPr>
            <w:tcW w:w="6244" w:type="dxa"/>
            <w:tcBorders>
              <w:top w:val="nil"/>
              <w:left w:val="nil"/>
              <w:bottom w:val="single" w:sz="4" w:space="0" w:color="auto"/>
              <w:right w:val="single" w:sz="4" w:space="0" w:color="auto"/>
            </w:tcBorders>
            <w:shd w:val="clear" w:color="auto" w:fill="auto"/>
            <w:noWrap/>
            <w:vAlign w:val="center"/>
            <w:hideMark/>
          </w:tcPr>
          <w:p w14:paraId="54F49ED2" w14:textId="77777777" w:rsidR="00D868AB" w:rsidRPr="00D868AB" w:rsidRDefault="00D868AB" w:rsidP="00D868AB">
            <w:pPr>
              <w:jc w:val="left"/>
              <w:rPr>
                <w:rFonts w:eastAsia="Times New Roman" w:cs="Arial"/>
                <w:color w:val="000000"/>
                <w:sz w:val="18"/>
                <w:szCs w:val="18"/>
              </w:rPr>
            </w:pPr>
            <w:r w:rsidRPr="00D85BE9">
              <w:rPr>
                <w:rFonts w:eastAsia="Times New Roman" w:cs="Arial"/>
                <w:color w:val="000000"/>
                <w:sz w:val="16"/>
                <w:szCs w:val="18"/>
              </w:rPr>
              <w:t>Órgano de Gestión y Control del Patrimonio Inmobiliario del Estado de Colima.</w:t>
            </w:r>
          </w:p>
        </w:tc>
        <w:tc>
          <w:tcPr>
            <w:tcW w:w="1420" w:type="dxa"/>
            <w:tcBorders>
              <w:top w:val="nil"/>
              <w:left w:val="nil"/>
              <w:bottom w:val="single" w:sz="4" w:space="0" w:color="auto"/>
              <w:right w:val="single" w:sz="4" w:space="0" w:color="auto"/>
            </w:tcBorders>
            <w:shd w:val="clear" w:color="auto" w:fill="auto"/>
            <w:noWrap/>
            <w:vAlign w:val="center"/>
          </w:tcPr>
          <w:p w14:paraId="477DCE75"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1,500,000</w:t>
            </w:r>
          </w:p>
        </w:tc>
      </w:tr>
      <w:tr w:rsidR="00D868AB" w:rsidRPr="00D868AB" w14:paraId="2E6F89AD"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C10BF34"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1983F8AC" w14:textId="77777777" w:rsidR="00D868AB" w:rsidRPr="00D868AB" w:rsidRDefault="00D868AB" w:rsidP="00D868AB">
            <w:pPr>
              <w:jc w:val="left"/>
              <w:rPr>
                <w:rFonts w:eastAsia="Times New Roman" w:cs="Arial"/>
                <w:b/>
                <w:bCs/>
                <w:color w:val="000000"/>
                <w:sz w:val="18"/>
                <w:szCs w:val="18"/>
              </w:rPr>
            </w:pPr>
            <w:r w:rsidRPr="00D868AB">
              <w:rPr>
                <w:rFonts w:eastAsia="Times New Roman" w:cs="Arial"/>
                <w:b/>
                <w:bCs/>
                <w:color w:val="000000"/>
                <w:sz w:val="18"/>
                <w:szCs w:val="18"/>
              </w:rPr>
              <w:t>Secretaría de Bienestar, Inclusión Social y Mujeres.</w:t>
            </w:r>
          </w:p>
        </w:tc>
        <w:tc>
          <w:tcPr>
            <w:tcW w:w="1420" w:type="dxa"/>
            <w:tcBorders>
              <w:top w:val="nil"/>
              <w:left w:val="nil"/>
              <w:bottom w:val="single" w:sz="4" w:space="0" w:color="auto"/>
              <w:right w:val="single" w:sz="4" w:space="0" w:color="auto"/>
            </w:tcBorders>
            <w:shd w:val="clear" w:color="auto" w:fill="auto"/>
            <w:noWrap/>
            <w:vAlign w:val="center"/>
          </w:tcPr>
          <w:p w14:paraId="76E79C99"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 </w:t>
            </w:r>
          </w:p>
        </w:tc>
      </w:tr>
      <w:tr w:rsidR="00D868AB" w:rsidRPr="00D868AB" w14:paraId="54DBDA76"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8018180"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41502</w:t>
            </w:r>
          </w:p>
        </w:tc>
        <w:tc>
          <w:tcPr>
            <w:tcW w:w="6244" w:type="dxa"/>
            <w:tcBorders>
              <w:top w:val="nil"/>
              <w:left w:val="nil"/>
              <w:bottom w:val="single" w:sz="4" w:space="0" w:color="auto"/>
              <w:right w:val="single" w:sz="4" w:space="0" w:color="auto"/>
            </w:tcBorders>
            <w:shd w:val="clear" w:color="auto" w:fill="auto"/>
            <w:noWrap/>
            <w:vAlign w:val="center"/>
            <w:hideMark/>
          </w:tcPr>
          <w:p w14:paraId="3CD1C233"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Sistema para el Desarrollo Integral de la Familia del Estado de Colima.</w:t>
            </w:r>
          </w:p>
        </w:tc>
        <w:tc>
          <w:tcPr>
            <w:tcW w:w="1420" w:type="dxa"/>
            <w:tcBorders>
              <w:top w:val="nil"/>
              <w:left w:val="nil"/>
              <w:bottom w:val="single" w:sz="4" w:space="0" w:color="auto"/>
              <w:right w:val="single" w:sz="4" w:space="0" w:color="auto"/>
            </w:tcBorders>
            <w:shd w:val="clear" w:color="auto" w:fill="auto"/>
            <w:noWrap/>
            <w:vAlign w:val="center"/>
          </w:tcPr>
          <w:p w14:paraId="5613E8E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243,502,288</w:t>
            </w:r>
          </w:p>
        </w:tc>
      </w:tr>
      <w:tr w:rsidR="00D868AB" w:rsidRPr="00D868AB" w14:paraId="23D8154E"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158BF35"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41506</w:t>
            </w:r>
          </w:p>
        </w:tc>
        <w:tc>
          <w:tcPr>
            <w:tcW w:w="6244" w:type="dxa"/>
            <w:tcBorders>
              <w:top w:val="nil"/>
              <w:left w:val="nil"/>
              <w:bottom w:val="single" w:sz="4" w:space="0" w:color="auto"/>
              <w:right w:val="single" w:sz="4" w:space="0" w:color="auto"/>
            </w:tcBorders>
            <w:shd w:val="clear" w:color="auto" w:fill="auto"/>
            <w:noWrap/>
            <w:vAlign w:val="center"/>
            <w:hideMark/>
          </w:tcPr>
          <w:p w14:paraId="14ABFBAB"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para la Atención de los Adultos Mayores.</w:t>
            </w:r>
          </w:p>
        </w:tc>
        <w:tc>
          <w:tcPr>
            <w:tcW w:w="1420" w:type="dxa"/>
            <w:tcBorders>
              <w:top w:val="nil"/>
              <w:left w:val="nil"/>
              <w:bottom w:val="single" w:sz="4" w:space="0" w:color="auto"/>
              <w:right w:val="single" w:sz="4" w:space="0" w:color="auto"/>
            </w:tcBorders>
            <w:shd w:val="clear" w:color="auto" w:fill="auto"/>
            <w:noWrap/>
            <w:vAlign w:val="center"/>
          </w:tcPr>
          <w:p w14:paraId="24E2976E"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6,230,231</w:t>
            </w:r>
          </w:p>
        </w:tc>
      </w:tr>
      <w:tr w:rsidR="00D868AB" w:rsidRPr="00D868AB" w14:paraId="1701E0A4"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3B6099C"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41513</w:t>
            </w:r>
          </w:p>
        </w:tc>
        <w:tc>
          <w:tcPr>
            <w:tcW w:w="6244" w:type="dxa"/>
            <w:tcBorders>
              <w:top w:val="nil"/>
              <w:left w:val="nil"/>
              <w:bottom w:val="single" w:sz="4" w:space="0" w:color="auto"/>
              <w:right w:val="single" w:sz="4" w:space="0" w:color="auto"/>
            </w:tcBorders>
            <w:shd w:val="clear" w:color="auto" w:fill="auto"/>
            <w:noWrap/>
            <w:vAlign w:val="center"/>
            <w:hideMark/>
          </w:tcPr>
          <w:p w14:paraId="699B68F5"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Colimense para la Discapacidad.</w:t>
            </w:r>
          </w:p>
        </w:tc>
        <w:tc>
          <w:tcPr>
            <w:tcW w:w="1420" w:type="dxa"/>
            <w:tcBorders>
              <w:top w:val="nil"/>
              <w:left w:val="nil"/>
              <w:bottom w:val="single" w:sz="4" w:space="0" w:color="auto"/>
              <w:right w:val="single" w:sz="4" w:space="0" w:color="auto"/>
            </w:tcBorders>
            <w:shd w:val="clear" w:color="auto" w:fill="auto"/>
            <w:noWrap/>
            <w:vAlign w:val="center"/>
          </w:tcPr>
          <w:p w14:paraId="0A165D31"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3,764,564</w:t>
            </w:r>
          </w:p>
        </w:tc>
      </w:tr>
      <w:tr w:rsidR="00D868AB" w:rsidRPr="00D868AB" w14:paraId="3F45FD8C"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E13C420"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41515</w:t>
            </w:r>
          </w:p>
        </w:tc>
        <w:tc>
          <w:tcPr>
            <w:tcW w:w="6244" w:type="dxa"/>
            <w:tcBorders>
              <w:top w:val="nil"/>
              <w:left w:val="nil"/>
              <w:bottom w:val="single" w:sz="4" w:space="0" w:color="auto"/>
              <w:right w:val="single" w:sz="4" w:space="0" w:color="auto"/>
            </w:tcBorders>
            <w:shd w:val="clear" w:color="auto" w:fill="auto"/>
            <w:noWrap/>
            <w:vAlign w:val="center"/>
            <w:hideMark/>
          </w:tcPr>
          <w:p w14:paraId="1757E395"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Colimense de las Mujeres.</w:t>
            </w:r>
          </w:p>
        </w:tc>
        <w:tc>
          <w:tcPr>
            <w:tcW w:w="1420" w:type="dxa"/>
            <w:tcBorders>
              <w:top w:val="nil"/>
              <w:left w:val="nil"/>
              <w:bottom w:val="single" w:sz="4" w:space="0" w:color="auto"/>
              <w:right w:val="single" w:sz="4" w:space="0" w:color="auto"/>
            </w:tcBorders>
            <w:shd w:val="clear" w:color="auto" w:fill="auto"/>
            <w:noWrap/>
            <w:vAlign w:val="center"/>
          </w:tcPr>
          <w:p w14:paraId="21C28A72"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6,711,390</w:t>
            </w:r>
          </w:p>
        </w:tc>
      </w:tr>
      <w:tr w:rsidR="00D868AB" w:rsidRPr="00D868AB" w14:paraId="0AE20977"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B1CBE4B"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18BD4CAB" w14:textId="77777777" w:rsidR="00D868AB" w:rsidRPr="00D868AB" w:rsidRDefault="00D868AB" w:rsidP="00D868AB">
            <w:pPr>
              <w:jc w:val="left"/>
              <w:rPr>
                <w:rFonts w:eastAsia="Times New Roman" w:cs="Arial"/>
                <w:b/>
                <w:bCs/>
                <w:color w:val="000000"/>
                <w:sz w:val="18"/>
                <w:szCs w:val="18"/>
              </w:rPr>
            </w:pPr>
            <w:r w:rsidRPr="00D868AB">
              <w:rPr>
                <w:rFonts w:eastAsia="Times New Roman" w:cs="Arial"/>
                <w:b/>
                <w:bCs/>
                <w:color w:val="000000"/>
                <w:sz w:val="18"/>
                <w:szCs w:val="18"/>
              </w:rPr>
              <w:t>Secretaría de Infraestructura, Desarrollo Urbano y Movilidad.</w:t>
            </w:r>
          </w:p>
        </w:tc>
        <w:tc>
          <w:tcPr>
            <w:tcW w:w="1420" w:type="dxa"/>
            <w:tcBorders>
              <w:top w:val="nil"/>
              <w:left w:val="nil"/>
              <w:bottom w:val="single" w:sz="4" w:space="0" w:color="auto"/>
              <w:right w:val="single" w:sz="4" w:space="0" w:color="auto"/>
            </w:tcBorders>
            <w:shd w:val="clear" w:color="auto" w:fill="auto"/>
            <w:noWrap/>
            <w:vAlign w:val="center"/>
          </w:tcPr>
          <w:p w14:paraId="3132F4B1"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 </w:t>
            </w:r>
          </w:p>
        </w:tc>
      </w:tr>
      <w:tr w:rsidR="00D868AB" w:rsidRPr="00D868AB" w14:paraId="3F9FE74A"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C91C192"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41514</w:t>
            </w:r>
          </w:p>
        </w:tc>
        <w:tc>
          <w:tcPr>
            <w:tcW w:w="6244" w:type="dxa"/>
            <w:tcBorders>
              <w:top w:val="nil"/>
              <w:left w:val="nil"/>
              <w:bottom w:val="single" w:sz="4" w:space="0" w:color="auto"/>
              <w:right w:val="single" w:sz="4" w:space="0" w:color="auto"/>
            </w:tcBorders>
            <w:shd w:val="clear" w:color="auto" w:fill="auto"/>
            <w:noWrap/>
            <w:vAlign w:val="center"/>
            <w:hideMark/>
          </w:tcPr>
          <w:p w14:paraId="1EBBBF61"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Comisión Estatal del Agua de Colima.</w:t>
            </w:r>
          </w:p>
        </w:tc>
        <w:tc>
          <w:tcPr>
            <w:tcW w:w="1420" w:type="dxa"/>
            <w:tcBorders>
              <w:top w:val="nil"/>
              <w:left w:val="nil"/>
              <w:bottom w:val="single" w:sz="4" w:space="0" w:color="auto"/>
              <w:right w:val="single" w:sz="4" w:space="0" w:color="auto"/>
            </w:tcBorders>
            <w:shd w:val="clear" w:color="auto" w:fill="auto"/>
            <w:noWrap/>
            <w:vAlign w:val="center"/>
          </w:tcPr>
          <w:p w14:paraId="23A9AEB4"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4,567,059</w:t>
            </w:r>
          </w:p>
        </w:tc>
      </w:tr>
      <w:tr w:rsidR="00D868AB" w:rsidRPr="00D868AB" w14:paraId="07F57AB7"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7478C8B0"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41522</w:t>
            </w:r>
          </w:p>
        </w:tc>
        <w:tc>
          <w:tcPr>
            <w:tcW w:w="6244" w:type="dxa"/>
            <w:tcBorders>
              <w:top w:val="nil"/>
              <w:left w:val="nil"/>
              <w:bottom w:val="single" w:sz="4" w:space="0" w:color="auto"/>
              <w:right w:val="single" w:sz="4" w:space="0" w:color="auto"/>
            </w:tcBorders>
            <w:shd w:val="clear" w:color="auto" w:fill="auto"/>
            <w:noWrap/>
            <w:vAlign w:val="center"/>
            <w:hideMark/>
          </w:tcPr>
          <w:p w14:paraId="58B7FABA"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para el Medio Ambiente y Desarrollo Sustentable.</w:t>
            </w:r>
          </w:p>
        </w:tc>
        <w:tc>
          <w:tcPr>
            <w:tcW w:w="1420" w:type="dxa"/>
            <w:tcBorders>
              <w:top w:val="nil"/>
              <w:left w:val="nil"/>
              <w:bottom w:val="single" w:sz="4" w:space="0" w:color="auto"/>
              <w:right w:val="single" w:sz="4" w:space="0" w:color="auto"/>
            </w:tcBorders>
            <w:shd w:val="clear" w:color="auto" w:fill="auto"/>
            <w:noWrap/>
            <w:vAlign w:val="center"/>
          </w:tcPr>
          <w:p w14:paraId="251A95E7"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12,536,172</w:t>
            </w:r>
          </w:p>
        </w:tc>
      </w:tr>
      <w:tr w:rsidR="00D868AB" w:rsidRPr="00D868AB" w14:paraId="379AB830"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6F717001"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6DE2D909" w14:textId="77777777" w:rsidR="00D868AB" w:rsidRPr="00D868AB" w:rsidRDefault="00D868AB" w:rsidP="00D868AB">
            <w:pPr>
              <w:jc w:val="left"/>
              <w:rPr>
                <w:rFonts w:eastAsia="Times New Roman" w:cs="Arial"/>
                <w:b/>
                <w:bCs/>
                <w:color w:val="000000"/>
                <w:sz w:val="18"/>
                <w:szCs w:val="18"/>
              </w:rPr>
            </w:pPr>
            <w:r w:rsidRPr="00D868AB">
              <w:rPr>
                <w:rFonts w:eastAsia="Times New Roman" w:cs="Arial"/>
                <w:b/>
                <w:bCs/>
                <w:color w:val="000000"/>
                <w:sz w:val="18"/>
                <w:szCs w:val="18"/>
              </w:rPr>
              <w:t>Secretaría de Educación y Cultura.</w:t>
            </w:r>
          </w:p>
        </w:tc>
        <w:tc>
          <w:tcPr>
            <w:tcW w:w="1420" w:type="dxa"/>
            <w:tcBorders>
              <w:top w:val="nil"/>
              <w:left w:val="nil"/>
              <w:bottom w:val="single" w:sz="4" w:space="0" w:color="auto"/>
              <w:right w:val="single" w:sz="4" w:space="0" w:color="auto"/>
            </w:tcBorders>
            <w:shd w:val="clear" w:color="auto" w:fill="auto"/>
            <w:noWrap/>
            <w:vAlign w:val="center"/>
          </w:tcPr>
          <w:p w14:paraId="32AD2615"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 </w:t>
            </w:r>
          </w:p>
        </w:tc>
      </w:tr>
      <w:tr w:rsidR="00D868AB" w:rsidRPr="00D868AB" w14:paraId="1EF268E0"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598EAFE"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41137</w:t>
            </w:r>
          </w:p>
        </w:tc>
        <w:tc>
          <w:tcPr>
            <w:tcW w:w="6244" w:type="dxa"/>
            <w:tcBorders>
              <w:top w:val="nil"/>
              <w:left w:val="nil"/>
              <w:bottom w:val="single" w:sz="4" w:space="0" w:color="auto"/>
              <w:right w:val="single" w:sz="4" w:space="0" w:color="auto"/>
            </w:tcBorders>
            <w:shd w:val="clear" w:color="auto" w:fill="auto"/>
            <w:noWrap/>
            <w:vAlign w:val="center"/>
            <w:hideMark/>
          </w:tcPr>
          <w:p w14:paraId="167BFF26"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Coordinación de los Servicios Educativos Estatales.</w:t>
            </w:r>
          </w:p>
        </w:tc>
        <w:tc>
          <w:tcPr>
            <w:tcW w:w="1420" w:type="dxa"/>
            <w:tcBorders>
              <w:top w:val="nil"/>
              <w:left w:val="nil"/>
              <w:bottom w:val="single" w:sz="4" w:space="0" w:color="auto"/>
              <w:right w:val="single" w:sz="4" w:space="0" w:color="auto"/>
            </w:tcBorders>
            <w:shd w:val="clear" w:color="auto" w:fill="auto"/>
            <w:noWrap/>
            <w:vAlign w:val="center"/>
          </w:tcPr>
          <w:p w14:paraId="2DF8055C"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100,000,000</w:t>
            </w:r>
          </w:p>
        </w:tc>
      </w:tr>
      <w:tr w:rsidR="00D868AB" w:rsidRPr="00D868AB" w14:paraId="736C4E4F"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4AE13A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41147</w:t>
            </w:r>
          </w:p>
        </w:tc>
        <w:tc>
          <w:tcPr>
            <w:tcW w:w="6244" w:type="dxa"/>
            <w:tcBorders>
              <w:top w:val="nil"/>
              <w:left w:val="nil"/>
              <w:bottom w:val="single" w:sz="4" w:space="0" w:color="auto"/>
              <w:right w:val="single" w:sz="4" w:space="0" w:color="auto"/>
            </w:tcBorders>
            <w:shd w:val="clear" w:color="auto" w:fill="auto"/>
            <w:noWrap/>
            <w:vAlign w:val="center"/>
            <w:hideMark/>
          </w:tcPr>
          <w:p w14:paraId="35356D19"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Escuela de Talentos.</w:t>
            </w:r>
          </w:p>
        </w:tc>
        <w:tc>
          <w:tcPr>
            <w:tcW w:w="1420" w:type="dxa"/>
            <w:tcBorders>
              <w:top w:val="nil"/>
              <w:left w:val="nil"/>
              <w:bottom w:val="single" w:sz="4" w:space="0" w:color="auto"/>
              <w:right w:val="single" w:sz="4" w:space="0" w:color="auto"/>
            </w:tcBorders>
            <w:shd w:val="clear" w:color="auto" w:fill="auto"/>
            <w:noWrap/>
            <w:vAlign w:val="center"/>
          </w:tcPr>
          <w:p w14:paraId="5DA73A16"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5,807,681</w:t>
            </w:r>
          </w:p>
        </w:tc>
      </w:tr>
      <w:tr w:rsidR="00D868AB" w:rsidRPr="00D868AB" w14:paraId="644DCD12"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D051141"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41148</w:t>
            </w:r>
          </w:p>
        </w:tc>
        <w:tc>
          <w:tcPr>
            <w:tcW w:w="6244" w:type="dxa"/>
            <w:tcBorders>
              <w:top w:val="nil"/>
              <w:left w:val="nil"/>
              <w:bottom w:val="single" w:sz="4" w:space="0" w:color="auto"/>
              <w:right w:val="single" w:sz="4" w:space="0" w:color="auto"/>
            </w:tcBorders>
            <w:shd w:val="clear" w:color="auto" w:fill="auto"/>
            <w:noWrap/>
            <w:vAlign w:val="center"/>
            <w:hideMark/>
          </w:tcPr>
          <w:p w14:paraId="6673BB75"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Superior de Educación Normal del Estado de Colima.</w:t>
            </w:r>
          </w:p>
        </w:tc>
        <w:tc>
          <w:tcPr>
            <w:tcW w:w="1420" w:type="dxa"/>
            <w:tcBorders>
              <w:top w:val="nil"/>
              <w:left w:val="nil"/>
              <w:bottom w:val="single" w:sz="4" w:space="0" w:color="auto"/>
              <w:right w:val="single" w:sz="4" w:space="0" w:color="auto"/>
            </w:tcBorders>
            <w:shd w:val="clear" w:color="auto" w:fill="auto"/>
            <w:noWrap/>
            <w:vAlign w:val="center"/>
          </w:tcPr>
          <w:p w14:paraId="00EB7756"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4,021,525</w:t>
            </w:r>
          </w:p>
        </w:tc>
      </w:tr>
      <w:tr w:rsidR="00D868AB" w:rsidRPr="00D868AB" w14:paraId="735EAE4F"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7C1198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41503</w:t>
            </w:r>
          </w:p>
        </w:tc>
        <w:tc>
          <w:tcPr>
            <w:tcW w:w="6244" w:type="dxa"/>
            <w:tcBorders>
              <w:top w:val="nil"/>
              <w:left w:val="nil"/>
              <w:bottom w:val="single" w:sz="4" w:space="0" w:color="auto"/>
              <w:right w:val="single" w:sz="4" w:space="0" w:color="auto"/>
            </w:tcBorders>
            <w:shd w:val="clear" w:color="auto" w:fill="auto"/>
            <w:noWrap/>
            <w:vAlign w:val="center"/>
            <w:hideMark/>
          </w:tcPr>
          <w:p w14:paraId="65FD7495"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Colimense del Deporte.</w:t>
            </w:r>
          </w:p>
        </w:tc>
        <w:tc>
          <w:tcPr>
            <w:tcW w:w="1420" w:type="dxa"/>
            <w:tcBorders>
              <w:top w:val="nil"/>
              <w:left w:val="nil"/>
              <w:bottom w:val="single" w:sz="4" w:space="0" w:color="auto"/>
              <w:right w:val="single" w:sz="4" w:space="0" w:color="auto"/>
            </w:tcBorders>
            <w:shd w:val="clear" w:color="auto" w:fill="auto"/>
            <w:noWrap/>
            <w:vAlign w:val="center"/>
          </w:tcPr>
          <w:p w14:paraId="476E73D6"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65,426,500</w:t>
            </w:r>
          </w:p>
        </w:tc>
      </w:tr>
      <w:tr w:rsidR="00D868AB" w:rsidRPr="00D868AB" w14:paraId="74148333"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251F72D"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41507</w:t>
            </w:r>
          </w:p>
        </w:tc>
        <w:tc>
          <w:tcPr>
            <w:tcW w:w="6244" w:type="dxa"/>
            <w:tcBorders>
              <w:top w:val="nil"/>
              <w:left w:val="nil"/>
              <w:bottom w:val="single" w:sz="4" w:space="0" w:color="auto"/>
              <w:right w:val="single" w:sz="4" w:space="0" w:color="auto"/>
            </w:tcBorders>
            <w:shd w:val="clear" w:color="auto" w:fill="auto"/>
            <w:noWrap/>
            <w:vAlign w:val="center"/>
            <w:hideMark/>
          </w:tcPr>
          <w:p w14:paraId="6D84312B"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Colimense de Infraestructura Física Educativa.</w:t>
            </w:r>
          </w:p>
        </w:tc>
        <w:tc>
          <w:tcPr>
            <w:tcW w:w="1420" w:type="dxa"/>
            <w:tcBorders>
              <w:top w:val="nil"/>
              <w:left w:val="nil"/>
              <w:bottom w:val="single" w:sz="4" w:space="0" w:color="auto"/>
              <w:right w:val="single" w:sz="4" w:space="0" w:color="auto"/>
            </w:tcBorders>
            <w:shd w:val="clear" w:color="auto" w:fill="auto"/>
            <w:noWrap/>
            <w:vAlign w:val="center"/>
          </w:tcPr>
          <w:p w14:paraId="035F24D4"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12,537,827</w:t>
            </w:r>
          </w:p>
        </w:tc>
      </w:tr>
      <w:tr w:rsidR="00D868AB" w:rsidRPr="00D868AB" w14:paraId="6F063597"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1FA1F7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41509</w:t>
            </w:r>
          </w:p>
        </w:tc>
        <w:tc>
          <w:tcPr>
            <w:tcW w:w="6244" w:type="dxa"/>
            <w:tcBorders>
              <w:top w:val="nil"/>
              <w:left w:val="nil"/>
              <w:bottom w:val="single" w:sz="4" w:space="0" w:color="auto"/>
              <w:right w:val="single" w:sz="4" w:space="0" w:color="auto"/>
            </w:tcBorders>
            <w:shd w:val="clear" w:color="auto" w:fill="auto"/>
            <w:noWrap/>
            <w:vAlign w:val="center"/>
            <w:hideMark/>
          </w:tcPr>
          <w:p w14:paraId="03969784"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Universidad Tecnológica de Manzanillo.</w:t>
            </w:r>
          </w:p>
        </w:tc>
        <w:tc>
          <w:tcPr>
            <w:tcW w:w="1420" w:type="dxa"/>
            <w:tcBorders>
              <w:top w:val="nil"/>
              <w:left w:val="nil"/>
              <w:bottom w:val="single" w:sz="4" w:space="0" w:color="auto"/>
              <w:right w:val="single" w:sz="4" w:space="0" w:color="auto"/>
            </w:tcBorders>
            <w:shd w:val="clear" w:color="auto" w:fill="auto"/>
            <w:noWrap/>
            <w:vAlign w:val="center"/>
          </w:tcPr>
          <w:p w14:paraId="433F50A9"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24,000,000</w:t>
            </w:r>
          </w:p>
        </w:tc>
      </w:tr>
      <w:tr w:rsidR="00D868AB" w:rsidRPr="00D868AB" w14:paraId="0879A10C"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C42C5A9"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41517</w:t>
            </w:r>
          </w:p>
        </w:tc>
        <w:tc>
          <w:tcPr>
            <w:tcW w:w="6244" w:type="dxa"/>
            <w:tcBorders>
              <w:top w:val="nil"/>
              <w:left w:val="nil"/>
              <w:bottom w:val="single" w:sz="4" w:space="0" w:color="auto"/>
              <w:right w:val="single" w:sz="4" w:space="0" w:color="auto"/>
            </w:tcBorders>
            <w:shd w:val="clear" w:color="auto" w:fill="auto"/>
            <w:noWrap/>
            <w:vAlign w:val="center"/>
            <w:hideMark/>
          </w:tcPr>
          <w:p w14:paraId="08A5BC24"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Colegio de Educación Profesional Técnica del Estado de Colima.</w:t>
            </w:r>
          </w:p>
        </w:tc>
        <w:tc>
          <w:tcPr>
            <w:tcW w:w="1420" w:type="dxa"/>
            <w:tcBorders>
              <w:top w:val="nil"/>
              <w:left w:val="nil"/>
              <w:bottom w:val="single" w:sz="4" w:space="0" w:color="auto"/>
              <w:right w:val="single" w:sz="4" w:space="0" w:color="auto"/>
            </w:tcBorders>
            <w:shd w:val="clear" w:color="auto" w:fill="auto"/>
            <w:noWrap/>
            <w:vAlign w:val="center"/>
          </w:tcPr>
          <w:p w14:paraId="592F5917"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2,068,600</w:t>
            </w:r>
          </w:p>
        </w:tc>
      </w:tr>
      <w:tr w:rsidR="00D868AB" w:rsidRPr="00D868AB" w14:paraId="5D7A57C7"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D240D18"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41527</w:t>
            </w:r>
          </w:p>
        </w:tc>
        <w:tc>
          <w:tcPr>
            <w:tcW w:w="6244" w:type="dxa"/>
            <w:tcBorders>
              <w:top w:val="nil"/>
              <w:left w:val="nil"/>
              <w:bottom w:val="single" w:sz="4" w:space="0" w:color="auto"/>
              <w:right w:val="single" w:sz="4" w:space="0" w:color="auto"/>
            </w:tcBorders>
            <w:shd w:val="clear" w:color="auto" w:fill="auto"/>
            <w:noWrap/>
            <w:vAlign w:val="center"/>
            <w:hideMark/>
          </w:tcPr>
          <w:p w14:paraId="2B17335A"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Colegio de Educación Profesional Técnica (Tecomán).</w:t>
            </w:r>
          </w:p>
        </w:tc>
        <w:tc>
          <w:tcPr>
            <w:tcW w:w="1420" w:type="dxa"/>
            <w:tcBorders>
              <w:top w:val="nil"/>
              <w:left w:val="nil"/>
              <w:bottom w:val="single" w:sz="4" w:space="0" w:color="auto"/>
              <w:right w:val="single" w:sz="4" w:space="0" w:color="auto"/>
            </w:tcBorders>
            <w:shd w:val="clear" w:color="auto" w:fill="auto"/>
            <w:noWrap/>
            <w:vAlign w:val="center"/>
          </w:tcPr>
          <w:p w14:paraId="3419D12C"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3,700,000</w:t>
            </w:r>
          </w:p>
        </w:tc>
      </w:tr>
      <w:tr w:rsidR="00D868AB" w:rsidRPr="00D868AB" w14:paraId="4A33896C"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986627B"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41562</w:t>
            </w:r>
          </w:p>
        </w:tc>
        <w:tc>
          <w:tcPr>
            <w:tcW w:w="6244" w:type="dxa"/>
            <w:tcBorders>
              <w:top w:val="nil"/>
              <w:left w:val="nil"/>
              <w:bottom w:val="single" w:sz="4" w:space="0" w:color="auto"/>
              <w:right w:val="single" w:sz="4" w:space="0" w:color="auto"/>
            </w:tcBorders>
            <w:shd w:val="clear" w:color="auto" w:fill="auto"/>
            <w:noWrap/>
            <w:vAlign w:val="center"/>
            <w:hideMark/>
          </w:tcPr>
          <w:p w14:paraId="737CE5D1"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Universidad de Colima.</w:t>
            </w:r>
          </w:p>
        </w:tc>
        <w:tc>
          <w:tcPr>
            <w:tcW w:w="1420" w:type="dxa"/>
            <w:tcBorders>
              <w:top w:val="nil"/>
              <w:left w:val="nil"/>
              <w:bottom w:val="single" w:sz="4" w:space="0" w:color="auto"/>
              <w:right w:val="single" w:sz="4" w:space="0" w:color="auto"/>
            </w:tcBorders>
            <w:shd w:val="clear" w:color="auto" w:fill="auto"/>
            <w:noWrap/>
            <w:vAlign w:val="center"/>
          </w:tcPr>
          <w:p w14:paraId="19897AAA"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500,030,275</w:t>
            </w:r>
          </w:p>
        </w:tc>
      </w:tr>
      <w:tr w:rsidR="00D868AB" w:rsidRPr="00D868AB" w14:paraId="1782BCDE"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362BE0E2"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44305</w:t>
            </w:r>
          </w:p>
        </w:tc>
        <w:tc>
          <w:tcPr>
            <w:tcW w:w="6244" w:type="dxa"/>
            <w:tcBorders>
              <w:top w:val="nil"/>
              <w:left w:val="nil"/>
              <w:bottom w:val="single" w:sz="4" w:space="0" w:color="auto"/>
              <w:right w:val="single" w:sz="4" w:space="0" w:color="auto"/>
            </w:tcBorders>
            <w:shd w:val="clear" w:color="auto" w:fill="auto"/>
            <w:noWrap/>
            <w:vAlign w:val="center"/>
            <w:hideMark/>
          </w:tcPr>
          <w:p w14:paraId="4C5F001D"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Instituto Estatal de Educación para Adultos.</w:t>
            </w:r>
          </w:p>
        </w:tc>
        <w:tc>
          <w:tcPr>
            <w:tcW w:w="1420" w:type="dxa"/>
            <w:tcBorders>
              <w:top w:val="nil"/>
              <w:left w:val="nil"/>
              <w:bottom w:val="single" w:sz="4" w:space="0" w:color="auto"/>
              <w:right w:val="single" w:sz="4" w:space="0" w:color="auto"/>
            </w:tcBorders>
            <w:shd w:val="clear" w:color="auto" w:fill="auto"/>
            <w:noWrap/>
            <w:vAlign w:val="center"/>
          </w:tcPr>
          <w:p w14:paraId="73943358"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2,585,750</w:t>
            </w:r>
          </w:p>
        </w:tc>
      </w:tr>
      <w:tr w:rsidR="00D868AB" w:rsidRPr="00D868AB" w14:paraId="004ACDDF"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D945AE8"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0F7029FC" w14:textId="77777777" w:rsidR="00D868AB" w:rsidRPr="00D868AB" w:rsidRDefault="00D868AB" w:rsidP="00D868AB">
            <w:pPr>
              <w:jc w:val="left"/>
              <w:rPr>
                <w:rFonts w:eastAsia="Times New Roman" w:cs="Arial"/>
                <w:b/>
                <w:bCs/>
                <w:color w:val="000000"/>
                <w:sz w:val="18"/>
                <w:szCs w:val="18"/>
              </w:rPr>
            </w:pPr>
            <w:r w:rsidRPr="00D868AB">
              <w:rPr>
                <w:rFonts w:eastAsia="Times New Roman" w:cs="Arial"/>
                <w:b/>
                <w:bCs/>
                <w:color w:val="000000"/>
                <w:sz w:val="18"/>
                <w:szCs w:val="18"/>
              </w:rPr>
              <w:t>Secretaría de Salud.</w:t>
            </w:r>
          </w:p>
        </w:tc>
        <w:tc>
          <w:tcPr>
            <w:tcW w:w="1420" w:type="dxa"/>
            <w:tcBorders>
              <w:top w:val="nil"/>
              <w:left w:val="nil"/>
              <w:bottom w:val="single" w:sz="4" w:space="0" w:color="auto"/>
              <w:right w:val="single" w:sz="4" w:space="0" w:color="auto"/>
            </w:tcBorders>
            <w:shd w:val="clear" w:color="auto" w:fill="auto"/>
            <w:noWrap/>
            <w:vAlign w:val="center"/>
          </w:tcPr>
          <w:p w14:paraId="5D0768C2"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 </w:t>
            </w:r>
          </w:p>
        </w:tc>
      </w:tr>
      <w:tr w:rsidR="00D868AB" w:rsidRPr="00D868AB" w14:paraId="0CE4E3D4"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0C88CFF"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41518</w:t>
            </w:r>
          </w:p>
        </w:tc>
        <w:tc>
          <w:tcPr>
            <w:tcW w:w="6244" w:type="dxa"/>
            <w:tcBorders>
              <w:top w:val="nil"/>
              <w:left w:val="nil"/>
              <w:bottom w:val="single" w:sz="4" w:space="0" w:color="auto"/>
              <w:right w:val="single" w:sz="4" w:space="0" w:color="auto"/>
            </w:tcBorders>
            <w:shd w:val="clear" w:color="auto" w:fill="auto"/>
            <w:noWrap/>
            <w:vAlign w:val="center"/>
            <w:hideMark/>
          </w:tcPr>
          <w:p w14:paraId="38D5FA31"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Comisión Estatal de Conciliación y Arbitraje Médico de Colima.</w:t>
            </w:r>
          </w:p>
        </w:tc>
        <w:tc>
          <w:tcPr>
            <w:tcW w:w="1420" w:type="dxa"/>
            <w:tcBorders>
              <w:top w:val="nil"/>
              <w:left w:val="nil"/>
              <w:bottom w:val="single" w:sz="4" w:space="0" w:color="auto"/>
              <w:right w:val="single" w:sz="4" w:space="0" w:color="auto"/>
            </w:tcBorders>
            <w:shd w:val="clear" w:color="auto" w:fill="auto"/>
            <w:noWrap/>
            <w:vAlign w:val="center"/>
          </w:tcPr>
          <w:p w14:paraId="03EBECB7"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1,295,267</w:t>
            </w:r>
          </w:p>
        </w:tc>
      </w:tr>
      <w:tr w:rsidR="00D868AB" w:rsidRPr="00D868AB" w14:paraId="64C3CA76"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404EA19"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41519</w:t>
            </w:r>
          </w:p>
        </w:tc>
        <w:tc>
          <w:tcPr>
            <w:tcW w:w="6244" w:type="dxa"/>
            <w:tcBorders>
              <w:top w:val="nil"/>
              <w:left w:val="nil"/>
              <w:bottom w:val="single" w:sz="4" w:space="0" w:color="auto"/>
              <w:right w:val="single" w:sz="4" w:space="0" w:color="auto"/>
            </w:tcBorders>
            <w:shd w:val="clear" w:color="auto" w:fill="auto"/>
            <w:noWrap/>
            <w:vAlign w:val="center"/>
          </w:tcPr>
          <w:p w14:paraId="0B958FC3"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Consejo Estatal para la Prevención y Control de Accidentes.</w:t>
            </w:r>
          </w:p>
        </w:tc>
        <w:tc>
          <w:tcPr>
            <w:tcW w:w="1420" w:type="dxa"/>
            <w:tcBorders>
              <w:top w:val="nil"/>
              <w:left w:val="nil"/>
              <w:bottom w:val="single" w:sz="4" w:space="0" w:color="auto"/>
              <w:right w:val="single" w:sz="4" w:space="0" w:color="auto"/>
            </w:tcBorders>
            <w:shd w:val="clear" w:color="auto" w:fill="auto"/>
            <w:noWrap/>
            <w:vAlign w:val="center"/>
          </w:tcPr>
          <w:p w14:paraId="03B8D4AE" w14:textId="77777777" w:rsidR="00D868AB" w:rsidRPr="00D868AB" w:rsidRDefault="00D868AB" w:rsidP="00D868AB">
            <w:pPr>
              <w:jc w:val="right"/>
              <w:rPr>
                <w:rFonts w:cs="Arial"/>
                <w:color w:val="000000"/>
                <w:sz w:val="18"/>
                <w:szCs w:val="18"/>
              </w:rPr>
            </w:pPr>
            <w:r w:rsidRPr="00D868AB">
              <w:rPr>
                <w:rFonts w:cs="Arial"/>
                <w:color w:val="000000"/>
                <w:sz w:val="18"/>
                <w:szCs w:val="18"/>
              </w:rPr>
              <w:t>66,827</w:t>
            </w:r>
          </w:p>
        </w:tc>
      </w:tr>
      <w:tr w:rsidR="00D868AB" w:rsidRPr="00D868AB" w14:paraId="44D71247"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tcPr>
          <w:p w14:paraId="463AF3FF"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41526</w:t>
            </w:r>
          </w:p>
        </w:tc>
        <w:tc>
          <w:tcPr>
            <w:tcW w:w="6244" w:type="dxa"/>
            <w:tcBorders>
              <w:top w:val="nil"/>
              <w:left w:val="nil"/>
              <w:bottom w:val="single" w:sz="4" w:space="0" w:color="auto"/>
              <w:right w:val="single" w:sz="4" w:space="0" w:color="auto"/>
            </w:tcBorders>
            <w:shd w:val="clear" w:color="auto" w:fill="auto"/>
            <w:noWrap/>
            <w:vAlign w:val="center"/>
          </w:tcPr>
          <w:p w14:paraId="5EAF6363"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Consejo Estatal de Salud Mental y Adicciones.</w:t>
            </w:r>
          </w:p>
        </w:tc>
        <w:tc>
          <w:tcPr>
            <w:tcW w:w="1420" w:type="dxa"/>
            <w:tcBorders>
              <w:top w:val="nil"/>
              <w:left w:val="nil"/>
              <w:bottom w:val="single" w:sz="4" w:space="0" w:color="auto"/>
              <w:right w:val="single" w:sz="4" w:space="0" w:color="auto"/>
            </w:tcBorders>
            <w:shd w:val="clear" w:color="auto" w:fill="auto"/>
            <w:noWrap/>
            <w:vAlign w:val="center"/>
          </w:tcPr>
          <w:p w14:paraId="0984C06F" w14:textId="77777777" w:rsidR="00D868AB" w:rsidRPr="00D868AB" w:rsidRDefault="00D868AB" w:rsidP="00D868AB">
            <w:pPr>
              <w:jc w:val="right"/>
              <w:rPr>
                <w:rFonts w:cs="Arial"/>
                <w:color w:val="000000"/>
                <w:sz w:val="18"/>
                <w:szCs w:val="18"/>
              </w:rPr>
            </w:pPr>
            <w:r w:rsidRPr="00D868AB">
              <w:rPr>
                <w:rFonts w:cs="Arial"/>
                <w:color w:val="000000"/>
                <w:sz w:val="18"/>
                <w:szCs w:val="18"/>
              </w:rPr>
              <w:t>300,000</w:t>
            </w:r>
          </w:p>
        </w:tc>
      </w:tr>
      <w:tr w:rsidR="00D868AB" w:rsidRPr="00D868AB" w14:paraId="7E4B0BB7"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09E5113A"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33D292F9" w14:textId="77777777" w:rsidR="00D868AB" w:rsidRPr="00D868AB" w:rsidRDefault="00D868AB" w:rsidP="00D868AB">
            <w:pPr>
              <w:jc w:val="left"/>
              <w:rPr>
                <w:rFonts w:eastAsia="Times New Roman" w:cs="Arial"/>
                <w:b/>
                <w:bCs/>
                <w:color w:val="000000"/>
                <w:sz w:val="18"/>
                <w:szCs w:val="18"/>
              </w:rPr>
            </w:pPr>
            <w:r w:rsidRPr="00D868AB">
              <w:rPr>
                <w:rFonts w:eastAsia="Times New Roman" w:cs="Arial"/>
                <w:b/>
                <w:bCs/>
                <w:color w:val="000000"/>
                <w:sz w:val="18"/>
                <w:szCs w:val="18"/>
              </w:rPr>
              <w:t>Secretaría de Desarrollo Económico.</w:t>
            </w:r>
          </w:p>
        </w:tc>
        <w:tc>
          <w:tcPr>
            <w:tcW w:w="1420" w:type="dxa"/>
            <w:tcBorders>
              <w:top w:val="nil"/>
              <w:left w:val="nil"/>
              <w:bottom w:val="single" w:sz="4" w:space="0" w:color="auto"/>
              <w:right w:val="single" w:sz="4" w:space="0" w:color="auto"/>
            </w:tcBorders>
            <w:shd w:val="clear" w:color="auto" w:fill="auto"/>
            <w:noWrap/>
            <w:vAlign w:val="center"/>
          </w:tcPr>
          <w:p w14:paraId="305D1713"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 </w:t>
            </w:r>
          </w:p>
        </w:tc>
      </w:tr>
      <w:tr w:rsidR="00D868AB" w:rsidRPr="00D868AB" w14:paraId="1031ABBF"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200D6730"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41511</w:t>
            </w:r>
          </w:p>
        </w:tc>
        <w:tc>
          <w:tcPr>
            <w:tcW w:w="6244" w:type="dxa"/>
            <w:tcBorders>
              <w:top w:val="nil"/>
              <w:left w:val="nil"/>
              <w:bottom w:val="single" w:sz="4" w:space="0" w:color="auto"/>
              <w:right w:val="single" w:sz="4" w:space="0" w:color="auto"/>
            </w:tcBorders>
            <w:shd w:val="clear" w:color="auto" w:fill="auto"/>
            <w:noWrap/>
            <w:vAlign w:val="center"/>
            <w:hideMark/>
          </w:tcPr>
          <w:p w14:paraId="3D3C7215"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Centro de Conciliación Laboral del Estado de Colima.</w:t>
            </w:r>
          </w:p>
        </w:tc>
        <w:tc>
          <w:tcPr>
            <w:tcW w:w="1420" w:type="dxa"/>
            <w:tcBorders>
              <w:top w:val="nil"/>
              <w:left w:val="nil"/>
              <w:bottom w:val="single" w:sz="4" w:space="0" w:color="auto"/>
              <w:right w:val="single" w:sz="4" w:space="0" w:color="auto"/>
            </w:tcBorders>
            <w:shd w:val="clear" w:color="auto" w:fill="auto"/>
            <w:noWrap/>
            <w:vAlign w:val="center"/>
          </w:tcPr>
          <w:p w14:paraId="52F15AB5"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10,000,000</w:t>
            </w:r>
          </w:p>
        </w:tc>
      </w:tr>
      <w:tr w:rsidR="00D868AB" w:rsidRPr="00D868AB" w14:paraId="612D3C87"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5C9677A1"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13785300" w14:textId="77777777" w:rsidR="00D868AB" w:rsidRPr="00D868AB" w:rsidRDefault="00D868AB" w:rsidP="00D868AB">
            <w:pPr>
              <w:jc w:val="left"/>
              <w:rPr>
                <w:rFonts w:eastAsia="Times New Roman" w:cs="Arial"/>
                <w:b/>
                <w:bCs/>
                <w:color w:val="000000"/>
                <w:sz w:val="18"/>
                <w:szCs w:val="18"/>
              </w:rPr>
            </w:pPr>
            <w:r w:rsidRPr="00D868AB">
              <w:rPr>
                <w:rFonts w:eastAsia="Times New Roman" w:cs="Arial"/>
                <w:b/>
                <w:bCs/>
                <w:color w:val="000000"/>
                <w:sz w:val="18"/>
                <w:szCs w:val="18"/>
              </w:rPr>
              <w:t>Transferencias, Asignaciones, Subsidios y Otras Ayudas.</w:t>
            </w:r>
          </w:p>
        </w:tc>
        <w:tc>
          <w:tcPr>
            <w:tcW w:w="1420" w:type="dxa"/>
            <w:tcBorders>
              <w:top w:val="nil"/>
              <w:left w:val="nil"/>
              <w:bottom w:val="single" w:sz="4" w:space="0" w:color="auto"/>
              <w:right w:val="single" w:sz="4" w:space="0" w:color="auto"/>
            </w:tcBorders>
            <w:shd w:val="clear" w:color="auto" w:fill="auto"/>
            <w:noWrap/>
            <w:vAlign w:val="center"/>
          </w:tcPr>
          <w:p w14:paraId="0A14F5FA"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 </w:t>
            </w:r>
          </w:p>
        </w:tc>
      </w:tr>
      <w:tr w:rsidR="00D868AB" w:rsidRPr="00D868AB" w14:paraId="46A1BA9D"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1F77F68A"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41508</w:t>
            </w:r>
          </w:p>
        </w:tc>
        <w:tc>
          <w:tcPr>
            <w:tcW w:w="6244" w:type="dxa"/>
            <w:tcBorders>
              <w:top w:val="nil"/>
              <w:left w:val="nil"/>
              <w:bottom w:val="single" w:sz="4" w:space="0" w:color="auto"/>
              <w:right w:val="single" w:sz="4" w:space="0" w:color="auto"/>
            </w:tcBorders>
            <w:shd w:val="clear" w:color="auto" w:fill="auto"/>
            <w:noWrap/>
            <w:vAlign w:val="center"/>
            <w:hideMark/>
          </w:tcPr>
          <w:p w14:paraId="5839CA66"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Junta de Asistencia Privada.</w:t>
            </w:r>
          </w:p>
        </w:tc>
        <w:tc>
          <w:tcPr>
            <w:tcW w:w="1420" w:type="dxa"/>
            <w:tcBorders>
              <w:top w:val="nil"/>
              <w:left w:val="nil"/>
              <w:bottom w:val="single" w:sz="4" w:space="0" w:color="auto"/>
              <w:right w:val="single" w:sz="4" w:space="0" w:color="auto"/>
            </w:tcBorders>
            <w:shd w:val="clear" w:color="auto" w:fill="auto"/>
            <w:noWrap/>
            <w:vAlign w:val="center"/>
          </w:tcPr>
          <w:p w14:paraId="3C1682B9"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2,068,600</w:t>
            </w:r>
          </w:p>
        </w:tc>
      </w:tr>
      <w:tr w:rsidR="00D868AB" w:rsidRPr="00D868AB" w14:paraId="4CDD94DF"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center"/>
            <w:hideMark/>
          </w:tcPr>
          <w:p w14:paraId="4580F6D8" w14:textId="77777777" w:rsidR="00D868AB" w:rsidRPr="00D868AB" w:rsidRDefault="00D868AB" w:rsidP="00D868AB">
            <w:pPr>
              <w:jc w:val="center"/>
              <w:rPr>
                <w:rFonts w:eastAsia="Times New Roman" w:cs="Arial"/>
                <w:color w:val="000000"/>
                <w:sz w:val="18"/>
                <w:szCs w:val="18"/>
              </w:rPr>
            </w:pPr>
            <w:r w:rsidRPr="00D868AB">
              <w:rPr>
                <w:rFonts w:eastAsia="Times New Roman" w:cs="Arial"/>
                <w:color w:val="000000"/>
                <w:sz w:val="18"/>
                <w:szCs w:val="18"/>
              </w:rPr>
              <w:t>41560</w:t>
            </w:r>
          </w:p>
        </w:tc>
        <w:tc>
          <w:tcPr>
            <w:tcW w:w="6244" w:type="dxa"/>
            <w:tcBorders>
              <w:top w:val="nil"/>
              <w:left w:val="nil"/>
              <w:bottom w:val="single" w:sz="4" w:space="0" w:color="auto"/>
              <w:right w:val="single" w:sz="4" w:space="0" w:color="auto"/>
            </w:tcBorders>
            <w:shd w:val="clear" w:color="auto" w:fill="auto"/>
            <w:noWrap/>
            <w:vAlign w:val="center"/>
            <w:hideMark/>
          </w:tcPr>
          <w:p w14:paraId="7F8AA630"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Secretaría Ejecutiva del Sistema Anticorrupción del Estado de Colima.</w:t>
            </w:r>
          </w:p>
        </w:tc>
        <w:tc>
          <w:tcPr>
            <w:tcW w:w="1420" w:type="dxa"/>
            <w:tcBorders>
              <w:top w:val="nil"/>
              <w:left w:val="nil"/>
              <w:bottom w:val="single" w:sz="4" w:space="0" w:color="auto"/>
              <w:right w:val="single" w:sz="4" w:space="0" w:color="auto"/>
            </w:tcBorders>
            <w:shd w:val="clear" w:color="auto" w:fill="auto"/>
            <w:noWrap/>
            <w:vAlign w:val="center"/>
          </w:tcPr>
          <w:p w14:paraId="05168AF5" w14:textId="77777777" w:rsidR="00D868AB" w:rsidRPr="00D868AB" w:rsidRDefault="00D868AB" w:rsidP="00D868AB">
            <w:pPr>
              <w:jc w:val="right"/>
              <w:rPr>
                <w:rFonts w:eastAsia="Times New Roman" w:cs="Arial"/>
                <w:color w:val="000000"/>
                <w:sz w:val="18"/>
                <w:szCs w:val="18"/>
              </w:rPr>
            </w:pPr>
            <w:r w:rsidRPr="00D868AB">
              <w:rPr>
                <w:rFonts w:cs="Arial"/>
                <w:color w:val="000000"/>
                <w:sz w:val="18"/>
                <w:szCs w:val="18"/>
              </w:rPr>
              <w:t>5,000,000</w:t>
            </w:r>
          </w:p>
        </w:tc>
      </w:tr>
      <w:tr w:rsidR="00D868AB" w:rsidRPr="00D868AB" w14:paraId="3FFA9550" w14:textId="77777777" w:rsidTr="00A755A7">
        <w:trPr>
          <w:trHeight w:val="20"/>
          <w:jc w:val="center"/>
        </w:trPr>
        <w:tc>
          <w:tcPr>
            <w:tcW w:w="697" w:type="dxa"/>
            <w:tcBorders>
              <w:top w:val="nil"/>
              <w:left w:val="single" w:sz="4" w:space="0" w:color="auto"/>
              <w:bottom w:val="single" w:sz="4" w:space="0" w:color="auto"/>
              <w:right w:val="single" w:sz="4" w:space="0" w:color="auto"/>
            </w:tcBorders>
            <w:shd w:val="clear" w:color="auto" w:fill="auto"/>
            <w:noWrap/>
            <w:vAlign w:val="bottom"/>
            <w:hideMark/>
          </w:tcPr>
          <w:p w14:paraId="6BA50DDE" w14:textId="77777777" w:rsidR="00D868AB" w:rsidRPr="00D868AB" w:rsidRDefault="00D868AB" w:rsidP="00D868AB">
            <w:pPr>
              <w:jc w:val="left"/>
              <w:rPr>
                <w:rFonts w:eastAsia="Times New Roman" w:cs="Arial"/>
                <w:color w:val="000000"/>
                <w:sz w:val="18"/>
                <w:szCs w:val="18"/>
              </w:rPr>
            </w:pPr>
            <w:r w:rsidRPr="00D868AB">
              <w:rPr>
                <w:rFonts w:eastAsia="Times New Roman" w:cs="Arial"/>
                <w:color w:val="000000"/>
                <w:sz w:val="18"/>
                <w:szCs w:val="18"/>
              </w:rPr>
              <w:t> </w:t>
            </w:r>
          </w:p>
        </w:tc>
        <w:tc>
          <w:tcPr>
            <w:tcW w:w="6244" w:type="dxa"/>
            <w:tcBorders>
              <w:top w:val="nil"/>
              <w:left w:val="nil"/>
              <w:bottom w:val="single" w:sz="4" w:space="0" w:color="auto"/>
              <w:right w:val="single" w:sz="4" w:space="0" w:color="auto"/>
            </w:tcBorders>
            <w:shd w:val="clear" w:color="auto" w:fill="auto"/>
            <w:noWrap/>
            <w:vAlign w:val="center"/>
            <w:hideMark/>
          </w:tcPr>
          <w:p w14:paraId="3611FC34"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Total</w:t>
            </w:r>
          </w:p>
        </w:tc>
        <w:tc>
          <w:tcPr>
            <w:tcW w:w="1420" w:type="dxa"/>
            <w:tcBorders>
              <w:top w:val="nil"/>
              <w:left w:val="nil"/>
              <w:bottom w:val="single" w:sz="4" w:space="0" w:color="auto"/>
              <w:right w:val="single" w:sz="4" w:space="0" w:color="auto"/>
            </w:tcBorders>
            <w:shd w:val="clear" w:color="auto" w:fill="auto"/>
            <w:noWrap/>
            <w:vAlign w:val="center"/>
          </w:tcPr>
          <w:p w14:paraId="6B0528C9" w14:textId="77777777" w:rsidR="00D868AB" w:rsidRPr="00D868AB" w:rsidRDefault="00D868AB" w:rsidP="00D868AB">
            <w:pPr>
              <w:jc w:val="right"/>
              <w:rPr>
                <w:rFonts w:eastAsia="Times New Roman" w:cs="Arial"/>
                <w:b/>
                <w:bCs/>
                <w:color w:val="000000"/>
                <w:sz w:val="18"/>
                <w:szCs w:val="18"/>
                <w:highlight w:val="yellow"/>
              </w:rPr>
            </w:pPr>
            <w:r w:rsidRPr="00D868AB">
              <w:rPr>
                <w:rFonts w:eastAsia="Times New Roman" w:cs="Arial"/>
                <w:b/>
                <w:bCs/>
                <w:color w:val="000000"/>
                <w:sz w:val="18"/>
                <w:szCs w:val="18"/>
              </w:rPr>
              <w:t>1,137,133,820</w:t>
            </w:r>
          </w:p>
        </w:tc>
      </w:tr>
    </w:tbl>
    <w:p w14:paraId="0BE111C3" w14:textId="57FD8762" w:rsidR="00D868AB" w:rsidRPr="00D85BE9" w:rsidRDefault="00D868AB" w:rsidP="00D85BE9">
      <w:pPr>
        <w:ind w:left="142"/>
        <w:rPr>
          <w:rFonts w:cs="Arial"/>
          <w:sz w:val="15"/>
          <w:szCs w:val="15"/>
          <w:lang w:val="es-ES"/>
        </w:rPr>
      </w:pPr>
      <w:r w:rsidRPr="00D868AB">
        <w:rPr>
          <w:rFonts w:cs="Arial"/>
          <w:b/>
          <w:sz w:val="15"/>
          <w:szCs w:val="15"/>
          <w:lang w:val="es-ES"/>
        </w:rPr>
        <w:t>Nota</w:t>
      </w:r>
      <w:r w:rsidRPr="00D868AB">
        <w:rPr>
          <w:rFonts w:cs="Arial"/>
          <w:sz w:val="15"/>
          <w:szCs w:val="15"/>
          <w:lang w:val="es-ES"/>
        </w:rPr>
        <w:t xml:space="preserve">: El monto de </w:t>
      </w:r>
      <w:r w:rsidRPr="00D868AB">
        <w:rPr>
          <w:rFonts w:eastAsiaTheme="minorHAnsi" w:cs="Arial"/>
          <w:color w:val="000000"/>
          <w:sz w:val="15"/>
          <w:szCs w:val="15"/>
          <w:lang w:eastAsia="en-US"/>
        </w:rPr>
        <w:t>41148 Instituto Superior de Educación Normal del Estado de Colima</w:t>
      </w:r>
      <w:r w:rsidRPr="00D868AB">
        <w:rPr>
          <w:rFonts w:cs="Arial"/>
          <w:sz w:val="15"/>
          <w:szCs w:val="15"/>
          <w:lang w:val="es-ES"/>
        </w:rPr>
        <w:t xml:space="preserve"> solo refleja el gasto operativo.</w:t>
      </w:r>
    </w:p>
    <w:p w14:paraId="54732740" w14:textId="77777777" w:rsidR="00D868AB" w:rsidRPr="00D868AB" w:rsidRDefault="00D868AB" w:rsidP="00D868AB">
      <w:pPr>
        <w:rPr>
          <w:rFonts w:cs="Arial"/>
          <w:lang w:val="es-ES"/>
        </w:rPr>
      </w:pPr>
      <w:r w:rsidRPr="00D868AB">
        <w:rPr>
          <w:rFonts w:eastAsia="Times New Roman" w:cs="Arial"/>
          <w:lang w:val="es-ES"/>
        </w:rPr>
        <w:lastRenderedPageBreak/>
        <w:t xml:space="preserve">En el </w:t>
      </w:r>
      <w:bookmarkStart w:id="101" w:name="_Hlk117529082"/>
      <w:r w:rsidRPr="00D868AB">
        <w:rPr>
          <w:rFonts w:eastAsia="Times New Roman" w:cs="Arial"/>
          <w:b/>
          <w:lang w:val="es-ES"/>
        </w:rPr>
        <w:t xml:space="preserve">Anexo </w:t>
      </w:r>
      <w:r w:rsidRPr="00D868AB">
        <w:rPr>
          <w:rFonts w:eastAsia="Times New Roman" w:cs="Arial"/>
          <w:b/>
        </w:rPr>
        <w:t>6</w:t>
      </w:r>
      <w:r w:rsidRPr="00D868AB">
        <w:rPr>
          <w:rFonts w:eastAsia="Times New Roman" w:cs="Arial"/>
        </w:rPr>
        <w:t xml:space="preserve"> se presenta la </w:t>
      </w:r>
      <w:r w:rsidRPr="00D868AB">
        <w:rPr>
          <w:rFonts w:cs="Arial"/>
          <w:b/>
          <w:lang w:val="es-ES"/>
        </w:rPr>
        <w:t>Clasificación por Objeto de Gasto a nivel Capítulo, Programa Presupuestario y Proyecto de la Administración Pública Paraestatal</w:t>
      </w:r>
      <w:bookmarkEnd w:id="101"/>
      <w:r w:rsidRPr="00D868AB">
        <w:rPr>
          <w:rFonts w:cs="Arial"/>
          <w:lang w:val="es-ES"/>
        </w:rPr>
        <w:t xml:space="preserve">, organizado de la siguiente manera: </w:t>
      </w:r>
    </w:p>
    <w:p w14:paraId="60B5B20B" w14:textId="77777777" w:rsidR="00D868AB" w:rsidRPr="00D868AB" w:rsidRDefault="00D868AB" w:rsidP="00D868AB">
      <w:pPr>
        <w:rPr>
          <w:rFonts w:cs="Arial"/>
          <w:lang w:val="es-ES"/>
        </w:rPr>
      </w:pPr>
    </w:p>
    <w:tbl>
      <w:tblPr>
        <w:tblW w:w="8642" w:type="dxa"/>
        <w:jc w:val="center"/>
        <w:tblCellMar>
          <w:left w:w="70" w:type="dxa"/>
          <w:right w:w="70" w:type="dxa"/>
        </w:tblCellMar>
        <w:tblLook w:val="04A0" w:firstRow="1" w:lastRow="0" w:firstColumn="1" w:lastColumn="0" w:noHBand="0" w:noVBand="1"/>
      </w:tblPr>
      <w:tblGrid>
        <w:gridCol w:w="1200"/>
        <w:gridCol w:w="7442"/>
      </w:tblGrid>
      <w:tr w:rsidR="00D868AB" w:rsidRPr="00D868AB" w14:paraId="1CF80B76" w14:textId="77777777" w:rsidTr="00A755A7">
        <w:trPr>
          <w:trHeight w:val="20"/>
          <w:jc w:val="center"/>
        </w:trPr>
        <w:tc>
          <w:tcPr>
            <w:tcW w:w="1200" w:type="dxa"/>
            <w:shd w:val="clear" w:color="auto" w:fill="auto"/>
            <w:noWrap/>
            <w:vAlign w:val="center"/>
            <w:hideMark/>
          </w:tcPr>
          <w:p w14:paraId="357C2A23" w14:textId="77777777" w:rsidR="00D868AB" w:rsidRPr="00D868AB" w:rsidRDefault="00D868AB" w:rsidP="00D868AB">
            <w:pPr>
              <w:jc w:val="left"/>
              <w:rPr>
                <w:rFonts w:eastAsia="Times New Roman" w:cs="Arial"/>
                <w:b/>
                <w:bCs/>
                <w:sz w:val="20"/>
                <w:szCs w:val="20"/>
              </w:rPr>
            </w:pPr>
            <w:bookmarkStart w:id="102" w:name="RANGE!E5"/>
            <w:bookmarkStart w:id="103" w:name="_Hlk117529067"/>
            <w:r w:rsidRPr="00D868AB">
              <w:rPr>
                <w:rFonts w:eastAsia="Times New Roman" w:cs="Arial"/>
                <w:b/>
                <w:bCs/>
                <w:sz w:val="20"/>
                <w:szCs w:val="20"/>
              </w:rPr>
              <w:t>Anexo 6.1</w:t>
            </w:r>
            <w:bookmarkEnd w:id="102"/>
          </w:p>
        </w:tc>
        <w:tc>
          <w:tcPr>
            <w:tcW w:w="7442" w:type="dxa"/>
            <w:shd w:val="clear" w:color="auto" w:fill="auto"/>
            <w:noWrap/>
            <w:vAlign w:val="center"/>
            <w:hideMark/>
          </w:tcPr>
          <w:p w14:paraId="776947E5"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Instituto Colimense de Radio y Televisión.</w:t>
            </w:r>
          </w:p>
        </w:tc>
      </w:tr>
      <w:tr w:rsidR="00D868AB" w:rsidRPr="00D868AB" w14:paraId="655B4DA3" w14:textId="77777777" w:rsidTr="00A755A7">
        <w:trPr>
          <w:trHeight w:val="20"/>
          <w:jc w:val="center"/>
        </w:trPr>
        <w:tc>
          <w:tcPr>
            <w:tcW w:w="1200" w:type="dxa"/>
            <w:shd w:val="clear" w:color="auto" w:fill="auto"/>
            <w:noWrap/>
            <w:vAlign w:val="center"/>
            <w:hideMark/>
          </w:tcPr>
          <w:p w14:paraId="72DC7DAA" w14:textId="77777777" w:rsidR="00D868AB" w:rsidRPr="00D868AB" w:rsidRDefault="00D868AB" w:rsidP="00D868AB">
            <w:pPr>
              <w:jc w:val="left"/>
              <w:rPr>
                <w:rFonts w:eastAsia="Times New Roman" w:cs="Arial"/>
                <w:b/>
                <w:bCs/>
                <w:sz w:val="20"/>
                <w:szCs w:val="20"/>
              </w:rPr>
            </w:pPr>
            <w:bookmarkStart w:id="104" w:name="_Hlk87635237" w:colFirst="0" w:colLast="0"/>
            <w:r w:rsidRPr="00D868AB">
              <w:rPr>
                <w:rFonts w:eastAsia="Times New Roman" w:cs="Arial"/>
                <w:b/>
                <w:bCs/>
                <w:sz w:val="20"/>
                <w:szCs w:val="20"/>
              </w:rPr>
              <w:t>Anexo 6.2</w:t>
            </w:r>
          </w:p>
        </w:tc>
        <w:tc>
          <w:tcPr>
            <w:tcW w:w="7442" w:type="dxa"/>
            <w:shd w:val="clear" w:color="auto" w:fill="auto"/>
            <w:noWrap/>
            <w:vAlign w:val="center"/>
          </w:tcPr>
          <w:p w14:paraId="0FCDCDC2"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Centro Estatal para la Prevención y Atención a la Violencia Familiar.</w:t>
            </w:r>
          </w:p>
        </w:tc>
      </w:tr>
      <w:tr w:rsidR="00D868AB" w:rsidRPr="00D868AB" w14:paraId="73AD7E2E" w14:textId="77777777" w:rsidTr="00A755A7">
        <w:trPr>
          <w:trHeight w:val="20"/>
          <w:jc w:val="center"/>
        </w:trPr>
        <w:tc>
          <w:tcPr>
            <w:tcW w:w="1200" w:type="dxa"/>
            <w:shd w:val="clear" w:color="auto" w:fill="auto"/>
            <w:noWrap/>
            <w:vAlign w:val="center"/>
            <w:hideMark/>
          </w:tcPr>
          <w:p w14:paraId="7ABE4EF6"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6.3</w:t>
            </w:r>
          </w:p>
        </w:tc>
        <w:tc>
          <w:tcPr>
            <w:tcW w:w="7442" w:type="dxa"/>
            <w:shd w:val="clear" w:color="auto" w:fill="auto"/>
            <w:noWrap/>
            <w:vAlign w:val="center"/>
            <w:hideMark/>
          </w:tcPr>
          <w:p w14:paraId="71E83105"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Instituto para el Registro del Territorio del Estado de Colima.</w:t>
            </w:r>
          </w:p>
        </w:tc>
      </w:tr>
      <w:tr w:rsidR="00D868AB" w:rsidRPr="00D868AB" w14:paraId="071F2651" w14:textId="77777777" w:rsidTr="00A755A7">
        <w:trPr>
          <w:trHeight w:val="20"/>
          <w:jc w:val="center"/>
        </w:trPr>
        <w:tc>
          <w:tcPr>
            <w:tcW w:w="1200" w:type="dxa"/>
            <w:shd w:val="clear" w:color="auto" w:fill="auto"/>
            <w:noWrap/>
            <w:vAlign w:val="center"/>
            <w:hideMark/>
          </w:tcPr>
          <w:p w14:paraId="61CEA42B"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6.4</w:t>
            </w:r>
          </w:p>
        </w:tc>
        <w:tc>
          <w:tcPr>
            <w:tcW w:w="7442" w:type="dxa"/>
            <w:shd w:val="clear" w:color="auto" w:fill="auto"/>
            <w:noWrap/>
            <w:vAlign w:val="center"/>
            <w:hideMark/>
          </w:tcPr>
          <w:p w14:paraId="4F7CF065"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Procuraduría de Protección de Niñas, Niños y Adolescentes.</w:t>
            </w:r>
          </w:p>
        </w:tc>
      </w:tr>
      <w:tr w:rsidR="00D868AB" w:rsidRPr="00D868AB" w14:paraId="56ED596D" w14:textId="77777777" w:rsidTr="00A755A7">
        <w:trPr>
          <w:trHeight w:val="20"/>
          <w:jc w:val="center"/>
        </w:trPr>
        <w:tc>
          <w:tcPr>
            <w:tcW w:w="1200" w:type="dxa"/>
            <w:shd w:val="clear" w:color="auto" w:fill="auto"/>
            <w:noWrap/>
            <w:vAlign w:val="center"/>
            <w:hideMark/>
          </w:tcPr>
          <w:p w14:paraId="510D99D0"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6.5</w:t>
            </w:r>
          </w:p>
        </w:tc>
        <w:tc>
          <w:tcPr>
            <w:tcW w:w="7442" w:type="dxa"/>
            <w:shd w:val="clear" w:color="auto" w:fill="auto"/>
            <w:noWrap/>
            <w:vAlign w:val="center"/>
            <w:hideMark/>
          </w:tcPr>
          <w:p w14:paraId="11D296BC"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Unidad Estatal de Protección Civil.</w:t>
            </w:r>
          </w:p>
        </w:tc>
      </w:tr>
      <w:tr w:rsidR="00D868AB" w:rsidRPr="00D868AB" w14:paraId="4CFA94B5" w14:textId="77777777" w:rsidTr="00A755A7">
        <w:trPr>
          <w:trHeight w:val="20"/>
          <w:jc w:val="center"/>
        </w:trPr>
        <w:tc>
          <w:tcPr>
            <w:tcW w:w="1200" w:type="dxa"/>
            <w:shd w:val="clear" w:color="auto" w:fill="auto"/>
            <w:noWrap/>
            <w:vAlign w:val="center"/>
            <w:hideMark/>
          </w:tcPr>
          <w:p w14:paraId="6A8C8E1A"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6.6</w:t>
            </w:r>
          </w:p>
        </w:tc>
        <w:tc>
          <w:tcPr>
            <w:tcW w:w="7442" w:type="dxa"/>
            <w:shd w:val="clear" w:color="auto" w:fill="auto"/>
            <w:noWrap/>
            <w:vAlign w:val="center"/>
            <w:hideMark/>
          </w:tcPr>
          <w:p w14:paraId="2D345DAE"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Consejo de Participación Social del Estado de Colima.</w:t>
            </w:r>
          </w:p>
        </w:tc>
      </w:tr>
      <w:bookmarkEnd w:id="104"/>
      <w:tr w:rsidR="00D868AB" w:rsidRPr="00D868AB" w14:paraId="225C87A0" w14:textId="77777777" w:rsidTr="00A755A7">
        <w:trPr>
          <w:trHeight w:val="20"/>
          <w:jc w:val="center"/>
        </w:trPr>
        <w:tc>
          <w:tcPr>
            <w:tcW w:w="1200" w:type="dxa"/>
            <w:shd w:val="clear" w:color="auto" w:fill="auto"/>
            <w:noWrap/>
            <w:vAlign w:val="center"/>
            <w:hideMark/>
          </w:tcPr>
          <w:p w14:paraId="4427BBF2"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6.7</w:t>
            </w:r>
          </w:p>
        </w:tc>
        <w:tc>
          <w:tcPr>
            <w:tcW w:w="7442" w:type="dxa"/>
            <w:shd w:val="clear" w:color="auto" w:fill="auto"/>
            <w:noWrap/>
            <w:vAlign w:val="center"/>
          </w:tcPr>
          <w:p w14:paraId="436204BC"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Instituto Colimense para la Sociedad de la Información y el Conocimiento.</w:t>
            </w:r>
          </w:p>
        </w:tc>
      </w:tr>
      <w:tr w:rsidR="00D868AB" w:rsidRPr="00D868AB" w14:paraId="61E85AC8" w14:textId="77777777" w:rsidTr="00A755A7">
        <w:trPr>
          <w:trHeight w:val="20"/>
          <w:jc w:val="center"/>
        </w:trPr>
        <w:tc>
          <w:tcPr>
            <w:tcW w:w="1200" w:type="dxa"/>
            <w:shd w:val="clear" w:color="auto" w:fill="auto"/>
            <w:noWrap/>
            <w:vAlign w:val="center"/>
            <w:hideMark/>
          </w:tcPr>
          <w:p w14:paraId="52CBCB1B"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6.8</w:t>
            </w:r>
          </w:p>
        </w:tc>
        <w:tc>
          <w:tcPr>
            <w:tcW w:w="7442" w:type="dxa"/>
            <w:shd w:val="clear" w:color="auto" w:fill="auto"/>
            <w:noWrap/>
            <w:vAlign w:val="center"/>
          </w:tcPr>
          <w:p w14:paraId="6F3BBDAC"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Órgano de Gestión y Control del Patrimonio Inmobiliario del Estado de Colima.</w:t>
            </w:r>
          </w:p>
        </w:tc>
      </w:tr>
      <w:tr w:rsidR="00D868AB" w:rsidRPr="00D868AB" w14:paraId="0CDD8178" w14:textId="77777777" w:rsidTr="00A755A7">
        <w:trPr>
          <w:trHeight w:val="20"/>
          <w:jc w:val="center"/>
        </w:trPr>
        <w:tc>
          <w:tcPr>
            <w:tcW w:w="1200" w:type="dxa"/>
            <w:shd w:val="clear" w:color="auto" w:fill="auto"/>
            <w:noWrap/>
            <w:vAlign w:val="center"/>
            <w:hideMark/>
          </w:tcPr>
          <w:p w14:paraId="29EF88B1"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6.9</w:t>
            </w:r>
          </w:p>
        </w:tc>
        <w:tc>
          <w:tcPr>
            <w:tcW w:w="7442" w:type="dxa"/>
            <w:shd w:val="clear" w:color="auto" w:fill="auto"/>
            <w:noWrap/>
            <w:vAlign w:val="center"/>
          </w:tcPr>
          <w:p w14:paraId="655BC690"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Sistema para el Desarrollo Integral de la Familia del Estado de Colima.</w:t>
            </w:r>
          </w:p>
        </w:tc>
      </w:tr>
      <w:tr w:rsidR="00D868AB" w:rsidRPr="00D868AB" w14:paraId="39178557" w14:textId="77777777" w:rsidTr="00A755A7">
        <w:trPr>
          <w:trHeight w:val="20"/>
          <w:jc w:val="center"/>
        </w:trPr>
        <w:tc>
          <w:tcPr>
            <w:tcW w:w="1200" w:type="dxa"/>
            <w:shd w:val="clear" w:color="auto" w:fill="auto"/>
            <w:noWrap/>
            <w:vAlign w:val="center"/>
            <w:hideMark/>
          </w:tcPr>
          <w:p w14:paraId="28BC9570"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6.10</w:t>
            </w:r>
          </w:p>
        </w:tc>
        <w:tc>
          <w:tcPr>
            <w:tcW w:w="7442" w:type="dxa"/>
            <w:shd w:val="clear" w:color="auto" w:fill="auto"/>
            <w:noWrap/>
            <w:vAlign w:val="center"/>
          </w:tcPr>
          <w:p w14:paraId="65BDB00B"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Instituto para la Atención de los Adultos Mayores.</w:t>
            </w:r>
          </w:p>
        </w:tc>
      </w:tr>
      <w:tr w:rsidR="00D868AB" w:rsidRPr="00D868AB" w14:paraId="2AF184FA" w14:textId="77777777" w:rsidTr="00A755A7">
        <w:trPr>
          <w:trHeight w:val="20"/>
          <w:jc w:val="center"/>
        </w:trPr>
        <w:tc>
          <w:tcPr>
            <w:tcW w:w="1200" w:type="dxa"/>
            <w:shd w:val="clear" w:color="auto" w:fill="auto"/>
            <w:noWrap/>
            <w:vAlign w:val="center"/>
            <w:hideMark/>
          </w:tcPr>
          <w:p w14:paraId="5663314C"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6.11</w:t>
            </w:r>
          </w:p>
        </w:tc>
        <w:tc>
          <w:tcPr>
            <w:tcW w:w="7442" w:type="dxa"/>
            <w:shd w:val="clear" w:color="auto" w:fill="auto"/>
            <w:noWrap/>
            <w:vAlign w:val="center"/>
          </w:tcPr>
          <w:p w14:paraId="36671085"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Instituto Colimense para la Discapacidad.</w:t>
            </w:r>
          </w:p>
        </w:tc>
      </w:tr>
      <w:tr w:rsidR="00D868AB" w:rsidRPr="00D868AB" w14:paraId="686C4079" w14:textId="77777777" w:rsidTr="00A755A7">
        <w:trPr>
          <w:trHeight w:val="20"/>
          <w:jc w:val="center"/>
        </w:trPr>
        <w:tc>
          <w:tcPr>
            <w:tcW w:w="1200" w:type="dxa"/>
            <w:shd w:val="clear" w:color="auto" w:fill="auto"/>
            <w:noWrap/>
            <w:vAlign w:val="center"/>
            <w:hideMark/>
          </w:tcPr>
          <w:p w14:paraId="0E872950"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6.12</w:t>
            </w:r>
          </w:p>
        </w:tc>
        <w:tc>
          <w:tcPr>
            <w:tcW w:w="7442" w:type="dxa"/>
            <w:shd w:val="clear" w:color="auto" w:fill="auto"/>
            <w:noWrap/>
            <w:vAlign w:val="center"/>
          </w:tcPr>
          <w:p w14:paraId="7248A844"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Instituto Colimense de las Mujeres.</w:t>
            </w:r>
          </w:p>
        </w:tc>
      </w:tr>
      <w:tr w:rsidR="00D868AB" w:rsidRPr="00D868AB" w14:paraId="01133C9D" w14:textId="77777777" w:rsidTr="00A755A7">
        <w:trPr>
          <w:trHeight w:val="20"/>
          <w:jc w:val="center"/>
        </w:trPr>
        <w:tc>
          <w:tcPr>
            <w:tcW w:w="1200" w:type="dxa"/>
            <w:shd w:val="clear" w:color="auto" w:fill="auto"/>
            <w:noWrap/>
            <w:vAlign w:val="center"/>
            <w:hideMark/>
          </w:tcPr>
          <w:p w14:paraId="1BF240E5"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6.13</w:t>
            </w:r>
          </w:p>
        </w:tc>
        <w:tc>
          <w:tcPr>
            <w:tcW w:w="7442" w:type="dxa"/>
            <w:shd w:val="clear" w:color="auto" w:fill="auto"/>
            <w:noWrap/>
            <w:vAlign w:val="center"/>
          </w:tcPr>
          <w:p w14:paraId="37B049FD"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Comisión Estatal del Agua de Colima.</w:t>
            </w:r>
          </w:p>
        </w:tc>
      </w:tr>
      <w:tr w:rsidR="00D868AB" w:rsidRPr="00D868AB" w14:paraId="4C58F1F7" w14:textId="77777777" w:rsidTr="00A755A7">
        <w:trPr>
          <w:trHeight w:val="20"/>
          <w:jc w:val="center"/>
        </w:trPr>
        <w:tc>
          <w:tcPr>
            <w:tcW w:w="1200" w:type="dxa"/>
            <w:shd w:val="clear" w:color="auto" w:fill="auto"/>
            <w:noWrap/>
            <w:vAlign w:val="center"/>
            <w:hideMark/>
          </w:tcPr>
          <w:p w14:paraId="5A09145F"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6.14</w:t>
            </w:r>
          </w:p>
        </w:tc>
        <w:tc>
          <w:tcPr>
            <w:tcW w:w="7442" w:type="dxa"/>
            <w:shd w:val="clear" w:color="auto" w:fill="auto"/>
            <w:noWrap/>
            <w:vAlign w:val="center"/>
          </w:tcPr>
          <w:p w14:paraId="295F6957"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Instituto para el Medio Ambiente y Desarrollo Sustentable.</w:t>
            </w:r>
          </w:p>
        </w:tc>
      </w:tr>
      <w:tr w:rsidR="00D868AB" w:rsidRPr="00D868AB" w14:paraId="530B78FF" w14:textId="77777777" w:rsidTr="00A755A7">
        <w:trPr>
          <w:trHeight w:val="20"/>
          <w:jc w:val="center"/>
        </w:trPr>
        <w:tc>
          <w:tcPr>
            <w:tcW w:w="1200" w:type="dxa"/>
            <w:shd w:val="clear" w:color="auto" w:fill="auto"/>
            <w:noWrap/>
            <w:vAlign w:val="center"/>
            <w:hideMark/>
          </w:tcPr>
          <w:p w14:paraId="0B4775E3"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6.15</w:t>
            </w:r>
          </w:p>
        </w:tc>
        <w:tc>
          <w:tcPr>
            <w:tcW w:w="7442" w:type="dxa"/>
            <w:shd w:val="clear" w:color="auto" w:fill="auto"/>
            <w:noWrap/>
            <w:vAlign w:val="center"/>
          </w:tcPr>
          <w:p w14:paraId="4F82412F"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Instituto Colimense del Deporte.</w:t>
            </w:r>
          </w:p>
        </w:tc>
      </w:tr>
      <w:tr w:rsidR="00D868AB" w:rsidRPr="00D868AB" w14:paraId="764A4D30" w14:textId="77777777" w:rsidTr="00A755A7">
        <w:trPr>
          <w:trHeight w:val="20"/>
          <w:jc w:val="center"/>
        </w:trPr>
        <w:tc>
          <w:tcPr>
            <w:tcW w:w="1200" w:type="dxa"/>
            <w:shd w:val="clear" w:color="auto" w:fill="auto"/>
            <w:noWrap/>
            <w:vAlign w:val="center"/>
            <w:hideMark/>
          </w:tcPr>
          <w:p w14:paraId="7A2DAF11"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6.16</w:t>
            </w:r>
          </w:p>
        </w:tc>
        <w:tc>
          <w:tcPr>
            <w:tcW w:w="7442" w:type="dxa"/>
            <w:shd w:val="clear" w:color="auto" w:fill="auto"/>
            <w:noWrap/>
            <w:vAlign w:val="center"/>
          </w:tcPr>
          <w:p w14:paraId="45A2169D"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Instituto Colimense de Infraestructura Física Educativa.</w:t>
            </w:r>
          </w:p>
        </w:tc>
      </w:tr>
      <w:tr w:rsidR="00D868AB" w:rsidRPr="00D868AB" w14:paraId="680BE5DD" w14:textId="77777777" w:rsidTr="00A755A7">
        <w:trPr>
          <w:trHeight w:val="20"/>
          <w:jc w:val="center"/>
        </w:trPr>
        <w:tc>
          <w:tcPr>
            <w:tcW w:w="1200" w:type="dxa"/>
            <w:shd w:val="clear" w:color="auto" w:fill="auto"/>
            <w:noWrap/>
            <w:vAlign w:val="center"/>
            <w:hideMark/>
          </w:tcPr>
          <w:p w14:paraId="1B802792"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6.17</w:t>
            </w:r>
          </w:p>
        </w:tc>
        <w:tc>
          <w:tcPr>
            <w:tcW w:w="7442" w:type="dxa"/>
            <w:shd w:val="clear" w:color="auto" w:fill="auto"/>
            <w:noWrap/>
            <w:vAlign w:val="center"/>
          </w:tcPr>
          <w:p w14:paraId="1E7ACCB4"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Universidad Tecnológica de Manzanillo.</w:t>
            </w:r>
          </w:p>
        </w:tc>
      </w:tr>
      <w:tr w:rsidR="00D868AB" w:rsidRPr="00D868AB" w14:paraId="06ACD669" w14:textId="77777777" w:rsidTr="00A755A7">
        <w:trPr>
          <w:trHeight w:val="20"/>
          <w:jc w:val="center"/>
        </w:trPr>
        <w:tc>
          <w:tcPr>
            <w:tcW w:w="1200" w:type="dxa"/>
            <w:shd w:val="clear" w:color="auto" w:fill="auto"/>
            <w:noWrap/>
            <w:vAlign w:val="center"/>
            <w:hideMark/>
          </w:tcPr>
          <w:p w14:paraId="2B7E2C46"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6.18</w:t>
            </w:r>
          </w:p>
        </w:tc>
        <w:tc>
          <w:tcPr>
            <w:tcW w:w="7442" w:type="dxa"/>
            <w:shd w:val="clear" w:color="auto" w:fill="auto"/>
            <w:noWrap/>
            <w:vAlign w:val="center"/>
          </w:tcPr>
          <w:p w14:paraId="22753CDE"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Colegio de Educación Profesional Técnica del Estado de Colima.</w:t>
            </w:r>
          </w:p>
        </w:tc>
      </w:tr>
      <w:tr w:rsidR="00D868AB" w:rsidRPr="00D868AB" w14:paraId="3BE281B3" w14:textId="77777777" w:rsidTr="00A755A7">
        <w:trPr>
          <w:trHeight w:val="20"/>
          <w:jc w:val="center"/>
        </w:trPr>
        <w:tc>
          <w:tcPr>
            <w:tcW w:w="1200" w:type="dxa"/>
            <w:shd w:val="clear" w:color="auto" w:fill="auto"/>
            <w:noWrap/>
            <w:vAlign w:val="center"/>
            <w:hideMark/>
          </w:tcPr>
          <w:p w14:paraId="2FAA31BE"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6.19</w:t>
            </w:r>
          </w:p>
        </w:tc>
        <w:tc>
          <w:tcPr>
            <w:tcW w:w="7442" w:type="dxa"/>
            <w:shd w:val="clear" w:color="auto" w:fill="auto"/>
            <w:noWrap/>
            <w:vAlign w:val="center"/>
          </w:tcPr>
          <w:p w14:paraId="2F431752"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Colegio de Educación Profesional Técnica (Tecomán).</w:t>
            </w:r>
          </w:p>
        </w:tc>
      </w:tr>
      <w:tr w:rsidR="00D868AB" w:rsidRPr="00D868AB" w14:paraId="66735535" w14:textId="77777777" w:rsidTr="00A755A7">
        <w:trPr>
          <w:trHeight w:val="20"/>
          <w:jc w:val="center"/>
        </w:trPr>
        <w:tc>
          <w:tcPr>
            <w:tcW w:w="1200" w:type="dxa"/>
            <w:shd w:val="clear" w:color="auto" w:fill="auto"/>
            <w:noWrap/>
            <w:vAlign w:val="center"/>
            <w:hideMark/>
          </w:tcPr>
          <w:p w14:paraId="7B9692DB"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6.20</w:t>
            </w:r>
          </w:p>
        </w:tc>
        <w:tc>
          <w:tcPr>
            <w:tcW w:w="7442" w:type="dxa"/>
            <w:shd w:val="clear" w:color="auto" w:fill="auto"/>
            <w:noWrap/>
            <w:vAlign w:val="center"/>
          </w:tcPr>
          <w:p w14:paraId="5A8CCBCD"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Universidad de Colima.</w:t>
            </w:r>
          </w:p>
        </w:tc>
      </w:tr>
      <w:tr w:rsidR="00D868AB" w:rsidRPr="00D868AB" w14:paraId="5E649CC8" w14:textId="77777777" w:rsidTr="00A755A7">
        <w:trPr>
          <w:trHeight w:val="20"/>
          <w:jc w:val="center"/>
        </w:trPr>
        <w:tc>
          <w:tcPr>
            <w:tcW w:w="1200" w:type="dxa"/>
            <w:shd w:val="clear" w:color="auto" w:fill="auto"/>
            <w:noWrap/>
            <w:vAlign w:val="center"/>
            <w:hideMark/>
          </w:tcPr>
          <w:p w14:paraId="7198B502"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6.21</w:t>
            </w:r>
          </w:p>
        </w:tc>
        <w:tc>
          <w:tcPr>
            <w:tcW w:w="7442" w:type="dxa"/>
            <w:shd w:val="clear" w:color="auto" w:fill="auto"/>
            <w:noWrap/>
            <w:vAlign w:val="center"/>
          </w:tcPr>
          <w:p w14:paraId="0A64F701"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Tecnológico Nacional de México Campus Colima.</w:t>
            </w:r>
          </w:p>
        </w:tc>
      </w:tr>
      <w:tr w:rsidR="00D868AB" w:rsidRPr="00D868AB" w14:paraId="613A514A" w14:textId="77777777" w:rsidTr="00A755A7">
        <w:trPr>
          <w:trHeight w:val="20"/>
          <w:jc w:val="center"/>
        </w:trPr>
        <w:tc>
          <w:tcPr>
            <w:tcW w:w="1200" w:type="dxa"/>
            <w:shd w:val="clear" w:color="auto" w:fill="auto"/>
            <w:noWrap/>
            <w:vAlign w:val="center"/>
            <w:hideMark/>
          </w:tcPr>
          <w:p w14:paraId="54DF8011"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6.22</w:t>
            </w:r>
          </w:p>
        </w:tc>
        <w:tc>
          <w:tcPr>
            <w:tcW w:w="7442" w:type="dxa"/>
            <w:shd w:val="clear" w:color="auto" w:fill="auto"/>
            <w:noWrap/>
            <w:vAlign w:val="center"/>
          </w:tcPr>
          <w:p w14:paraId="1D40FD18"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Instituto Estatal de Educación para Adultos.</w:t>
            </w:r>
          </w:p>
        </w:tc>
      </w:tr>
      <w:tr w:rsidR="00D868AB" w:rsidRPr="00D868AB" w14:paraId="3ADED19D" w14:textId="77777777" w:rsidTr="00A755A7">
        <w:trPr>
          <w:trHeight w:val="20"/>
          <w:jc w:val="center"/>
        </w:trPr>
        <w:tc>
          <w:tcPr>
            <w:tcW w:w="1200" w:type="dxa"/>
            <w:shd w:val="clear" w:color="auto" w:fill="auto"/>
            <w:noWrap/>
            <w:vAlign w:val="center"/>
            <w:hideMark/>
          </w:tcPr>
          <w:p w14:paraId="154D8057"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6.23</w:t>
            </w:r>
          </w:p>
        </w:tc>
        <w:tc>
          <w:tcPr>
            <w:tcW w:w="7442" w:type="dxa"/>
            <w:shd w:val="clear" w:color="auto" w:fill="auto"/>
            <w:noWrap/>
            <w:vAlign w:val="center"/>
          </w:tcPr>
          <w:p w14:paraId="59415821"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Comisión Estatal de Conciliación y Arbitraje Médico de Colima.</w:t>
            </w:r>
          </w:p>
        </w:tc>
      </w:tr>
      <w:tr w:rsidR="00D868AB" w:rsidRPr="00D868AB" w14:paraId="3C1A540D" w14:textId="77777777" w:rsidTr="00A755A7">
        <w:trPr>
          <w:trHeight w:val="20"/>
          <w:jc w:val="center"/>
        </w:trPr>
        <w:tc>
          <w:tcPr>
            <w:tcW w:w="1200" w:type="dxa"/>
            <w:shd w:val="clear" w:color="auto" w:fill="auto"/>
            <w:noWrap/>
            <w:vAlign w:val="center"/>
            <w:hideMark/>
          </w:tcPr>
          <w:p w14:paraId="111C55E5"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6.24</w:t>
            </w:r>
          </w:p>
        </w:tc>
        <w:tc>
          <w:tcPr>
            <w:tcW w:w="7442" w:type="dxa"/>
            <w:shd w:val="clear" w:color="auto" w:fill="auto"/>
            <w:noWrap/>
            <w:vAlign w:val="center"/>
          </w:tcPr>
          <w:p w14:paraId="0717EE36"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Junta de Asistencia Privada.</w:t>
            </w:r>
          </w:p>
        </w:tc>
      </w:tr>
      <w:tr w:rsidR="00D868AB" w:rsidRPr="00D868AB" w14:paraId="0EBE845F" w14:textId="77777777" w:rsidTr="00A755A7">
        <w:trPr>
          <w:trHeight w:val="20"/>
          <w:jc w:val="center"/>
        </w:trPr>
        <w:tc>
          <w:tcPr>
            <w:tcW w:w="1200" w:type="dxa"/>
            <w:shd w:val="clear" w:color="auto" w:fill="auto"/>
            <w:noWrap/>
            <w:vAlign w:val="center"/>
            <w:hideMark/>
          </w:tcPr>
          <w:p w14:paraId="591746AC" w14:textId="77777777" w:rsidR="00D868AB" w:rsidRPr="00D868AB" w:rsidRDefault="00D868AB" w:rsidP="00D868AB">
            <w:pPr>
              <w:jc w:val="left"/>
              <w:rPr>
                <w:rFonts w:eastAsia="Times New Roman" w:cs="Arial"/>
                <w:b/>
                <w:bCs/>
                <w:sz w:val="20"/>
                <w:szCs w:val="20"/>
              </w:rPr>
            </w:pPr>
            <w:r w:rsidRPr="00D868AB">
              <w:rPr>
                <w:rFonts w:eastAsia="Times New Roman" w:cs="Arial"/>
                <w:b/>
                <w:bCs/>
                <w:sz w:val="20"/>
                <w:szCs w:val="20"/>
              </w:rPr>
              <w:t>Anexo 6.25</w:t>
            </w:r>
          </w:p>
        </w:tc>
        <w:tc>
          <w:tcPr>
            <w:tcW w:w="7442" w:type="dxa"/>
            <w:shd w:val="clear" w:color="auto" w:fill="auto"/>
            <w:noWrap/>
            <w:vAlign w:val="center"/>
          </w:tcPr>
          <w:p w14:paraId="6CFF070E"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Secretaría Ejecutiva del Sistema Anticorrupción del Estado de Colima.</w:t>
            </w:r>
          </w:p>
        </w:tc>
      </w:tr>
      <w:bookmarkEnd w:id="103"/>
    </w:tbl>
    <w:p w14:paraId="3DE8F3B9" w14:textId="77777777" w:rsidR="00D868AB" w:rsidRPr="00D868AB" w:rsidRDefault="00D868AB" w:rsidP="00D868AB">
      <w:pPr>
        <w:tabs>
          <w:tab w:val="left" w:pos="1276"/>
        </w:tabs>
        <w:rPr>
          <w:rFonts w:cs="Arial"/>
          <w:lang w:val="es-ES"/>
        </w:rPr>
      </w:pPr>
    </w:p>
    <w:p w14:paraId="2CDAD76D" w14:textId="77777777" w:rsidR="00D868AB" w:rsidRPr="00D868AB" w:rsidRDefault="00D868AB" w:rsidP="00D868AB">
      <w:pPr>
        <w:tabs>
          <w:tab w:val="left" w:pos="1276"/>
        </w:tabs>
        <w:rPr>
          <w:rFonts w:cs="Arial"/>
          <w:lang w:val="es-ES"/>
        </w:rPr>
      </w:pPr>
    </w:p>
    <w:p w14:paraId="6287348E" w14:textId="77777777" w:rsidR="00D868AB" w:rsidRPr="00D868AB" w:rsidRDefault="00D868AB" w:rsidP="00D868AB">
      <w:pPr>
        <w:jc w:val="center"/>
        <w:rPr>
          <w:rFonts w:eastAsia="Times New Roman" w:cs="Arial"/>
          <w:b/>
          <w:lang w:val="es-ES"/>
        </w:rPr>
      </w:pPr>
      <w:bookmarkStart w:id="105" w:name="_Toc22021908"/>
      <w:bookmarkStart w:id="106" w:name="_Toc22983174"/>
      <w:r w:rsidRPr="00D868AB">
        <w:rPr>
          <w:rFonts w:eastAsia="Times New Roman" w:cs="Arial"/>
          <w:b/>
          <w:lang w:val="es-ES"/>
        </w:rPr>
        <w:t>CAPÍTULO V</w:t>
      </w:r>
      <w:bookmarkEnd w:id="105"/>
      <w:bookmarkEnd w:id="106"/>
      <w:r w:rsidRPr="00D868AB">
        <w:rPr>
          <w:rFonts w:eastAsia="Times New Roman" w:cs="Arial"/>
          <w:b/>
          <w:lang w:val="es-ES"/>
        </w:rPr>
        <w:t>I</w:t>
      </w:r>
    </w:p>
    <w:p w14:paraId="77F8221F" w14:textId="77777777" w:rsidR="00D868AB" w:rsidRPr="00D868AB" w:rsidRDefault="00D868AB" w:rsidP="00D868AB">
      <w:pPr>
        <w:keepNext/>
        <w:keepLines/>
        <w:jc w:val="center"/>
        <w:outlineLvl w:val="0"/>
        <w:rPr>
          <w:rFonts w:eastAsia="Times New Roman" w:cs="Arial"/>
          <w:b/>
          <w:szCs w:val="32"/>
          <w:lang w:val="es-ES"/>
        </w:rPr>
      </w:pPr>
      <w:bookmarkStart w:id="107" w:name="_Toc22021909"/>
      <w:bookmarkStart w:id="108" w:name="_Toc22983175"/>
      <w:r w:rsidRPr="00D868AB">
        <w:rPr>
          <w:rFonts w:eastAsia="Times New Roman" w:cs="Arial"/>
          <w:b/>
          <w:szCs w:val="32"/>
          <w:lang w:val="es-ES"/>
        </w:rPr>
        <w:t>DE LAS PREVISIONES PARA ATENDER DESASTRES NATURALES</w:t>
      </w:r>
      <w:bookmarkEnd w:id="107"/>
      <w:bookmarkEnd w:id="108"/>
    </w:p>
    <w:p w14:paraId="0541E6BE" w14:textId="77777777" w:rsidR="00D868AB" w:rsidRPr="00D868AB" w:rsidRDefault="00D868AB" w:rsidP="00D868AB">
      <w:pPr>
        <w:rPr>
          <w:rFonts w:cs="Arial"/>
          <w:lang w:val="es-ES"/>
        </w:rPr>
      </w:pPr>
    </w:p>
    <w:p w14:paraId="4C3DB4A8" w14:textId="77777777" w:rsidR="00D868AB" w:rsidRPr="00D868AB" w:rsidRDefault="00D868AB" w:rsidP="00D868AB">
      <w:pPr>
        <w:rPr>
          <w:rFonts w:cs="Arial"/>
        </w:rPr>
      </w:pPr>
      <w:r w:rsidRPr="00D868AB">
        <w:rPr>
          <w:rFonts w:cs="Arial"/>
          <w:b/>
        </w:rPr>
        <w:t>Artículo 24</w:t>
      </w:r>
      <w:r w:rsidRPr="00D868AB">
        <w:rPr>
          <w:rFonts w:cs="Arial"/>
        </w:rPr>
        <w:t xml:space="preserve">. En cumplimiento a lo dispuesto por los artículos 9 y Quinto Transitorio de la Ley de Disciplina Financiera, y la Ley General de Protección Civil, las </w:t>
      </w:r>
      <w:r w:rsidRPr="00D868AB">
        <w:rPr>
          <w:rFonts w:cs="Arial"/>
          <w:b/>
        </w:rPr>
        <w:t>Previsiones para atender Desastres Naturales y otros Siniestros</w:t>
      </w:r>
      <w:r w:rsidRPr="00D868AB">
        <w:rPr>
          <w:rFonts w:cs="Arial"/>
        </w:rPr>
        <w:t xml:space="preserve"> se distribuyen de la siguiente forma:</w:t>
      </w:r>
    </w:p>
    <w:p w14:paraId="76485C42" w14:textId="77777777" w:rsidR="00D868AB" w:rsidRPr="00D868AB" w:rsidRDefault="00D868AB" w:rsidP="00D868AB">
      <w:pPr>
        <w:keepNext/>
        <w:keepLines/>
        <w:outlineLvl w:val="2"/>
        <w:rPr>
          <w:rFonts w:eastAsia="Times New Roman" w:cs="Arial"/>
          <w:b/>
          <w:szCs w:val="24"/>
          <w:lang w:val="es-ES" w:eastAsia="en-U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6330"/>
        <w:gridCol w:w="1564"/>
      </w:tblGrid>
      <w:tr w:rsidR="00D868AB" w:rsidRPr="00D868AB" w14:paraId="4355705C" w14:textId="77777777" w:rsidTr="00A755A7">
        <w:trPr>
          <w:trHeight w:val="20"/>
          <w:tblHeader/>
          <w:jc w:val="center"/>
        </w:trPr>
        <w:tc>
          <w:tcPr>
            <w:tcW w:w="8789" w:type="dxa"/>
            <w:gridSpan w:val="3"/>
            <w:tcBorders>
              <w:top w:val="nil"/>
              <w:left w:val="nil"/>
              <w:bottom w:val="single" w:sz="4" w:space="0" w:color="auto"/>
              <w:right w:val="nil"/>
            </w:tcBorders>
            <w:shd w:val="clear" w:color="auto" w:fill="auto"/>
            <w:vAlign w:val="center"/>
          </w:tcPr>
          <w:p w14:paraId="510837E7" w14:textId="77777777" w:rsidR="00D868AB" w:rsidRPr="00D868AB" w:rsidRDefault="00D868AB" w:rsidP="00D868AB">
            <w:pPr>
              <w:jc w:val="center"/>
              <w:rPr>
                <w:rFonts w:cs="Arial"/>
                <w:b/>
                <w:sz w:val="20"/>
                <w:lang w:val="es-ES"/>
              </w:rPr>
            </w:pPr>
            <w:bookmarkStart w:id="109" w:name="_Toc22021910"/>
            <w:r w:rsidRPr="00D868AB">
              <w:rPr>
                <w:rFonts w:eastAsia="Times New Roman" w:cs="Arial"/>
                <w:b/>
                <w:sz w:val="20"/>
                <w:lang w:val="es-ES"/>
              </w:rPr>
              <w:t>Tabla 23. Previsiones para Atender Desastres Naturales y otros Siniestros</w:t>
            </w:r>
            <w:bookmarkEnd w:id="109"/>
          </w:p>
        </w:tc>
      </w:tr>
      <w:tr w:rsidR="00D868AB" w:rsidRPr="00D868AB" w14:paraId="0F682147" w14:textId="77777777" w:rsidTr="00A755A7">
        <w:trPr>
          <w:trHeight w:val="20"/>
          <w:tblHeader/>
          <w:jc w:val="center"/>
        </w:trPr>
        <w:tc>
          <w:tcPr>
            <w:tcW w:w="895" w:type="dxa"/>
            <w:tcBorders>
              <w:top w:val="single" w:sz="4" w:space="0" w:color="auto"/>
            </w:tcBorders>
            <w:shd w:val="clear" w:color="auto" w:fill="auto"/>
            <w:vAlign w:val="center"/>
            <w:hideMark/>
          </w:tcPr>
          <w:p w14:paraId="3FC4524A" w14:textId="77777777" w:rsidR="00D868AB" w:rsidRPr="00D868AB" w:rsidRDefault="00D868AB" w:rsidP="00D868AB">
            <w:pPr>
              <w:jc w:val="center"/>
              <w:rPr>
                <w:rFonts w:cs="Arial"/>
                <w:b/>
                <w:sz w:val="20"/>
                <w:szCs w:val="20"/>
                <w:lang w:val="es-ES"/>
              </w:rPr>
            </w:pPr>
            <w:r w:rsidRPr="00D868AB">
              <w:rPr>
                <w:rFonts w:cs="Arial"/>
                <w:b/>
                <w:sz w:val="20"/>
                <w:szCs w:val="20"/>
                <w:lang w:val="es-ES"/>
              </w:rPr>
              <w:t>Partida</w:t>
            </w:r>
          </w:p>
        </w:tc>
        <w:tc>
          <w:tcPr>
            <w:tcW w:w="6330" w:type="dxa"/>
            <w:tcBorders>
              <w:top w:val="single" w:sz="4" w:space="0" w:color="auto"/>
            </w:tcBorders>
            <w:shd w:val="clear" w:color="auto" w:fill="auto"/>
            <w:vAlign w:val="center"/>
          </w:tcPr>
          <w:p w14:paraId="6995A4B1" w14:textId="77777777" w:rsidR="00D868AB" w:rsidRPr="00D868AB" w:rsidRDefault="00D868AB" w:rsidP="00D868AB">
            <w:pPr>
              <w:jc w:val="center"/>
              <w:rPr>
                <w:rFonts w:cs="Arial"/>
                <w:b/>
                <w:sz w:val="20"/>
                <w:szCs w:val="20"/>
                <w:lang w:val="es-ES"/>
              </w:rPr>
            </w:pPr>
            <w:r w:rsidRPr="00D868AB">
              <w:rPr>
                <w:rFonts w:cs="Arial"/>
                <w:b/>
                <w:sz w:val="20"/>
                <w:szCs w:val="20"/>
                <w:lang w:val="es-ES"/>
              </w:rPr>
              <w:t xml:space="preserve">Concepto </w:t>
            </w:r>
          </w:p>
        </w:tc>
        <w:tc>
          <w:tcPr>
            <w:tcW w:w="1564" w:type="dxa"/>
            <w:tcBorders>
              <w:top w:val="single" w:sz="4" w:space="0" w:color="auto"/>
            </w:tcBorders>
            <w:shd w:val="clear" w:color="auto" w:fill="auto"/>
            <w:vAlign w:val="center"/>
            <w:hideMark/>
          </w:tcPr>
          <w:p w14:paraId="2CDC02E7" w14:textId="77777777" w:rsidR="00D868AB" w:rsidRPr="00D868AB" w:rsidRDefault="00D868AB" w:rsidP="00D868AB">
            <w:pPr>
              <w:jc w:val="center"/>
              <w:rPr>
                <w:rFonts w:cs="Arial"/>
                <w:b/>
                <w:sz w:val="20"/>
                <w:szCs w:val="20"/>
                <w:lang w:val="es-ES"/>
              </w:rPr>
            </w:pPr>
            <w:r w:rsidRPr="00D868AB">
              <w:rPr>
                <w:rFonts w:cs="Arial"/>
                <w:b/>
                <w:sz w:val="20"/>
                <w:szCs w:val="20"/>
                <w:lang w:val="es-ES"/>
              </w:rPr>
              <w:t>Asignación Presupuestal</w:t>
            </w:r>
          </w:p>
        </w:tc>
      </w:tr>
      <w:tr w:rsidR="00D868AB" w:rsidRPr="00D868AB" w14:paraId="3770E6E7" w14:textId="77777777" w:rsidTr="00A755A7">
        <w:tblPrEx>
          <w:jc w:val="left"/>
          <w:tblCellMar>
            <w:left w:w="70" w:type="dxa"/>
            <w:right w:w="70" w:type="dxa"/>
          </w:tblCellMar>
        </w:tblPrEx>
        <w:trPr>
          <w:trHeight w:val="20"/>
        </w:trPr>
        <w:tc>
          <w:tcPr>
            <w:tcW w:w="895" w:type="dxa"/>
            <w:shd w:val="clear" w:color="auto" w:fill="auto"/>
            <w:vAlign w:val="center"/>
            <w:hideMark/>
          </w:tcPr>
          <w:p w14:paraId="28D14D9A"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34500</w:t>
            </w:r>
          </w:p>
        </w:tc>
        <w:tc>
          <w:tcPr>
            <w:tcW w:w="6330" w:type="dxa"/>
            <w:shd w:val="clear" w:color="auto" w:fill="auto"/>
            <w:vAlign w:val="center"/>
            <w:hideMark/>
          </w:tcPr>
          <w:p w14:paraId="009AD841"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Seguro de Bienes Patrimoniales.</w:t>
            </w:r>
          </w:p>
        </w:tc>
        <w:tc>
          <w:tcPr>
            <w:tcW w:w="1564" w:type="dxa"/>
            <w:shd w:val="clear" w:color="auto" w:fill="auto"/>
            <w:vAlign w:val="center"/>
          </w:tcPr>
          <w:p w14:paraId="4F66D7C8"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25,000,000</w:t>
            </w:r>
          </w:p>
        </w:tc>
      </w:tr>
      <w:tr w:rsidR="00D868AB" w:rsidRPr="00D868AB" w14:paraId="5BC63E6E" w14:textId="77777777" w:rsidTr="00A755A7">
        <w:tblPrEx>
          <w:jc w:val="left"/>
          <w:tblCellMar>
            <w:left w:w="70" w:type="dxa"/>
            <w:right w:w="70" w:type="dxa"/>
          </w:tblCellMar>
        </w:tblPrEx>
        <w:trPr>
          <w:trHeight w:val="20"/>
        </w:trPr>
        <w:tc>
          <w:tcPr>
            <w:tcW w:w="895" w:type="dxa"/>
            <w:shd w:val="clear" w:color="auto" w:fill="auto"/>
            <w:vAlign w:val="center"/>
            <w:hideMark/>
          </w:tcPr>
          <w:p w14:paraId="015709A8"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34502</w:t>
            </w:r>
          </w:p>
        </w:tc>
        <w:tc>
          <w:tcPr>
            <w:tcW w:w="6330" w:type="dxa"/>
            <w:shd w:val="clear" w:color="auto" w:fill="auto"/>
            <w:vAlign w:val="center"/>
            <w:hideMark/>
          </w:tcPr>
          <w:p w14:paraId="031A2E6D"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Seguro de Gastos Catastróficos.</w:t>
            </w:r>
          </w:p>
        </w:tc>
        <w:tc>
          <w:tcPr>
            <w:tcW w:w="1564" w:type="dxa"/>
            <w:shd w:val="clear" w:color="auto" w:fill="auto"/>
            <w:vAlign w:val="center"/>
          </w:tcPr>
          <w:p w14:paraId="1E73CE83"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25,000,000</w:t>
            </w:r>
          </w:p>
        </w:tc>
      </w:tr>
      <w:tr w:rsidR="00D868AB" w:rsidRPr="00D868AB" w14:paraId="50D36457" w14:textId="77777777" w:rsidTr="00A755A7">
        <w:tblPrEx>
          <w:jc w:val="left"/>
          <w:tblCellMar>
            <w:left w:w="70" w:type="dxa"/>
            <w:right w:w="70" w:type="dxa"/>
          </w:tblCellMar>
        </w:tblPrEx>
        <w:trPr>
          <w:trHeight w:val="20"/>
        </w:trPr>
        <w:tc>
          <w:tcPr>
            <w:tcW w:w="895" w:type="dxa"/>
            <w:shd w:val="clear" w:color="auto" w:fill="auto"/>
            <w:vAlign w:val="center"/>
            <w:hideMark/>
          </w:tcPr>
          <w:p w14:paraId="5F55F46A"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lastRenderedPageBreak/>
              <w:t>44800</w:t>
            </w:r>
          </w:p>
        </w:tc>
        <w:tc>
          <w:tcPr>
            <w:tcW w:w="6330" w:type="dxa"/>
            <w:shd w:val="clear" w:color="auto" w:fill="auto"/>
            <w:vAlign w:val="center"/>
            <w:hideMark/>
          </w:tcPr>
          <w:p w14:paraId="7F8E5E9F"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Ayudas por Desastres Naturales y Otros Siniestros.</w:t>
            </w:r>
          </w:p>
        </w:tc>
        <w:tc>
          <w:tcPr>
            <w:tcW w:w="1564" w:type="dxa"/>
            <w:shd w:val="clear" w:color="auto" w:fill="auto"/>
            <w:vAlign w:val="center"/>
          </w:tcPr>
          <w:p w14:paraId="13D0EAFB"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30,354,861</w:t>
            </w:r>
          </w:p>
        </w:tc>
      </w:tr>
      <w:tr w:rsidR="00D868AB" w:rsidRPr="00D868AB" w14:paraId="410354C1" w14:textId="77777777" w:rsidTr="00A755A7">
        <w:tblPrEx>
          <w:jc w:val="left"/>
          <w:tblCellMar>
            <w:left w:w="70" w:type="dxa"/>
            <w:right w:w="70" w:type="dxa"/>
          </w:tblCellMar>
        </w:tblPrEx>
        <w:trPr>
          <w:trHeight w:val="20"/>
        </w:trPr>
        <w:tc>
          <w:tcPr>
            <w:tcW w:w="895" w:type="dxa"/>
            <w:shd w:val="clear" w:color="auto" w:fill="auto"/>
            <w:vAlign w:val="center"/>
            <w:hideMark/>
          </w:tcPr>
          <w:p w14:paraId="58BD508B"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44801</w:t>
            </w:r>
          </w:p>
        </w:tc>
        <w:tc>
          <w:tcPr>
            <w:tcW w:w="6330" w:type="dxa"/>
            <w:shd w:val="clear" w:color="auto" w:fill="auto"/>
            <w:vAlign w:val="center"/>
            <w:hideMark/>
          </w:tcPr>
          <w:p w14:paraId="71C7D6C2"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Unidad Estatal de Protección Civil.</w:t>
            </w:r>
          </w:p>
        </w:tc>
        <w:tc>
          <w:tcPr>
            <w:tcW w:w="1564" w:type="dxa"/>
            <w:shd w:val="clear" w:color="auto" w:fill="auto"/>
            <w:vAlign w:val="center"/>
          </w:tcPr>
          <w:p w14:paraId="1A86D0C2"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19,383,525</w:t>
            </w:r>
          </w:p>
        </w:tc>
      </w:tr>
      <w:tr w:rsidR="00D868AB" w:rsidRPr="00D868AB" w14:paraId="3A1530FF" w14:textId="77777777" w:rsidTr="00A755A7">
        <w:tblPrEx>
          <w:jc w:val="left"/>
          <w:tblCellMar>
            <w:left w:w="70" w:type="dxa"/>
            <w:right w:w="70" w:type="dxa"/>
          </w:tblCellMar>
        </w:tblPrEx>
        <w:trPr>
          <w:trHeight w:val="20"/>
        </w:trPr>
        <w:tc>
          <w:tcPr>
            <w:tcW w:w="895" w:type="dxa"/>
            <w:shd w:val="clear" w:color="auto" w:fill="auto"/>
            <w:vAlign w:val="center"/>
            <w:hideMark/>
          </w:tcPr>
          <w:p w14:paraId="37D74562"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44807</w:t>
            </w:r>
          </w:p>
        </w:tc>
        <w:tc>
          <w:tcPr>
            <w:tcW w:w="6330" w:type="dxa"/>
            <w:shd w:val="clear" w:color="auto" w:fill="auto"/>
            <w:vAlign w:val="center"/>
            <w:hideMark/>
          </w:tcPr>
          <w:p w14:paraId="588D8F33"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Cruz Roja Mexicana, I.A.P.</w:t>
            </w:r>
          </w:p>
        </w:tc>
        <w:tc>
          <w:tcPr>
            <w:tcW w:w="1564" w:type="dxa"/>
            <w:shd w:val="clear" w:color="auto" w:fill="auto"/>
            <w:vAlign w:val="center"/>
          </w:tcPr>
          <w:p w14:paraId="49BB861F"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8,668,932</w:t>
            </w:r>
          </w:p>
        </w:tc>
      </w:tr>
      <w:tr w:rsidR="00D868AB" w:rsidRPr="00D868AB" w14:paraId="09AF561E" w14:textId="77777777" w:rsidTr="00A755A7">
        <w:tblPrEx>
          <w:jc w:val="left"/>
          <w:tblCellMar>
            <w:left w:w="70" w:type="dxa"/>
            <w:right w:w="70" w:type="dxa"/>
          </w:tblCellMar>
        </w:tblPrEx>
        <w:trPr>
          <w:trHeight w:val="20"/>
        </w:trPr>
        <w:tc>
          <w:tcPr>
            <w:tcW w:w="895" w:type="dxa"/>
            <w:shd w:val="clear" w:color="auto" w:fill="auto"/>
            <w:vAlign w:val="center"/>
            <w:hideMark/>
          </w:tcPr>
          <w:p w14:paraId="5A058964"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44808</w:t>
            </w:r>
          </w:p>
        </w:tc>
        <w:tc>
          <w:tcPr>
            <w:tcW w:w="6330" w:type="dxa"/>
            <w:shd w:val="clear" w:color="auto" w:fill="auto"/>
            <w:vAlign w:val="center"/>
            <w:hideMark/>
          </w:tcPr>
          <w:p w14:paraId="2174AA9B"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Patronato del Cuerpo de Bomberos Voluntarios de Colima, A.C.</w:t>
            </w:r>
          </w:p>
        </w:tc>
        <w:tc>
          <w:tcPr>
            <w:tcW w:w="1564" w:type="dxa"/>
            <w:shd w:val="clear" w:color="auto" w:fill="auto"/>
            <w:vAlign w:val="center"/>
          </w:tcPr>
          <w:p w14:paraId="13C1B7A8"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773,556</w:t>
            </w:r>
          </w:p>
        </w:tc>
      </w:tr>
      <w:tr w:rsidR="00D868AB" w:rsidRPr="00D868AB" w14:paraId="1A52BF44" w14:textId="77777777" w:rsidTr="00A755A7">
        <w:tblPrEx>
          <w:jc w:val="left"/>
          <w:tblCellMar>
            <w:left w:w="70" w:type="dxa"/>
            <w:right w:w="70" w:type="dxa"/>
          </w:tblCellMar>
        </w:tblPrEx>
        <w:trPr>
          <w:trHeight w:val="20"/>
        </w:trPr>
        <w:tc>
          <w:tcPr>
            <w:tcW w:w="895" w:type="dxa"/>
            <w:shd w:val="clear" w:color="auto" w:fill="auto"/>
            <w:vAlign w:val="center"/>
            <w:hideMark/>
          </w:tcPr>
          <w:p w14:paraId="26876536"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44809</w:t>
            </w:r>
          </w:p>
        </w:tc>
        <w:tc>
          <w:tcPr>
            <w:tcW w:w="6330" w:type="dxa"/>
            <w:shd w:val="clear" w:color="auto" w:fill="auto"/>
            <w:vAlign w:val="center"/>
            <w:hideMark/>
          </w:tcPr>
          <w:p w14:paraId="334297D1"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Patronato del H. Cuerpo de Bomberos Voluntarios de Villa de Álvarez, A.C.</w:t>
            </w:r>
          </w:p>
        </w:tc>
        <w:tc>
          <w:tcPr>
            <w:tcW w:w="1564" w:type="dxa"/>
            <w:shd w:val="clear" w:color="auto" w:fill="auto"/>
            <w:vAlign w:val="center"/>
          </w:tcPr>
          <w:p w14:paraId="1CC7068B"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764,424</w:t>
            </w:r>
          </w:p>
        </w:tc>
      </w:tr>
      <w:tr w:rsidR="00D868AB" w:rsidRPr="00D868AB" w14:paraId="2E9D3F9C" w14:textId="77777777" w:rsidTr="00A755A7">
        <w:tblPrEx>
          <w:jc w:val="left"/>
          <w:tblCellMar>
            <w:left w:w="70" w:type="dxa"/>
            <w:right w:w="70" w:type="dxa"/>
          </w:tblCellMar>
        </w:tblPrEx>
        <w:trPr>
          <w:trHeight w:val="20"/>
        </w:trPr>
        <w:tc>
          <w:tcPr>
            <w:tcW w:w="895" w:type="dxa"/>
            <w:shd w:val="clear" w:color="auto" w:fill="auto"/>
            <w:vAlign w:val="center"/>
            <w:hideMark/>
          </w:tcPr>
          <w:p w14:paraId="73805317"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44810</w:t>
            </w:r>
          </w:p>
        </w:tc>
        <w:tc>
          <w:tcPr>
            <w:tcW w:w="6330" w:type="dxa"/>
            <w:shd w:val="clear" w:color="auto" w:fill="auto"/>
            <w:vAlign w:val="center"/>
            <w:hideMark/>
          </w:tcPr>
          <w:p w14:paraId="1D008CD3"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Patronato H. Cuerpo Bomberos Voluntarios de Tecomán, A.C.</w:t>
            </w:r>
          </w:p>
        </w:tc>
        <w:tc>
          <w:tcPr>
            <w:tcW w:w="1564" w:type="dxa"/>
            <w:shd w:val="clear" w:color="auto" w:fill="auto"/>
            <w:vAlign w:val="center"/>
          </w:tcPr>
          <w:p w14:paraId="39272AAF"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764,424</w:t>
            </w:r>
          </w:p>
        </w:tc>
      </w:tr>
      <w:tr w:rsidR="00D868AB" w:rsidRPr="00D868AB" w14:paraId="458FDFDC" w14:textId="77777777" w:rsidTr="00A755A7">
        <w:tblPrEx>
          <w:jc w:val="left"/>
          <w:tblCellMar>
            <w:left w:w="70" w:type="dxa"/>
            <w:right w:w="70" w:type="dxa"/>
          </w:tblCellMar>
        </w:tblPrEx>
        <w:trPr>
          <w:trHeight w:val="20"/>
        </w:trPr>
        <w:tc>
          <w:tcPr>
            <w:tcW w:w="895" w:type="dxa"/>
            <w:shd w:val="clear" w:color="auto" w:fill="auto"/>
            <w:vAlign w:val="center"/>
            <w:hideMark/>
          </w:tcPr>
          <w:p w14:paraId="619E1AD0"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79100</w:t>
            </w:r>
          </w:p>
        </w:tc>
        <w:tc>
          <w:tcPr>
            <w:tcW w:w="6330" w:type="dxa"/>
            <w:shd w:val="clear" w:color="auto" w:fill="auto"/>
            <w:vAlign w:val="center"/>
            <w:hideMark/>
          </w:tcPr>
          <w:p w14:paraId="097780EC"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Contingencias por Fenómenos Naturales.</w:t>
            </w:r>
          </w:p>
        </w:tc>
        <w:tc>
          <w:tcPr>
            <w:tcW w:w="1564" w:type="dxa"/>
            <w:shd w:val="clear" w:color="auto" w:fill="auto"/>
            <w:vAlign w:val="center"/>
          </w:tcPr>
          <w:p w14:paraId="48998BAA"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2,000,000</w:t>
            </w:r>
          </w:p>
        </w:tc>
      </w:tr>
      <w:tr w:rsidR="00D868AB" w:rsidRPr="00D868AB" w14:paraId="554FB4FF" w14:textId="77777777" w:rsidTr="00A755A7">
        <w:tblPrEx>
          <w:jc w:val="left"/>
          <w:tblCellMar>
            <w:left w:w="70" w:type="dxa"/>
            <w:right w:w="70" w:type="dxa"/>
          </w:tblCellMar>
        </w:tblPrEx>
        <w:trPr>
          <w:trHeight w:val="20"/>
        </w:trPr>
        <w:tc>
          <w:tcPr>
            <w:tcW w:w="895" w:type="dxa"/>
            <w:shd w:val="clear" w:color="auto" w:fill="auto"/>
            <w:vAlign w:val="center"/>
            <w:hideMark/>
          </w:tcPr>
          <w:p w14:paraId="3B8BD25D"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79101</w:t>
            </w:r>
          </w:p>
        </w:tc>
        <w:tc>
          <w:tcPr>
            <w:tcW w:w="6330" w:type="dxa"/>
            <w:shd w:val="clear" w:color="auto" w:fill="auto"/>
            <w:vAlign w:val="center"/>
            <w:hideMark/>
          </w:tcPr>
          <w:p w14:paraId="7E1212A6"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Fondo de Desastres Naturales.</w:t>
            </w:r>
          </w:p>
        </w:tc>
        <w:tc>
          <w:tcPr>
            <w:tcW w:w="1564" w:type="dxa"/>
            <w:shd w:val="clear" w:color="auto" w:fill="auto"/>
            <w:vAlign w:val="center"/>
          </w:tcPr>
          <w:p w14:paraId="1662547B"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2,000,000</w:t>
            </w:r>
          </w:p>
        </w:tc>
      </w:tr>
      <w:tr w:rsidR="00D868AB" w:rsidRPr="00D868AB" w14:paraId="243EE81B" w14:textId="77777777" w:rsidTr="00A755A7">
        <w:tblPrEx>
          <w:jc w:val="left"/>
          <w:tblCellMar>
            <w:left w:w="70" w:type="dxa"/>
            <w:right w:w="70" w:type="dxa"/>
          </w:tblCellMar>
        </w:tblPrEx>
        <w:trPr>
          <w:trHeight w:val="20"/>
        </w:trPr>
        <w:tc>
          <w:tcPr>
            <w:tcW w:w="895" w:type="dxa"/>
            <w:shd w:val="clear" w:color="auto" w:fill="auto"/>
            <w:vAlign w:val="center"/>
          </w:tcPr>
          <w:p w14:paraId="6DDF6AF5" w14:textId="77777777" w:rsidR="00D868AB" w:rsidRPr="00D868AB" w:rsidRDefault="00D868AB" w:rsidP="00D868AB">
            <w:pPr>
              <w:jc w:val="center"/>
              <w:rPr>
                <w:rFonts w:eastAsia="Times New Roman" w:cs="Arial"/>
                <w:color w:val="000000"/>
                <w:sz w:val="20"/>
                <w:szCs w:val="20"/>
              </w:rPr>
            </w:pPr>
          </w:p>
        </w:tc>
        <w:tc>
          <w:tcPr>
            <w:tcW w:w="6330" w:type="dxa"/>
            <w:shd w:val="clear" w:color="auto" w:fill="auto"/>
            <w:vAlign w:val="center"/>
          </w:tcPr>
          <w:p w14:paraId="2F172E6B" w14:textId="77777777" w:rsidR="00D868AB" w:rsidRPr="00D868AB" w:rsidRDefault="00D868AB" w:rsidP="00D868AB">
            <w:pPr>
              <w:jc w:val="center"/>
              <w:rPr>
                <w:rFonts w:eastAsia="Times New Roman" w:cs="Arial"/>
                <w:color w:val="000000"/>
                <w:sz w:val="20"/>
                <w:szCs w:val="20"/>
              </w:rPr>
            </w:pPr>
            <w:r w:rsidRPr="00D868AB">
              <w:rPr>
                <w:rFonts w:eastAsia="Times New Roman" w:cs="Arial"/>
                <w:b/>
                <w:bCs/>
                <w:color w:val="000000"/>
                <w:sz w:val="20"/>
                <w:szCs w:val="20"/>
              </w:rPr>
              <w:t>Total</w:t>
            </w:r>
          </w:p>
        </w:tc>
        <w:tc>
          <w:tcPr>
            <w:tcW w:w="1564" w:type="dxa"/>
            <w:shd w:val="clear" w:color="auto" w:fill="auto"/>
            <w:vAlign w:val="center"/>
          </w:tcPr>
          <w:p w14:paraId="275C8AA0" w14:textId="77777777" w:rsidR="00D868AB" w:rsidRPr="00D868AB" w:rsidRDefault="00D868AB" w:rsidP="00D868AB">
            <w:pPr>
              <w:jc w:val="right"/>
              <w:rPr>
                <w:rFonts w:eastAsia="Times New Roman" w:cs="Arial"/>
                <w:color w:val="000000"/>
                <w:sz w:val="20"/>
                <w:szCs w:val="20"/>
              </w:rPr>
            </w:pPr>
            <w:r w:rsidRPr="00D868AB">
              <w:rPr>
                <w:rFonts w:cs="Arial"/>
                <w:b/>
                <w:bCs/>
                <w:color w:val="000000"/>
                <w:sz w:val="20"/>
                <w:szCs w:val="20"/>
              </w:rPr>
              <w:t>57,354,861</w:t>
            </w:r>
          </w:p>
        </w:tc>
      </w:tr>
    </w:tbl>
    <w:p w14:paraId="1C5B0E55" w14:textId="77777777" w:rsidR="00D868AB" w:rsidRPr="00D868AB" w:rsidRDefault="00D868AB" w:rsidP="00D868AB">
      <w:pPr>
        <w:rPr>
          <w:rFonts w:cs="Arial"/>
        </w:rPr>
      </w:pPr>
    </w:p>
    <w:p w14:paraId="6C418108" w14:textId="77777777" w:rsidR="00D868AB" w:rsidRPr="00D868AB" w:rsidRDefault="00D868AB" w:rsidP="00D868AB">
      <w:pPr>
        <w:rPr>
          <w:rFonts w:cs="Arial"/>
        </w:rPr>
      </w:pPr>
      <w:r w:rsidRPr="00D868AB">
        <w:rPr>
          <w:rFonts w:cs="Arial"/>
        </w:rPr>
        <w:t xml:space="preserve">En cumplimiento a lo dispuesto por el artículo 18 de la </w:t>
      </w:r>
      <w:r w:rsidRPr="00D868AB">
        <w:rPr>
          <w:rFonts w:cs="Arial"/>
          <w:b/>
        </w:rPr>
        <w:t>Ley General de Protección Civil</w:t>
      </w:r>
      <w:r w:rsidRPr="00D868AB">
        <w:rPr>
          <w:rFonts w:cs="Arial"/>
        </w:rPr>
        <w:t xml:space="preserve">, para el ejercicio fiscal 2023 se asignan </w:t>
      </w:r>
      <w:r w:rsidRPr="00D868AB">
        <w:rPr>
          <w:rFonts w:cs="Arial"/>
          <w:b/>
        </w:rPr>
        <w:t>$25,000,000.00</w:t>
      </w:r>
      <w:r w:rsidRPr="00D868AB">
        <w:rPr>
          <w:rFonts w:cs="Arial"/>
        </w:rPr>
        <w:t xml:space="preserve"> (Veinticinco Millones de Pesos) en la partida </w:t>
      </w:r>
      <w:r w:rsidRPr="00D868AB">
        <w:rPr>
          <w:rFonts w:cs="Arial"/>
          <w:b/>
        </w:rPr>
        <w:t>34502 Seguro de Gastos Catastróficos</w:t>
      </w:r>
      <w:r w:rsidRPr="00D868AB">
        <w:rPr>
          <w:rFonts w:cs="Arial"/>
        </w:rPr>
        <w:t>, para la contratación de seguros y demás instrumentos de administración y transferencia de riesgos para la cobertura de daños causados por un desastre natural en bienes e infraestructura estatal.</w:t>
      </w:r>
    </w:p>
    <w:p w14:paraId="28000BEA" w14:textId="77777777" w:rsidR="00D868AB" w:rsidRPr="00D868AB" w:rsidRDefault="00D868AB" w:rsidP="00D868AB">
      <w:pPr>
        <w:rPr>
          <w:rFonts w:cs="Arial"/>
        </w:rPr>
      </w:pPr>
    </w:p>
    <w:p w14:paraId="24D5DB2A" w14:textId="77777777" w:rsidR="00D868AB" w:rsidRPr="00D868AB" w:rsidRDefault="00D868AB" w:rsidP="00D868AB">
      <w:pPr>
        <w:rPr>
          <w:rFonts w:cs="Arial"/>
        </w:rPr>
      </w:pPr>
      <w:r w:rsidRPr="00D868AB">
        <w:rPr>
          <w:rFonts w:cs="Arial"/>
        </w:rPr>
        <w:t xml:space="preserve">Para el ejercicio fiscal 2023, se prevén en la partida </w:t>
      </w:r>
      <w:r w:rsidRPr="00D868AB">
        <w:rPr>
          <w:rFonts w:cs="Arial"/>
          <w:b/>
          <w:bCs/>
        </w:rPr>
        <w:t>79101 Fondo de Desastres Naturales</w:t>
      </w:r>
      <w:r w:rsidRPr="00D868AB">
        <w:rPr>
          <w:rFonts w:cs="Arial"/>
        </w:rPr>
        <w:t xml:space="preserve">, </w:t>
      </w:r>
      <w:r w:rsidRPr="00D868AB">
        <w:rPr>
          <w:rFonts w:cs="Arial"/>
          <w:b/>
          <w:bCs/>
        </w:rPr>
        <w:t>$2,000,000.00</w:t>
      </w:r>
      <w:r w:rsidRPr="00D868AB">
        <w:rPr>
          <w:rFonts w:cs="Arial"/>
        </w:rPr>
        <w:t xml:space="preserve"> (Dos millones de pesos) de aportación al Fideicomiso del Fondo de Desastres Naturales, con el fin de atender a la población afectada y los daños causados a la infraestructura pública estatal que se pudiese ocasionar por la ocurrencia de desastres naturales. La aportación estatal podrá variar durante el Ejercicio Fiscal 2023 de acuerdo al cálculo que se realice con base a lo establecido en el artículo 9 de la Ley de Disciplina Financiera de las Entidades Federativas y los Municipios a causa de la Declaratoria de Desastre Natural por la ocurrencia de sismo magnitud 7.7 el 19 de septiembre de 2022 (DOF 30-09-22).</w:t>
      </w:r>
    </w:p>
    <w:p w14:paraId="3B4594DA" w14:textId="77777777" w:rsidR="00D868AB" w:rsidRPr="00D868AB" w:rsidRDefault="00D868AB" w:rsidP="00D868AB">
      <w:pPr>
        <w:rPr>
          <w:rFonts w:cs="Arial"/>
        </w:rPr>
      </w:pPr>
    </w:p>
    <w:p w14:paraId="776C4AAE" w14:textId="77777777" w:rsidR="00D868AB" w:rsidRPr="00D868AB" w:rsidRDefault="00D868AB" w:rsidP="00D868AB">
      <w:pPr>
        <w:jc w:val="center"/>
        <w:rPr>
          <w:rFonts w:eastAsia="Times New Roman" w:cs="Arial"/>
          <w:b/>
          <w:lang w:val="es-ES"/>
        </w:rPr>
      </w:pPr>
      <w:bookmarkStart w:id="110" w:name="_Toc526757469"/>
      <w:bookmarkStart w:id="111" w:name="_Toc22021911"/>
      <w:bookmarkStart w:id="112" w:name="_Toc22983176"/>
      <w:r w:rsidRPr="00D868AB">
        <w:rPr>
          <w:rFonts w:eastAsia="Times New Roman" w:cs="Arial"/>
          <w:b/>
          <w:lang w:val="es-ES"/>
        </w:rPr>
        <w:t xml:space="preserve">CAPÍTULO </w:t>
      </w:r>
      <w:bookmarkEnd w:id="110"/>
      <w:r w:rsidRPr="00D868AB">
        <w:rPr>
          <w:rFonts w:eastAsia="Times New Roman" w:cs="Arial"/>
          <w:b/>
          <w:lang w:val="es-ES"/>
        </w:rPr>
        <w:t>V</w:t>
      </w:r>
      <w:bookmarkEnd w:id="111"/>
      <w:bookmarkEnd w:id="112"/>
      <w:r w:rsidRPr="00D868AB">
        <w:rPr>
          <w:rFonts w:eastAsia="Times New Roman" w:cs="Arial"/>
          <w:b/>
          <w:lang w:val="es-ES"/>
        </w:rPr>
        <w:t>II</w:t>
      </w:r>
    </w:p>
    <w:p w14:paraId="1079ED19" w14:textId="77777777" w:rsidR="00D868AB" w:rsidRPr="00D868AB" w:rsidRDefault="00D868AB" w:rsidP="00D868AB">
      <w:pPr>
        <w:keepNext/>
        <w:keepLines/>
        <w:jc w:val="center"/>
        <w:outlineLvl w:val="0"/>
        <w:rPr>
          <w:rFonts w:eastAsia="Times New Roman" w:cs="Arial"/>
          <w:b/>
          <w:szCs w:val="32"/>
          <w:lang w:val="es-ES"/>
        </w:rPr>
      </w:pPr>
      <w:bookmarkStart w:id="113" w:name="_Toc526757470"/>
      <w:bookmarkStart w:id="114" w:name="_Toc22021912"/>
      <w:bookmarkStart w:id="115" w:name="_Toc22983177"/>
      <w:r w:rsidRPr="00D868AB">
        <w:rPr>
          <w:rFonts w:eastAsia="Times New Roman" w:cs="Arial"/>
          <w:b/>
          <w:szCs w:val="32"/>
          <w:lang w:val="es-ES"/>
        </w:rPr>
        <w:t>DE LOS FIDEICOMISOS PÚBLICOS</w:t>
      </w:r>
      <w:bookmarkEnd w:id="113"/>
      <w:bookmarkEnd w:id="114"/>
      <w:bookmarkEnd w:id="115"/>
    </w:p>
    <w:p w14:paraId="3089A389" w14:textId="77777777" w:rsidR="00D868AB" w:rsidRPr="00D868AB" w:rsidRDefault="00D868AB" w:rsidP="00D868AB">
      <w:pPr>
        <w:rPr>
          <w:rFonts w:cs="Arial"/>
          <w:lang w:val="es-ES"/>
        </w:rPr>
      </w:pPr>
    </w:p>
    <w:p w14:paraId="2B53953D" w14:textId="77777777" w:rsidR="00D868AB" w:rsidRPr="00D868AB" w:rsidRDefault="00D868AB" w:rsidP="00D868AB">
      <w:pPr>
        <w:rPr>
          <w:rFonts w:cs="Arial"/>
          <w:lang w:val="es-ES"/>
        </w:rPr>
      </w:pPr>
      <w:r w:rsidRPr="00D868AB">
        <w:rPr>
          <w:rFonts w:cs="Arial"/>
          <w:b/>
          <w:lang w:val="es-ES"/>
        </w:rPr>
        <w:t>Artículo 25</w:t>
      </w:r>
      <w:r w:rsidRPr="00D868AB">
        <w:rPr>
          <w:rFonts w:cs="Arial"/>
          <w:lang w:val="es-ES"/>
        </w:rPr>
        <w:t>. En apego a lo establecido en los artículos 48 y 49 Ley Orgánica del Poder Ejecutivo y de la Administración Pública del Estado de Colima, la persona titular del Poder ejecutivo aprobará la constitución o aumento de fideicomisos públicos. Las autorizaciones serán otorgadas por conducto de la Secretaría de Planeación, Finanzas y Administración, la que fungirá como fideicomitente único de la Administración Pública del Estado.</w:t>
      </w:r>
    </w:p>
    <w:p w14:paraId="4091102A" w14:textId="77777777" w:rsidR="00D868AB" w:rsidRPr="00D868AB" w:rsidRDefault="00D868AB" w:rsidP="00D868AB">
      <w:pPr>
        <w:rPr>
          <w:rFonts w:cs="Arial"/>
          <w:lang w:val="es-ES"/>
        </w:rPr>
      </w:pPr>
    </w:p>
    <w:p w14:paraId="1825EE48" w14:textId="77777777" w:rsidR="00D868AB" w:rsidRPr="00D868AB" w:rsidRDefault="00D868AB" w:rsidP="00D868AB">
      <w:pPr>
        <w:rPr>
          <w:rFonts w:cs="Arial"/>
          <w:lang w:val="es-ES"/>
        </w:rPr>
      </w:pPr>
      <w:r w:rsidRPr="00D868AB">
        <w:rPr>
          <w:rFonts w:cs="Arial"/>
          <w:b/>
          <w:lang w:val="es-ES"/>
        </w:rPr>
        <w:t>Artículo 26</w:t>
      </w:r>
      <w:r w:rsidRPr="00D868AB">
        <w:rPr>
          <w:rFonts w:cs="Arial"/>
          <w:lang w:val="es-ES"/>
        </w:rPr>
        <w:t xml:space="preserve">. Tratándose de recursos federales cuyo destino sea su transmisión al patrimonio fideicomitido, el procedimiento respectivo se realizará por conducto de la </w:t>
      </w:r>
      <w:r w:rsidRPr="00D868AB">
        <w:rPr>
          <w:rFonts w:cs="Arial"/>
          <w:lang w:val="es-ES"/>
        </w:rPr>
        <w:lastRenderedPageBreak/>
        <w:t>Secretaría, en apego a lo dispuesto por los artículos 48 y 49 Ley Orgánica del Poder Ejecutivo y de la Administración Pública del Estado de Colima.</w:t>
      </w:r>
    </w:p>
    <w:p w14:paraId="0232FD87" w14:textId="77777777" w:rsidR="00D868AB" w:rsidRPr="00D868AB" w:rsidRDefault="00D868AB" w:rsidP="00D868AB">
      <w:pPr>
        <w:rPr>
          <w:rFonts w:cs="Arial"/>
          <w:lang w:val="es-ES"/>
        </w:rPr>
      </w:pPr>
    </w:p>
    <w:p w14:paraId="7934CE73" w14:textId="77777777" w:rsidR="00D868AB" w:rsidRPr="00D868AB" w:rsidRDefault="00D868AB" w:rsidP="00D868AB">
      <w:pPr>
        <w:rPr>
          <w:rFonts w:cs="Arial"/>
          <w:lang w:val="es-ES"/>
        </w:rPr>
      </w:pPr>
      <w:r w:rsidRPr="00D868AB">
        <w:rPr>
          <w:rFonts w:cs="Arial"/>
          <w:b/>
          <w:lang w:val="es-ES"/>
        </w:rPr>
        <w:t>Artículo 27</w:t>
      </w:r>
      <w:r w:rsidRPr="00D868AB">
        <w:rPr>
          <w:rFonts w:cs="Arial"/>
          <w:lang w:val="es-ES"/>
        </w:rPr>
        <w:t xml:space="preserve">. En aquellos fideicomisos en los que se involucren recursos públicos estatales, se deberá establecer una subcuenta específica, con el objeto de diferenciarlos del resto de las demás aportaciones. La Secretaría llevará el registro y control de los fideicomisos en los que participe el Gobierno del Estado. </w:t>
      </w:r>
    </w:p>
    <w:p w14:paraId="79E10AA3" w14:textId="77777777" w:rsidR="00D868AB" w:rsidRPr="00D868AB" w:rsidRDefault="00D868AB" w:rsidP="00D868AB">
      <w:pPr>
        <w:rPr>
          <w:rFonts w:cs="Arial"/>
          <w:lang w:val="es-ES"/>
        </w:rPr>
      </w:pPr>
    </w:p>
    <w:p w14:paraId="4961FF88" w14:textId="77777777" w:rsidR="00D868AB" w:rsidRPr="00D868AB" w:rsidRDefault="00D868AB" w:rsidP="00D868AB">
      <w:pPr>
        <w:rPr>
          <w:rFonts w:cs="Arial"/>
          <w:lang w:val="es-ES"/>
        </w:rPr>
      </w:pPr>
      <w:r w:rsidRPr="00D868AB">
        <w:rPr>
          <w:rFonts w:cs="Arial"/>
          <w:lang w:val="es-ES"/>
        </w:rPr>
        <w:t xml:space="preserve">Los fideicomisos, a través de su Comité Técnico, deberán informar trimestralmente a la Secretaría, dentro de los treinta días siguientes a cada trimestre, el saldo de la subcuenta a que se refiere el párrafo anterior. Adicionalmente, la Secretaría podrá solicitarles con la periodicidad que determine y bajo el plazo que establezca, la información jurídica, patrimonial o financiera que requiera, en los términos y condiciones de las disposiciones aplicables. En los contratos respectivos deberá pactarse expresamente tal previsión. </w:t>
      </w:r>
    </w:p>
    <w:p w14:paraId="4F94E909" w14:textId="77777777" w:rsidR="00D868AB" w:rsidRPr="00D868AB" w:rsidRDefault="00D868AB" w:rsidP="00D868AB">
      <w:pPr>
        <w:rPr>
          <w:rFonts w:cs="Arial"/>
          <w:lang w:val="es-ES"/>
        </w:rPr>
      </w:pPr>
    </w:p>
    <w:p w14:paraId="1EBCD5F0" w14:textId="77777777" w:rsidR="00D868AB" w:rsidRPr="00D868AB" w:rsidRDefault="00D868AB" w:rsidP="00D868AB">
      <w:pPr>
        <w:rPr>
          <w:rFonts w:cs="Arial"/>
          <w:lang w:val="es-ES"/>
        </w:rPr>
      </w:pPr>
      <w:r w:rsidRPr="00D868AB">
        <w:rPr>
          <w:rFonts w:cs="Arial"/>
          <w:lang w:val="es-ES"/>
        </w:rPr>
        <w:t>En caso de que exista compromiso del Municipio, o de los particulares con el Gobierno Estatal para otorgar sumas de recursos al patrimonio del fideicomiso y aquéllos incumplan con la aportación de dichos recursos, con las reglas de operación del fideicomiso o del Programa Presupuestario correspondiente, el Gobierno Estatal, por conducto de la Dependencia de la Administración Pública Centralizada o Entidad de la Administración Pública Paraestatal que coordine la operación del fideicomiso, podrá suspender las aportaciones subsecuentes.</w:t>
      </w:r>
    </w:p>
    <w:p w14:paraId="4D681F98" w14:textId="77777777" w:rsidR="00D868AB" w:rsidRPr="00D868AB" w:rsidRDefault="00D868AB" w:rsidP="00D868AB">
      <w:pPr>
        <w:rPr>
          <w:rFonts w:cs="Arial"/>
          <w:lang w:val="es-ES"/>
        </w:rPr>
      </w:pPr>
    </w:p>
    <w:p w14:paraId="2E90E808" w14:textId="77777777" w:rsidR="00D868AB" w:rsidRPr="00D868AB" w:rsidRDefault="00D868AB" w:rsidP="00D868AB">
      <w:pPr>
        <w:rPr>
          <w:rFonts w:cs="Arial"/>
          <w:lang w:val="es-ES"/>
        </w:rPr>
      </w:pPr>
      <w:r w:rsidRPr="00D868AB">
        <w:rPr>
          <w:rFonts w:cs="Arial"/>
          <w:b/>
          <w:lang w:val="es-ES"/>
        </w:rPr>
        <w:t>Artículo 28</w:t>
      </w:r>
      <w:r w:rsidRPr="00D868AB">
        <w:rPr>
          <w:rFonts w:cs="Arial"/>
          <w:lang w:val="es-ES"/>
        </w:rPr>
        <w:t>. Los fideicomisos, fondos, mandatos o análogos públicos o privados que se constituyan, así como las aportaciones, transferencias o pagos de cualquier naturaleza que se realicen a los mismos, deberán apegarse estrictamente a las reglas de disciplina financiera, transparencia, rendición de cuentas y fiscalización del gasto. Todos los recursos en numerario, así como activos, derechos, títulos, certificados o cualquier otro análogo que se aporten o incorporen al patrimonio de fondos o fidecomisos serán públicos, y no se podrá invocar secreto o reserva fiduciaria para su fiscalización.</w:t>
      </w:r>
    </w:p>
    <w:p w14:paraId="08223E45" w14:textId="77777777" w:rsidR="00D868AB" w:rsidRPr="00D868AB" w:rsidRDefault="00D868AB" w:rsidP="00D868AB">
      <w:pPr>
        <w:rPr>
          <w:rFonts w:cs="Arial"/>
          <w:lang w:val="es-ES"/>
        </w:rPr>
      </w:pPr>
    </w:p>
    <w:p w14:paraId="24BB9BDC" w14:textId="615E5020" w:rsidR="00D868AB" w:rsidRDefault="00D868AB" w:rsidP="00D868AB">
      <w:pPr>
        <w:rPr>
          <w:rFonts w:cs="Arial"/>
          <w:lang w:val="es-ES"/>
        </w:rPr>
      </w:pPr>
      <w:r w:rsidRPr="00D868AB">
        <w:rPr>
          <w:rFonts w:cs="Arial"/>
          <w:lang w:val="es-ES"/>
        </w:rPr>
        <w:t>Se prohíbe la celebración de fideicomisos, mandatos o contratos análogos, que tengan como propósito eludir la anualidad de este Presupuesto.</w:t>
      </w:r>
    </w:p>
    <w:p w14:paraId="7A34C053" w14:textId="48858DCF" w:rsidR="00D85BE9" w:rsidRDefault="00D85BE9" w:rsidP="00D868AB">
      <w:pPr>
        <w:rPr>
          <w:rFonts w:cs="Arial"/>
          <w:lang w:val="es-ES"/>
        </w:rPr>
      </w:pPr>
    </w:p>
    <w:p w14:paraId="469E1EA2" w14:textId="7526DB60" w:rsidR="00D85BE9" w:rsidRDefault="00D85BE9" w:rsidP="00D868AB">
      <w:pPr>
        <w:rPr>
          <w:rFonts w:cs="Arial"/>
          <w:lang w:val="es-ES"/>
        </w:rPr>
      </w:pPr>
    </w:p>
    <w:p w14:paraId="6EBAF658" w14:textId="69DDF763" w:rsidR="00D85BE9" w:rsidRDefault="00D85BE9" w:rsidP="00D868AB">
      <w:pPr>
        <w:rPr>
          <w:rFonts w:cs="Arial"/>
          <w:lang w:val="es-ES"/>
        </w:rPr>
      </w:pPr>
    </w:p>
    <w:p w14:paraId="03688C60" w14:textId="33FAD037" w:rsidR="00D85BE9" w:rsidRDefault="00D85BE9" w:rsidP="00D868AB">
      <w:pPr>
        <w:rPr>
          <w:rFonts w:cs="Arial"/>
          <w:lang w:val="es-ES"/>
        </w:rPr>
      </w:pPr>
    </w:p>
    <w:p w14:paraId="38128A84" w14:textId="77777777" w:rsidR="00D85BE9" w:rsidRPr="00D868AB" w:rsidRDefault="00D85BE9" w:rsidP="00D868AB">
      <w:pPr>
        <w:rPr>
          <w:rFonts w:cs="Arial"/>
          <w:lang w:val="es-ES"/>
        </w:rPr>
      </w:pPr>
    </w:p>
    <w:p w14:paraId="4C5702A4" w14:textId="77777777" w:rsidR="00D868AB" w:rsidRPr="00D868AB" w:rsidRDefault="00D868AB" w:rsidP="00D868AB">
      <w:pPr>
        <w:rPr>
          <w:rFonts w:cs="Arial"/>
          <w:b/>
          <w:lang w:val="es-ES"/>
        </w:rPr>
      </w:pPr>
    </w:p>
    <w:p w14:paraId="410D1E80" w14:textId="77777777" w:rsidR="00D868AB" w:rsidRPr="00D868AB" w:rsidRDefault="00D868AB" w:rsidP="00D868AB">
      <w:pPr>
        <w:rPr>
          <w:rFonts w:cs="Arial"/>
          <w:lang w:val="es-ES"/>
        </w:rPr>
      </w:pPr>
      <w:r w:rsidRPr="00D868AB">
        <w:rPr>
          <w:rFonts w:cs="Arial"/>
          <w:b/>
          <w:lang w:val="es-ES"/>
        </w:rPr>
        <w:lastRenderedPageBreak/>
        <w:t>Artículo 29</w:t>
      </w:r>
      <w:r w:rsidRPr="00D868AB">
        <w:rPr>
          <w:rFonts w:cs="Arial"/>
          <w:lang w:val="es-ES"/>
        </w:rPr>
        <w:t xml:space="preserve">. Las transferencias internas otorgadas a </w:t>
      </w:r>
      <w:r w:rsidRPr="00D868AB">
        <w:rPr>
          <w:rFonts w:cs="Arial"/>
          <w:b/>
          <w:lang w:val="es-ES"/>
        </w:rPr>
        <w:t>Fideicomisos Públicos Con Estructura</w:t>
      </w:r>
      <w:r w:rsidRPr="00D868AB">
        <w:rPr>
          <w:rFonts w:cs="Arial"/>
          <w:lang w:val="es-ES"/>
        </w:rPr>
        <w:t xml:space="preserve"> se distribuyen de la siguiente forma:</w:t>
      </w:r>
    </w:p>
    <w:p w14:paraId="2F57F4EF" w14:textId="77777777" w:rsidR="00D868AB" w:rsidRPr="00D868AB" w:rsidRDefault="00D868AB" w:rsidP="00D868AB">
      <w:pPr>
        <w:keepNext/>
        <w:keepLines/>
        <w:outlineLvl w:val="2"/>
        <w:rPr>
          <w:rFonts w:eastAsia="Times New Roman" w:cs="Arial"/>
          <w:b/>
          <w:szCs w:val="24"/>
          <w:lang w:val="es-ES" w:eastAsia="en-US"/>
        </w:rPr>
      </w:pP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1134"/>
        <w:gridCol w:w="1134"/>
        <w:gridCol w:w="1276"/>
        <w:gridCol w:w="1438"/>
      </w:tblGrid>
      <w:tr w:rsidR="00D868AB" w:rsidRPr="00D868AB" w14:paraId="5AF2508F" w14:textId="77777777" w:rsidTr="00A755A7">
        <w:trPr>
          <w:trHeight w:val="283"/>
          <w:tblHeader/>
          <w:jc w:val="center"/>
        </w:trPr>
        <w:tc>
          <w:tcPr>
            <w:tcW w:w="9210" w:type="dxa"/>
            <w:gridSpan w:val="5"/>
            <w:tcBorders>
              <w:top w:val="nil"/>
              <w:left w:val="nil"/>
              <w:bottom w:val="single" w:sz="4" w:space="0" w:color="auto"/>
              <w:right w:val="nil"/>
            </w:tcBorders>
            <w:shd w:val="clear" w:color="auto" w:fill="auto"/>
            <w:vAlign w:val="center"/>
          </w:tcPr>
          <w:p w14:paraId="5C5C45E5" w14:textId="77777777" w:rsidR="00D868AB" w:rsidRPr="00D868AB" w:rsidRDefault="00D868AB" w:rsidP="00D868AB">
            <w:pPr>
              <w:jc w:val="center"/>
              <w:rPr>
                <w:rFonts w:cs="Arial"/>
                <w:b/>
                <w:bCs/>
                <w:sz w:val="20"/>
                <w:lang w:val="es-ES"/>
              </w:rPr>
            </w:pPr>
            <w:bookmarkStart w:id="116" w:name="_Toc522869261"/>
            <w:bookmarkStart w:id="117" w:name="_Toc526757471"/>
            <w:bookmarkStart w:id="118" w:name="_Toc22021913"/>
            <w:bookmarkStart w:id="119" w:name="_Toc22983178"/>
            <w:r w:rsidRPr="00D868AB">
              <w:rPr>
                <w:rFonts w:eastAsia="Times New Roman" w:cs="Arial"/>
                <w:b/>
                <w:sz w:val="20"/>
                <w:lang w:val="es-ES"/>
              </w:rPr>
              <w:t>Tabla 24. Fideicomisos Públicos</w:t>
            </w:r>
            <w:bookmarkEnd w:id="116"/>
            <w:r w:rsidRPr="00D868AB">
              <w:rPr>
                <w:rFonts w:eastAsia="Times New Roman" w:cs="Arial"/>
                <w:b/>
                <w:sz w:val="20"/>
                <w:lang w:val="es-ES"/>
              </w:rPr>
              <w:t xml:space="preserve"> Con Estructura</w:t>
            </w:r>
            <w:bookmarkEnd w:id="117"/>
            <w:bookmarkEnd w:id="118"/>
            <w:bookmarkEnd w:id="119"/>
          </w:p>
        </w:tc>
      </w:tr>
      <w:tr w:rsidR="00D868AB" w:rsidRPr="00D868AB" w14:paraId="2A9F0F5A" w14:textId="77777777" w:rsidTr="00A755A7">
        <w:trPr>
          <w:trHeight w:val="283"/>
          <w:tblHeader/>
          <w:jc w:val="center"/>
        </w:trPr>
        <w:tc>
          <w:tcPr>
            <w:tcW w:w="4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096D25"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Dependencia / Fideicomiso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DACED33" w14:textId="77777777" w:rsidR="00D868AB" w:rsidRPr="00D868AB" w:rsidRDefault="00D868AB" w:rsidP="00D868AB">
            <w:pPr>
              <w:ind w:right="-108"/>
              <w:jc w:val="center"/>
              <w:rPr>
                <w:rFonts w:cs="Arial"/>
                <w:b/>
                <w:bCs/>
                <w:sz w:val="18"/>
                <w:szCs w:val="18"/>
                <w:lang w:val="es-ES"/>
              </w:rPr>
            </w:pPr>
            <w:r w:rsidRPr="00D868AB">
              <w:rPr>
                <w:rFonts w:cs="Arial"/>
                <w:b/>
                <w:bCs/>
                <w:sz w:val="18"/>
                <w:szCs w:val="18"/>
                <w:lang w:val="es-ES"/>
              </w:rPr>
              <w:t>Número de Contrato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E147F51"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Fiduciario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50C56"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Saldo Patrimonial</w:t>
            </w:r>
          </w:p>
        </w:tc>
        <w:tc>
          <w:tcPr>
            <w:tcW w:w="14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9704C7"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Asignación Presupuestal</w:t>
            </w:r>
          </w:p>
        </w:tc>
      </w:tr>
      <w:tr w:rsidR="00D868AB" w:rsidRPr="00D868AB" w14:paraId="36FAA8F8" w14:textId="77777777" w:rsidTr="00A755A7">
        <w:trPr>
          <w:trHeight w:val="283"/>
          <w:jc w:val="center"/>
        </w:trPr>
        <w:tc>
          <w:tcPr>
            <w:tcW w:w="4228" w:type="dxa"/>
            <w:tcBorders>
              <w:top w:val="single" w:sz="4" w:space="0" w:color="auto"/>
              <w:left w:val="single" w:sz="4" w:space="0" w:color="auto"/>
              <w:bottom w:val="single" w:sz="4" w:space="0" w:color="auto"/>
              <w:right w:val="nil"/>
            </w:tcBorders>
            <w:shd w:val="clear" w:color="auto" w:fill="auto"/>
            <w:vAlign w:val="center"/>
          </w:tcPr>
          <w:p w14:paraId="331CA6FE" w14:textId="77777777" w:rsidR="00D868AB" w:rsidRPr="00D868AB" w:rsidRDefault="00D868AB" w:rsidP="00D868AB">
            <w:pPr>
              <w:rPr>
                <w:rFonts w:cs="Arial"/>
                <w:b/>
                <w:sz w:val="18"/>
                <w:szCs w:val="18"/>
                <w:lang w:val="es-ES"/>
              </w:rPr>
            </w:pPr>
            <w:r w:rsidRPr="00D868AB">
              <w:rPr>
                <w:rFonts w:cs="Arial"/>
                <w:b/>
                <w:sz w:val="18"/>
                <w:szCs w:val="18"/>
                <w:lang w:val="es-ES"/>
              </w:rPr>
              <w:t>Secretaría de Desarrollo Económico.</w:t>
            </w:r>
          </w:p>
        </w:tc>
        <w:tc>
          <w:tcPr>
            <w:tcW w:w="1134" w:type="dxa"/>
            <w:tcBorders>
              <w:top w:val="single" w:sz="4" w:space="0" w:color="auto"/>
              <w:left w:val="nil"/>
              <w:bottom w:val="single" w:sz="4" w:space="0" w:color="auto"/>
              <w:right w:val="nil"/>
            </w:tcBorders>
            <w:shd w:val="clear" w:color="auto" w:fill="auto"/>
            <w:vAlign w:val="center"/>
          </w:tcPr>
          <w:p w14:paraId="6D3F3A0F" w14:textId="77777777" w:rsidR="00D868AB" w:rsidRPr="00D868AB" w:rsidRDefault="00D868AB" w:rsidP="00D868AB">
            <w:pPr>
              <w:jc w:val="center"/>
              <w:rPr>
                <w:rFonts w:cs="Arial"/>
                <w:sz w:val="18"/>
                <w:szCs w:val="18"/>
                <w:lang w:val="es-ES"/>
              </w:rPr>
            </w:pPr>
          </w:p>
        </w:tc>
        <w:tc>
          <w:tcPr>
            <w:tcW w:w="1134" w:type="dxa"/>
            <w:tcBorders>
              <w:top w:val="single" w:sz="4" w:space="0" w:color="auto"/>
              <w:left w:val="nil"/>
              <w:bottom w:val="single" w:sz="4" w:space="0" w:color="auto"/>
              <w:right w:val="nil"/>
            </w:tcBorders>
            <w:shd w:val="clear" w:color="auto" w:fill="auto"/>
            <w:vAlign w:val="center"/>
          </w:tcPr>
          <w:p w14:paraId="2DA33ED9" w14:textId="77777777" w:rsidR="00D868AB" w:rsidRPr="00D868AB" w:rsidRDefault="00D868AB" w:rsidP="00D868AB">
            <w:pPr>
              <w:jc w:val="center"/>
              <w:rPr>
                <w:rFonts w:cs="Arial"/>
                <w:sz w:val="18"/>
                <w:szCs w:val="18"/>
                <w:lang w:val="es-ES"/>
              </w:rPr>
            </w:pPr>
          </w:p>
        </w:tc>
        <w:tc>
          <w:tcPr>
            <w:tcW w:w="1276" w:type="dxa"/>
            <w:tcBorders>
              <w:top w:val="single" w:sz="4" w:space="0" w:color="auto"/>
              <w:left w:val="nil"/>
              <w:bottom w:val="single" w:sz="4" w:space="0" w:color="auto"/>
              <w:right w:val="nil"/>
            </w:tcBorders>
            <w:shd w:val="clear" w:color="auto" w:fill="auto"/>
            <w:vAlign w:val="center"/>
          </w:tcPr>
          <w:p w14:paraId="6AAEC5CC" w14:textId="77777777" w:rsidR="00D868AB" w:rsidRPr="00D868AB" w:rsidRDefault="00D868AB" w:rsidP="00D868AB">
            <w:pPr>
              <w:jc w:val="right"/>
              <w:rPr>
                <w:rFonts w:cs="Arial"/>
                <w:sz w:val="18"/>
                <w:szCs w:val="18"/>
                <w:lang w:val="es-ES"/>
              </w:rPr>
            </w:pPr>
          </w:p>
        </w:tc>
        <w:tc>
          <w:tcPr>
            <w:tcW w:w="1438" w:type="dxa"/>
            <w:tcBorders>
              <w:top w:val="single" w:sz="4" w:space="0" w:color="auto"/>
              <w:left w:val="nil"/>
              <w:bottom w:val="single" w:sz="4" w:space="0" w:color="auto"/>
              <w:right w:val="single" w:sz="4" w:space="0" w:color="auto"/>
            </w:tcBorders>
            <w:shd w:val="clear" w:color="auto" w:fill="auto"/>
            <w:noWrap/>
            <w:vAlign w:val="center"/>
          </w:tcPr>
          <w:p w14:paraId="4DE72170" w14:textId="77777777" w:rsidR="00D868AB" w:rsidRPr="00D868AB" w:rsidRDefault="00D868AB" w:rsidP="00D868AB">
            <w:pPr>
              <w:jc w:val="right"/>
              <w:rPr>
                <w:rFonts w:cs="Arial"/>
                <w:sz w:val="18"/>
                <w:szCs w:val="18"/>
                <w:lang w:val="es-ES"/>
              </w:rPr>
            </w:pPr>
          </w:p>
        </w:tc>
      </w:tr>
      <w:tr w:rsidR="00D868AB" w:rsidRPr="00D868AB" w14:paraId="11D0B3D3" w14:textId="77777777" w:rsidTr="00A755A7">
        <w:trPr>
          <w:trHeight w:val="283"/>
          <w:jc w:val="center"/>
        </w:trPr>
        <w:tc>
          <w:tcPr>
            <w:tcW w:w="4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30FF6B" w14:textId="77777777" w:rsidR="00D868AB" w:rsidRPr="00D868AB" w:rsidRDefault="00D868AB" w:rsidP="00D868AB">
            <w:pPr>
              <w:jc w:val="left"/>
              <w:rPr>
                <w:rFonts w:cs="Arial"/>
                <w:sz w:val="16"/>
                <w:szCs w:val="18"/>
                <w:lang w:val="es-ES"/>
              </w:rPr>
            </w:pPr>
            <w:r w:rsidRPr="00D868AB">
              <w:rPr>
                <w:rFonts w:cs="Arial"/>
                <w:sz w:val="16"/>
                <w:szCs w:val="18"/>
                <w:lang w:val="es-ES"/>
              </w:rPr>
              <w:t>41901 Fideicomiso para el Desarrollo Económico del Estado de Colima (Fideicomiso Público Revocable de Administración e Inversión para el Desarrollo del Estado de Colima (FIDEC)).</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C39717" w14:textId="77777777" w:rsidR="00D868AB" w:rsidRPr="00D868AB" w:rsidRDefault="00D868AB" w:rsidP="00D868AB">
            <w:pPr>
              <w:jc w:val="center"/>
              <w:rPr>
                <w:rFonts w:cs="Arial"/>
                <w:sz w:val="18"/>
                <w:szCs w:val="18"/>
                <w:lang w:val="es-ES"/>
              </w:rPr>
            </w:pPr>
            <w:r w:rsidRPr="00D868AB">
              <w:rPr>
                <w:rFonts w:cs="Arial"/>
                <w:sz w:val="18"/>
                <w:szCs w:val="18"/>
                <w:lang w:val="es-ES"/>
              </w:rPr>
              <w:t>106-6917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5884ACA" w14:textId="77777777" w:rsidR="00D868AB" w:rsidRPr="00D868AB" w:rsidRDefault="00D868AB" w:rsidP="00D868AB">
            <w:pPr>
              <w:jc w:val="center"/>
              <w:rPr>
                <w:rFonts w:cs="Arial"/>
                <w:sz w:val="18"/>
                <w:szCs w:val="18"/>
                <w:lang w:val="es-ES"/>
              </w:rPr>
            </w:pPr>
            <w:r w:rsidRPr="00D868AB">
              <w:rPr>
                <w:rFonts w:cs="Arial"/>
                <w:sz w:val="18"/>
                <w:szCs w:val="18"/>
                <w:lang w:val="es-ES"/>
              </w:rPr>
              <w:t>BANAMEX</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A9DD8E" w14:textId="77777777" w:rsidR="00D868AB" w:rsidRPr="00D868AB" w:rsidRDefault="00D868AB" w:rsidP="00D868AB">
            <w:pPr>
              <w:jc w:val="center"/>
              <w:rPr>
                <w:rFonts w:cs="Arial"/>
                <w:sz w:val="18"/>
                <w:szCs w:val="18"/>
                <w:lang w:val="es-ES"/>
              </w:rPr>
            </w:pPr>
            <w:r w:rsidRPr="00D868AB">
              <w:rPr>
                <w:rFonts w:cs="Arial"/>
                <w:sz w:val="18"/>
                <w:szCs w:val="18"/>
                <w:lang w:val="es-ES"/>
              </w:rPr>
              <w:t>n.d.</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A576F1" w14:textId="77777777" w:rsidR="00D868AB" w:rsidRPr="00D868AB" w:rsidRDefault="00D868AB" w:rsidP="00D868AB">
            <w:pPr>
              <w:jc w:val="right"/>
              <w:rPr>
                <w:rFonts w:cs="Arial"/>
                <w:sz w:val="18"/>
                <w:szCs w:val="18"/>
                <w:lang w:val="es-ES"/>
              </w:rPr>
            </w:pPr>
            <w:r w:rsidRPr="00D868AB">
              <w:rPr>
                <w:rFonts w:cs="Arial"/>
                <w:sz w:val="18"/>
                <w:szCs w:val="18"/>
                <w:lang w:val="es-ES"/>
              </w:rPr>
              <w:t>44,046,660</w:t>
            </w:r>
          </w:p>
        </w:tc>
      </w:tr>
      <w:tr w:rsidR="00D868AB" w:rsidRPr="00D868AB" w14:paraId="3F3CD9D1" w14:textId="77777777" w:rsidTr="00A755A7">
        <w:trPr>
          <w:trHeight w:val="283"/>
          <w:jc w:val="center"/>
        </w:trPr>
        <w:tc>
          <w:tcPr>
            <w:tcW w:w="42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8F68F1" w14:textId="77777777" w:rsidR="00D868AB" w:rsidRPr="00D868AB" w:rsidRDefault="00D868AB" w:rsidP="00D868AB">
            <w:pPr>
              <w:rPr>
                <w:rFonts w:cs="Arial"/>
                <w:sz w:val="16"/>
                <w:szCs w:val="18"/>
                <w:lang w:val="es-ES"/>
              </w:rPr>
            </w:pPr>
            <w:r w:rsidRPr="00D868AB">
              <w:rPr>
                <w:rFonts w:cs="Arial"/>
                <w:sz w:val="16"/>
                <w:szCs w:val="18"/>
                <w:lang w:val="es-ES"/>
              </w:rPr>
              <w:t>41909 Fideicomiso para la Promoción Turística del Estado de Colima.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EB99D60" w14:textId="77777777" w:rsidR="00D868AB" w:rsidRPr="00D868AB" w:rsidRDefault="00D868AB" w:rsidP="00D868AB">
            <w:pPr>
              <w:jc w:val="center"/>
              <w:rPr>
                <w:rFonts w:cs="Arial"/>
                <w:sz w:val="18"/>
                <w:szCs w:val="18"/>
                <w:lang w:val="es-ES"/>
              </w:rPr>
            </w:pPr>
            <w:r w:rsidRPr="00D868AB">
              <w:rPr>
                <w:rFonts w:cs="Arial"/>
                <w:sz w:val="18"/>
                <w:szCs w:val="18"/>
                <w:lang w:val="es-ES"/>
              </w:rPr>
              <w:t>F/4093779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D72BB7" w14:textId="77777777" w:rsidR="00D868AB" w:rsidRPr="00D868AB" w:rsidRDefault="00D868AB" w:rsidP="00D868AB">
            <w:pPr>
              <w:jc w:val="center"/>
              <w:rPr>
                <w:rFonts w:cs="Arial"/>
                <w:sz w:val="18"/>
                <w:szCs w:val="18"/>
                <w:lang w:val="es-ES"/>
              </w:rPr>
            </w:pPr>
            <w:r w:rsidRPr="00D868AB">
              <w:rPr>
                <w:rFonts w:cs="Arial"/>
                <w:sz w:val="16"/>
                <w:szCs w:val="18"/>
                <w:lang w:val="es-ES"/>
              </w:rPr>
              <w:t>BBVA BANCOMER, S.A.</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4DC07" w14:textId="77777777" w:rsidR="00D868AB" w:rsidRPr="00D868AB" w:rsidRDefault="00D868AB" w:rsidP="00D868AB">
            <w:pPr>
              <w:jc w:val="center"/>
              <w:rPr>
                <w:rFonts w:cs="Arial"/>
                <w:sz w:val="18"/>
                <w:szCs w:val="18"/>
                <w:lang w:val="es-ES"/>
              </w:rPr>
            </w:pPr>
            <w:r w:rsidRPr="00D868AB">
              <w:rPr>
                <w:rFonts w:cs="Arial"/>
                <w:sz w:val="18"/>
                <w:szCs w:val="18"/>
                <w:lang w:val="es-ES"/>
              </w:rPr>
              <w:t>n.d.</w:t>
            </w:r>
          </w:p>
        </w:tc>
        <w:tc>
          <w:tcPr>
            <w:tcW w:w="14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9DC7F" w14:textId="77777777" w:rsidR="00D868AB" w:rsidRPr="00D868AB" w:rsidRDefault="00D868AB" w:rsidP="00D868AB">
            <w:pPr>
              <w:jc w:val="right"/>
              <w:rPr>
                <w:rFonts w:cs="Arial"/>
                <w:sz w:val="18"/>
                <w:szCs w:val="18"/>
                <w:lang w:val="es-ES"/>
              </w:rPr>
            </w:pPr>
            <w:r w:rsidRPr="00D868AB">
              <w:rPr>
                <w:rFonts w:cs="Arial"/>
                <w:sz w:val="18"/>
                <w:szCs w:val="18"/>
                <w:lang w:val="es-ES"/>
              </w:rPr>
              <w:t>15,781,790</w:t>
            </w:r>
          </w:p>
        </w:tc>
      </w:tr>
    </w:tbl>
    <w:p w14:paraId="1C7CED23" w14:textId="77777777" w:rsidR="00D868AB" w:rsidRPr="00D868AB" w:rsidRDefault="00D868AB" w:rsidP="00D868AB">
      <w:pPr>
        <w:rPr>
          <w:rFonts w:cs="Arial"/>
          <w:b/>
          <w:lang w:val="es-ES"/>
        </w:rPr>
      </w:pPr>
    </w:p>
    <w:p w14:paraId="7FA212C1" w14:textId="77777777" w:rsidR="00D868AB" w:rsidRPr="00D868AB" w:rsidRDefault="00D868AB" w:rsidP="00D868AB">
      <w:pPr>
        <w:rPr>
          <w:rFonts w:cs="Arial"/>
          <w:lang w:val="es-ES"/>
        </w:rPr>
      </w:pPr>
      <w:r w:rsidRPr="00D868AB">
        <w:rPr>
          <w:rFonts w:cs="Arial"/>
          <w:b/>
          <w:lang w:val="es-ES"/>
        </w:rPr>
        <w:t>Artículo 30</w:t>
      </w:r>
      <w:r w:rsidRPr="00D868AB">
        <w:rPr>
          <w:rFonts w:cs="Arial"/>
          <w:lang w:val="es-ES"/>
        </w:rPr>
        <w:t xml:space="preserve">. Las transferencias internas otorgadas a </w:t>
      </w:r>
      <w:r w:rsidRPr="00D868AB">
        <w:rPr>
          <w:rFonts w:cs="Arial"/>
          <w:b/>
          <w:lang w:val="es-ES"/>
        </w:rPr>
        <w:t>Fideicomisos Públicos Sin estructura</w:t>
      </w:r>
      <w:r w:rsidRPr="00D868AB">
        <w:rPr>
          <w:rFonts w:cs="Arial"/>
          <w:lang w:val="es-ES"/>
        </w:rPr>
        <w:t xml:space="preserve"> se distribuyen de la siguiente forma:</w:t>
      </w:r>
    </w:p>
    <w:p w14:paraId="07B67B6A" w14:textId="77777777" w:rsidR="00D868AB" w:rsidRPr="00D868AB" w:rsidRDefault="00D868AB" w:rsidP="00D868AB">
      <w:pPr>
        <w:keepNext/>
        <w:keepLines/>
        <w:outlineLvl w:val="2"/>
        <w:rPr>
          <w:rFonts w:eastAsia="Times New Roman" w:cs="Arial"/>
          <w:b/>
          <w:szCs w:val="24"/>
          <w:lang w:val="es-ES" w:eastAsia="en-US"/>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7"/>
        <w:gridCol w:w="996"/>
        <w:gridCol w:w="1418"/>
        <w:gridCol w:w="1271"/>
        <w:gridCol w:w="1275"/>
      </w:tblGrid>
      <w:tr w:rsidR="00D868AB" w:rsidRPr="00D868AB" w14:paraId="3F973FE8" w14:textId="77777777" w:rsidTr="00A755A7">
        <w:trPr>
          <w:trHeight w:val="283"/>
          <w:tblHeader/>
          <w:jc w:val="center"/>
        </w:trPr>
        <w:tc>
          <w:tcPr>
            <w:tcW w:w="9067" w:type="dxa"/>
            <w:gridSpan w:val="5"/>
            <w:tcBorders>
              <w:top w:val="nil"/>
              <w:left w:val="nil"/>
              <w:bottom w:val="single" w:sz="4" w:space="0" w:color="auto"/>
              <w:right w:val="nil"/>
            </w:tcBorders>
            <w:shd w:val="clear" w:color="auto" w:fill="auto"/>
            <w:vAlign w:val="center"/>
          </w:tcPr>
          <w:p w14:paraId="7EA94A60" w14:textId="77777777" w:rsidR="00D868AB" w:rsidRPr="00D868AB" w:rsidRDefault="00D868AB" w:rsidP="00D868AB">
            <w:pPr>
              <w:jc w:val="center"/>
              <w:rPr>
                <w:rFonts w:cs="Arial"/>
                <w:b/>
                <w:bCs/>
                <w:sz w:val="20"/>
                <w:lang w:val="es-ES"/>
              </w:rPr>
            </w:pPr>
            <w:r w:rsidRPr="00D868AB">
              <w:rPr>
                <w:rFonts w:eastAsia="Times New Roman" w:cs="Arial"/>
                <w:b/>
                <w:sz w:val="20"/>
                <w:lang w:val="es-ES"/>
              </w:rPr>
              <w:t>Tabla 25. Fideicomisos Públicos Sin Estructura</w:t>
            </w:r>
          </w:p>
        </w:tc>
      </w:tr>
      <w:tr w:rsidR="00D868AB" w:rsidRPr="00D868AB" w14:paraId="0151C25C" w14:textId="77777777" w:rsidTr="00A755A7">
        <w:trPr>
          <w:trHeight w:val="283"/>
          <w:tblHeader/>
          <w:jc w:val="center"/>
        </w:trPr>
        <w:tc>
          <w:tcPr>
            <w:tcW w:w="4107" w:type="dxa"/>
            <w:tcBorders>
              <w:top w:val="single" w:sz="4" w:space="0" w:color="auto"/>
            </w:tcBorders>
            <w:shd w:val="clear" w:color="auto" w:fill="auto"/>
            <w:vAlign w:val="center"/>
            <w:hideMark/>
          </w:tcPr>
          <w:p w14:paraId="287B8B03"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Dependencia / Fideicomiso.</w:t>
            </w:r>
          </w:p>
        </w:tc>
        <w:tc>
          <w:tcPr>
            <w:tcW w:w="996" w:type="dxa"/>
            <w:tcBorders>
              <w:top w:val="single" w:sz="4" w:space="0" w:color="auto"/>
            </w:tcBorders>
            <w:shd w:val="clear" w:color="auto" w:fill="auto"/>
            <w:vAlign w:val="center"/>
          </w:tcPr>
          <w:p w14:paraId="2690C2DD" w14:textId="77777777" w:rsidR="00D868AB" w:rsidRPr="00D868AB" w:rsidRDefault="00D868AB" w:rsidP="00D868AB">
            <w:pPr>
              <w:ind w:right="-108"/>
              <w:jc w:val="center"/>
              <w:rPr>
                <w:rFonts w:cs="Arial"/>
                <w:b/>
                <w:bCs/>
                <w:sz w:val="18"/>
                <w:szCs w:val="18"/>
                <w:lang w:val="es-ES"/>
              </w:rPr>
            </w:pPr>
            <w:r w:rsidRPr="00D868AB">
              <w:rPr>
                <w:rFonts w:cs="Arial"/>
                <w:b/>
                <w:bCs/>
                <w:sz w:val="16"/>
                <w:szCs w:val="18"/>
                <w:lang w:val="es-ES"/>
              </w:rPr>
              <w:t>Número de Contrato</w:t>
            </w:r>
          </w:p>
        </w:tc>
        <w:tc>
          <w:tcPr>
            <w:tcW w:w="1418" w:type="dxa"/>
            <w:tcBorders>
              <w:top w:val="single" w:sz="4" w:space="0" w:color="auto"/>
            </w:tcBorders>
            <w:shd w:val="clear" w:color="auto" w:fill="auto"/>
            <w:vAlign w:val="center"/>
          </w:tcPr>
          <w:p w14:paraId="1A906AC9"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Fiduciario</w:t>
            </w:r>
          </w:p>
        </w:tc>
        <w:tc>
          <w:tcPr>
            <w:tcW w:w="1271" w:type="dxa"/>
            <w:tcBorders>
              <w:top w:val="single" w:sz="4" w:space="0" w:color="auto"/>
            </w:tcBorders>
            <w:shd w:val="clear" w:color="auto" w:fill="auto"/>
            <w:vAlign w:val="center"/>
            <w:hideMark/>
          </w:tcPr>
          <w:p w14:paraId="315D53F9"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Saldo Patrimonial</w:t>
            </w:r>
          </w:p>
        </w:tc>
        <w:tc>
          <w:tcPr>
            <w:tcW w:w="1275" w:type="dxa"/>
            <w:tcBorders>
              <w:top w:val="single" w:sz="4" w:space="0" w:color="auto"/>
            </w:tcBorders>
            <w:shd w:val="clear" w:color="auto" w:fill="auto"/>
            <w:vAlign w:val="center"/>
            <w:hideMark/>
          </w:tcPr>
          <w:p w14:paraId="646B3EB6" w14:textId="77777777" w:rsidR="00D868AB" w:rsidRPr="00D868AB" w:rsidRDefault="00D868AB" w:rsidP="00D868AB">
            <w:pPr>
              <w:jc w:val="center"/>
              <w:rPr>
                <w:rFonts w:cs="Arial"/>
                <w:b/>
                <w:bCs/>
                <w:sz w:val="18"/>
                <w:szCs w:val="18"/>
                <w:lang w:val="es-ES"/>
              </w:rPr>
            </w:pPr>
            <w:r w:rsidRPr="00D868AB">
              <w:rPr>
                <w:rFonts w:cs="Arial"/>
                <w:b/>
                <w:bCs/>
                <w:sz w:val="16"/>
                <w:szCs w:val="18"/>
                <w:lang w:val="es-ES"/>
              </w:rPr>
              <w:t>Asignación Presupuestal</w:t>
            </w:r>
          </w:p>
        </w:tc>
      </w:tr>
      <w:tr w:rsidR="00D868AB" w:rsidRPr="00D868AB" w14:paraId="4840B6BC" w14:textId="77777777" w:rsidTr="00A755A7">
        <w:trPr>
          <w:trHeight w:val="283"/>
          <w:jc w:val="center"/>
        </w:trPr>
        <w:tc>
          <w:tcPr>
            <w:tcW w:w="4107" w:type="dxa"/>
            <w:shd w:val="clear" w:color="auto" w:fill="auto"/>
            <w:vAlign w:val="center"/>
          </w:tcPr>
          <w:p w14:paraId="3899E8A9" w14:textId="77777777" w:rsidR="00D868AB" w:rsidRPr="00D868AB" w:rsidRDefault="00D868AB" w:rsidP="00D868AB">
            <w:pPr>
              <w:rPr>
                <w:rFonts w:cs="Arial"/>
                <w:b/>
                <w:bCs/>
                <w:sz w:val="18"/>
                <w:szCs w:val="18"/>
                <w:lang w:val="es-ES"/>
              </w:rPr>
            </w:pPr>
            <w:r w:rsidRPr="00D868AB">
              <w:rPr>
                <w:rFonts w:cs="Arial"/>
                <w:b/>
                <w:sz w:val="18"/>
                <w:szCs w:val="18"/>
                <w:lang w:val="es-ES"/>
              </w:rPr>
              <w:t>Secretaría General de Gobierno</w:t>
            </w:r>
          </w:p>
        </w:tc>
        <w:tc>
          <w:tcPr>
            <w:tcW w:w="996" w:type="dxa"/>
            <w:shd w:val="clear" w:color="auto" w:fill="auto"/>
            <w:vAlign w:val="center"/>
          </w:tcPr>
          <w:p w14:paraId="037F7FCE" w14:textId="77777777" w:rsidR="00D868AB" w:rsidRPr="00D868AB" w:rsidRDefault="00D868AB" w:rsidP="00D868AB">
            <w:pPr>
              <w:ind w:right="-108"/>
              <w:jc w:val="center"/>
              <w:rPr>
                <w:rFonts w:cs="Arial"/>
                <w:b/>
                <w:bCs/>
                <w:sz w:val="18"/>
                <w:szCs w:val="18"/>
                <w:lang w:val="es-ES"/>
              </w:rPr>
            </w:pPr>
          </w:p>
        </w:tc>
        <w:tc>
          <w:tcPr>
            <w:tcW w:w="1418" w:type="dxa"/>
            <w:shd w:val="clear" w:color="auto" w:fill="auto"/>
            <w:vAlign w:val="center"/>
          </w:tcPr>
          <w:p w14:paraId="4D56A9B3" w14:textId="77777777" w:rsidR="00D868AB" w:rsidRPr="00D868AB" w:rsidRDefault="00D868AB" w:rsidP="00D868AB">
            <w:pPr>
              <w:jc w:val="center"/>
              <w:rPr>
                <w:rFonts w:cs="Arial"/>
                <w:b/>
                <w:bCs/>
                <w:sz w:val="18"/>
                <w:szCs w:val="18"/>
                <w:lang w:val="es-ES"/>
              </w:rPr>
            </w:pPr>
          </w:p>
        </w:tc>
        <w:tc>
          <w:tcPr>
            <w:tcW w:w="1271" w:type="dxa"/>
            <w:shd w:val="clear" w:color="auto" w:fill="auto"/>
            <w:vAlign w:val="center"/>
          </w:tcPr>
          <w:p w14:paraId="10B903C8" w14:textId="77777777" w:rsidR="00D868AB" w:rsidRPr="00D868AB" w:rsidRDefault="00D868AB" w:rsidP="00D868AB">
            <w:pPr>
              <w:jc w:val="center"/>
              <w:rPr>
                <w:rFonts w:cs="Arial"/>
                <w:b/>
                <w:bCs/>
                <w:sz w:val="18"/>
                <w:szCs w:val="18"/>
                <w:lang w:val="es-ES"/>
              </w:rPr>
            </w:pPr>
          </w:p>
        </w:tc>
        <w:tc>
          <w:tcPr>
            <w:tcW w:w="1275" w:type="dxa"/>
            <w:shd w:val="clear" w:color="auto" w:fill="auto"/>
            <w:vAlign w:val="center"/>
          </w:tcPr>
          <w:p w14:paraId="24D2DBA3" w14:textId="77777777" w:rsidR="00D868AB" w:rsidRPr="00D868AB" w:rsidRDefault="00D868AB" w:rsidP="00D868AB">
            <w:pPr>
              <w:jc w:val="center"/>
              <w:rPr>
                <w:rFonts w:cs="Arial"/>
                <w:b/>
                <w:bCs/>
                <w:sz w:val="18"/>
                <w:szCs w:val="18"/>
                <w:lang w:val="es-ES"/>
              </w:rPr>
            </w:pPr>
          </w:p>
        </w:tc>
      </w:tr>
      <w:tr w:rsidR="00D868AB" w:rsidRPr="00D868AB" w14:paraId="50C3DF54" w14:textId="77777777" w:rsidTr="00A755A7">
        <w:trPr>
          <w:trHeight w:val="283"/>
          <w:jc w:val="center"/>
        </w:trPr>
        <w:tc>
          <w:tcPr>
            <w:tcW w:w="4107" w:type="dxa"/>
            <w:shd w:val="clear" w:color="auto" w:fill="auto"/>
            <w:vAlign w:val="center"/>
          </w:tcPr>
          <w:p w14:paraId="75AF1ED0" w14:textId="77777777" w:rsidR="00D868AB" w:rsidRPr="00D868AB" w:rsidRDefault="00D868AB" w:rsidP="00D868AB">
            <w:pPr>
              <w:rPr>
                <w:rFonts w:cs="Arial"/>
                <w:sz w:val="16"/>
                <w:szCs w:val="16"/>
                <w:lang w:val="es-ES"/>
              </w:rPr>
            </w:pPr>
            <w:r w:rsidRPr="00D868AB">
              <w:rPr>
                <w:rFonts w:cs="Arial"/>
                <w:sz w:val="16"/>
                <w:szCs w:val="16"/>
                <w:lang w:val="es-ES"/>
              </w:rPr>
              <w:t>41134 Fondo de Ayuda, Asistencia y Reparación Integral (Fideicomiso del Fondo de Ayuda, Asistencia y Reparación Integral del Estado de Colima).</w:t>
            </w:r>
          </w:p>
        </w:tc>
        <w:tc>
          <w:tcPr>
            <w:tcW w:w="996" w:type="dxa"/>
            <w:shd w:val="clear" w:color="auto" w:fill="auto"/>
            <w:vAlign w:val="center"/>
          </w:tcPr>
          <w:p w14:paraId="5A3E0D91" w14:textId="77777777" w:rsidR="00D868AB" w:rsidRPr="00D868AB" w:rsidRDefault="00D868AB" w:rsidP="00D868AB">
            <w:pPr>
              <w:jc w:val="center"/>
              <w:rPr>
                <w:rFonts w:cs="Arial"/>
                <w:sz w:val="16"/>
                <w:szCs w:val="16"/>
                <w:lang w:val="es-ES"/>
              </w:rPr>
            </w:pPr>
            <w:r w:rsidRPr="00D868AB">
              <w:rPr>
                <w:rFonts w:cs="Arial"/>
                <w:sz w:val="16"/>
                <w:szCs w:val="16"/>
                <w:lang w:val="es-ES"/>
              </w:rPr>
              <w:t>19928</w:t>
            </w:r>
          </w:p>
        </w:tc>
        <w:tc>
          <w:tcPr>
            <w:tcW w:w="1418" w:type="dxa"/>
            <w:shd w:val="clear" w:color="auto" w:fill="auto"/>
            <w:vAlign w:val="center"/>
          </w:tcPr>
          <w:p w14:paraId="199B6532" w14:textId="77777777" w:rsidR="00D868AB" w:rsidRPr="00D868AB" w:rsidRDefault="00D868AB" w:rsidP="00D868AB">
            <w:pPr>
              <w:jc w:val="center"/>
              <w:rPr>
                <w:rFonts w:cs="Arial"/>
                <w:sz w:val="16"/>
                <w:szCs w:val="16"/>
                <w:lang w:val="es-ES"/>
              </w:rPr>
            </w:pPr>
            <w:r w:rsidRPr="00D868AB">
              <w:rPr>
                <w:rFonts w:cs="Arial"/>
                <w:sz w:val="16"/>
                <w:szCs w:val="16"/>
                <w:lang w:val="es-ES"/>
              </w:rPr>
              <w:t>Banco del Bajío, S.A.</w:t>
            </w:r>
          </w:p>
        </w:tc>
        <w:tc>
          <w:tcPr>
            <w:tcW w:w="1271" w:type="dxa"/>
            <w:shd w:val="clear" w:color="auto" w:fill="auto"/>
            <w:noWrap/>
            <w:vAlign w:val="center"/>
          </w:tcPr>
          <w:p w14:paraId="7985E9C1" w14:textId="77777777" w:rsidR="00D868AB" w:rsidRPr="00D868AB" w:rsidRDefault="00D868AB" w:rsidP="00D868AB">
            <w:pPr>
              <w:jc w:val="center"/>
              <w:rPr>
                <w:rFonts w:cs="Arial"/>
                <w:sz w:val="16"/>
                <w:szCs w:val="16"/>
                <w:lang w:val="es-ES"/>
              </w:rPr>
            </w:pPr>
            <w:r w:rsidRPr="00D868AB">
              <w:rPr>
                <w:rFonts w:cs="Arial"/>
                <w:sz w:val="16"/>
                <w:szCs w:val="16"/>
                <w:lang w:val="es-ES"/>
              </w:rPr>
              <w:t>3,031,766</w:t>
            </w:r>
            <w:r w:rsidRPr="00D868AB">
              <w:rPr>
                <w:rFonts w:cs="Arial"/>
                <w:sz w:val="16"/>
                <w:szCs w:val="16"/>
                <w:vertAlign w:val="superscript"/>
                <w:lang w:val="es-ES"/>
              </w:rPr>
              <w:t>a</w:t>
            </w:r>
          </w:p>
        </w:tc>
        <w:tc>
          <w:tcPr>
            <w:tcW w:w="1275" w:type="dxa"/>
            <w:shd w:val="clear" w:color="auto" w:fill="auto"/>
            <w:noWrap/>
            <w:vAlign w:val="center"/>
          </w:tcPr>
          <w:p w14:paraId="216592F7" w14:textId="77777777" w:rsidR="00D868AB" w:rsidRPr="00D868AB" w:rsidRDefault="00D868AB" w:rsidP="00D868AB">
            <w:pPr>
              <w:jc w:val="right"/>
              <w:rPr>
                <w:rFonts w:cs="Arial"/>
                <w:sz w:val="18"/>
                <w:szCs w:val="18"/>
                <w:lang w:val="es-ES"/>
              </w:rPr>
            </w:pPr>
            <w:r w:rsidRPr="00D868AB">
              <w:rPr>
                <w:rFonts w:cs="Arial"/>
                <w:sz w:val="18"/>
                <w:szCs w:val="18"/>
                <w:lang w:val="es-ES"/>
              </w:rPr>
              <w:t>1,000,000</w:t>
            </w:r>
          </w:p>
        </w:tc>
      </w:tr>
      <w:tr w:rsidR="00D868AB" w:rsidRPr="00D868AB" w14:paraId="1F48A889" w14:textId="77777777" w:rsidTr="00A755A7">
        <w:trPr>
          <w:trHeight w:val="283"/>
          <w:jc w:val="center"/>
        </w:trPr>
        <w:tc>
          <w:tcPr>
            <w:tcW w:w="9067" w:type="dxa"/>
            <w:gridSpan w:val="5"/>
            <w:shd w:val="clear" w:color="auto" w:fill="auto"/>
            <w:vAlign w:val="center"/>
          </w:tcPr>
          <w:p w14:paraId="055B6BF1" w14:textId="77777777" w:rsidR="00D868AB" w:rsidRPr="00D868AB" w:rsidRDefault="00D868AB" w:rsidP="00D868AB">
            <w:pPr>
              <w:rPr>
                <w:rFonts w:cs="Arial"/>
                <w:sz w:val="18"/>
                <w:szCs w:val="18"/>
                <w:lang w:val="es-ES"/>
              </w:rPr>
            </w:pPr>
            <w:r w:rsidRPr="00D868AB">
              <w:rPr>
                <w:rFonts w:cs="Arial"/>
                <w:b/>
                <w:sz w:val="18"/>
                <w:szCs w:val="18"/>
                <w:lang w:val="es-ES"/>
              </w:rPr>
              <w:t>Secretaría de Planeación, Finanzas y Administración.</w:t>
            </w:r>
          </w:p>
        </w:tc>
      </w:tr>
      <w:tr w:rsidR="00D868AB" w:rsidRPr="00D868AB" w14:paraId="3C79D9A2" w14:textId="77777777" w:rsidTr="00A755A7">
        <w:trPr>
          <w:trHeight w:val="283"/>
          <w:jc w:val="center"/>
        </w:trPr>
        <w:tc>
          <w:tcPr>
            <w:tcW w:w="4107" w:type="dxa"/>
            <w:shd w:val="clear" w:color="auto" w:fill="auto"/>
            <w:vAlign w:val="center"/>
          </w:tcPr>
          <w:p w14:paraId="41765B26" w14:textId="77777777" w:rsidR="00D868AB" w:rsidRPr="00D868AB" w:rsidRDefault="00D868AB" w:rsidP="00D868AB">
            <w:pPr>
              <w:rPr>
                <w:rFonts w:cs="Arial"/>
                <w:sz w:val="16"/>
                <w:szCs w:val="16"/>
                <w:lang w:val="es-ES"/>
              </w:rPr>
            </w:pPr>
            <w:r w:rsidRPr="00D868AB">
              <w:rPr>
                <w:rFonts w:cs="Arial"/>
                <w:sz w:val="16"/>
                <w:szCs w:val="16"/>
                <w:lang w:val="es-ES"/>
              </w:rPr>
              <w:t>41911 Fideicomiso Irrevocable de Administración y Pago.</w:t>
            </w:r>
          </w:p>
        </w:tc>
        <w:tc>
          <w:tcPr>
            <w:tcW w:w="996" w:type="dxa"/>
            <w:shd w:val="clear" w:color="auto" w:fill="auto"/>
            <w:vAlign w:val="center"/>
          </w:tcPr>
          <w:p w14:paraId="7493904D" w14:textId="77777777" w:rsidR="00D868AB" w:rsidRPr="00D868AB" w:rsidRDefault="00D868AB" w:rsidP="00D868AB">
            <w:pPr>
              <w:jc w:val="center"/>
              <w:rPr>
                <w:rFonts w:cs="Arial"/>
                <w:sz w:val="16"/>
                <w:szCs w:val="16"/>
                <w:lang w:val="es-ES"/>
              </w:rPr>
            </w:pPr>
            <w:r w:rsidRPr="00D868AB">
              <w:rPr>
                <w:rFonts w:cs="Arial"/>
                <w:sz w:val="16"/>
                <w:szCs w:val="16"/>
                <w:lang w:val="es-ES"/>
              </w:rPr>
              <w:t>2112337</w:t>
            </w:r>
          </w:p>
        </w:tc>
        <w:tc>
          <w:tcPr>
            <w:tcW w:w="1418" w:type="dxa"/>
            <w:shd w:val="clear" w:color="auto" w:fill="auto"/>
            <w:vAlign w:val="center"/>
          </w:tcPr>
          <w:p w14:paraId="5C13CF75" w14:textId="77777777" w:rsidR="00D868AB" w:rsidRPr="00D868AB" w:rsidRDefault="00D868AB" w:rsidP="00D868AB">
            <w:pPr>
              <w:jc w:val="center"/>
              <w:rPr>
                <w:rFonts w:cs="Arial"/>
                <w:sz w:val="16"/>
                <w:szCs w:val="16"/>
                <w:lang w:val="es-ES"/>
              </w:rPr>
            </w:pPr>
            <w:r w:rsidRPr="00D868AB">
              <w:rPr>
                <w:rFonts w:cs="Arial"/>
                <w:sz w:val="16"/>
                <w:szCs w:val="16"/>
                <w:lang w:val="es-ES"/>
              </w:rPr>
              <w:t>Banco Santander México, S.A.</w:t>
            </w:r>
          </w:p>
        </w:tc>
        <w:tc>
          <w:tcPr>
            <w:tcW w:w="1271" w:type="dxa"/>
            <w:shd w:val="clear" w:color="auto" w:fill="auto"/>
            <w:noWrap/>
            <w:vAlign w:val="center"/>
          </w:tcPr>
          <w:p w14:paraId="7F0AB482" w14:textId="77777777" w:rsidR="00D868AB" w:rsidRPr="00D868AB" w:rsidRDefault="00D868AB" w:rsidP="00D868AB">
            <w:pPr>
              <w:jc w:val="right"/>
              <w:rPr>
                <w:rFonts w:cs="Arial"/>
                <w:sz w:val="16"/>
                <w:szCs w:val="16"/>
                <w:lang w:val="es-ES"/>
              </w:rPr>
            </w:pPr>
            <w:r w:rsidRPr="00D868AB">
              <w:rPr>
                <w:rFonts w:cs="Arial"/>
                <w:sz w:val="16"/>
                <w:szCs w:val="16"/>
                <w:lang w:val="es-ES"/>
              </w:rPr>
              <w:t>53,876,625</w:t>
            </w:r>
            <w:r w:rsidRPr="00D868AB">
              <w:rPr>
                <w:rFonts w:cs="Arial"/>
                <w:sz w:val="16"/>
                <w:szCs w:val="16"/>
                <w:vertAlign w:val="superscript"/>
                <w:lang w:val="es-ES"/>
              </w:rPr>
              <w:t>a</w:t>
            </w:r>
          </w:p>
        </w:tc>
        <w:tc>
          <w:tcPr>
            <w:tcW w:w="1275" w:type="dxa"/>
            <w:shd w:val="clear" w:color="auto" w:fill="auto"/>
            <w:noWrap/>
            <w:vAlign w:val="center"/>
          </w:tcPr>
          <w:p w14:paraId="58BBECD7" w14:textId="77777777" w:rsidR="00D868AB" w:rsidRPr="00D868AB" w:rsidRDefault="00D868AB" w:rsidP="00D868AB">
            <w:pPr>
              <w:jc w:val="right"/>
              <w:rPr>
                <w:rFonts w:cs="Arial"/>
                <w:sz w:val="18"/>
                <w:szCs w:val="18"/>
                <w:lang w:val="es-ES"/>
              </w:rPr>
            </w:pPr>
            <w:r w:rsidRPr="00D868AB">
              <w:rPr>
                <w:rFonts w:cs="Arial"/>
                <w:sz w:val="18"/>
                <w:szCs w:val="18"/>
                <w:lang w:val="es-ES"/>
              </w:rPr>
              <w:t>1,071,840</w:t>
            </w:r>
          </w:p>
        </w:tc>
      </w:tr>
      <w:tr w:rsidR="00D868AB" w:rsidRPr="00D868AB" w14:paraId="626BDD1F" w14:textId="77777777" w:rsidTr="00A755A7">
        <w:trPr>
          <w:trHeight w:val="283"/>
          <w:jc w:val="center"/>
        </w:trPr>
        <w:tc>
          <w:tcPr>
            <w:tcW w:w="4107" w:type="dxa"/>
            <w:shd w:val="clear" w:color="auto" w:fill="auto"/>
            <w:vAlign w:val="center"/>
          </w:tcPr>
          <w:p w14:paraId="299EFA6A" w14:textId="77777777" w:rsidR="00D868AB" w:rsidRPr="00D868AB" w:rsidRDefault="00D868AB" w:rsidP="00D868AB">
            <w:pPr>
              <w:rPr>
                <w:rFonts w:cs="Arial"/>
                <w:sz w:val="16"/>
                <w:szCs w:val="16"/>
                <w:lang w:val="es-ES"/>
              </w:rPr>
            </w:pPr>
            <w:r w:rsidRPr="00D868AB">
              <w:rPr>
                <w:rFonts w:cs="Arial"/>
                <w:sz w:val="16"/>
                <w:szCs w:val="16"/>
                <w:lang w:val="es-ES"/>
              </w:rPr>
              <w:t>41912 Fideicomiso Irrevocable de Administración y Fuentes de Pago.</w:t>
            </w:r>
          </w:p>
        </w:tc>
        <w:tc>
          <w:tcPr>
            <w:tcW w:w="996" w:type="dxa"/>
            <w:shd w:val="clear" w:color="auto" w:fill="auto"/>
            <w:vAlign w:val="center"/>
          </w:tcPr>
          <w:p w14:paraId="52F970D3" w14:textId="77777777" w:rsidR="00D868AB" w:rsidRPr="00D868AB" w:rsidRDefault="00D868AB" w:rsidP="00D868AB">
            <w:pPr>
              <w:jc w:val="center"/>
              <w:rPr>
                <w:rFonts w:cs="Arial"/>
                <w:sz w:val="16"/>
                <w:szCs w:val="16"/>
                <w:lang w:val="es-ES"/>
              </w:rPr>
            </w:pPr>
            <w:r w:rsidRPr="00D868AB">
              <w:rPr>
                <w:rFonts w:cs="Arial"/>
                <w:sz w:val="16"/>
                <w:szCs w:val="16"/>
                <w:lang w:val="es-ES"/>
              </w:rPr>
              <w:t>790</w:t>
            </w:r>
          </w:p>
        </w:tc>
        <w:tc>
          <w:tcPr>
            <w:tcW w:w="1418" w:type="dxa"/>
            <w:shd w:val="clear" w:color="auto" w:fill="auto"/>
            <w:vAlign w:val="center"/>
          </w:tcPr>
          <w:p w14:paraId="466A30F5" w14:textId="77777777" w:rsidR="00D868AB" w:rsidRPr="00D868AB" w:rsidRDefault="00D868AB" w:rsidP="00D868AB">
            <w:pPr>
              <w:jc w:val="center"/>
              <w:rPr>
                <w:rFonts w:cs="Arial"/>
                <w:sz w:val="16"/>
                <w:szCs w:val="16"/>
                <w:lang w:val="es-ES"/>
              </w:rPr>
            </w:pPr>
            <w:r w:rsidRPr="00D868AB">
              <w:rPr>
                <w:rFonts w:cs="Arial"/>
                <w:sz w:val="16"/>
                <w:szCs w:val="16"/>
                <w:lang w:val="es-ES"/>
              </w:rPr>
              <w:t>Banco Invex</w:t>
            </w:r>
          </w:p>
        </w:tc>
        <w:tc>
          <w:tcPr>
            <w:tcW w:w="1271" w:type="dxa"/>
            <w:shd w:val="clear" w:color="auto" w:fill="auto"/>
            <w:noWrap/>
            <w:vAlign w:val="center"/>
          </w:tcPr>
          <w:p w14:paraId="72E50CD4" w14:textId="77777777" w:rsidR="00D868AB" w:rsidRPr="00D868AB" w:rsidRDefault="00D868AB" w:rsidP="00D868AB">
            <w:pPr>
              <w:jc w:val="center"/>
              <w:rPr>
                <w:rFonts w:cs="Arial"/>
                <w:sz w:val="16"/>
                <w:szCs w:val="16"/>
                <w:lang w:val="es-ES"/>
              </w:rPr>
            </w:pPr>
            <w:r w:rsidRPr="00D868AB">
              <w:rPr>
                <w:rFonts w:cs="Arial"/>
                <w:sz w:val="16"/>
                <w:szCs w:val="16"/>
                <w:lang w:val="es-ES"/>
              </w:rPr>
              <w:t>No Aplica</w:t>
            </w:r>
          </w:p>
        </w:tc>
        <w:tc>
          <w:tcPr>
            <w:tcW w:w="1275" w:type="dxa"/>
            <w:shd w:val="clear" w:color="auto" w:fill="auto"/>
            <w:noWrap/>
            <w:vAlign w:val="center"/>
          </w:tcPr>
          <w:p w14:paraId="582A1B73" w14:textId="77777777" w:rsidR="00D868AB" w:rsidRPr="00D868AB" w:rsidRDefault="00D868AB" w:rsidP="00D868AB">
            <w:pPr>
              <w:jc w:val="right"/>
              <w:rPr>
                <w:rFonts w:cs="Arial"/>
                <w:sz w:val="18"/>
                <w:szCs w:val="18"/>
                <w:lang w:val="es-ES"/>
              </w:rPr>
            </w:pPr>
            <w:r w:rsidRPr="00D868AB">
              <w:rPr>
                <w:rFonts w:cs="Arial"/>
                <w:sz w:val="18"/>
                <w:szCs w:val="18"/>
                <w:lang w:val="es-ES"/>
              </w:rPr>
              <w:t>1,078,110</w:t>
            </w:r>
          </w:p>
        </w:tc>
      </w:tr>
      <w:tr w:rsidR="00D868AB" w:rsidRPr="00D868AB" w14:paraId="0C17AC62" w14:textId="77777777" w:rsidTr="00A755A7">
        <w:trPr>
          <w:trHeight w:val="283"/>
          <w:jc w:val="center"/>
        </w:trPr>
        <w:tc>
          <w:tcPr>
            <w:tcW w:w="4107" w:type="dxa"/>
            <w:shd w:val="clear" w:color="auto" w:fill="auto"/>
            <w:vAlign w:val="center"/>
          </w:tcPr>
          <w:p w14:paraId="5F0EE000" w14:textId="77777777" w:rsidR="00D868AB" w:rsidRPr="00D868AB" w:rsidRDefault="00D868AB" w:rsidP="00D868AB">
            <w:pPr>
              <w:rPr>
                <w:rFonts w:cs="Arial"/>
                <w:sz w:val="16"/>
                <w:szCs w:val="16"/>
                <w:lang w:val="es-ES"/>
              </w:rPr>
            </w:pPr>
            <w:r w:rsidRPr="00D868AB">
              <w:rPr>
                <w:rFonts w:cs="Arial"/>
                <w:sz w:val="16"/>
                <w:szCs w:val="16"/>
                <w:lang w:val="es-ES"/>
              </w:rPr>
              <w:t>41916 Fideicomiso Irrevocable de Administración y Fuentes de Pago.</w:t>
            </w:r>
          </w:p>
        </w:tc>
        <w:tc>
          <w:tcPr>
            <w:tcW w:w="996" w:type="dxa"/>
            <w:shd w:val="clear" w:color="auto" w:fill="auto"/>
            <w:vAlign w:val="center"/>
          </w:tcPr>
          <w:p w14:paraId="58B455DC" w14:textId="77777777" w:rsidR="00D868AB" w:rsidRPr="00D868AB" w:rsidRDefault="00D868AB" w:rsidP="00D868AB">
            <w:pPr>
              <w:jc w:val="center"/>
              <w:rPr>
                <w:rFonts w:cs="Arial"/>
                <w:sz w:val="16"/>
                <w:szCs w:val="16"/>
                <w:lang w:val="es-ES"/>
              </w:rPr>
            </w:pPr>
            <w:r w:rsidRPr="00D868AB">
              <w:rPr>
                <w:rFonts w:cs="Arial"/>
                <w:sz w:val="16"/>
                <w:szCs w:val="16"/>
                <w:lang w:val="es-ES"/>
              </w:rPr>
              <w:t>946</w:t>
            </w:r>
          </w:p>
        </w:tc>
        <w:tc>
          <w:tcPr>
            <w:tcW w:w="1418" w:type="dxa"/>
            <w:shd w:val="clear" w:color="auto" w:fill="auto"/>
            <w:vAlign w:val="center"/>
          </w:tcPr>
          <w:p w14:paraId="194ECE6A" w14:textId="77777777" w:rsidR="00D868AB" w:rsidRPr="00D868AB" w:rsidRDefault="00D868AB" w:rsidP="00D868AB">
            <w:pPr>
              <w:jc w:val="center"/>
              <w:rPr>
                <w:rFonts w:cs="Arial"/>
                <w:sz w:val="16"/>
                <w:szCs w:val="16"/>
                <w:lang w:val="es-ES"/>
              </w:rPr>
            </w:pPr>
            <w:r w:rsidRPr="00D868AB">
              <w:rPr>
                <w:rFonts w:cs="Arial"/>
                <w:sz w:val="16"/>
                <w:szCs w:val="16"/>
                <w:lang w:val="es-ES"/>
              </w:rPr>
              <w:t>Banco Invex</w:t>
            </w:r>
          </w:p>
        </w:tc>
        <w:tc>
          <w:tcPr>
            <w:tcW w:w="1271" w:type="dxa"/>
            <w:shd w:val="clear" w:color="auto" w:fill="auto"/>
            <w:noWrap/>
            <w:vAlign w:val="center"/>
          </w:tcPr>
          <w:p w14:paraId="7F5164C9" w14:textId="77777777" w:rsidR="00D868AB" w:rsidRPr="00D868AB" w:rsidRDefault="00D868AB" w:rsidP="00D868AB">
            <w:pPr>
              <w:jc w:val="center"/>
              <w:rPr>
                <w:rFonts w:cs="Arial"/>
                <w:sz w:val="16"/>
                <w:szCs w:val="16"/>
                <w:lang w:val="es-ES"/>
              </w:rPr>
            </w:pPr>
            <w:r w:rsidRPr="00D868AB">
              <w:rPr>
                <w:rFonts w:cs="Arial"/>
                <w:sz w:val="16"/>
                <w:szCs w:val="16"/>
                <w:lang w:val="es-ES"/>
              </w:rPr>
              <w:t>No Aplica</w:t>
            </w:r>
          </w:p>
        </w:tc>
        <w:tc>
          <w:tcPr>
            <w:tcW w:w="1275" w:type="dxa"/>
            <w:shd w:val="clear" w:color="auto" w:fill="auto"/>
            <w:noWrap/>
            <w:vAlign w:val="center"/>
          </w:tcPr>
          <w:p w14:paraId="709480A2" w14:textId="77777777" w:rsidR="00D868AB" w:rsidRPr="00D868AB" w:rsidRDefault="00D868AB" w:rsidP="00D868AB">
            <w:pPr>
              <w:jc w:val="right"/>
              <w:rPr>
                <w:rFonts w:cs="Arial"/>
                <w:sz w:val="18"/>
                <w:szCs w:val="18"/>
                <w:lang w:val="es-ES"/>
              </w:rPr>
            </w:pPr>
            <w:r w:rsidRPr="00D868AB">
              <w:rPr>
                <w:rFonts w:cs="Arial"/>
                <w:sz w:val="18"/>
                <w:szCs w:val="18"/>
                <w:lang w:val="es-ES"/>
              </w:rPr>
              <w:t>255,200</w:t>
            </w:r>
          </w:p>
        </w:tc>
      </w:tr>
      <w:tr w:rsidR="00D868AB" w:rsidRPr="00D868AB" w14:paraId="1C22E0F8" w14:textId="77777777" w:rsidTr="00A755A7">
        <w:trPr>
          <w:trHeight w:val="283"/>
          <w:jc w:val="center"/>
        </w:trPr>
        <w:tc>
          <w:tcPr>
            <w:tcW w:w="4107" w:type="dxa"/>
            <w:tcBorders>
              <w:bottom w:val="single" w:sz="4" w:space="0" w:color="auto"/>
            </w:tcBorders>
            <w:shd w:val="clear" w:color="auto" w:fill="auto"/>
            <w:vAlign w:val="center"/>
          </w:tcPr>
          <w:p w14:paraId="033CE3E0" w14:textId="77777777" w:rsidR="00D868AB" w:rsidRPr="00D868AB" w:rsidRDefault="00D868AB" w:rsidP="00D868AB">
            <w:pPr>
              <w:rPr>
                <w:rFonts w:cs="Arial"/>
                <w:sz w:val="16"/>
                <w:szCs w:val="16"/>
                <w:lang w:val="es-ES"/>
              </w:rPr>
            </w:pPr>
            <w:r w:rsidRPr="00D868AB">
              <w:rPr>
                <w:rFonts w:cs="Arial"/>
                <w:sz w:val="16"/>
                <w:szCs w:val="16"/>
                <w:lang w:val="es-ES"/>
              </w:rPr>
              <w:t>79101 Fondo de Desastres Naturales (</w:t>
            </w:r>
            <w:bookmarkStart w:id="120" w:name="_Hlk117795382"/>
            <w:r w:rsidRPr="00D868AB">
              <w:rPr>
                <w:rFonts w:cs="Arial"/>
                <w:sz w:val="16"/>
                <w:szCs w:val="16"/>
                <w:lang w:val="es-ES"/>
              </w:rPr>
              <w:t>Fideicomiso del Fondo de Desastres Naturales</w:t>
            </w:r>
            <w:bookmarkEnd w:id="120"/>
            <w:r w:rsidRPr="00D868AB">
              <w:rPr>
                <w:rFonts w:cs="Arial"/>
                <w:sz w:val="16"/>
                <w:szCs w:val="16"/>
                <w:lang w:val="es-ES"/>
              </w:rPr>
              <w:t>).</w:t>
            </w:r>
          </w:p>
        </w:tc>
        <w:tc>
          <w:tcPr>
            <w:tcW w:w="996" w:type="dxa"/>
            <w:tcBorders>
              <w:bottom w:val="single" w:sz="4" w:space="0" w:color="auto"/>
            </w:tcBorders>
            <w:shd w:val="clear" w:color="auto" w:fill="auto"/>
            <w:vAlign w:val="center"/>
          </w:tcPr>
          <w:p w14:paraId="51FECBA9" w14:textId="77777777" w:rsidR="00D868AB" w:rsidRPr="00D868AB" w:rsidRDefault="00D868AB" w:rsidP="00D868AB">
            <w:pPr>
              <w:jc w:val="center"/>
              <w:rPr>
                <w:rFonts w:cs="Arial"/>
                <w:sz w:val="16"/>
                <w:szCs w:val="16"/>
                <w:lang w:val="es-ES"/>
              </w:rPr>
            </w:pPr>
            <w:r w:rsidRPr="00D868AB">
              <w:rPr>
                <w:rFonts w:cs="Arial"/>
                <w:sz w:val="16"/>
                <w:szCs w:val="16"/>
                <w:lang w:val="es-ES"/>
              </w:rPr>
              <w:t>S/D</w:t>
            </w:r>
          </w:p>
        </w:tc>
        <w:tc>
          <w:tcPr>
            <w:tcW w:w="1418" w:type="dxa"/>
            <w:tcBorders>
              <w:bottom w:val="single" w:sz="4" w:space="0" w:color="auto"/>
            </w:tcBorders>
            <w:shd w:val="clear" w:color="auto" w:fill="auto"/>
            <w:vAlign w:val="center"/>
          </w:tcPr>
          <w:p w14:paraId="36D7F095" w14:textId="77777777" w:rsidR="00D868AB" w:rsidRPr="00D868AB" w:rsidRDefault="00D868AB" w:rsidP="00D868AB">
            <w:pPr>
              <w:jc w:val="center"/>
              <w:rPr>
                <w:rFonts w:cs="Arial"/>
                <w:sz w:val="16"/>
                <w:szCs w:val="16"/>
                <w:lang w:val="es-ES"/>
              </w:rPr>
            </w:pPr>
            <w:r w:rsidRPr="00D868AB">
              <w:rPr>
                <w:rFonts w:cs="Arial"/>
                <w:sz w:val="16"/>
                <w:szCs w:val="16"/>
                <w:lang w:val="es-ES"/>
              </w:rPr>
              <w:t>S/D</w:t>
            </w:r>
          </w:p>
        </w:tc>
        <w:tc>
          <w:tcPr>
            <w:tcW w:w="1271" w:type="dxa"/>
            <w:tcBorders>
              <w:bottom w:val="single" w:sz="4" w:space="0" w:color="auto"/>
            </w:tcBorders>
            <w:shd w:val="clear" w:color="auto" w:fill="auto"/>
            <w:noWrap/>
            <w:vAlign w:val="center"/>
          </w:tcPr>
          <w:p w14:paraId="15355AF9" w14:textId="77777777" w:rsidR="00D868AB" w:rsidRPr="00D868AB" w:rsidRDefault="00D868AB" w:rsidP="00D868AB">
            <w:pPr>
              <w:jc w:val="center"/>
              <w:rPr>
                <w:rFonts w:cs="Arial"/>
                <w:sz w:val="16"/>
                <w:szCs w:val="16"/>
                <w:lang w:val="es-ES"/>
              </w:rPr>
            </w:pPr>
            <w:r w:rsidRPr="00D868AB">
              <w:rPr>
                <w:rFonts w:cs="Arial"/>
                <w:sz w:val="16"/>
                <w:szCs w:val="16"/>
                <w:lang w:val="es-ES"/>
              </w:rPr>
              <w:t>S/D</w:t>
            </w:r>
          </w:p>
        </w:tc>
        <w:tc>
          <w:tcPr>
            <w:tcW w:w="1275" w:type="dxa"/>
            <w:tcBorders>
              <w:bottom w:val="single" w:sz="4" w:space="0" w:color="auto"/>
            </w:tcBorders>
            <w:shd w:val="clear" w:color="auto" w:fill="auto"/>
            <w:noWrap/>
            <w:vAlign w:val="center"/>
          </w:tcPr>
          <w:p w14:paraId="3AEFC9F0" w14:textId="77777777" w:rsidR="00D868AB" w:rsidRPr="00D868AB" w:rsidRDefault="00D868AB" w:rsidP="00D868AB">
            <w:pPr>
              <w:jc w:val="right"/>
              <w:rPr>
                <w:rFonts w:cs="Arial"/>
                <w:sz w:val="18"/>
                <w:szCs w:val="18"/>
                <w:lang w:val="es-ES"/>
              </w:rPr>
            </w:pPr>
            <w:r w:rsidRPr="00D868AB">
              <w:rPr>
                <w:rFonts w:cs="Arial"/>
                <w:sz w:val="18"/>
                <w:szCs w:val="18"/>
                <w:lang w:val="es-ES"/>
              </w:rPr>
              <w:t>2,000,000</w:t>
            </w:r>
          </w:p>
        </w:tc>
      </w:tr>
      <w:tr w:rsidR="00D868AB" w:rsidRPr="00D868AB" w14:paraId="5B932768" w14:textId="77777777" w:rsidTr="00A755A7">
        <w:trPr>
          <w:trHeight w:val="283"/>
          <w:jc w:val="center"/>
        </w:trPr>
        <w:tc>
          <w:tcPr>
            <w:tcW w:w="906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1D4956" w14:textId="77777777" w:rsidR="00D868AB" w:rsidRPr="00D868AB" w:rsidRDefault="00D868AB" w:rsidP="00D868AB">
            <w:pPr>
              <w:rPr>
                <w:rFonts w:cs="Arial"/>
                <w:sz w:val="18"/>
                <w:szCs w:val="18"/>
                <w:lang w:val="es-ES"/>
              </w:rPr>
            </w:pPr>
            <w:r w:rsidRPr="00D868AB">
              <w:rPr>
                <w:rFonts w:cs="Arial"/>
                <w:b/>
                <w:sz w:val="18"/>
                <w:szCs w:val="18"/>
                <w:lang w:val="es-ES"/>
              </w:rPr>
              <w:t>Secretaría de Infraestructura, Desarrollo Urbano y Movilidad.</w:t>
            </w:r>
          </w:p>
        </w:tc>
      </w:tr>
      <w:tr w:rsidR="00D868AB" w:rsidRPr="00D868AB" w14:paraId="21140CC5" w14:textId="77777777" w:rsidTr="00A755A7">
        <w:trPr>
          <w:trHeight w:val="283"/>
          <w:jc w:val="center"/>
        </w:trPr>
        <w:tc>
          <w:tcPr>
            <w:tcW w:w="4107" w:type="dxa"/>
            <w:tcBorders>
              <w:top w:val="single" w:sz="4" w:space="0" w:color="auto"/>
            </w:tcBorders>
            <w:shd w:val="clear" w:color="auto" w:fill="auto"/>
            <w:vAlign w:val="center"/>
          </w:tcPr>
          <w:p w14:paraId="375B9F58" w14:textId="77777777" w:rsidR="00D868AB" w:rsidRPr="00D868AB" w:rsidRDefault="00D868AB" w:rsidP="00D868AB">
            <w:pPr>
              <w:rPr>
                <w:rFonts w:cs="Arial"/>
                <w:sz w:val="16"/>
                <w:szCs w:val="16"/>
                <w:lang w:val="es-ES"/>
              </w:rPr>
            </w:pPr>
            <w:r w:rsidRPr="00D868AB">
              <w:rPr>
                <w:rFonts w:cs="Arial"/>
                <w:sz w:val="16"/>
                <w:szCs w:val="16"/>
                <w:lang w:val="es-ES"/>
              </w:rPr>
              <w:t>41145 Fideicomiso del Fondo Ambiental del Estado de Colima.</w:t>
            </w:r>
          </w:p>
        </w:tc>
        <w:tc>
          <w:tcPr>
            <w:tcW w:w="996" w:type="dxa"/>
            <w:tcBorders>
              <w:top w:val="single" w:sz="4" w:space="0" w:color="auto"/>
            </w:tcBorders>
            <w:shd w:val="clear" w:color="auto" w:fill="auto"/>
            <w:vAlign w:val="center"/>
          </w:tcPr>
          <w:p w14:paraId="50FCBAC0" w14:textId="77777777" w:rsidR="00D868AB" w:rsidRPr="00D868AB" w:rsidRDefault="00D868AB" w:rsidP="00D868AB">
            <w:pPr>
              <w:jc w:val="center"/>
              <w:rPr>
                <w:rFonts w:cs="Arial"/>
                <w:sz w:val="16"/>
                <w:szCs w:val="16"/>
                <w:lang w:val="es-ES"/>
              </w:rPr>
            </w:pPr>
            <w:r w:rsidRPr="00D868AB">
              <w:rPr>
                <w:rFonts w:cs="Arial"/>
                <w:sz w:val="16"/>
                <w:szCs w:val="16"/>
                <w:lang w:val="es-ES"/>
              </w:rPr>
              <w:t>27285</w:t>
            </w:r>
          </w:p>
        </w:tc>
        <w:tc>
          <w:tcPr>
            <w:tcW w:w="1418" w:type="dxa"/>
            <w:tcBorders>
              <w:top w:val="single" w:sz="4" w:space="0" w:color="auto"/>
            </w:tcBorders>
            <w:shd w:val="clear" w:color="auto" w:fill="auto"/>
            <w:vAlign w:val="center"/>
          </w:tcPr>
          <w:p w14:paraId="0A95320B" w14:textId="77777777" w:rsidR="00D868AB" w:rsidRPr="00D868AB" w:rsidRDefault="00D868AB" w:rsidP="00D868AB">
            <w:pPr>
              <w:jc w:val="center"/>
              <w:rPr>
                <w:rFonts w:cs="Arial"/>
                <w:sz w:val="16"/>
                <w:szCs w:val="16"/>
                <w:lang w:val="es-ES"/>
              </w:rPr>
            </w:pPr>
            <w:r w:rsidRPr="00D868AB">
              <w:rPr>
                <w:rFonts w:cs="Arial"/>
                <w:sz w:val="16"/>
                <w:szCs w:val="16"/>
                <w:lang w:val="es-ES"/>
              </w:rPr>
              <w:t>Banco del Bajío, S.A.</w:t>
            </w:r>
          </w:p>
        </w:tc>
        <w:tc>
          <w:tcPr>
            <w:tcW w:w="1271" w:type="dxa"/>
            <w:tcBorders>
              <w:top w:val="single" w:sz="4" w:space="0" w:color="auto"/>
            </w:tcBorders>
            <w:shd w:val="clear" w:color="auto" w:fill="auto"/>
            <w:noWrap/>
            <w:vAlign w:val="center"/>
          </w:tcPr>
          <w:p w14:paraId="18AD7EC1" w14:textId="77777777" w:rsidR="00D868AB" w:rsidRPr="00D868AB" w:rsidRDefault="00D868AB" w:rsidP="00D868AB">
            <w:pPr>
              <w:jc w:val="right"/>
              <w:rPr>
                <w:rFonts w:cs="Arial"/>
                <w:sz w:val="16"/>
                <w:szCs w:val="16"/>
                <w:lang w:val="es-ES"/>
              </w:rPr>
            </w:pPr>
            <w:r w:rsidRPr="00D868AB">
              <w:rPr>
                <w:rFonts w:cs="Arial"/>
                <w:sz w:val="16"/>
                <w:szCs w:val="16"/>
                <w:lang w:val="es-ES"/>
              </w:rPr>
              <w:t>5,914,212</w:t>
            </w:r>
          </w:p>
        </w:tc>
        <w:tc>
          <w:tcPr>
            <w:tcW w:w="1275" w:type="dxa"/>
            <w:tcBorders>
              <w:top w:val="single" w:sz="4" w:space="0" w:color="auto"/>
            </w:tcBorders>
            <w:shd w:val="clear" w:color="auto" w:fill="auto"/>
            <w:noWrap/>
            <w:vAlign w:val="center"/>
          </w:tcPr>
          <w:p w14:paraId="52E472C7" w14:textId="77777777" w:rsidR="00D868AB" w:rsidRPr="00D868AB" w:rsidRDefault="00D868AB" w:rsidP="00D868AB">
            <w:pPr>
              <w:jc w:val="right"/>
              <w:rPr>
                <w:rFonts w:cs="Arial"/>
                <w:sz w:val="18"/>
                <w:szCs w:val="18"/>
                <w:lang w:val="es-ES"/>
              </w:rPr>
            </w:pPr>
            <w:r w:rsidRPr="00D868AB">
              <w:rPr>
                <w:rFonts w:cs="Arial"/>
                <w:sz w:val="18"/>
                <w:szCs w:val="18"/>
                <w:lang w:val="es-ES"/>
              </w:rPr>
              <w:t>200,000</w:t>
            </w:r>
          </w:p>
        </w:tc>
      </w:tr>
      <w:tr w:rsidR="00D868AB" w:rsidRPr="00D868AB" w14:paraId="2593684D" w14:textId="77777777" w:rsidTr="00A755A7">
        <w:trPr>
          <w:trHeight w:val="283"/>
          <w:jc w:val="center"/>
        </w:trPr>
        <w:tc>
          <w:tcPr>
            <w:tcW w:w="4107" w:type="dxa"/>
            <w:tcBorders>
              <w:top w:val="single" w:sz="4" w:space="0" w:color="auto"/>
              <w:left w:val="single" w:sz="4" w:space="0" w:color="auto"/>
              <w:bottom w:val="single" w:sz="4" w:space="0" w:color="auto"/>
              <w:right w:val="nil"/>
            </w:tcBorders>
            <w:shd w:val="clear" w:color="auto" w:fill="auto"/>
            <w:vAlign w:val="center"/>
          </w:tcPr>
          <w:p w14:paraId="193A9831" w14:textId="77777777" w:rsidR="00D868AB" w:rsidRPr="00D868AB" w:rsidRDefault="00D868AB" w:rsidP="00D868AB">
            <w:pPr>
              <w:rPr>
                <w:rFonts w:cs="Arial"/>
                <w:b/>
                <w:sz w:val="18"/>
                <w:szCs w:val="18"/>
                <w:lang w:val="es-ES"/>
              </w:rPr>
            </w:pPr>
            <w:r w:rsidRPr="00D868AB">
              <w:rPr>
                <w:rFonts w:cs="Arial"/>
                <w:b/>
                <w:sz w:val="18"/>
                <w:szCs w:val="18"/>
                <w:lang w:val="es-ES"/>
              </w:rPr>
              <w:t>Secretaría de Educación y Cultura.</w:t>
            </w:r>
          </w:p>
        </w:tc>
        <w:tc>
          <w:tcPr>
            <w:tcW w:w="996" w:type="dxa"/>
            <w:tcBorders>
              <w:top w:val="single" w:sz="4" w:space="0" w:color="auto"/>
              <w:left w:val="nil"/>
              <w:bottom w:val="single" w:sz="4" w:space="0" w:color="auto"/>
              <w:right w:val="nil"/>
            </w:tcBorders>
            <w:shd w:val="clear" w:color="auto" w:fill="auto"/>
            <w:vAlign w:val="center"/>
          </w:tcPr>
          <w:p w14:paraId="77ED533C" w14:textId="77777777" w:rsidR="00D868AB" w:rsidRPr="00D868AB" w:rsidRDefault="00D868AB" w:rsidP="00D868AB">
            <w:pPr>
              <w:jc w:val="center"/>
              <w:rPr>
                <w:rFonts w:cs="Arial"/>
                <w:sz w:val="18"/>
                <w:szCs w:val="18"/>
                <w:lang w:val="es-ES"/>
              </w:rPr>
            </w:pPr>
          </w:p>
        </w:tc>
        <w:tc>
          <w:tcPr>
            <w:tcW w:w="1418" w:type="dxa"/>
            <w:tcBorders>
              <w:top w:val="single" w:sz="4" w:space="0" w:color="auto"/>
              <w:left w:val="nil"/>
              <w:bottom w:val="single" w:sz="4" w:space="0" w:color="auto"/>
              <w:right w:val="nil"/>
            </w:tcBorders>
            <w:shd w:val="clear" w:color="auto" w:fill="auto"/>
            <w:vAlign w:val="center"/>
          </w:tcPr>
          <w:p w14:paraId="669F10EB" w14:textId="77777777" w:rsidR="00D868AB" w:rsidRPr="00D868AB" w:rsidRDefault="00D868AB" w:rsidP="00D868AB">
            <w:pPr>
              <w:jc w:val="center"/>
              <w:rPr>
                <w:rFonts w:cs="Arial"/>
                <w:sz w:val="18"/>
                <w:szCs w:val="18"/>
                <w:lang w:val="es-ES"/>
              </w:rPr>
            </w:pPr>
          </w:p>
        </w:tc>
        <w:tc>
          <w:tcPr>
            <w:tcW w:w="1271" w:type="dxa"/>
            <w:tcBorders>
              <w:top w:val="single" w:sz="4" w:space="0" w:color="auto"/>
              <w:left w:val="nil"/>
              <w:bottom w:val="single" w:sz="4" w:space="0" w:color="auto"/>
              <w:right w:val="nil"/>
            </w:tcBorders>
            <w:shd w:val="clear" w:color="auto" w:fill="auto"/>
            <w:noWrap/>
            <w:vAlign w:val="center"/>
          </w:tcPr>
          <w:p w14:paraId="7F58E567" w14:textId="77777777" w:rsidR="00D868AB" w:rsidRPr="00D868AB" w:rsidRDefault="00D868AB" w:rsidP="00D868AB">
            <w:pPr>
              <w:jc w:val="right"/>
              <w:rPr>
                <w:rFonts w:cs="Arial"/>
                <w:sz w:val="18"/>
                <w:szCs w:val="18"/>
                <w:lang w:val="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0659F0D" w14:textId="77777777" w:rsidR="00D868AB" w:rsidRPr="00D868AB" w:rsidRDefault="00D868AB" w:rsidP="00D868AB">
            <w:pPr>
              <w:jc w:val="right"/>
              <w:rPr>
                <w:rFonts w:cs="Arial"/>
                <w:sz w:val="18"/>
                <w:szCs w:val="18"/>
                <w:lang w:val="es-ES"/>
              </w:rPr>
            </w:pPr>
          </w:p>
        </w:tc>
      </w:tr>
      <w:tr w:rsidR="00D868AB" w:rsidRPr="00D868AB" w14:paraId="2337BC60" w14:textId="77777777" w:rsidTr="00A755A7">
        <w:trPr>
          <w:trHeight w:val="283"/>
          <w:jc w:val="center"/>
        </w:trPr>
        <w:tc>
          <w:tcPr>
            <w:tcW w:w="4107" w:type="dxa"/>
            <w:tcBorders>
              <w:top w:val="single" w:sz="4" w:space="0" w:color="auto"/>
            </w:tcBorders>
            <w:shd w:val="clear" w:color="auto" w:fill="auto"/>
            <w:vAlign w:val="center"/>
            <w:hideMark/>
          </w:tcPr>
          <w:p w14:paraId="23151CC1" w14:textId="77777777" w:rsidR="00D868AB" w:rsidRPr="00D868AB" w:rsidRDefault="00D868AB" w:rsidP="00D868AB">
            <w:pPr>
              <w:rPr>
                <w:rFonts w:cs="Arial"/>
                <w:sz w:val="16"/>
                <w:szCs w:val="16"/>
                <w:lang w:val="es-ES"/>
              </w:rPr>
            </w:pPr>
            <w:r w:rsidRPr="00D868AB">
              <w:rPr>
                <w:rFonts w:cs="Arial"/>
                <w:sz w:val="16"/>
                <w:szCs w:val="16"/>
                <w:lang w:val="es-ES"/>
              </w:rPr>
              <w:t>Programa Especial de Financiamiento a la Vivienda para el Magisterio del Estado de Colima. (FOVIM).</w:t>
            </w:r>
          </w:p>
        </w:tc>
        <w:tc>
          <w:tcPr>
            <w:tcW w:w="996" w:type="dxa"/>
            <w:tcBorders>
              <w:top w:val="single" w:sz="4" w:space="0" w:color="auto"/>
            </w:tcBorders>
            <w:shd w:val="clear" w:color="auto" w:fill="auto"/>
            <w:vAlign w:val="center"/>
          </w:tcPr>
          <w:p w14:paraId="7BFCD63A" w14:textId="77777777" w:rsidR="00D868AB" w:rsidRPr="00D868AB" w:rsidRDefault="00D868AB" w:rsidP="00D868AB">
            <w:pPr>
              <w:jc w:val="center"/>
              <w:rPr>
                <w:rFonts w:cs="Arial"/>
                <w:sz w:val="16"/>
                <w:szCs w:val="16"/>
                <w:lang w:val="es-ES"/>
              </w:rPr>
            </w:pPr>
            <w:r w:rsidRPr="00D868AB">
              <w:rPr>
                <w:rFonts w:cs="Arial"/>
                <w:sz w:val="16"/>
                <w:szCs w:val="16"/>
                <w:lang w:val="es-ES"/>
              </w:rPr>
              <w:t>100008895</w:t>
            </w:r>
          </w:p>
        </w:tc>
        <w:tc>
          <w:tcPr>
            <w:tcW w:w="1418" w:type="dxa"/>
            <w:tcBorders>
              <w:top w:val="single" w:sz="4" w:space="0" w:color="auto"/>
            </w:tcBorders>
            <w:shd w:val="clear" w:color="auto" w:fill="auto"/>
            <w:vAlign w:val="center"/>
          </w:tcPr>
          <w:p w14:paraId="2DB35F2A" w14:textId="77777777" w:rsidR="00D868AB" w:rsidRPr="00D868AB" w:rsidRDefault="00D868AB" w:rsidP="00D868AB">
            <w:pPr>
              <w:jc w:val="center"/>
              <w:rPr>
                <w:rFonts w:cs="Arial"/>
                <w:sz w:val="16"/>
                <w:szCs w:val="16"/>
                <w:lang w:val="es-ES"/>
              </w:rPr>
            </w:pPr>
            <w:r w:rsidRPr="00D868AB">
              <w:rPr>
                <w:rFonts w:cs="Arial"/>
                <w:sz w:val="16"/>
                <w:szCs w:val="16"/>
                <w:lang w:val="es-ES"/>
              </w:rPr>
              <w:t>SCOTIABANK</w:t>
            </w:r>
          </w:p>
        </w:tc>
        <w:tc>
          <w:tcPr>
            <w:tcW w:w="1271" w:type="dxa"/>
            <w:tcBorders>
              <w:top w:val="single" w:sz="4" w:space="0" w:color="auto"/>
            </w:tcBorders>
            <w:shd w:val="clear" w:color="auto" w:fill="auto"/>
            <w:noWrap/>
            <w:vAlign w:val="center"/>
          </w:tcPr>
          <w:p w14:paraId="55569DE8" w14:textId="77777777" w:rsidR="00D868AB" w:rsidRPr="00D868AB" w:rsidRDefault="00D868AB" w:rsidP="00D868AB">
            <w:pPr>
              <w:jc w:val="right"/>
              <w:rPr>
                <w:rFonts w:cs="Arial"/>
                <w:sz w:val="16"/>
                <w:szCs w:val="16"/>
                <w:lang w:val="es-ES"/>
              </w:rPr>
            </w:pPr>
            <w:r w:rsidRPr="00D868AB">
              <w:rPr>
                <w:rFonts w:cs="Arial"/>
                <w:sz w:val="16"/>
                <w:szCs w:val="16"/>
                <w:lang w:val="es-ES"/>
              </w:rPr>
              <w:t>3,154,964</w:t>
            </w:r>
          </w:p>
        </w:tc>
        <w:tc>
          <w:tcPr>
            <w:tcW w:w="1275" w:type="dxa"/>
            <w:tcBorders>
              <w:top w:val="single" w:sz="4" w:space="0" w:color="auto"/>
            </w:tcBorders>
            <w:shd w:val="clear" w:color="auto" w:fill="auto"/>
            <w:noWrap/>
            <w:vAlign w:val="center"/>
          </w:tcPr>
          <w:p w14:paraId="76F4AA57" w14:textId="77777777" w:rsidR="00D868AB" w:rsidRPr="00D868AB" w:rsidRDefault="00D868AB" w:rsidP="00D868AB">
            <w:pPr>
              <w:jc w:val="right"/>
              <w:rPr>
                <w:rFonts w:cs="Arial"/>
                <w:sz w:val="18"/>
                <w:szCs w:val="18"/>
                <w:lang w:val="es-ES"/>
              </w:rPr>
            </w:pPr>
            <w:r w:rsidRPr="00D868AB">
              <w:rPr>
                <w:rFonts w:cs="Arial"/>
                <w:sz w:val="18"/>
                <w:szCs w:val="18"/>
                <w:lang w:val="es-ES"/>
              </w:rPr>
              <w:t>0</w:t>
            </w:r>
          </w:p>
        </w:tc>
      </w:tr>
      <w:tr w:rsidR="00D868AB" w:rsidRPr="00D868AB" w14:paraId="061CC28D" w14:textId="77777777" w:rsidTr="00A755A7">
        <w:trPr>
          <w:trHeight w:val="283"/>
          <w:jc w:val="center"/>
        </w:trPr>
        <w:tc>
          <w:tcPr>
            <w:tcW w:w="4107" w:type="dxa"/>
            <w:tcBorders>
              <w:bottom w:val="single" w:sz="4" w:space="0" w:color="auto"/>
            </w:tcBorders>
            <w:shd w:val="clear" w:color="auto" w:fill="auto"/>
            <w:vAlign w:val="center"/>
            <w:hideMark/>
          </w:tcPr>
          <w:p w14:paraId="2C427097" w14:textId="77777777" w:rsidR="00D868AB" w:rsidRPr="00D868AB" w:rsidRDefault="00D868AB" w:rsidP="00D868AB">
            <w:pPr>
              <w:rPr>
                <w:rFonts w:cs="Arial"/>
                <w:sz w:val="16"/>
                <w:szCs w:val="16"/>
                <w:lang w:val="es-ES"/>
              </w:rPr>
            </w:pPr>
            <w:r w:rsidRPr="00D868AB">
              <w:rPr>
                <w:rFonts w:cs="Arial"/>
                <w:sz w:val="16"/>
                <w:szCs w:val="16"/>
                <w:lang w:val="es-ES"/>
              </w:rPr>
              <w:t>Proyecto "Tecnologías Educativas y de la Información para el Personal al Servicio de la Educación".</w:t>
            </w:r>
          </w:p>
        </w:tc>
        <w:tc>
          <w:tcPr>
            <w:tcW w:w="996" w:type="dxa"/>
            <w:tcBorders>
              <w:bottom w:val="single" w:sz="4" w:space="0" w:color="auto"/>
            </w:tcBorders>
            <w:shd w:val="clear" w:color="auto" w:fill="auto"/>
            <w:vAlign w:val="center"/>
          </w:tcPr>
          <w:p w14:paraId="0BE60FCC" w14:textId="77777777" w:rsidR="00D868AB" w:rsidRPr="00D868AB" w:rsidRDefault="00D868AB" w:rsidP="00D868AB">
            <w:pPr>
              <w:jc w:val="center"/>
              <w:rPr>
                <w:rFonts w:cs="Arial"/>
                <w:sz w:val="16"/>
                <w:szCs w:val="16"/>
                <w:lang w:val="es-ES"/>
              </w:rPr>
            </w:pPr>
            <w:r w:rsidRPr="00D868AB">
              <w:rPr>
                <w:rFonts w:cs="Arial"/>
                <w:sz w:val="16"/>
                <w:szCs w:val="16"/>
                <w:lang w:val="es-ES"/>
              </w:rPr>
              <w:t>106586-4</w:t>
            </w:r>
          </w:p>
        </w:tc>
        <w:tc>
          <w:tcPr>
            <w:tcW w:w="1418" w:type="dxa"/>
            <w:tcBorders>
              <w:bottom w:val="single" w:sz="4" w:space="0" w:color="auto"/>
            </w:tcBorders>
            <w:shd w:val="clear" w:color="auto" w:fill="auto"/>
            <w:vAlign w:val="center"/>
          </w:tcPr>
          <w:p w14:paraId="13F8CEC4" w14:textId="77777777" w:rsidR="00D868AB" w:rsidRPr="00D868AB" w:rsidRDefault="00D868AB" w:rsidP="00D868AB">
            <w:pPr>
              <w:jc w:val="center"/>
              <w:rPr>
                <w:rFonts w:cs="Arial"/>
                <w:sz w:val="16"/>
                <w:szCs w:val="16"/>
                <w:lang w:val="es-ES"/>
              </w:rPr>
            </w:pPr>
            <w:r w:rsidRPr="00D868AB">
              <w:rPr>
                <w:rFonts w:cs="Arial"/>
                <w:sz w:val="16"/>
                <w:szCs w:val="16"/>
                <w:lang w:val="es-ES"/>
              </w:rPr>
              <w:t>BANAMEX</w:t>
            </w:r>
          </w:p>
        </w:tc>
        <w:tc>
          <w:tcPr>
            <w:tcW w:w="1271" w:type="dxa"/>
            <w:tcBorders>
              <w:bottom w:val="single" w:sz="4" w:space="0" w:color="auto"/>
            </w:tcBorders>
            <w:shd w:val="clear" w:color="auto" w:fill="auto"/>
            <w:noWrap/>
            <w:vAlign w:val="center"/>
          </w:tcPr>
          <w:p w14:paraId="4B20FDE2" w14:textId="77777777" w:rsidR="00D868AB" w:rsidRPr="00D868AB" w:rsidRDefault="00D868AB" w:rsidP="00D868AB">
            <w:pPr>
              <w:jc w:val="center"/>
              <w:rPr>
                <w:rFonts w:cs="Arial"/>
                <w:sz w:val="16"/>
                <w:szCs w:val="16"/>
                <w:lang w:val="es-ES"/>
              </w:rPr>
            </w:pPr>
            <w:r w:rsidRPr="00D868AB">
              <w:rPr>
                <w:rFonts w:cs="Arial"/>
                <w:sz w:val="16"/>
                <w:szCs w:val="16"/>
                <w:lang w:val="es-ES"/>
              </w:rPr>
              <w:t>S/D</w:t>
            </w:r>
          </w:p>
        </w:tc>
        <w:tc>
          <w:tcPr>
            <w:tcW w:w="1275" w:type="dxa"/>
            <w:tcBorders>
              <w:bottom w:val="single" w:sz="4" w:space="0" w:color="auto"/>
            </w:tcBorders>
            <w:shd w:val="clear" w:color="auto" w:fill="auto"/>
            <w:noWrap/>
            <w:vAlign w:val="center"/>
          </w:tcPr>
          <w:p w14:paraId="4BB8A848" w14:textId="77777777" w:rsidR="00D868AB" w:rsidRPr="00D868AB" w:rsidRDefault="00D868AB" w:rsidP="00D868AB">
            <w:pPr>
              <w:jc w:val="right"/>
              <w:rPr>
                <w:rFonts w:cs="Arial"/>
                <w:sz w:val="18"/>
                <w:szCs w:val="18"/>
                <w:lang w:val="es-ES"/>
              </w:rPr>
            </w:pPr>
            <w:r w:rsidRPr="00D868AB">
              <w:rPr>
                <w:rFonts w:cs="Arial"/>
                <w:sz w:val="18"/>
                <w:szCs w:val="18"/>
                <w:lang w:val="es-ES"/>
              </w:rPr>
              <w:t>0</w:t>
            </w:r>
          </w:p>
        </w:tc>
      </w:tr>
      <w:tr w:rsidR="00D868AB" w:rsidRPr="00D868AB" w14:paraId="573FF2A3" w14:textId="77777777" w:rsidTr="00A755A7">
        <w:trPr>
          <w:trHeight w:val="283"/>
          <w:jc w:val="center"/>
        </w:trPr>
        <w:tc>
          <w:tcPr>
            <w:tcW w:w="4107" w:type="dxa"/>
            <w:tcBorders>
              <w:bottom w:val="single" w:sz="4" w:space="0" w:color="auto"/>
            </w:tcBorders>
            <w:shd w:val="clear" w:color="auto" w:fill="auto"/>
            <w:vAlign w:val="center"/>
            <w:hideMark/>
          </w:tcPr>
          <w:p w14:paraId="18606062" w14:textId="77777777" w:rsidR="00D868AB" w:rsidRPr="00D868AB" w:rsidRDefault="00D868AB" w:rsidP="00D868AB">
            <w:pPr>
              <w:rPr>
                <w:rFonts w:cs="Arial"/>
                <w:sz w:val="16"/>
                <w:szCs w:val="16"/>
                <w:lang w:val="es-ES"/>
              </w:rPr>
            </w:pPr>
            <w:r w:rsidRPr="00D868AB">
              <w:rPr>
                <w:rFonts w:cs="Arial"/>
                <w:sz w:val="16"/>
                <w:szCs w:val="16"/>
                <w:lang w:val="es-ES"/>
              </w:rPr>
              <w:t>Proyecto "Tecnologías Educativas y de la Información para el Personal al Servicio de la Educación".</w:t>
            </w:r>
          </w:p>
        </w:tc>
        <w:tc>
          <w:tcPr>
            <w:tcW w:w="996" w:type="dxa"/>
            <w:tcBorders>
              <w:bottom w:val="single" w:sz="4" w:space="0" w:color="auto"/>
            </w:tcBorders>
            <w:shd w:val="clear" w:color="auto" w:fill="auto"/>
            <w:vAlign w:val="center"/>
          </w:tcPr>
          <w:p w14:paraId="445E5C2E" w14:textId="77777777" w:rsidR="00D868AB" w:rsidRPr="00D868AB" w:rsidRDefault="00D868AB" w:rsidP="00D868AB">
            <w:pPr>
              <w:jc w:val="center"/>
              <w:rPr>
                <w:rFonts w:cs="Arial"/>
                <w:sz w:val="16"/>
                <w:szCs w:val="16"/>
                <w:lang w:val="es-ES"/>
              </w:rPr>
            </w:pPr>
            <w:r w:rsidRPr="00D868AB">
              <w:rPr>
                <w:rFonts w:cs="Arial"/>
                <w:sz w:val="16"/>
                <w:szCs w:val="16"/>
                <w:lang w:val="es-ES"/>
              </w:rPr>
              <w:t>7536537012</w:t>
            </w:r>
          </w:p>
        </w:tc>
        <w:tc>
          <w:tcPr>
            <w:tcW w:w="1418" w:type="dxa"/>
            <w:tcBorders>
              <w:bottom w:val="single" w:sz="4" w:space="0" w:color="auto"/>
            </w:tcBorders>
            <w:shd w:val="clear" w:color="auto" w:fill="auto"/>
            <w:vAlign w:val="center"/>
          </w:tcPr>
          <w:p w14:paraId="73031C9C" w14:textId="77777777" w:rsidR="00D868AB" w:rsidRPr="00D868AB" w:rsidRDefault="00D868AB" w:rsidP="00D868AB">
            <w:pPr>
              <w:jc w:val="center"/>
              <w:rPr>
                <w:rFonts w:cs="Arial"/>
                <w:sz w:val="16"/>
                <w:szCs w:val="16"/>
                <w:lang w:val="es-ES"/>
              </w:rPr>
            </w:pPr>
            <w:r w:rsidRPr="00D868AB">
              <w:rPr>
                <w:rFonts w:cs="Arial"/>
                <w:sz w:val="16"/>
                <w:szCs w:val="16"/>
                <w:lang w:val="es-ES"/>
              </w:rPr>
              <w:t>BANAMEX</w:t>
            </w:r>
          </w:p>
        </w:tc>
        <w:tc>
          <w:tcPr>
            <w:tcW w:w="1271" w:type="dxa"/>
            <w:tcBorders>
              <w:bottom w:val="single" w:sz="4" w:space="0" w:color="auto"/>
            </w:tcBorders>
            <w:shd w:val="clear" w:color="auto" w:fill="auto"/>
            <w:noWrap/>
            <w:vAlign w:val="center"/>
          </w:tcPr>
          <w:p w14:paraId="596D8CF3" w14:textId="77777777" w:rsidR="00D868AB" w:rsidRPr="00D868AB" w:rsidRDefault="00D868AB" w:rsidP="00D868AB">
            <w:pPr>
              <w:jc w:val="right"/>
              <w:rPr>
                <w:rFonts w:cs="Arial"/>
                <w:sz w:val="16"/>
                <w:szCs w:val="16"/>
                <w:lang w:val="es-ES"/>
              </w:rPr>
            </w:pPr>
            <w:r w:rsidRPr="00D868AB">
              <w:rPr>
                <w:rFonts w:cs="Arial"/>
                <w:sz w:val="16"/>
                <w:szCs w:val="16"/>
                <w:lang w:val="es-ES"/>
              </w:rPr>
              <w:t>9,730,365</w:t>
            </w:r>
            <w:r w:rsidRPr="00D868AB">
              <w:rPr>
                <w:rFonts w:cs="Arial"/>
                <w:sz w:val="16"/>
                <w:szCs w:val="16"/>
                <w:vertAlign w:val="superscript"/>
                <w:lang w:val="es-ES"/>
              </w:rPr>
              <w:t>a</w:t>
            </w:r>
          </w:p>
        </w:tc>
        <w:tc>
          <w:tcPr>
            <w:tcW w:w="1275" w:type="dxa"/>
            <w:tcBorders>
              <w:bottom w:val="single" w:sz="4" w:space="0" w:color="auto"/>
            </w:tcBorders>
            <w:shd w:val="clear" w:color="auto" w:fill="auto"/>
            <w:noWrap/>
            <w:vAlign w:val="center"/>
          </w:tcPr>
          <w:p w14:paraId="5AC51EEB" w14:textId="77777777" w:rsidR="00D868AB" w:rsidRPr="00D868AB" w:rsidRDefault="00D868AB" w:rsidP="00D868AB">
            <w:pPr>
              <w:jc w:val="right"/>
              <w:rPr>
                <w:rFonts w:cs="Arial"/>
                <w:sz w:val="18"/>
                <w:szCs w:val="18"/>
                <w:lang w:val="es-ES"/>
              </w:rPr>
            </w:pPr>
            <w:r w:rsidRPr="00D868AB">
              <w:rPr>
                <w:rFonts w:cs="Arial"/>
                <w:sz w:val="18"/>
                <w:szCs w:val="18"/>
                <w:lang w:val="es-ES"/>
              </w:rPr>
              <w:t>0</w:t>
            </w:r>
          </w:p>
        </w:tc>
      </w:tr>
      <w:tr w:rsidR="00D868AB" w:rsidRPr="00D868AB" w14:paraId="4D0A4319" w14:textId="77777777" w:rsidTr="00A755A7">
        <w:trPr>
          <w:trHeight w:val="283"/>
          <w:jc w:val="center"/>
        </w:trPr>
        <w:tc>
          <w:tcPr>
            <w:tcW w:w="4107" w:type="dxa"/>
            <w:tcBorders>
              <w:top w:val="single" w:sz="4" w:space="0" w:color="auto"/>
              <w:left w:val="single" w:sz="4" w:space="0" w:color="auto"/>
              <w:bottom w:val="single" w:sz="4" w:space="0" w:color="auto"/>
              <w:right w:val="nil"/>
            </w:tcBorders>
            <w:shd w:val="clear" w:color="auto" w:fill="auto"/>
            <w:vAlign w:val="center"/>
          </w:tcPr>
          <w:p w14:paraId="4B4C4C2D" w14:textId="77777777" w:rsidR="00D868AB" w:rsidRPr="00D868AB" w:rsidRDefault="00D868AB" w:rsidP="00D868AB">
            <w:pPr>
              <w:rPr>
                <w:rFonts w:cs="Arial"/>
                <w:sz w:val="18"/>
                <w:szCs w:val="18"/>
                <w:lang w:val="es-ES"/>
              </w:rPr>
            </w:pPr>
            <w:r w:rsidRPr="00D868AB">
              <w:rPr>
                <w:rFonts w:cs="Arial"/>
                <w:b/>
                <w:sz w:val="18"/>
                <w:szCs w:val="18"/>
                <w:lang w:val="es-ES"/>
              </w:rPr>
              <w:t>Secretaría de Desarrollo Económico.</w:t>
            </w:r>
          </w:p>
        </w:tc>
        <w:tc>
          <w:tcPr>
            <w:tcW w:w="996" w:type="dxa"/>
            <w:tcBorders>
              <w:top w:val="single" w:sz="4" w:space="0" w:color="auto"/>
              <w:left w:val="nil"/>
              <w:bottom w:val="single" w:sz="4" w:space="0" w:color="auto"/>
              <w:right w:val="nil"/>
            </w:tcBorders>
            <w:shd w:val="clear" w:color="auto" w:fill="auto"/>
            <w:vAlign w:val="center"/>
          </w:tcPr>
          <w:p w14:paraId="491348F1" w14:textId="77777777" w:rsidR="00D868AB" w:rsidRPr="00D868AB" w:rsidRDefault="00D868AB" w:rsidP="00D868AB">
            <w:pPr>
              <w:jc w:val="center"/>
              <w:rPr>
                <w:rFonts w:cs="Arial"/>
                <w:sz w:val="18"/>
                <w:szCs w:val="18"/>
                <w:lang w:val="es-ES"/>
              </w:rPr>
            </w:pPr>
          </w:p>
        </w:tc>
        <w:tc>
          <w:tcPr>
            <w:tcW w:w="1418" w:type="dxa"/>
            <w:tcBorders>
              <w:top w:val="single" w:sz="4" w:space="0" w:color="auto"/>
              <w:left w:val="nil"/>
              <w:bottom w:val="single" w:sz="4" w:space="0" w:color="auto"/>
              <w:right w:val="nil"/>
            </w:tcBorders>
            <w:shd w:val="clear" w:color="auto" w:fill="auto"/>
            <w:vAlign w:val="center"/>
          </w:tcPr>
          <w:p w14:paraId="03E2234A" w14:textId="77777777" w:rsidR="00D868AB" w:rsidRPr="00D868AB" w:rsidRDefault="00D868AB" w:rsidP="00D868AB">
            <w:pPr>
              <w:jc w:val="center"/>
              <w:rPr>
                <w:rFonts w:cs="Arial"/>
                <w:sz w:val="18"/>
                <w:szCs w:val="18"/>
                <w:lang w:val="es-ES"/>
              </w:rPr>
            </w:pPr>
          </w:p>
        </w:tc>
        <w:tc>
          <w:tcPr>
            <w:tcW w:w="1271" w:type="dxa"/>
            <w:tcBorders>
              <w:top w:val="single" w:sz="4" w:space="0" w:color="auto"/>
              <w:left w:val="nil"/>
              <w:bottom w:val="single" w:sz="4" w:space="0" w:color="auto"/>
              <w:right w:val="nil"/>
            </w:tcBorders>
            <w:shd w:val="clear" w:color="auto" w:fill="auto"/>
            <w:noWrap/>
            <w:vAlign w:val="center"/>
          </w:tcPr>
          <w:p w14:paraId="15708A47" w14:textId="77777777" w:rsidR="00D868AB" w:rsidRPr="00D868AB" w:rsidRDefault="00D868AB" w:rsidP="00D868AB">
            <w:pPr>
              <w:jc w:val="right"/>
              <w:rPr>
                <w:rFonts w:cs="Arial"/>
                <w:sz w:val="18"/>
                <w:szCs w:val="18"/>
                <w:lang w:val="es-ES"/>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97588B5" w14:textId="77777777" w:rsidR="00D868AB" w:rsidRPr="00D868AB" w:rsidRDefault="00D868AB" w:rsidP="00D868AB">
            <w:pPr>
              <w:jc w:val="right"/>
              <w:rPr>
                <w:rFonts w:cs="Arial"/>
                <w:sz w:val="18"/>
                <w:szCs w:val="18"/>
                <w:lang w:val="es-ES"/>
              </w:rPr>
            </w:pPr>
          </w:p>
        </w:tc>
      </w:tr>
      <w:tr w:rsidR="00D868AB" w:rsidRPr="00D868AB" w14:paraId="3562FB1E" w14:textId="77777777" w:rsidTr="00A755A7">
        <w:trPr>
          <w:trHeight w:val="283"/>
          <w:jc w:val="center"/>
        </w:trPr>
        <w:tc>
          <w:tcPr>
            <w:tcW w:w="4107" w:type="dxa"/>
            <w:tcBorders>
              <w:top w:val="single" w:sz="4" w:space="0" w:color="auto"/>
              <w:bottom w:val="single" w:sz="4" w:space="0" w:color="auto"/>
            </w:tcBorders>
            <w:shd w:val="clear" w:color="auto" w:fill="auto"/>
            <w:vAlign w:val="center"/>
            <w:hideMark/>
          </w:tcPr>
          <w:p w14:paraId="1DBCEA87" w14:textId="77777777" w:rsidR="00D868AB" w:rsidRPr="00D868AB" w:rsidRDefault="00D868AB" w:rsidP="00D868AB">
            <w:pPr>
              <w:rPr>
                <w:rFonts w:cs="Arial"/>
                <w:sz w:val="16"/>
                <w:szCs w:val="16"/>
                <w:lang w:val="es-ES"/>
              </w:rPr>
            </w:pPr>
            <w:r w:rsidRPr="00D868AB">
              <w:rPr>
                <w:rFonts w:cs="Arial"/>
                <w:sz w:val="16"/>
                <w:szCs w:val="16"/>
                <w:lang w:val="es-ES"/>
              </w:rPr>
              <w:lastRenderedPageBreak/>
              <w:t>43102 Concurrencia con Secretaría de Agricultura, Ganadería, Desarrollo Rural, Pesca y Alimentación (SAGARPA y CONAGUA). (Fideicomiso del Fondo de Fomento Agropecuario del Estado de Colima. (FOFAE COL)).</w:t>
            </w:r>
          </w:p>
        </w:tc>
        <w:tc>
          <w:tcPr>
            <w:tcW w:w="996" w:type="dxa"/>
            <w:tcBorders>
              <w:top w:val="single" w:sz="4" w:space="0" w:color="auto"/>
              <w:bottom w:val="single" w:sz="4" w:space="0" w:color="auto"/>
            </w:tcBorders>
            <w:shd w:val="clear" w:color="auto" w:fill="auto"/>
            <w:vAlign w:val="center"/>
          </w:tcPr>
          <w:p w14:paraId="737E0BB7" w14:textId="77777777" w:rsidR="00D868AB" w:rsidRPr="00D868AB" w:rsidRDefault="00D868AB" w:rsidP="00D868AB">
            <w:pPr>
              <w:jc w:val="center"/>
              <w:rPr>
                <w:rFonts w:cs="Arial"/>
                <w:sz w:val="16"/>
                <w:szCs w:val="16"/>
                <w:lang w:val="es-ES"/>
              </w:rPr>
            </w:pPr>
            <w:r w:rsidRPr="00D868AB">
              <w:rPr>
                <w:rFonts w:cs="Arial"/>
                <w:sz w:val="16"/>
                <w:szCs w:val="16"/>
                <w:lang w:val="es-ES"/>
              </w:rPr>
              <w:t>1206011790</w:t>
            </w:r>
          </w:p>
        </w:tc>
        <w:tc>
          <w:tcPr>
            <w:tcW w:w="1418" w:type="dxa"/>
            <w:tcBorders>
              <w:top w:val="single" w:sz="4" w:space="0" w:color="auto"/>
              <w:bottom w:val="single" w:sz="4" w:space="0" w:color="auto"/>
            </w:tcBorders>
            <w:shd w:val="clear" w:color="auto" w:fill="auto"/>
            <w:vAlign w:val="center"/>
          </w:tcPr>
          <w:p w14:paraId="4594610B" w14:textId="77777777" w:rsidR="00D868AB" w:rsidRPr="00D868AB" w:rsidRDefault="00D868AB" w:rsidP="00D868AB">
            <w:pPr>
              <w:jc w:val="center"/>
              <w:rPr>
                <w:rFonts w:cs="Arial"/>
                <w:sz w:val="16"/>
                <w:szCs w:val="16"/>
                <w:lang w:val="es-ES"/>
              </w:rPr>
            </w:pPr>
            <w:r w:rsidRPr="00D868AB">
              <w:rPr>
                <w:rFonts w:cs="Arial"/>
                <w:sz w:val="16"/>
                <w:szCs w:val="16"/>
                <w:lang w:val="es-ES"/>
              </w:rPr>
              <w:t>Financiera Nacional de Desarrollo Agropecuario, Rural, Forestal y Pesquero</w:t>
            </w:r>
          </w:p>
        </w:tc>
        <w:tc>
          <w:tcPr>
            <w:tcW w:w="1271" w:type="dxa"/>
            <w:tcBorders>
              <w:top w:val="single" w:sz="4" w:space="0" w:color="auto"/>
              <w:bottom w:val="single" w:sz="4" w:space="0" w:color="auto"/>
            </w:tcBorders>
            <w:shd w:val="clear" w:color="auto" w:fill="auto"/>
            <w:noWrap/>
            <w:vAlign w:val="center"/>
          </w:tcPr>
          <w:p w14:paraId="685BBCAF" w14:textId="77777777" w:rsidR="00D868AB" w:rsidRPr="00D868AB" w:rsidRDefault="00D868AB" w:rsidP="00D868AB">
            <w:pPr>
              <w:jc w:val="right"/>
              <w:rPr>
                <w:rFonts w:cs="Arial"/>
                <w:sz w:val="16"/>
                <w:szCs w:val="16"/>
                <w:lang w:val="es-ES"/>
              </w:rPr>
            </w:pPr>
            <w:r w:rsidRPr="00D868AB">
              <w:rPr>
                <w:rFonts w:cs="Arial"/>
                <w:sz w:val="16"/>
                <w:szCs w:val="16"/>
                <w:lang w:val="es-ES"/>
              </w:rPr>
              <w:t>547,608</w:t>
            </w:r>
          </w:p>
        </w:tc>
        <w:tc>
          <w:tcPr>
            <w:tcW w:w="1275" w:type="dxa"/>
            <w:tcBorders>
              <w:top w:val="single" w:sz="4" w:space="0" w:color="auto"/>
              <w:bottom w:val="single" w:sz="4" w:space="0" w:color="auto"/>
            </w:tcBorders>
            <w:shd w:val="clear" w:color="auto" w:fill="auto"/>
            <w:noWrap/>
            <w:vAlign w:val="center"/>
          </w:tcPr>
          <w:p w14:paraId="22626FAD" w14:textId="77777777" w:rsidR="00D868AB" w:rsidRPr="00D868AB" w:rsidRDefault="00D868AB" w:rsidP="00D868AB">
            <w:pPr>
              <w:jc w:val="right"/>
              <w:rPr>
                <w:rFonts w:cs="Arial"/>
                <w:sz w:val="18"/>
                <w:szCs w:val="18"/>
                <w:lang w:val="es-ES"/>
              </w:rPr>
            </w:pPr>
            <w:r w:rsidRPr="00D868AB">
              <w:rPr>
                <w:rFonts w:cs="Arial"/>
                <w:sz w:val="18"/>
                <w:szCs w:val="18"/>
                <w:lang w:val="es-ES"/>
              </w:rPr>
              <w:t>10,000,000</w:t>
            </w:r>
          </w:p>
        </w:tc>
      </w:tr>
      <w:tr w:rsidR="00D868AB" w:rsidRPr="00D868AB" w14:paraId="56C02B49" w14:textId="77777777" w:rsidTr="00A755A7">
        <w:trPr>
          <w:trHeight w:val="283"/>
          <w:jc w:val="center"/>
        </w:trPr>
        <w:tc>
          <w:tcPr>
            <w:tcW w:w="4107" w:type="dxa"/>
            <w:tcBorders>
              <w:top w:val="single" w:sz="4" w:space="0" w:color="auto"/>
            </w:tcBorders>
            <w:shd w:val="clear" w:color="auto" w:fill="auto"/>
            <w:vAlign w:val="center"/>
            <w:hideMark/>
          </w:tcPr>
          <w:p w14:paraId="31487B60" w14:textId="77777777" w:rsidR="00D868AB" w:rsidRPr="00D868AB" w:rsidRDefault="00D868AB" w:rsidP="00D868AB">
            <w:pPr>
              <w:rPr>
                <w:rFonts w:cs="Arial"/>
                <w:sz w:val="16"/>
                <w:szCs w:val="16"/>
                <w:lang w:val="es-ES"/>
              </w:rPr>
            </w:pPr>
            <w:r w:rsidRPr="00D868AB">
              <w:rPr>
                <w:rFonts w:cs="Arial"/>
                <w:sz w:val="16"/>
                <w:szCs w:val="16"/>
                <w:lang w:val="es-ES"/>
              </w:rPr>
              <w:t>41910 Fideicomiso Revocable de Administración e Inversión para la Dotación de Infraestructura Industrial, Comercial, de Servicios y Urbana del Estado de Colima. (FIEC).</w:t>
            </w:r>
          </w:p>
        </w:tc>
        <w:tc>
          <w:tcPr>
            <w:tcW w:w="996" w:type="dxa"/>
            <w:tcBorders>
              <w:top w:val="single" w:sz="4" w:space="0" w:color="auto"/>
            </w:tcBorders>
            <w:shd w:val="clear" w:color="auto" w:fill="auto"/>
            <w:vAlign w:val="center"/>
          </w:tcPr>
          <w:p w14:paraId="44B1E4AC" w14:textId="77777777" w:rsidR="00D868AB" w:rsidRPr="00D868AB" w:rsidRDefault="00D868AB" w:rsidP="00D868AB">
            <w:pPr>
              <w:jc w:val="center"/>
              <w:rPr>
                <w:rFonts w:cs="Arial"/>
                <w:sz w:val="16"/>
                <w:szCs w:val="16"/>
                <w:lang w:val="es-ES"/>
              </w:rPr>
            </w:pPr>
            <w:r w:rsidRPr="00D868AB">
              <w:rPr>
                <w:rFonts w:cs="Arial"/>
                <w:sz w:val="16"/>
                <w:szCs w:val="16"/>
                <w:lang w:val="es-ES"/>
              </w:rPr>
              <w:t>106698-4</w:t>
            </w:r>
          </w:p>
        </w:tc>
        <w:tc>
          <w:tcPr>
            <w:tcW w:w="1418" w:type="dxa"/>
            <w:tcBorders>
              <w:top w:val="single" w:sz="4" w:space="0" w:color="auto"/>
            </w:tcBorders>
            <w:shd w:val="clear" w:color="auto" w:fill="auto"/>
            <w:vAlign w:val="center"/>
          </w:tcPr>
          <w:p w14:paraId="779E694E" w14:textId="77777777" w:rsidR="00D868AB" w:rsidRPr="00D868AB" w:rsidRDefault="00D868AB" w:rsidP="00D868AB">
            <w:pPr>
              <w:jc w:val="center"/>
              <w:rPr>
                <w:rFonts w:cs="Arial"/>
                <w:sz w:val="16"/>
                <w:szCs w:val="16"/>
                <w:lang w:val="es-ES"/>
              </w:rPr>
            </w:pPr>
            <w:r w:rsidRPr="00D868AB">
              <w:rPr>
                <w:rFonts w:cs="Arial"/>
                <w:sz w:val="16"/>
                <w:szCs w:val="16"/>
                <w:lang w:val="es-ES"/>
              </w:rPr>
              <w:t>BANAMEX</w:t>
            </w:r>
          </w:p>
        </w:tc>
        <w:tc>
          <w:tcPr>
            <w:tcW w:w="1271" w:type="dxa"/>
            <w:tcBorders>
              <w:top w:val="single" w:sz="4" w:space="0" w:color="auto"/>
            </w:tcBorders>
            <w:shd w:val="clear" w:color="auto" w:fill="auto"/>
            <w:noWrap/>
            <w:vAlign w:val="center"/>
          </w:tcPr>
          <w:p w14:paraId="133AD8D7" w14:textId="77777777" w:rsidR="00D868AB" w:rsidRPr="00D868AB" w:rsidRDefault="00D868AB" w:rsidP="00D868AB">
            <w:pPr>
              <w:jc w:val="right"/>
              <w:rPr>
                <w:rFonts w:cs="Arial"/>
                <w:sz w:val="16"/>
                <w:szCs w:val="16"/>
                <w:lang w:val="es-ES"/>
              </w:rPr>
            </w:pPr>
            <w:r w:rsidRPr="00D868AB">
              <w:rPr>
                <w:rFonts w:cs="Arial"/>
                <w:sz w:val="16"/>
                <w:szCs w:val="16"/>
                <w:lang w:val="es-ES"/>
              </w:rPr>
              <w:t>10,720,499</w:t>
            </w:r>
          </w:p>
        </w:tc>
        <w:tc>
          <w:tcPr>
            <w:tcW w:w="1275" w:type="dxa"/>
            <w:tcBorders>
              <w:top w:val="single" w:sz="4" w:space="0" w:color="auto"/>
            </w:tcBorders>
            <w:shd w:val="clear" w:color="auto" w:fill="auto"/>
            <w:noWrap/>
            <w:vAlign w:val="center"/>
          </w:tcPr>
          <w:p w14:paraId="539D5B30" w14:textId="77777777" w:rsidR="00D868AB" w:rsidRPr="00D868AB" w:rsidRDefault="00D868AB" w:rsidP="00D868AB">
            <w:pPr>
              <w:jc w:val="right"/>
              <w:rPr>
                <w:rFonts w:cs="Arial"/>
                <w:sz w:val="18"/>
                <w:szCs w:val="18"/>
                <w:lang w:val="es-ES"/>
              </w:rPr>
            </w:pPr>
            <w:r w:rsidRPr="00D868AB">
              <w:rPr>
                <w:rFonts w:cs="Arial"/>
                <w:sz w:val="18"/>
                <w:szCs w:val="18"/>
                <w:lang w:val="es-ES"/>
              </w:rPr>
              <w:t>500,000</w:t>
            </w:r>
          </w:p>
        </w:tc>
      </w:tr>
      <w:tr w:rsidR="00D868AB" w:rsidRPr="00D868AB" w14:paraId="05A55505" w14:textId="77777777" w:rsidTr="00A755A7">
        <w:trPr>
          <w:trHeight w:val="283"/>
          <w:jc w:val="center"/>
        </w:trPr>
        <w:tc>
          <w:tcPr>
            <w:tcW w:w="9067" w:type="dxa"/>
            <w:gridSpan w:val="5"/>
            <w:tcBorders>
              <w:top w:val="single" w:sz="4" w:space="0" w:color="auto"/>
              <w:left w:val="nil"/>
              <w:bottom w:val="nil"/>
              <w:right w:val="nil"/>
            </w:tcBorders>
            <w:shd w:val="clear" w:color="auto" w:fill="auto"/>
            <w:vAlign w:val="center"/>
          </w:tcPr>
          <w:p w14:paraId="25496A1C" w14:textId="77777777" w:rsidR="00D868AB" w:rsidRPr="00D868AB" w:rsidRDefault="00D868AB" w:rsidP="00D868AB">
            <w:pPr>
              <w:rPr>
                <w:rFonts w:cs="Arial"/>
                <w:sz w:val="16"/>
                <w:szCs w:val="18"/>
                <w:lang w:val="es-ES"/>
              </w:rPr>
            </w:pPr>
            <w:r w:rsidRPr="00D868AB">
              <w:rPr>
                <w:rFonts w:cs="Arial"/>
                <w:b/>
                <w:sz w:val="16"/>
                <w:szCs w:val="18"/>
                <w:lang w:val="es-ES"/>
              </w:rPr>
              <w:t>Notas</w:t>
            </w:r>
            <w:r w:rsidRPr="00D868AB">
              <w:rPr>
                <w:rFonts w:cs="Arial"/>
                <w:sz w:val="16"/>
                <w:szCs w:val="18"/>
                <w:lang w:val="es-ES"/>
              </w:rPr>
              <w:t>:</w:t>
            </w:r>
          </w:p>
          <w:p w14:paraId="0C787ECE" w14:textId="77777777" w:rsidR="00D868AB" w:rsidRPr="00D868AB" w:rsidRDefault="00D868AB" w:rsidP="00D868AB">
            <w:pPr>
              <w:rPr>
                <w:rFonts w:cs="Arial"/>
                <w:sz w:val="16"/>
                <w:szCs w:val="18"/>
                <w:lang w:val="es-ES"/>
              </w:rPr>
            </w:pPr>
            <w:r w:rsidRPr="00D868AB">
              <w:rPr>
                <w:rFonts w:cs="Arial"/>
                <w:sz w:val="16"/>
                <w:szCs w:val="18"/>
                <w:vertAlign w:val="superscript"/>
                <w:lang w:val="es-ES"/>
              </w:rPr>
              <w:t>a</w:t>
            </w:r>
            <w:r w:rsidRPr="00D868AB">
              <w:rPr>
                <w:rFonts w:cs="Arial"/>
                <w:sz w:val="16"/>
                <w:szCs w:val="18"/>
                <w:lang w:val="es-ES"/>
              </w:rPr>
              <w:t xml:space="preserve"> Saldo patrimonial al 31 de diciembre de 2021</w:t>
            </w:r>
          </w:p>
        </w:tc>
      </w:tr>
    </w:tbl>
    <w:p w14:paraId="566FC07F" w14:textId="77777777" w:rsidR="00D868AB" w:rsidRPr="00D868AB" w:rsidRDefault="00D868AB" w:rsidP="00D868AB">
      <w:pPr>
        <w:rPr>
          <w:rFonts w:cs="Arial"/>
          <w:b/>
          <w:lang w:val="es-ES"/>
        </w:rPr>
      </w:pPr>
    </w:p>
    <w:p w14:paraId="1838AC3E" w14:textId="77777777" w:rsidR="00D868AB" w:rsidRPr="00D868AB" w:rsidRDefault="00D868AB" w:rsidP="00D868AB">
      <w:pPr>
        <w:jc w:val="center"/>
        <w:rPr>
          <w:rFonts w:eastAsia="Times New Roman" w:cs="Arial"/>
          <w:b/>
          <w:lang w:val="es-ES"/>
        </w:rPr>
      </w:pPr>
      <w:bookmarkStart w:id="121" w:name="_Toc526757473"/>
      <w:bookmarkStart w:id="122" w:name="_Toc22021915"/>
      <w:bookmarkStart w:id="123" w:name="_Toc22983179"/>
      <w:r w:rsidRPr="00D868AB">
        <w:rPr>
          <w:rFonts w:eastAsia="Times New Roman" w:cs="Arial"/>
          <w:b/>
          <w:lang w:val="es-ES"/>
        </w:rPr>
        <w:t>CAPÍTULO V</w:t>
      </w:r>
      <w:bookmarkEnd w:id="121"/>
      <w:r w:rsidRPr="00D868AB">
        <w:rPr>
          <w:rFonts w:eastAsia="Times New Roman" w:cs="Arial"/>
          <w:b/>
          <w:lang w:val="es-ES"/>
        </w:rPr>
        <w:t>I</w:t>
      </w:r>
      <w:bookmarkEnd w:id="122"/>
      <w:bookmarkEnd w:id="123"/>
      <w:r w:rsidRPr="00D868AB">
        <w:rPr>
          <w:rFonts w:eastAsia="Times New Roman" w:cs="Arial"/>
          <w:b/>
          <w:lang w:val="es-ES"/>
        </w:rPr>
        <w:t>II</w:t>
      </w:r>
    </w:p>
    <w:p w14:paraId="513493C6" w14:textId="77777777" w:rsidR="00D868AB" w:rsidRPr="00D868AB" w:rsidRDefault="00D868AB" w:rsidP="00D868AB">
      <w:pPr>
        <w:keepNext/>
        <w:keepLines/>
        <w:jc w:val="center"/>
        <w:outlineLvl w:val="0"/>
        <w:rPr>
          <w:rFonts w:eastAsia="Times New Roman" w:cs="Arial"/>
          <w:b/>
          <w:szCs w:val="32"/>
          <w:lang w:val="es-ES"/>
        </w:rPr>
      </w:pPr>
      <w:bookmarkStart w:id="124" w:name="_Toc526757474"/>
      <w:bookmarkStart w:id="125" w:name="_Toc22021916"/>
      <w:bookmarkStart w:id="126" w:name="_Toc22983180"/>
      <w:r w:rsidRPr="00D868AB">
        <w:rPr>
          <w:rFonts w:eastAsia="Times New Roman" w:cs="Arial"/>
          <w:b/>
          <w:szCs w:val="32"/>
          <w:lang w:val="es-ES"/>
        </w:rPr>
        <w:t xml:space="preserve">DE LAS ASOCIACIONES PÚBLICO-PRIVADAS E </w:t>
      </w:r>
      <w:r w:rsidRPr="00D868AB">
        <w:rPr>
          <w:rFonts w:eastAsia="Times New Roman" w:cs="Arial"/>
          <w:b/>
          <w:szCs w:val="32"/>
          <w:lang w:val="es-ES"/>
        </w:rPr>
        <w:br/>
        <w:t>INVERSIÓN PÚBLICA PLURIANUAL</w:t>
      </w:r>
      <w:bookmarkEnd w:id="124"/>
      <w:bookmarkEnd w:id="125"/>
      <w:bookmarkEnd w:id="126"/>
    </w:p>
    <w:p w14:paraId="6915F72E" w14:textId="77777777" w:rsidR="00D868AB" w:rsidRPr="00D868AB" w:rsidRDefault="00D868AB" w:rsidP="00D868AB">
      <w:pPr>
        <w:rPr>
          <w:rFonts w:cs="Arial"/>
          <w:b/>
          <w:lang w:val="es-ES"/>
        </w:rPr>
      </w:pPr>
    </w:p>
    <w:p w14:paraId="0AB8A144" w14:textId="77777777" w:rsidR="00D868AB" w:rsidRPr="00D868AB" w:rsidRDefault="00D868AB" w:rsidP="00D868AB">
      <w:pPr>
        <w:rPr>
          <w:rFonts w:cs="Arial"/>
          <w:b/>
          <w:u w:val="single"/>
          <w:lang w:val="es-ES"/>
        </w:rPr>
      </w:pPr>
      <w:r w:rsidRPr="00D868AB">
        <w:rPr>
          <w:rFonts w:cs="Arial"/>
          <w:b/>
          <w:lang w:val="es-ES"/>
        </w:rPr>
        <w:t>Artículo 31</w:t>
      </w:r>
      <w:r w:rsidRPr="00D868AB">
        <w:rPr>
          <w:rFonts w:cs="Arial"/>
          <w:lang w:val="es-ES"/>
        </w:rPr>
        <w:t>. Los proyectos de Asociación Público-Privada son aquellos que se realicen con cualquier esquema para establecer una relación contractual de largo plazo, entre instancias del sector público y del sector privado, para la prestación de servicios al sector público, mayoristas, intermediarios o al usuario final y en los que se utilice infraestructura proporcionada total o parcialmente por el sector privado con objetivos que aumenten el bienestar social y los niveles de inversión en el Estado y sus municipios.</w:t>
      </w:r>
    </w:p>
    <w:p w14:paraId="680F635A" w14:textId="77777777" w:rsidR="00D868AB" w:rsidRPr="00D868AB" w:rsidRDefault="00D868AB" w:rsidP="00D868AB">
      <w:pPr>
        <w:rPr>
          <w:rFonts w:cs="Arial"/>
          <w:lang w:val="es-ES"/>
        </w:rPr>
      </w:pPr>
    </w:p>
    <w:p w14:paraId="31634FA2" w14:textId="77777777" w:rsidR="00D868AB" w:rsidRPr="00D868AB" w:rsidRDefault="00D868AB" w:rsidP="00D868AB">
      <w:pPr>
        <w:rPr>
          <w:rFonts w:cs="Arial"/>
          <w:lang w:val="es-ES"/>
        </w:rPr>
      </w:pPr>
      <w:r w:rsidRPr="00D868AB">
        <w:rPr>
          <w:rFonts w:cs="Arial"/>
          <w:lang w:val="es-ES"/>
        </w:rPr>
        <w:t>Los proyectos de Asociación Público-Privada deberán estar plenamente justificados, especificar el beneficio social que se busca obtener y demostrar su ventaja financiera frente a otras formas de financiamiento y ser congruentes con los objetivos del Plan Estatal.</w:t>
      </w:r>
    </w:p>
    <w:p w14:paraId="49F2CED2" w14:textId="77777777" w:rsidR="00D868AB" w:rsidRPr="00D868AB" w:rsidRDefault="00D868AB" w:rsidP="00D868AB">
      <w:pPr>
        <w:rPr>
          <w:rFonts w:cs="Arial"/>
          <w:lang w:val="es-ES"/>
        </w:rPr>
      </w:pPr>
    </w:p>
    <w:p w14:paraId="02F52762" w14:textId="77777777" w:rsidR="00D868AB" w:rsidRPr="00D868AB" w:rsidRDefault="00D868AB" w:rsidP="00D868AB">
      <w:pPr>
        <w:rPr>
          <w:rFonts w:cs="Arial"/>
          <w:lang w:val="es-ES"/>
        </w:rPr>
      </w:pPr>
      <w:r w:rsidRPr="00D868AB">
        <w:rPr>
          <w:rFonts w:cs="Arial"/>
          <w:lang w:val="es-ES"/>
        </w:rPr>
        <w:t>El gasto público contemplado para los proyectos de Asociación Público-Privada se ajustará a las disposiciones de la Constitución Política del Estado Libre y Soberano de Colima, de la Ley de Disciplina Financiera, de la Ley de Presupuesto, Ley de Asociaciones Público Privadas del Estado de Colima y las demás que resulten aplicables.</w:t>
      </w:r>
    </w:p>
    <w:p w14:paraId="11F48CF5" w14:textId="77777777" w:rsidR="00D868AB" w:rsidRPr="00D868AB" w:rsidRDefault="00D868AB" w:rsidP="00D868AB">
      <w:pPr>
        <w:rPr>
          <w:rFonts w:cs="Arial"/>
          <w:lang w:val="es-ES"/>
        </w:rPr>
      </w:pPr>
    </w:p>
    <w:p w14:paraId="6DD048E1" w14:textId="77777777" w:rsidR="00D868AB" w:rsidRPr="00D868AB" w:rsidRDefault="00D868AB" w:rsidP="00D868AB">
      <w:pPr>
        <w:rPr>
          <w:rFonts w:cs="Arial"/>
          <w:lang w:val="es-ES"/>
        </w:rPr>
      </w:pPr>
      <w:r w:rsidRPr="00D868AB">
        <w:rPr>
          <w:rFonts w:cs="Arial"/>
          <w:lang w:val="es-ES"/>
        </w:rPr>
        <w:t xml:space="preserve">Los compromisos presupuestarios futuros que en su caso llegaren a originar los proyectos de Asociación Público-Privada que se prevea iniciar, acumulados o aquellos de los proyectos que ya hubieran iniciado algún procedimiento de contratación o que ya estuvieran operando, serán acordes con las posibilidades agregadas de gasto y de financiamiento del sector público estatal. </w:t>
      </w:r>
    </w:p>
    <w:p w14:paraId="6A88C138" w14:textId="77777777" w:rsidR="00D868AB" w:rsidRPr="00D868AB" w:rsidRDefault="00D868AB" w:rsidP="00D868AB">
      <w:pPr>
        <w:rPr>
          <w:rFonts w:cs="Arial"/>
          <w:lang w:val="es-ES"/>
        </w:rPr>
      </w:pPr>
    </w:p>
    <w:p w14:paraId="1B696753" w14:textId="77777777" w:rsidR="00D868AB" w:rsidRPr="00D868AB" w:rsidRDefault="00D868AB" w:rsidP="00D868AB">
      <w:pPr>
        <w:rPr>
          <w:rFonts w:cs="Arial"/>
          <w:lang w:val="es-ES"/>
        </w:rPr>
      </w:pPr>
      <w:r w:rsidRPr="00D868AB">
        <w:rPr>
          <w:rFonts w:cs="Arial"/>
          <w:lang w:val="es-ES"/>
        </w:rPr>
        <w:lastRenderedPageBreak/>
        <w:t>Para el Ejercicio Fiscal 2023, no hay asignación presupuestal para el financiamiento de proyectos de Asociación Público-Privada, suscritos entre instancias del Sector Público de Gobierno del Estado con el Sector Privado.</w:t>
      </w:r>
    </w:p>
    <w:p w14:paraId="35AD96CC" w14:textId="77777777" w:rsidR="00D868AB" w:rsidRPr="00D868AB" w:rsidRDefault="00D868AB" w:rsidP="00D868AB">
      <w:pPr>
        <w:rPr>
          <w:rFonts w:cs="Arial"/>
          <w:lang w:val="es-ES"/>
        </w:rPr>
      </w:pPr>
    </w:p>
    <w:p w14:paraId="5F7EDA10" w14:textId="77777777" w:rsidR="00D868AB" w:rsidRPr="00D868AB" w:rsidRDefault="00D868AB" w:rsidP="00D868AB">
      <w:pPr>
        <w:rPr>
          <w:rFonts w:cs="Arial"/>
          <w:lang w:val="es-ES"/>
        </w:rPr>
      </w:pPr>
      <w:r w:rsidRPr="007500A4">
        <w:rPr>
          <w:rFonts w:cs="Arial"/>
          <w:b/>
          <w:lang w:val="es-ES"/>
        </w:rPr>
        <w:t>Artículo 32</w:t>
      </w:r>
      <w:r w:rsidRPr="007500A4">
        <w:rPr>
          <w:rFonts w:cs="Arial"/>
          <w:lang w:val="es-ES"/>
        </w:rPr>
        <w:t>. Para el Ejercicio Fiscal 2023, no hay asignación presupuestal para obligaciones contractuales de inversión pública plurianual, de inversión en obra pública, adquisiciones, arrendamientos y servicios.</w:t>
      </w:r>
    </w:p>
    <w:p w14:paraId="20807C5E" w14:textId="77777777" w:rsidR="00D868AB" w:rsidRPr="00D868AB" w:rsidRDefault="00D868AB" w:rsidP="00D868AB">
      <w:pPr>
        <w:rPr>
          <w:rFonts w:eastAsia="Times New Roman" w:cs="Arial"/>
          <w:lang w:val="es-ES"/>
        </w:rPr>
      </w:pPr>
    </w:p>
    <w:p w14:paraId="7C2FF2D8" w14:textId="77777777" w:rsidR="00D868AB" w:rsidRPr="00D868AB" w:rsidRDefault="00D868AB" w:rsidP="00D868AB">
      <w:pPr>
        <w:rPr>
          <w:rFonts w:cs="Arial"/>
          <w:lang w:val="es-ES"/>
        </w:rPr>
      </w:pPr>
      <w:r w:rsidRPr="00D868AB">
        <w:rPr>
          <w:rFonts w:cs="Arial"/>
          <w:b/>
          <w:lang w:val="es-ES"/>
        </w:rPr>
        <w:t>Artículo 33</w:t>
      </w:r>
      <w:r w:rsidRPr="00D868AB">
        <w:rPr>
          <w:rFonts w:cs="Arial"/>
          <w:lang w:val="es-ES"/>
        </w:rPr>
        <w:t xml:space="preserve">. La asignación presupuestaria para infraestructura pública del Ejercicio Fiscal 2023 es de </w:t>
      </w:r>
      <w:r w:rsidRPr="00D868AB">
        <w:rPr>
          <w:rFonts w:cs="Arial"/>
          <w:b/>
          <w:lang w:val="es-ES"/>
        </w:rPr>
        <w:t>$99,022,325.00</w:t>
      </w:r>
      <w:r w:rsidRPr="00D868AB">
        <w:rPr>
          <w:rFonts w:cs="Arial"/>
          <w:lang w:val="es-ES"/>
        </w:rPr>
        <w:t xml:space="preserve"> (Noventa y nueve millones veintidós mil trescientos veinticinco pesos).</w:t>
      </w:r>
    </w:p>
    <w:p w14:paraId="56843A5C" w14:textId="77777777" w:rsidR="00D868AB" w:rsidRPr="00D868AB" w:rsidRDefault="00D868AB" w:rsidP="00D868AB">
      <w:pPr>
        <w:rPr>
          <w:rFonts w:cs="Arial"/>
          <w:b/>
          <w:lang w:val="es-ES"/>
        </w:rPr>
      </w:pPr>
    </w:p>
    <w:p w14:paraId="29BFB8DC" w14:textId="77777777" w:rsidR="00D868AB" w:rsidRPr="00D868AB" w:rsidRDefault="00D868AB" w:rsidP="00D868AB">
      <w:pPr>
        <w:rPr>
          <w:rFonts w:cs="Arial"/>
          <w:lang w:val="es-ES"/>
        </w:rPr>
      </w:pPr>
      <w:r w:rsidRPr="00D868AB">
        <w:rPr>
          <w:rFonts w:cs="Arial"/>
          <w:lang w:val="es-ES"/>
        </w:rPr>
        <w:t>Para el ejercicio de los recursos asignados a Obra Pública, las Dependencias de la Administración Pública Centralizada y Entidades de la Administración Pública Paraestatal, deberán observar lo siguiente:</w:t>
      </w:r>
    </w:p>
    <w:p w14:paraId="3B2396CE" w14:textId="77777777" w:rsidR="00D868AB" w:rsidRPr="00D868AB" w:rsidRDefault="00D868AB" w:rsidP="00D868AB">
      <w:pPr>
        <w:rPr>
          <w:rFonts w:cs="Arial"/>
          <w:lang w:val="es-ES"/>
        </w:rPr>
      </w:pPr>
    </w:p>
    <w:p w14:paraId="5F5D303B" w14:textId="77777777" w:rsidR="00D868AB" w:rsidRPr="00D868AB" w:rsidRDefault="00D868AB" w:rsidP="00D868AB">
      <w:pPr>
        <w:ind w:left="284" w:hanging="284"/>
        <w:rPr>
          <w:rFonts w:cs="Arial"/>
          <w:lang w:val="es-ES"/>
        </w:rPr>
      </w:pPr>
      <w:r w:rsidRPr="00D868AB">
        <w:rPr>
          <w:rFonts w:cs="Arial"/>
          <w:lang w:val="es-ES"/>
        </w:rPr>
        <w:t>I.</w:t>
      </w:r>
      <w:r w:rsidRPr="00D868AB">
        <w:rPr>
          <w:rFonts w:cs="Arial"/>
          <w:lang w:val="es-ES"/>
        </w:rPr>
        <w:tab/>
        <w:t>Dar prioridad a la terminación de los proyectos en proceso de ejecución de las obras vinculadas con la prestación de servicios públicos, especialmente a aquellos que están orientados a promover el desarrollo social;</w:t>
      </w:r>
    </w:p>
    <w:p w14:paraId="151027A5" w14:textId="77777777" w:rsidR="00D868AB" w:rsidRPr="00D868AB" w:rsidRDefault="00D868AB" w:rsidP="00D868AB">
      <w:pPr>
        <w:ind w:left="284" w:hanging="284"/>
        <w:rPr>
          <w:rFonts w:cs="Arial"/>
          <w:lang w:val="es-ES"/>
        </w:rPr>
      </w:pPr>
      <w:r w:rsidRPr="00D868AB">
        <w:rPr>
          <w:rFonts w:cs="Arial"/>
          <w:lang w:val="es-ES"/>
        </w:rPr>
        <w:t>II. La asignación de recursos a nuevos proyectos se fundamentará en criterios que garanticen los servicios de educación, salud y asistencia social, seguridad pública y procuración de justicia, combate a la pobreza, desarrollo municipal e infraestructura básica urbana y rural, considerando a la población beneficiada y su relación costo–beneficio;</w:t>
      </w:r>
    </w:p>
    <w:p w14:paraId="27CDA11C" w14:textId="77777777" w:rsidR="00D868AB" w:rsidRPr="00D868AB" w:rsidRDefault="00D868AB" w:rsidP="00D868AB">
      <w:pPr>
        <w:ind w:left="284" w:hanging="284"/>
        <w:rPr>
          <w:rFonts w:cs="Arial"/>
          <w:lang w:val="es-ES"/>
        </w:rPr>
      </w:pPr>
      <w:r w:rsidRPr="00D868AB">
        <w:rPr>
          <w:rFonts w:cs="Arial"/>
          <w:lang w:val="es-ES"/>
        </w:rPr>
        <w:t>III. Sólo se podrán iniciar nuevos proyectos cuando estén asociados al cumplimiento de los objetivos y metas del Plan Estatal. Estos proyectos podrán iniciarse cuando se tenga garantizada la disponibilidad de terrenos, así como los recursos técnicos y financieros para su terminación y operación, mantenimiento y conservación;</w:t>
      </w:r>
    </w:p>
    <w:p w14:paraId="16AA838B" w14:textId="77777777" w:rsidR="00D868AB" w:rsidRPr="00D868AB" w:rsidRDefault="00D868AB" w:rsidP="00D868AB">
      <w:pPr>
        <w:ind w:left="284" w:hanging="284"/>
        <w:rPr>
          <w:rFonts w:cs="Arial"/>
          <w:lang w:val="es-ES"/>
        </w:rPr>
      </w:pPr>
      <w:r w:rsidRPr="00D868AB">
        <w:rPr>
          <w:rFonts w:cs="Arial"/>
          <w:lang w:val="es-ES"/>
        </w:rPr>
        <w:t>IV. La asignación de recursos para obra pública requerirá la existencia del proyecto ejecutivo y estudio socioeconómico para la contratación de los mismos; las Dependencias de la Administración Pública Centralizada y Entidades de la Administración Pública Paraestatal deberán cumplir con las disposiciones que emita la Secretaría, a efecto de obtener la autorización correspondiente; y</w:t>
      </w:r>
    </w:p>
    <w:p w14:paraId="26853334" w14:textId="77777777" w:rsidR="00D868AB" w:rsidRPr="00D868AB" w:rsidRDefault="00D868AB" w:rsidP="00D868AB">
      <w:pPr>
        <w:ind w:left="284" w:hanging="284"/>
        <w:rPr>
          <w:rFonts w:cs="Arial"/>
          <w:lang w:val="es-ES"/>
        </w:rPr>
      </w:pPr>
      <w:r w:rsidRPr="00D868AB">
        <w:rPr>
          <w:rFonts w:cs="Arial"/>
          <w:lang w:val="es-ES"/>
        </w:rPr>
        <w:t>V. Los proyectos de inversión conjunta con los sectores social y privado, con los gobiernos federal, municipal y los de otras entidades, estimularán la ejecución de obras y proyectos de infraestructura y producción, con apego al marco normativo.</w:t>
      </w:r>
    </w:p>
    <w:p w14:paraId="5F0A2536" w14:textId="77777777" w:rsidR="00D868AB" w:rsidRPr="00D868AB" w:rsidRDefault="00D868AB" w:rsidP="00D868AB">
      <w:pPr>
        <w:jc w:val="left"/>
        <w:rPr>
          <w:rFonts w:eastAsia="Calibri" w:cs="Arial"/>
          <w:lang w:val="es-ES" w:eastAsia="en-US"/>
        </w:rPr>
      </w:pPr>
    </w:p>
    <w:p w14:paraId="234261DC" w14:textId="77777777" w:rsidR="00D868AB" w:rsidRPr="00D868AB" w:rsidRDefault="00D868AB" w:rsidP="00D868AB">
      <w:pPr>
        <w:rPr>
          <w:rFonts w:cs="Arial"/>
          <w:lang w:val="es-ES"/>
        </w:rPr>
      </w:pPr>
      <w:r w:rsidRPr="00D868AB">
        <w:rPr>
          <w:rFonts w:cs="Arial"/>
          <w:b/>
          <w:lang w:val="es-ES"/>
        </w:rPr>
        <w:t>Artículo 34</w:t>
      </w:r>
      <w:r w:rsidRPr="00D868AB">
        <w:rPr>
          <w:rFonts w:cs="Arial"/>
          <w:lang w:val="es-ES"/>
        </w:rPr>
        <w:t xml:space="preserve">. Se incluye en el capítulo de Inversiones Financieras y Otras Provisiones, una asignación de recursos por un importe de </w:t>
      </w:r>
      <w:r w:rsidRPr="00D868AB">
        <w:rPr>
          <w:rFonts w:cs="Arial"/>
          <w:b/>
          <w:bCs/>
          <w:lang w:val="es-ES"/>
        </w:rPr>
        <w:t>$3,800,000.00</w:t>
      </w:r>
      <w:r w:rsidRPr="00D868AB">
        <w:rPr>
          <w:rFonts w:cs="Arial"/>
          <w:lang w:val="es-ES"/>
        </w:rPr>
        <w:t xml:space="preserve"> (Tres Millones Ochocientos Mil </w:t>
      </w:r>
      <w:r w:rsidRPr="00D868AB">
        <w:rPr>
          <w:rFonts w:cs="Arial"/>
          <w:lang w:val="es-ES"/>
        </w:rPr>
        <w:lastRenderedPageBreak/>
        <w:t>Pesos), mismos que se contemplan dentro del concepto de gasto denominado Provisiones para Contingencias y Otras Erogaciones Especiales.</w:t>
      </w:r>
    </w:p>
    <w:p w14:paraId="44B0F536" w14:textId="77777777" w:rsidR="00D868AB" w:rsidRPr="00D868AB" w:rsidRDefault="00D868AB" w:rsidP="00D868AB">
      <w:pPr>
        <w:rPr>
          <w:rFonts w:cs="Arial"/>
          <w:lang w:val="es-ES"/>
        </w:rPr>
      </w:pPr>
    </w:p>
    <w:p w14:paraId="53BBEC9C" w14:textId="77777777" w:rsidR="00D868AB" w:rsidRPr="00D868AB" w:rsidRDefault="00D868AB" w:rsidP="00D868AB">
      <w:pPr>
        <w:jc w:val="center"/>
        <w:rPr>
          <w:rFonts w:eastAsia="Times New Roman" w:cs="Arial"/>
          <w:b/>
          <w:lang w:val="es-ES"/>
        </w:rPr>
      </w:pPr>
      <w:bookmarkStart w:id="127" w:name="_Toc526757477"/>
      <w:bookmarkStart w:id="128" w:name="_Toc22021920"/>
      <w:bookmarkStart w:id="129" w:name="_Toc22983182"/>
      <w:r w:rsidRPr="00D868AB">
        <w:rPr>
          <w:rFonts w:eastAsia="Times New Roman" w:cs="Arial"/>
          <w:b/>
          <w:lang w:val="es-ES"/>
        </w:rPr>
        <w:t xml:space="preserve">CAPÍTULO </w:t>
      </w:r>
      <w:bookmarkEnd w:id="127"/>
      <w:bookmarkEnd w:id="128"/>
      <w:bookmarkEnd w:id="129"/>
      <w:r w:rsidRPr="00D868AB">
        <w:rPr>
          <w:rFonts w:eastAsia="Times New Roman" w:cs="Arial"/>
          <w:b/>
          <w:lang w:val="es-ES"/>
        </w:rPr>
        <w:t>IX</w:t>
      </w:r>
    </w:p>
    <w:p w14:paraId="6B710E43" w14:textId="77777777" w:rsidR="00D868AB" w:rsidRPr="00D868AB" w:rsidRDefault="00D868AB" w:rsidP="00D868AB">
      <w:pPr>
        <w:keepNext/>
        <w:keepLines/>
        <w:jc w:val="center"/>
        <w:outlineLvl w:val="0"/>
        <w:rPr>
          <w:rFonts w:eastAsia="Times New Roman" w:cs="Arial"/>
          <w:b/>
          <w:szCs w:val="32"/>
          <w:lang w:val="es-ES"/>
        </w:rPr>
      </w:pPr>
      <w:bookmarkStart w:id="130" w:name="_Toc526757478"/>
      <w:bookmarkStart w:id="131" w:name="_Toc22021921"/>
      <w:bookmarkStart w:id="132" w:name="_Toc22983183"/>
      <w:r w:rsidRPr="00D868AB">
        <w:rPr>
          <w:rFonts w:eastAsia="Times New Roman" w:cs="Arial"/>
          <w:b/>
          <w:szCs w:val="32"/>
          <w:lang w:val="es-ES"/>
        </w:rPr>
        <w:t>DEL PRESUPUESTO PARTICIPATIVO</w:t>
      </w:r>
      <w:bookmarkEnd w:id="130"/>
      <w:bookmarkEnd w:id="131"/>
      <w:bookmarkEnd w:id="132"/>
    </w:p>
    <w:p w14:paraId="6B3D0843" w14:textId="77777777" w:rsidR="00D868AB" w:rsidRPr="00D868AB" w:rsidRDefault="00D868AB" w:rsidP="00D868AB">
      <w:pPr>
        <w:rPr>
          <w:rFonts w:eastAsia="Times New Roman" w:cs="Arial"/>
          <w:lang w:val="es-ES" w:eastAsia="es-ES"/>
        </w:rPr>
      </w:pPr>
    </w:p>
    <w:p w14:paraId="1F72F026" w14:textId="77777777" w:rsidR="00D868AB" w:rsidRPr="00D868AB" w:rsidRDefault="00D868AB" w:rsidP="00D868AB">
      <w:pPr>
        <w:rPr>
          <w:rFonts w:cs="Arial"/>
        </w:rPr>
      </w:pPr>
      <w:r w:rsidRPr="00D868AB">
        <w:rPr>
          <w:rFonts w:cs="Arial"/>
          <w:b/>
        </w:rPr>
        <w:t>Artículo 35</w:t>
      </w:r>
      <w:r w:rsidRPr="00D868AB">
        <w:rPr>
          <w:rFonts w:cs="Arial"/>
        </w:rPr>
        <w:t xml:space="preserve">. Para el ejercicio fiscal 2023, con el propósito impulsar la participación ciudadana, se asignan </w:t>
      </w:r>
      <w:r w:rsidRPr="00D868AB">
        <w:rPr>
          <w:rFonts w:cs="Arial"/>
          <w:b/>
        </w:rPr>
        <w:t>$20,518,398.00 (Veinte millones quinientos dieciocho mil trescientos noventa y ocho pesos)</w:t>
      </w:r>
      <w:r w:rsidRPr="00D868AB">
        <w:rPr>
          <w:rFonts w:cs="Arial"/>
        </w:rPr>
        <w:t>, para el Presupuesto Participativo; el cual se integra por:</w:t>
      </w:r>
    </w:p>
    <w:p w14:paraId="17739462" w14:textId="77777777" w:rsidR="00D868AB" w:rsidRPr="00D868AB" w:rsidRDefault="00D868AB" w:rsidP="00D868AB">
      <w:pPr>
        <w:rPr>
          <w:rFonts w:cs="Arial"/>
        </w:rPr>
      </w:pPr>
    </w:p>
    <w:p w14:paraId="48103E61" w14:textId="77777777" w:rsidR="00D868AB" w:rsidRPr="00D868AB" w:rsidRDefault="00D868AB" w:rsidP="00D868AB">
      <w:pPr>
        <w:numPr>
          <w:ilvl w:val="0"/>
          <w:numId w:val="15"/>
        </w:numPr>
        <w:ind w:left="567"/>
        <w:rPr>
          <w:rFonts w:cs="Arial"/>
        </w:rPr>
      </w:pPr>
      <w:r w:rsidRPr="00D868AB">
        <w:rPr>
          <w:rFonts w:cs="Arial"/>
        </w:rPr>
        <w:t xml:space="preserve">La asignación presupuestal destinada a financiar los proyectos de las Organizaciones de la Sociedad Civil en términos de lo </w:t>
      </w:r>
      <w:r w:rsidRPr="00D868AB">
        <w:rPr>
          <w:rFonts w:cs="Arial"/>
          <w:lang w:val="es-ES"/>
        </w:rPr>
        <w:t xml:space="preserve">dispuesto en </w:t>
      </w:r>
      <w:r w:rsidRPr="00D868AB">
        <w:rPr>
          <w:rFonts w:cs="Arial"/>
        </w:rPr>
        <w:t>el artículo 37; y</w:t>
      </w:r>
    </w:p>
    <w:p w14:paraId="3235F3B8" w14:textId="77777777" w:rsidR="00D868AB" w:rsidRPr="00D868AB" w:rsidRDefault="00D868AB" w:rsidP="00D868AB">
      <w:pPr>
        <w:numPr>
          <w:ilvl w:val="0"/>
          <w:numId w:val="15"/>
        </w:numPr>
        <w:ind w:left="567"/>
        <w:rPr>
          <w:rFonts w:cs="Arial"/>
          <w:lang w:val="es-ES"/>
        </w:rPr>
      </w:pPr>
      <w:r w:rsidRPr="00D868AB">
        <w:rPr>
          <w:rFonts w:cs="Arial"/>
        </w:rPr>
        <w:t xml:space="preserve">La asignación presupuestal destinada a financiar los proyectos de las </w:t>
      </w:r>
      <w:r w:rsidRPr="00D868AB">
        <w:rPr>
          <w:rFonts w:cs="Arial"/>
          <w:lang w:val="es-ES"/>
        </w:rPr>
        <w:t>Instituciones de Asistencia Privada</w:t>
      </w:r>
      <w:r w:rsidRPr="00D868AB">
        <w:rPr>
          <w:rFonts w:cs="Arial"/>
        </w:rPr>
        <w:t xml:space="preserve"> en términos de lo </w:t>
      </w:r>
      <w:r w:rsidRPr="00D868AB">
        <w:rPr>
          <w:rFonts w:cs="Arial"/>
          <w:lang w:val="es-ES"/>
        </w:rPr>
        <w:t xml:space="preserve">dispuesto en </w:t>
      </w:r>
      <w:r w:rsidRPr="00D868AB">
        <w:rPr>
          <w:rFonts w:cs="Arial"/>
        </w:rPr>
        <w:t>el artículo 38.</w:t>
      </w:r>
    </w:p>
    <w:p w14:paraId="5AD3A392" w14:textId="77777777" w:rsidR="00D868AB" w:rsidRPr="00D868AB" w:rsidRDefault="00D868AB" w:rsidP="00D868AB">
      <w:pPr>
        <w:rPr>
          <w:rFonts w:cs="Arial"/>
          <w:b/>
          <w:lang w:val="es-ES"/>
        </w:rPr>
      </w:pPr>
    </w:p>
    <w:p w14:paraId="04370E0E" w14:textId="77777777" w:rsidR="00D868AB" w:rsidRPr="00D868AB" w:rsidRDefault="00D868AB" w:rsidP="00D868AB">
      <w:pPr>
        <w:rPr>
          <w:rFonts w:cs="Arial"/>
          <w:lang w:val="es-ES"/>
        </w:rPr>
      </w:pPr>
      <w:r w:rsidRPr="00D868AB">
        <w:rPr>
          <w:rFonts w:cs="Arial"/>
          <w:b/>
          <w:lang w:val="es-ES"/>
        </w:rPr>
        <w:t>Artículo 36</w:t>
      </w:r>
      <w:r w:rsidRPr="00D868AB">
        <w:rPr>
          <w:rFonts w:cs="Arial"/>
          <w:lang w:val="es-ES"/>
        </w:rPr>
        <w:t>. En el Ejercicio Fiscal 2023 para las Organizaciones de la Sociedad Civil, se asignan las siguientes cantidades:</w:t>
      </w:r>
    </w:p>
    <w:p w14:paraId="4F22E5C8" w14:textId="77777777" w:rsidR="00D868AB" w:rsidRPr="00D868AB" w:rsidRDefault="00D868AB" w:rsidP="00D868AB">
      <w:pPr>
        <w:keepNext/>
        <w:keepLines/>
        <w:outlineLvl w:val="2"/>
        <w:rPr>
          <w:rFonts w:eastAsia="Times New Roman" w:cs="Arial"/>
          <w:b/>
          <w:szCs w:val="24"/>
          <w:lang w:val="es-ES" w:eastAsia="en-US"/>
        </w:rPr>
      </w:pPr>
    </w:p>
    <w:p w14:paraId="08D61A6D" w14:textId="77777777" w:rsidR="00D868AB" w:rsidRPr="00D868AB" w:rsidRDefault="00D868AB" w:rsidP="00D868AB">
      <w:pPr>
        <w:jc w:val="center"/>
        <w:rPr>
          <w:rFonts w:eastAsia="Times New Roman" w:cs="Arial"/>
          <w:b/>
          <w:sz w:val="20"/>
          <w:lang w:val="es-ES"/>
        </w:rPr>
      </w:pPr>
      <w:bookmarkStart w:id="133" w:name="_Toc526757479"/>
      <w:bookmarkStart w:id="134" w:name="_Toc22021922"/>
      <w:bookmarkStart w:id="135" w:name="_Toc22983184"/>
      <w:bookmarkStart w:id="136" w:name="_Toc522869262"/>
      <w:r w:rsidRPr="00D868AB">
        <w:rPr>
          <w:rFonts w:eastAsia="Times New Roman" w:cs="Arial"/>
          <w:b/>
          <w:sz w:val="20"/>
          <w:lang w:val="es-ES"/>
        </w:rPr>
        <w:t>Tabla 26. Asignaciones a Organizaciones de la Sociedad Civil</w:t>
      </w:r>
      <w:bookmarkEnd w:id="133"/>
      <w:bookmarkEnd w:id="134"/>
      <w:bookmarkEnd w:id="135"/>
      <w:bookmarkEnd w:id="136"/>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6237"/>
        <w:gridCol w:w="1559"/>
      </w:tblGrid>
      <w:tr w:rsidR="00D868AB" w:rsidRPr="00D868AB" w14:paraId="7616B14B" w14:textId="77777777" w:rsidTr="00A755A7">
        <w:trPr>
          <w:trHeight w:val="227"/>
        </w:trPr>
        <w:tc>
          <w:tcPr>
            <w:tcW w:w="851" w:type="dxa"/>
            <w:noWrap/>
            <w:vAlign w:val="center"/>
            <w:hideMark/>
          </w:tcPr>
          <w:p w14:paraId="18C0893D" w14:textId="77777777" w:rsidR="00D868AB" w:rsidRPr="00D868AB" w:rsidRDefault="00D868AB" w:rsidP="00D868AB">
            <w:pPr>
              <w:jc w:val="center"/>
              <w:rPr>
                <w:rFonts w:eastAsia="Times New Roman" w:cs="Arial"/>
                <w:b/>
                <w:bCs/>
                <w:sz w:val="20"/>
                <w:lang w:val="es-ES" w:eastAsia="es-ES"/>
              </w:rPr>
            </w:pPr>
            <w:r w:rsidRPr="00D868AB">
              <w:rPr>
                <w:rFonts w:eastAsia="Times New Roman" w:cs="Arial"/>
                <w:b/>
                <w:bCs/>
                <w:sz w:val="20"/>
                <w:lang w:val="es-ES" w:eastAsia="es-ES"/>
              </w:rPr>
              <w:t>Partida</w:t>
            </w:r>
          </w:p>
        </w:tc>
        <w:tc>
          <w:tcPr>
            <w:tcW w:w="6237" w:type="dxa"/>
            <w:vAlign w:val="center"/>
            <w:hideMark/>
          </w:tcPr>
          <w:p w14:paraId="2D5DA122" w14:textId="77777777" w:rsidR="00D868AB" w:rsidRPr="00D868AB" w:rsidRDefault="00D868AB" w:rsidP="00D868AB">
            <w:pPr>
              <w:jc w:val="center"/>
              <w:rPr>
                <w:rFonts w:eastAsia="Times New Roman" w:cs="Arial"/>
                <w:b/>
                <w:bCs/>
                <w:sz w:val="20"/>
                <w:lang w:val="es-ES" w:eastAsia="es-ES"/>
              </w:rPr>
            </w:pPr>
            <w:r w:rsidRPr="00D868AB">
              <w:rPr>
                <w:rFonts w:eastAsia="Times New Roman" w:cs="Arial"/>
                <w:b/>
                <w:bCs/>
                <w:sz w:val="20"/>
                <w:lang w:val="es-ES" w:eastAsia="es-ES"/>
              </w:rPr>
              <w:t>Concepto</w:t>
            </w:r>
          </w:p>
        </w:tc>
        <w:tc>
          <w:tcPr>
            <w:tcW w:w="1559" w:type="dxa"/>
            <w:vAlign w:val="center"/>
            <w:hideMark/>
          </w:tcPr>
          <w:p w14:paraId="7BFB6320" w14:textId="77777777" w:rsidR="00D868AB" w:rsidRPr="00D868AB" w:rsidRDefault="00D868AB" w:rsidP="00D868AB">
            <w:pPr>
              <w:jc w:val="center"/>
              <w:rPr>
                <w:rFonts w:eastAsia="Times New Roman" w:cs="Arial"/>
                <w:b/>
                <w:bCs/>
                <w:sz w:val="20"/>
                <w:lang w:val="es-ES" w:eastAsia="es-ES"/>
              </w:rPr>
            </w:pPr>
            <w:r w:rsidRPr="00D868AB">
              <w:rPr>
                <w:rFonts w:eastAsia="Times New Roman" w:cs="Arial"/>
                <w:b/>
                <w:bCs/>
                <w:sz w:val="20"/>
                <w:lang w:val="es-ES" w:eastAsia="es-ES"/>
              </w:rPr>
              <w:t>Asignación Presupuestal</w:t>
            </w:r>
          </w:p>
        </w:tc>
      </w:tr>
      <w:tr w:rsidR="00D868AB" w:rsidRPr="00D868AB" w14:paraId="385A8786" w14:textId="77777777" w:rsidTr="00A755A7">
        <w:trPr>
          <w:trHeight w:val="227"/>
        </w:trPr>
        <w:tc>
          <w:tcPr>
            <w:tcW w:w="851" w:type="dxa"/>
            <w:noWrap/>
            <w:vAlign w:val="center"/>
          </w:tcPr>
          <w:p w14:paraId="5F9C6F06" w14:textId="77777777" w:rsidR="00D868AB" w:rsidRPr="00D868AB" w:rsidRDefault="00D868AB" w:rsidP="00D868AB">
            <w:pPr>
              <w:jc w:val="center"/>
              <w:rPr>
                <w:rFonts w:eastAsia="Times New Roman" w:cs="Arial"/>
                <w:bCs/>
                <w:sz w:val="20"/>
                <w:lang w:val="es-ES" w:eastAsia="es-ES"/>
              </w:rPr>
            </w:pPr>
            <w:r w:rsidRPr="00D868AB">
              <w:rPr>
                <w:rFonts w:eastAsia="Times New Roman" w:cs="Arial"/>
                <w:bCs/>
                <w:sz w:val="20"/>
                <w:lang w:val="es-ES" w:eastAsia="es-ES"/>
              </w:rPr>
              <w:t>44503</w:t>
            </w:r>
          </w:p>
        </w:tc>
        <w:tc>
          <w:tcPr>
            <w:tcW w:w="6237" w:type="dxa"/>
            <w:vAlign w:val="center"/>
          </w:tcPr>
          <w:p w14:paraId="0F5C1EDC" w14:textId="77777777" w:rsidR="00D868AB" w:rsidRPr="00D868AB" w:rsidRDefault="00D868AB" w:rsidP="00D868AB">
            <w:pPr>
              <w:rPr>
                <w:rFonts w:eastAsia="Times New Roman" w:cs="Arial"/>
                <w:bCs/>
                <w:sz w:val="20"/>
                <w:lang w:val="es-ES" w:eastAsia="es-ES"/>
              </w:rPr>
            </w:pPr>
            <w:r w:rsidRPr="00D868AB">
              <w:rPr>
                <w:rFonts w:eastAsia="Times New Roman" w:cs="Arial"/>
                <w:bCs/>
                <w:sz w:val="20"/>
                <w:lang w:val="es-ES" w:eastAsia="es-ES"/>
              </w:rPr>
              <w:t>Ayudas para el Fomento a las Organizaciones de la Sociedad Civil.</w:t>
            </w:r>
          </w:p>
        </w:tc>
        <w:tc>
          <w:tcPr>
            <w:tcW w:w="1559" w:type="dxa"/>
            <w:noWrap/>
            <w:vAlign w:val="center"/>
          </w:tcPr>
          <w:p w14:paraId="5C18A40E" w14:textId="77777777" w:rsidR="00D868AB" w:rsidRPr="00D868AB" w:rsidRDefault="00D868AB" w:rsidP="00D868AB">
            <w:pPr>
              <w:jc w:val="right"/>
              <w:rPr>
                <w:rFonts w:cs="Arial"/>
                <w:sz w:val="20"/>
              </w:rPr>
            </w:pPr>
            <w:r w:rsidRPr="00D868AB">
              <w:rPr>
                <w:rFonts w:cs="Arial"/>
                <w:color w:val="000000"/>
                <w:sz w:val="20"/>
                <w:szCs w:val="20"/>
              </w:rPr>
              <w:t>5,000,000</w:t>
            </w:r>
          </w:p>
        </w:tc>
      </w:tr>
      <w:tr w:rsidR="00D868AB" w:rsidRPr="00D868AB" w14:paraId="4FAC8C23" w14:textId="77777777" w:rsidTr="00A755A7">
        <w:trPr>
          <w:trHeight w:val="227"/>
        </w:trPr>
        <w:tc>
          <w:tcPr>
            <w:tcW w:w="851" w:type="dxa"/>
            <w:noWrap/>
            <w:vAlign w:val="center"/>
          </w:tcPr>
          <w:p w14:paraId="040E02BD" w14:textId="77777777" w:rsidR="00D868AB" w:rsidRPr="00D868AB" w:rsidRDefault="00D868AB" w:rsidP="00D868AB">
            <w:pPr>
              <w:jc w:val="center"/>
              <w:rPr>
                <w:rFonts w:eastAsia="Times New Roman" w:cs="Arial"/>
                <w:bCs/>
                <w:sz w:val="20"/>
                <w:lang w:val="es-ES" w:eastAsia="es-ES"/>
              </w:rPr>
            </w:pPr>
            <w:r w:rsidRPr="00D868AB">
              <w:rPr>
                <w:rFonts w:eastAsia="Times New Roman" w:cs="Arial"/>
                <w:bCs/>
                <w:sz w:val="20"/>
                <w:lang w:val="es-ES" w:eastAsia="es-ES"/>
              </w:rPr>
              <w:t>44504</w:t>
            </w:r>
          </w:p>
        </w:tc>
        <w:tc>
          <w:tcPr>
            <w:tcW w:w="6237" w:type="dxa"/>
            <w:vAlign w:val="center"/>
          </w:tcPr>
          <w:p w14:paraId="288BC515" w14:textId="77777777" w:rsidR="00D868AB" w:rsidRPr="00D868AB" w:rsidRDefault="00D868AB" w:rsidP="00D868AB">
            <w:pPr>
              <w:rPr>
                <w:rFonts w:eastAsia="Times New Roman" w:cs="Arial"/>
                <w:bCs/>
                <w:sz w:val="20"/>
                <w:lang w:val="es-ES" w:eastAsia="es-ES"/>
              </w:rPr>
            </w:pPr>
            <w:r w:rsidRPr="00D868AB">
              <w:rPr>
                <w:rFonts w:eastAsia="Times New Roman" w:cs="Arial"/>
                <w:bCs/>
                <w:sz w:val="20"/>
                <w:lang w:val="es-ES" w:eastAsia="es-ES"/>
              </w:rPr>
              <w:t>Ayudas extraordinarias a las Organizaciones de la Sociedad Civil.</w:t>
            </w:r>
          </w:p>
        </w:tc>
        <w:tc>
          <w:tcPr>
            <w:tcW w:w="1559" w:type="dxa"/>
            <w:noWrap/>
            <w:vAlign w:val="center"/>
          </w:tcPr>
          <w:p w14:paraId="151487DB" w14:textId="77777777" w:rsidR="00D868AB" w:rsidRPr="00D868AB" w:rsidRDefault="00D868AB" w:rsidP="00D868AB">
            <w:pPr>
              <w:jc w:val="right"/>
              <w:rPr>
                <w:rFonts w:cs="Arial"/>
                <w:sz w:val="20"/>
              </w:rPr>
            </w:pPr>
            <w:r w:rsidRPr="00D868AB">
              <w:rPr>
                <w:rFonts w:cs="Arial"/>
                <w:color w:val="000000"/>
                <w:sz w:val="20"/>
                <w:szCs w:val="20"/>
              </w:rPr>
              <w:t>5,000,000</w:t>
            </w:r>
          </w:p>
        </w:tc>
      </w:tr>
      <w:tr w:rsidR="00D868AB" w:rsidRPr="00D868AB" w14:paraId="1F1DC5DC" w14:textId="77777777" w:rsidTr="00A755A7">
        <w:trPr>
          <w:trHeight w:val="227"/>
        </w:trPr>
        <w:tc>
          <w:tcPr>
            <w:tcW w:w="851" w:type="dxa"/>
            <w:noWrap/>
            <w:vAlign w:val="center"/>
          </w:tcPr>
          <w:p w14:paraId="298901AB" w14:textId="77777777" w:rsidR="00D868AB" w:rsidRPr="00D868AB" w:rsidRDefault="00D868AB" w:rsidP="00D868AB">
            <w:pPr>
              <w:jc w:val="center"/>
              <w:rPr>
                <w:rFonts w:eastAsia="Times New Roman" w:cs="Arial"/>
                <w:bCs/>
                <w:sz w:val="20"/>
                <w:lang w:val="es-ES" w:eastAsia="es-ES"/>
              </w:rPr>
            </w:pPr>
          </w:p>
        </w:tc>
        <w:tc>
          <w:tcPr>
            <w:tcW w:w="6237" w:type="dxa"/>
            <w:vAlign w:val="center"/>
          </w:tcPr>
          <w:p w14:paraId="0811C6A1" w14:textId="77777777" w:rsidR="00D868AB" w:rsidRPr="00D868AB" w:rsidRDefault="00D868AB" w:rsidP="00D868AB">
            <w:pPr>
              <w:jc w:val="center"/>
              <w:rPr>
                <w:rFonts w:eastAsia="Times New Roman" w:cs="Arial"/>
                <w:b/>
                <w:bCs/>
                <w:sz w:val="20"/>
                <w:lang w:val="es-ES" w:eastAsia="es-ES"/>
              </w:rPr>
            </w:pPr>
            <w:r w:rsidRPr="00D868AB">
              <w:rPr>
                <w:rFonts w:eastAsia="Times New Roman" w:cs="Arial"/>
                <w:b/>
                <w:bCs/>
                <w:sz w:val="20"/>
                <w:lang w:val="es-ES" w:eastAsia="es-ES"/>
              </w:rPr>
              <w:t>Total</w:t>
            </w:r>
          </w:p>
        </w:tc>
        <w:tc>
          <w:tcPr>
            <w:tcW w:w="1559" w:type="dxa"/>
            <w:noWrap/>
            <w:vAlign w:val="center"/>
          </w:tcPr>
          <w:p w14:paraId="2CFDC93C" w14:textId="77777777" w:rsidR="00D868AB" w:rsidRPr="00D868AB" w:rsidRDefault="00D868AB" w:rsidP="00D868AB">
            <w:pPr>
              <w:jc w:val="right"/>
              <w:rPr>
                <w:rFonts w:cs="Arial"/>
                <w:b/>
                <w:sz w:val="20"/>
              </w:rPr>
            </w:pPr>
            <w:r w:rsidRPr="00D868AB">
              <w:rPr>
                <w:rFonts w:cs="Arial"/>
                <w:b/>
                <w:bCs/>
                <w:color w:val="000000"/>
                <w:sz w:val="20"/>
                <w:szCs w:val="20"/>
              </w:rPr>
              <w:t>10,000,000</w:t>
            </w:r>
          </w:p>
        </w:tc>
      </w:tr>
    </w:tbl>
    <w:p w14:paraId="543C5233" w14:textId="77777777" w:rsidR="00D868AB" w:rsidRPr="00D868AB" w:rsidRDefault="00D868AB" w:rsidP="00D868AB">
      <w:pPr>
        <w:rPr>
          <w:rFonts w:cs="Arial"/>
          <w:lang w:val="es-ES"/>
        </w:rPr>
      </w:pPr>
    </w:p>
    <w:p w14:paraId="292A6118" w14:textId="77777777" w:rsidR="00D868AB" w:rsidRPr="00D868AB" w:rsidRDefault="00D868AB" w:rsidP="00D868AB">
      <w:pPr>
        <w:rPr>
          <w:rFonts w:cs="Arial"/>
          <w:lang w:val="es-ES"/>
        </w:rPr>
      </w:pPr>
      <w:r w:rsidRPr="00D868AB">
        <w:rPr>
          <w:rFonts w:cs="Arial"/>
          <w:lang w:val="es-ES"/>
        </w:rPr>
        <w:t xml:space="preserve">Para el otorgamiento de los recursos públicos de la partida </w:t>
      </w:r>
      <w:r w:rsidRPr="00D868AB">
        <w:rPr>
          <w:rFonts w:cs="Arial"/>
          <w:b/>
          <w:lang w:val="es-ES"/>
        </w:rPr>
        <w:t>44503 Ayudas para el Fomento a las Organizaciones de la Sociedad Civil</w:t>
      </w:r>
      <w:r w:rsidRPr="00D868AB">
        <w:rPr>
          <w:rFonts w:cs="Arial"/>
          <w:lang w:val="es-ES"/>
        </w:rPr>
        <w:t xml:space="preserve"> y </w:t>
      </w:r>
      <w:r w:rsidRPr="00D868AB">
        <w:rPr>
          <w:rFonts w:cs="Arial"/>
          <w:b/>
          <w:lang w:val="es-ES"/>
        </w:rPr>
        <w:t>44504 Ayudas extraordinarias a las Organizaciones de la Sociedad Civil</w:t>
      </w:r>
      <w:r w:rsidRPr="00D868AB">
        <w:rPr>
          <w:rFonts w:cs="Arial"/>
          <w:lang w:val="es-ES"/>
        </w:rPr>
        <w:t>, se observará lo dispuesto en la Ley de Fomento a las Organizaciones de la Sociedad Civil del Estado de Colima, entre los cuales destacan:</w:t>
      </w:r>
    </w:p>
    <w:p w14:paraId="59DBA524" w14:textId="77777777" w:rsidR="00D868AB" w:rsidRPr="00D868AB" w:rsidRDefault="00D868AB" w:rsidP="00D868AB">
      <w:pPr>
        <w:rPr>
          <w:rFonts w:cs="Arial"/>
          <w:lang w:val="es-ES"/>
        </w:rPr>
      </w:pPr>
    </w:p>
    <w:p w14:paraId="5A5B4499" w14:textId="77777777" w:rsidR="00D868AB" w:rsidRPr="00D868AB" w:rsidRDefault="00D868AB" w:rsidP="00D868AB">
      <w:pPr>
        <w:numPr>
          <w:ilvl w:val="0"/>
          <w:numId w:val="16"/>
        </w:numPr>
        <w:ind w:left="709"/>
        <w:contextualSpacing/>
        <w:rPr>
          <w:rFonts w:cs="Arial"/>
          <w:lang w:val="es-ES"/>
        </w:rPr>
      </w:pPr>
      <w:r w:rsidRPr="00D868AB">
        <w:rPr>
          <w:rFonts w:cs="Arial"/>
          <w:lang w:val="es-ES"/>
        </w:rPr>
        <w:t>Inscribirse en el Registro Estatal de Organizaciones de la Sociedad Civil;</w:t>
      </w:r>
    </w:p>
    <w:p w14:paraId="7A637859" w14:textId="77777777" w:rsidR="00D868AB" w:rsidRPr="00D868AB" w:rsidRDefault="00D868AB" w:rsidP="00D868AB">
      <w:pPr>
        <w:numPr>
          <w:ilvl w:val="0"/>
          <w:numId w:val="16"/>
        </w:numPr>
        <w:ind w:left="709"/>
        <w:contextualSpacing/>
        <w:rPr>
          <w:rFonts w:cs="Arial"/>
          <w:lang w:val="es-ES"/>
        </w:rPr>
      </w:pPr>
      <w:r w:rsidRPr="00D868AB">
        <w:rPr>
          <w:rFonts w:cs="Arial"/>
          <w:lang w:val="es-ES"/>
        </w:rPr>
        <w:t>Contar con un sistema de contabilidad de acuerdo con las normas de información financiera;</w:t>
      </w:r>
    </w:p>
    <w:p w14:paraId="550CD535" w14:textId="77777777" w:rsidR="00D868AB" w:rsidRPr="00D868AB" w:rsidRDefault="00D868AB" w:rsidP="00D868AB">
      <w:pPr>
        <w:numPr>
          <w:ilvl w:val="0"/>
          <w:numId w:val="16"/>
        </w:numPr>
        <w:ind w:left="709"/>
        <w:contextualSpacing/>
        <w:rPr>
          <w:rFonts w:cs="Arial"/>
          <w:lang w:val="es-ES"/>
        </w:rPr>
      </w:pPr>
      <w:r w:rsidRPr="00D868AB">
        <w:rPr>
          <w:rFonts w:cs="Arial"/>
          <w:lang w:val="es-ES"/>
        </w:rPr>
        <w:t>Proporcionar toda la información que les sea requerida por la autoridad estatal competente sobre sus fines, estatutos, programas, actividades, beneficiarios, fuentes de financiamiento, así como de su operación patrimonial, administrativa, legal, contable y financiera, y del uso de los fondos, estímulos, incentivos, subsidios o recursos públicos que pretendan recibir o que ya reciban; e</w:t>
      </w:r>
    </w:p>
    <w:p w14:paraId="685C3B3A" w14:textId="77777777" w:rsidR="00D868AB" w:rsidRPr="00D868AB" w:rsidRDefault="00D868AB" w:rsidP="00D868AB">
      <w:pPr>
        <w:numPr>
          <w:ilvl w:val="0"/>
          <w:numId w:val="16"/>
        </w:numPr>
        <w:ind w:left="709"/>
        <w:contextualSpacing/>
        <w:rPr>
          <w:rFonts w:cs="Arial"/>
          <w:lang w:val="es-ES"/>
        </w:rPr>
      </w:pPr>
      <w:r w:rsidRPr="00D868AB">
        <w:rPr>
          <w:rFonts w:cs="Arial"/>
          <w:lang w:val="es-ES"/>
        </w:rPr>
        <w:t xml:space="preserve">Informar anualmente a la autoridad estatal competente, sobre las actividades realizadas, su programa de actividades del año correspondiente y el cumplimiento </w:t>
      </w:r>
      <w:r w:rsidRPr="00D868AB">
        <w:rPr>
          <w:rFonts w:cs="Arial"/>
          <w:lang w:val="es-ES"/>
        </w:rPr>
        <w:lastRenderedPageBreak/>
        <w:t>de sus propósitos, así como el balance de su situación financiera, contable y patrimonial, que reflejen en forma clara su situación y, especialmente, el uso y resultados derivados de los fondos, estímulos, incentivos, subsidios y recursos públicos que le sean asignados.</w:t>
      </w:r>
    </w:p>
    <w:p w14:paraId="35590C45" w14:textId="77777777" w:rsidR="00D868AB" w:rsidRPr="00D868AB" w:rsidRDefault="00D868AB" w:rsidP="00D868AB">
      <w:pPr>
        <w:rPr>
          <w:rFonts w:cs="Arial"/>
          <w:lang w:val="es-ES"/>
        </w:rPr>
      </w:pPr>
    </w:p>
    <w:p w14:paraId="343871A2" w14:textId="77777777" w:rsidR="00D868AB" w:rsidRPr="00D868AB" w:rsidRDefault="00D868AB" w:rsidP="00D868AB">
      <w:pPr>
        <w:rPr>
          <w:rFonts w:cs="Arial"/>
          <w:lang w:val="es-ES"/>
        </w:rPr>
      </w:pPr>
      <w:r w:rsidRPr="00D868AB">
        <w:rPr>
          <w:rFonts w:cs="Arial"/>
          <w:b/>
          <w:lang w:val="es-ES"/>
        </w:rPr>
        <w:t>Artículo 37</w:t>
      </w:r>
      <w:r w:rsidRPr="00D868AB">
        <w:rPr>
          <w:rFonts w:cs="Arial"/>
          <w:lang w:val="es-ES"/>
        </w:rPr>
        <w:t xml:space="preserve">. Las </w:t>
      </w:r>
      <w:r w:rsidRPr="00D868AB">
        <w:rPr>
          <w:rFonts w:cs="Arial"/>
          <w:b/>
          <w:lang w:val="es-ES"/>
        </w:rPr>
        <w:t>asignaciones a las Instituciones de Asistencia Privada</w:t>
      </w:r>
      <w:r w:rsidRPr="00D868AB">
        <w:rPr>
          <w:rFonts w:cs="Arial"/>
          <w:lang w:val="es-ES"/>
        </w:rPr>
        <w:t xml:space="preserve"> para el Ejercicio Fiscal 2023 son las siguientes:</w:t>
      </w:r>
    </w:p>
    <w:p w14:paraId="746C2106" w14:textId="77777777" w:rsidR="00D868AB" w:rsidRPr="00D868AB" w:rsidRDefault="00D868AB" w:rsidP="00D868AB">
      <w:pPr>
        <w:keepNext/>
        <w:keepLines/>
        <w:outlineLvl w:val="2"/>
        <w:rPr>
          <w:rFonts w:eastAsia="Times New Roman" w:cs="Arial"/>
          <w:b/>
          <w:szCs w:val="24"/>
          <w:lang w:val="es-ES" w:eastAsia="en-US"/>
        </w:rPr>
      </w:pPr>
    </w:p>
    <w:p w14:paraId="733BE6D3" w14:textId="77777777" w:rsidR="00D868AB" w:rsidRPr="00D868AB" w:rsidRDefault="00D868AB" w:rsidP="00D868AB">
      <w:pPr>
        <w:jc w:val="center"/>
        <w:rPr>
          <w:rFonts w:eastAsia="Times New Roman" w:cs="Arial"/>
          <w:b/>
          <w:sz w:val="20"/>
          <w:lang w:val="es-ES"/>
        </w:rPr>
      </w:pPr>
      <w:bookmarkStart w:id="137" w:name="_Toc526757480"/>
      <w:bookmarkStart w:id="138" w:name="_Toc22021923"/>
      <w:bookmarkStart w:id="139" w:name="_Toc22983185"/>
      <w:r w:rsidRPr="00D868AB">
        <w:rPr>
          <w:rFonts w:eastAsia="Times New Roman" w:cs="Arial"/>
          <w:b/>
          <w:sz w:val="20"/>
          <w:lang w:val="es-ES"/>
        </w:rPr>
        <w:t>Tabla 27. Asignaciones a Instituciones de Asistencia Privada</w:t>
      </w:r>
      <w:bookmarkEnd w:id="137"/>
      <w:bookmarkEnd w:id="138"/>
      <w:bookmarkEnd w:id="139"/>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
        <w:gridCol w:w="6096"/>
        <w:gridCol w:w="1559"/>
      </w:tblGrid>
      <w:tr w:rsidR="00D868AB" w:rsidRPr="00D868AB" w14:paraId="3C6ECCC6" w14:textId="77777777" w:rsidTr="00A755A7">
        <w:trPr>
          <w:trHeight w:val="227"/>
          <w:jc w:val="center"/>
        </w:trPr>
        <w:tc>
          <w:tcPr>
            <w:tcW w:w="850" w:type="dxa"/>
            <w:noWrap/>
            <w:vAlign w:val="center"/>
            <w:hideMark/>
          </w:tcPr>
          <w:p w14:paraId="5C133266" w14:textId="77777777" w:rsidR="00D868AB" w:rsidRPr="00D868AB" w:rsidRDefault="00D868AB" w:rsidP="00D868AB">
            <w:pPr>
              <w:jc w:val="center"/>
              <w:rPr>
                <w:rFonts w:eastAsia="Times New Roman" w:cs="Arial"/>
                <w:b/>
                <w:bCs/>
                <w:sz w:val="20"/>
                <w:lang w:val="es-ES" w:eastAsia="es-ES"/>
              </w:rPr>
            </w:pPr>
            <w:r w:rsidRPr="00D868AB">
              <w:rPr>
                <w:rFonts w:eastAsia="Times New Roman" w:cs="Arial"/>
                <w:b/>
                <w:bCs/>
                <w:sz w:val="20"/>
                <w:lang w:val="es-ES" w:eastAsia="es-ES"/>
              </w:rPr>
              <w:t>Partida</w:t>
            </w:r>
          </w:p>
        </w:tc>
        <w:tc>
          <w:tcPr>
            <w:tcW w:w="6096" w:type="dxa"/>
            <w:vAlign w:val="center"/>
            <w:hideMark/>
          </w:tcPr>
          <w:p w14:paraId="678155BC" w14:textId="77777777" w:rsidR="00D868AB" w:rsidRPr="00D868AB" w:rsidRDefault="00D868AB" w:rsidP="00D868AB">
            <w:pPr>
              <w:jc w:val="center"/>
              <w:rPr>
                <w:rFonts w:eastAsia="Times New Roman" w:cs="Arial"/>
                <w:b/>
                <w:bCs/>
                <w:sz w:val="20"/>
                <w:lang w:val="es-ES" w:eastAsia="es-ES"/>
              </w:rPr>
            </w:pPr>
            <w:r w:rsidRPr="00D868AB">
              <w:rPr>
                <w:rFonts w:eastAsia="Times New Roman" w:cs="Arial"/>
                <w:b/>
                <w:bCs/>
                <w:sz w:val="20"/>
                <w:lang w:val="es-ES" w:eastAsia="es-ES"/>
              </w:rPr>
              <w:t>Concepto</w:t>
            </w:r>
          </w:p>
        </w:tc>
        <w:tc>
          <w:tcPr>
            <w:tcW w:w="1559" w:type="dxa"/>
            <w:vAlign w:val="center"/>
            <w:hideMark/>
          </w:tcPr>
          <w:p w14:paraId="67C2EF9A" w14:textId="77777777" w:rsidR="00D868AB" w:rsidRPr="00D868AB" w:rsidRDefault="00D868AB" w:rsidP="00D868AB">
            <w:pPr>
              <w:jc w:val="center"/>
              <w:rPr>
                <w:rFonts w:eastAsia="Times New Roman" w:cs="Arial"/>
                <w:b/>
                <w:bCs/>
                <w:sz w:val="20"/>
                <w:lang w:val="es-ES" w:eastAsia="es-ES"/>
              </w:rPr>
            </w:pPr>
            <w:r w:rsidRPr="00D868AB">
              <w:rPr>
                <w:rFonts w:eastAsia="Times New Roman" w:cs="Arial"/>
                <w:b/>
                <w:bCs/>
                <w:sz w:val="20"/>
                <w:lang w:val="es-ES" w:eastAsia="es-ES"/>
              </w:rPr>
              <w:t>Asignación Presupuestal</w:t>
            </w:r>
          </w:p>
        </w:tc>
      </w:tr>
      <w:tr w:rsidR="00D868AB" w:rsidRPr="00D868AB" w14:paraId="007743D8" w14:textId="77777777" w:rsidTr="00A755A7">
        <w:trPr>
          <w:trHeight w:val="227"/>
          <w:jc w:val="center"/>
        </w:trPr>
        <w:tc>
          <w:tcPr>
            <w:tcW w:w="850" w:type="dxa"/>
            <w:noWrap/>
            <w:vAlign w:val="center"/>
            <w:hideMark/>
          </w:tcPr>
          <w:p w14:paraId="01B29C01" w14:textId="77777777" w:rsidR="00D868AB" w:rsidRPr="00D868AB" w:rsidRDefault="00D868AB" w:rsidP="00D868AB">
            <w:pPr>
              <w:jc w:val="center"/>
              <w:rPr>
                <w:rFonts w:eastAsia="Times New Roman" w:cs="Arial"/>
                <w:bCs/>
                <w:sz w:val="20"/>
                <w:lang w:val="es-ES" w:eastAsia="es-ES"/>
              </w:rPr>
            </w:pPr>
            <w:r w:rsidRPr="00D868AB">
              <w:rPr>
                <w:rFonts w:eastAsia="Times New Roman" w:cs="Arial"/>
                <w:bCs/>
                <w:sz w:val="20"/>
                <w:lang w:val="es-ES" w:eastAsia="es-ES"/>
              </w:rPr>
              <w:t>44505</w:t>
            </w:r>
          </w:p>
        </w:tc>
        <w:tc>
          <w:tcPr>
            <w:tcW w:w="6096" w:type="dxa"/>
            <w:vAlign w:val="center"/>
            <w:hideMark/>
          </w:tcPr>
          <w:p w14:paraId="3C177E32" w14:textId="77777777" w:rsidR="00D868AB" w:rsidRPr="00D868AB" w:rsidRDefault="00D868AB" w:rsidP="00D868AB">
            <w:pPr>
              <w:rPr>
                <w:rFonts w:eastAsia="Times New Roman" w:cs="Arial"/>
                <w:bCs/>
                <w:sz w:val="20"/>
                <w:lang w:val="es-ES" w:eastAsia="es-ES"/>
              </w:rPr>
            </w:pPr>
            <w:r w:rsidRPr="00D868AB">
              <w:rPr>
                <w:rFonts w:eastAsia="Times New Roman" w:cs="Arial"/>
                <w:bCs/>
                <w:sz w:val="20"/>
                <w:lang w:val="es-ES" w:eastAsia="es-ES"/>
              </w:rPr>
              <w:t>Ayudas a Instituciones de Asistencia Privada.</w:t>
            </w:r>
          </w:p>
        </w:tc>
        <w:tc>
          <w:tcPr>
            <w:tcW w:w="1559" w:type="dxa"/>
            <w:noWrap/>
            <w:vAlign w:val="center"/>
          </w:tcPr>
          <w:p w14:paraId="6C5127F8" w14:textId="77777777" w:rsidR="00D868AB" w:rsidRPr="00D868AB" w:rsidRDefault="00D868AB" w:rsidP="00D868AB">
            <w:pPr>
              <w:jc w:val="right"/>
              <w:rPr>
                <w:rFonts w:cs="Arial"/>
                <w:sz w:val="20"/>
              </w:rPr>
            </w:pPr>
            <w:r w:rsidRPr="00D868AB">
              <w:rPr>
                <w:rFonts w:cs="Arial"/>
                <w:color w:val="000000"/>
                <w:sz w:val="20"/>
                <w:szCs w:val="20"/>
              </w:rPr>
              <w:t>10,518,398</w:t>
            </w:r>
          </w:p>
        </w:tc>
      </w:tr>
    </w:tbl>
    <w:p w14:paraId="7A725490" w14:textId="77777777" w:rsidR="00D868AB" w:rsidRPr="00D868AB" w:rsidRDefault="00D868AB" w:rsidP="00D868AB">
      <w:pPr>
        <w:rPr>
          <w:rFonts w:cs="Arial"/>
          <w:lang w:val="es-ES"/>
        </w:rPr>
      </w:pPr>
    </w:p>
    <w:p w14:paraId="0F2300C4" w14:textId="77777777" w:rsidR="00D868AB" w:rsidRPr="00D868AB" w:rsidRDefault="00D868AB" w:rsidP="00D868AB">
      <w:pPr>
        <w:tabs>
          <w:tab w:val="left" w:pos="426"/>
        </w:tabs>
        <w:rPr>
          <w:rFonts w:cs="Arial"/>
          <w:lang w:val="es-ES"/>
        </w:rPr>
      </w:pPr>
      <w:r w:rsidRPr="00D868AB">
        <w:rPr>
          <w:rFonts w:cs="Arial"/>
          <w:lang w:val="es-ES"/>
        </w:rPr>
        <w:t xml:space="preserve">En atención al carácter de interés público que la </w:t>
      </w:r>
      <w:r w:rsidRPr="00D868AB">
        <w:rPr>
          <w:rFonts w:cs="Arial"/>
          <w:b/>
          <w:lang w:val="es-ES"/>
        </w:rPr>
        <w:t>Ley de Instituciones de Asistencia Privada para el Estado de Colima</w:t>
      </w:r>
      <w:r w:rsidRPr="00D868AB">
        <w:rPr>
          <w:rFonts w:cs="Arial"/>
          <w:lang w:val="es-ES"/>
        </w:rPr>
        <w:t xml:space="preserve"> otorga a las Instituciones de asistencia privada, el Gobierno del Estado canalizará a la </w:t>
      </w:r>
      <w:r w:rsidRPr="00D868AB">
        <w:rPr>
          <w:rFonts w:cs="Arial"/>
          <w:b/>
          <w:lang w:val="es-ES"/>
        </w:rPr>
        <w:t xml:space="preserve">Junta de Asistencia Privada </w:t>
      </w:r>
      <w:r w:rsidRPr="00D868AB">
        <w:rPr>
          <w:rFonts w:cs="Arial"/>
          <w:lang w:val="es-ES"/>
        </w:rPr>
        <w:t>recursos económicos para apoyar las actividades de aquéllas. Para tal efecto, la Junta presentará a la Titular del Poder Ejecutivo, a más tardar el 30 de septiembre de cada año, un estudio de las Instituciones registradas y la propuesta sugerida de apoyo económico.</w:t>
      </w:r>
    </w:p>
    <w:p w14:paraId="4CE12629" w14:textId="77777777" w:rsidR="00D868AB" w:rsidRPr="00D868AB" w:rsidRDefault="00D868AB" w:rsidP="00D868AB">
      <w:pPr>
        <w:tabs>
          <w:tab w:val="left" w:pos="426"/>
        </w:tabs>
        <w:rPr>
          <w:rFonts w:cs="Arial"/>
          <w:lang w:val="es-ES"/>
        </w:rPr>
      </w:pPr>
    </w:p>
    <w:p w14:paraId="7481CD41" w14:textId="77777777" w:rsidR="00D868AB" w:rsidRPr="00D868AB" w:rsidRDefault="00D868AB" w:rsidP="00D868AB">
      <w:pPr>
        <w:tabs>
          <w:tab w:val="left" w:pos="426"/>
        </w:tabs>
        <w:rPr>
          <w:rFonts w:cs="Arial"/>
          <w:lang w:val="es-ES"/>
        </w:rPr>
      </w:pPr>
      <w:r w:rsidRPr="00D868AB">
        <w:rPr>
          <w:rFonts w:cs="Arial"/>
          <w:lang w:val="es-ES"/>
        </w:rPr>
        <w:t xml:space="preserve">El otorgamiento de los recursos públicos a las instituciones de asistencia privada, se concentran en la partida </w:t>
      </w:r>
      <w:r w:rsidRPr="00D868AB">
        <w:rPr>
          <w:rFonts w:cs="Arial"/>
          <w:b/>
          <w:lang w:val="es-ES"/>
        </w:rPr>
        <w:t>44505 Ayudas a Instituciones de Asistencia Privada</w:t>
      </w:r>
      <w:r w:rsidRPr="00D868AB">
        <w:rPr>
          <w:rFonts w:cs="Arial"/>
          <w:lang w:val="es-ES"/>
        </w:rPr>
        <w:t>.</w:t>
      </w:r>
    </w:p>
    <w:p w14:paraId="32AC3911" w14:textId="77777777" w:rsidR="00D868AB" w:rsidRPr="00D868AB" w:rsidRDefault="00D868AB" w:rsidP="00D868AB">
      <w:pPr>
        <w:tabs>
          <w:tab w:val="left" w:pos="426"/>
        </w:tabs>
        <w:rPr>
          <w:rFonts w:cs="Arial"/>
          <w:lang w:val="es-ES"/>
        </w:rPr>
      </w:pPr>
    </w:p>
    <w:p w14:paraId="1415FDCC" w14:textId="77777777" w:rsidR="00D868AB" w:rsidRPr="00D868AB" w:rsidRDefault="00D868AB" w:rsidP="00D868AB">
      <w:pPr>
        <w:tabs>
          <w:tab w:val="left" w:pos="426"/>
        </w:tabs>
        <w:rPr>
          <w:rFonts w:cs="Arial"/>
          <w:lang w:val="es-ES"/>
        </w:rPr>
      </w:pPr>
      <w:r w:rsidRPr="00D868AB">
        <w:rPr>
          <w:rFonts w:cs="Arial"/>
          <w:lang w:val="es-ES"/>
        </w:rPr>
        <w:t>Para que un organismo de Asistencia Privada pueda recibir recursos económicos del Gobierno del Estado, deberá cumplir los requisitos de la Ley de Instituciones de Asistencia Privada para el Estado de Colima.</w:t>
      </w:r>
    </w:p>
    <w:p w14:paraId="2AB62C90" w14:textId="77777777" w:rsidR="00D868AB" w:rsidRPr="00D868AB" w:rsidRDefault="00D868AB" w:rsidP="00D868AB">
      <w:pPr>
        <w:rPr>
          <w:rFonts w:cs="Arial"/>
          <w:lang w:val="es-ES"/>
        </w:rPr>
      </w:pPr>
    </w:p>
    <w:p w14:paraId="29D865A8" w14:textId="77777777" w:rsidR="00D868AB" w:rsidRPr="00D868AB" w:rsidRDefault="00D868AB" w:rsidP="00D868AB">
      <w:pPr>
        <w:rPr>
          <w:rFonts w:cs="Arial"/>
          <w:lang w:val="es-ES"/>
        </w:rPr>
      </w:pPr>
      <w:r w:rsidRPr="00D868AB">
        <w:rPr>
          <w:rFonts w:cs="Arial"/>
          <w:lang w:val="es-ES"/>
        </w:rPr>
        <w:t xml:space="preserve">En el </w:t>
      </w:r>
      <w:r w:rsidRPr="00D868AB">
        <w:rPr>
          <w:rFonts w:cs="Arial"/>
          <w:b/>
          <w:lang w:val="es-ES"/>
        </w:rPr>
        <w:t>Anexo 7 Asignaciones Presupuestales a Instituciones de Asistencia Privada</w:t>
      </w:r>
      <w:r w:rsidRPr="00D868AB">
        <w:rPr>
          <w:rFonts w:cs="Arial"/>
          <w:lang w:val="es-ES"/>
        </w:rPr>
        <w:t xml:space="preserve"> del presente Decreto, se detallan las asignaciones presupuestales a Instituciones de Asistencia Privada.</w:t>
      </w:r>
    </w:p>
    <w:p w14:paraId="6DC0B399" w14:textId="77777777" w:rsidR="00D868AB" w:rsidRPr="00D868AB" w:rsidRDefault="00D868AB" w:rsidP="00D868AB">
      <w:pPr>
        <w:rPr>
          <w:rFonts w:cs="Arial"/>
          <w:lang w:val="es-ES"/>
        </w:rPr>
      </w:pPr>
    </w:p>
    <w:p w14:paraId="14B6DF0F" w14:textId="77777777" w:rsidR="00D868AB" w:rsidRPr="00D868AB" w:rsidRDefault="00D868AB" w:rsidP="00D868AB">
      <w:pPr>
        <w:jc w:val="center"/>
        <w:rPr>
          <w:rFonts w:eastAsia="Times New Roman" w:cs="Arial"/>
          <w:b/>
          <w:lang w:val="es-ES"/>
        </w:rPr>
      </w:pPr>
      <w:bookmarkStart w:id="140" w:name="_Toc522869266"/>
      <w:bookmarkStart w:id="141" w:name="_Toc526757481"/>
      <w:bookmarkStart w:id="142" w:name="_Toc22021925"/>
      <w:bookmarkStart w:id="143" w:name="_Toc22983186"/>
      <w:bookmarkStart w:id="144" w:name="_Toc465292957"/>
      <w:bookmarkStart w:id="145" w:name="_Toc465292885"/>
      <w:r w:rsidRPr="00D868AB">
        <w:rPr>
          <w:rFonts w:eastAsia="Times New Roman" w:cs="Arial"/>
          <w:b/>
          <w:lang w:val="es-ES"/>
        </w:rPr>
        <w:t xml:space="preserve">CAPÍTULO </w:t>
      </w:r>
      <w:bookmarkEnd w:id="140"/>
      <w:bookmarkEnd w:id="141"/>
      <w:bookmarkEnd w:id="142"/>
      <w:bookmarkEnd w:id="143"/>
      <w:r w:rsidRPr="00D868AB">
        <w:rPr>
          <w:rFonts w:eastAsia="Times New Roman" w:cs="Arial"/>
          <w:b/>
          <w:lang w:val="es-ES"/>
        </w:rPr>
        <w:t>X</w:t>
      </w:r>
    </w:p>
    <w:p w14:paraId="4697FA45" w14:textId="77777777" w:rsidR="00D868AB" w:rsidRPr="00D868AB" w:rsidRDefault="00D868AB" w:rsidP="00D868AB">
      <w:pPr>
        <w:keepNext/>
        <w:keepLines/>
        <w:jc w:val="center"/>
        <w:outlineLvl w:val="0"/>
        <w:rPr>
          <w:rFonts w:eastAsia="Times New Roman" w:cs="Arial"/>
          <w:b/>
          <w:szCs w:val="32"/>
          <w:lang w:val="es-ES"/>
        </w:rPr>
      </w:pPr>
      <w:bookmarkStart w:id="146" w:name="_Toc522869267"/>
      <w:bookmarkStart w:id="147" w:name="_Toc526757482"/>
      <w:bookmarkStart w:id="148" w:name="_Toc22021926"/>
      <w:bookmarkStart w:id="149" w:name="_Toc22983187"/>
      <w:r w:rsidRPr="00D868AB">
        <w:rPr>
          <w:rFonts w:eastAsia="Times New Roman" w:cs="Arial"/>
          <w:b/>
          <w:szCs w:val="32"/>
          <w:lang w:val="es-ES"/>
        </w:rPr>
        <w:t>DE LOS SERVICIOS PERSONALES</w:t>
      </w:r>
      <w:bookmarkEnd w:id="144"/>
      <w:bookmarkEnd w:id="145"/>
      <w:bookmarkEnd w:id="146"/>
      <w:bookmarkEnd w:id="147"/>
      <w:bookmarkEnd w:id="148"/>
      <w:bookmarkEnd w:id="149"/>
    </w:p>
    <w:p w14:paraId="4F690F45" w14:textId="77777777" w:rsidR="00D868AB" w:rsidRPr="00D868AB" w:rsidRDefault="00D868AB" w:rsidP="00D868AB">
      <w:pPr>
        <w:jc w:val="center"/>
        <w:rPr>
          <w:rFonts w:cs="Arial"/>
          <w:b/>
          <w:lang w:val="es-ES"/>
        </w:rPr>
      </w:pPr>
    </w:p>
    <w:p w14:paraId="0C7B9A9E" w14:textId="77777777" w:rsidR="00D868AB" w:rsidRPr="00D868AB" w:rsidRDefault="00D868AB" w:rsidP="00D868AB">
      <w:pPr>
        <w:rPr>
          <w:rFonts w:cs="Arial"/>
          <w:lang w:val="es-ES"/>
        </w:rPr>
      </w:pPr>
      <w:r w:rsidRPr="00D868AB">
        <w:rPr>
          <w:rFonts w:cs="Arial"/>
          <w:b/>
          <w:lang w:val="es-ES"/>
        </w:rPr>
        <w:t>Artículo 38</w:t>
      </w:r>
      <w:r w:rsidRPr="00D868AB">
        <w:rPr>
          <w:rFonts w:cs="Arial"/>
          <w:lang w:val="es-ES"/>
        </w:rPr>
        <w:t xml:space="preserve">. En atención a lo dispuesto por el artículo 10 de la Ley de Disciplina Financiera de las Entidades Federativas y los Municipios, la asignación global de recursos para servicios personales aprobada en el presente Presupuesto de Egresos, es de </w:t>
      </w:r>
      <w:r w:rsidRPr="00D868AB">
        <w:rPr>
          <w:rFonts w:cs="Arial"/>
          <w:b/>
          <w:lang w:val="es-ES"/>
        </w:rPr>
        <w:t>$2,179,669,974.00</w:t>
      </w:r>
      <w:r w:rsidRPr="00D868AB">
        <w:rPr>
          <w:rFonts w:cs="Arial"/>
          <w:lang w:val="es-ES"/>
        </w:rPr>
        <w:t xml:space="preserve"> (</w:t>
      </w:r>
      <w:r w:rsidRPr="00D868AB">
        <w:rPr>
          <w:rFonts w:cs="Arial"/>
          <w:bCs/>
          <w:lang w:val="es-ES"/>
        </w:rPr>
        <w:t>Dos mil ciento setenta y nueve millones seiscientos sesenta y nueve mil novecientos setenta y cuatro pesos).</w:t>
      </w:r>
    </w:p>
    <w:p w14:paraId="7CE75CFC" w14:textId="77777777" w:rsidR="00D868AB" w:rsidRPr="00D868AB" w:rsidRDefault="00D868AB" w:rsidP="00D868AB">
      <w:pPr>
        <w:rPr>
          <w:rFonts w:cs="Arial"/>
          <w:lang w:val="es-ES"/>
        </w:rPr>
      </w:pPr>
    </w:p>
    <w:p w14:paraId="52E73B96" w14:textId="77777777" w:rsidR="00D868AB" w:rsidRPr="00D868AB" w:rsidRDefault="00D868AB" w:rsidP="00D868AB">
      <w:pPr>
        <w:rPr>
          <w:rFonts w:cs="Arial"/>
          <w:lang w:val="es-ES"/>
        </w:rPr>
      </w:pPr>
      <w:r w:rsidRPr="00D868AB">
        <w:rPr>
          <w:rFonts w:cs="Arial"/>
          <w:lang w:val="es-ES"/>
        </w:rPr>
        <w:lastRenderedPageBreak/>
        <w:t>La asignación global de servicios personales aprobada originalmente en el Presupuesto de Egresos no podrá incrementarse durante el ejercicio fiscal. Lo anterior, exceptuando el pago de sentencias laborales definitivas emitidas por la autoridad competente y lo señalado por la Ley de Disciplina Financiera.</w:t>
      </w:r>
    </w:p>
    <w:p w14:paraId="0BE5D611" w14:textId="77777777" w:rsidR="00D868AB" w:rsidRPr="00D868AB" w:rsidRDefault="00D868AB" w:rsidP="00D868AB">
      <w:pPr>
        <w:rPr>
          <w:rFonts w:cs="Arial"/>
          <w:lang w:val="es-ES"/>
        </w:rPr>
      </w:pPr>
    </w:p>
    <w:p w14:paraId="0B520539" w14:textId="49FC74AF" w:rsidR="00D868AB" w:rsidRPr="00D868AB" w:rsidRDefault="00D868AB" w:rsidP="00D868AB">
      <w:pPr>
        <w:rPr>
          <w:rFonts w:cs="Arial"/>
          <w:lang w:val="es-ES"/>
        </w:rPr>
      </w:pPr>
      <w:r w:rsidRPr="00D868AB">
        <w:rPr>
          <w:rFonts w:cs="Arial"/>
          <w:b/>
          <w:lang w:val="es-ES"/>
        </w:rPr>
        <w:t>Artículo 39</w:t>
      </w:r>
      <w:r w:rsidRPr="00D868AB">
        <w:rPr>
          <w:rFonts w:cs="Arial"/>
          <w:lang w:val="es-ES"/>
        </w:rPr>
        <w:t xml:space="preserve">. Los servidores públicos percibirán las remuneraciones que se determinen en el Tabulador de Sueldos que apruebe el Titular del Ejecutivo, mismo que se publicará como </w:t>
      </w:r>
      <w:r w:rsidRPr="00D868AB">
        <w:rPr>
          <w:rFonts w:cs="Arial"/>
          <w:b/>
          <w:lang w:val="es-ES"/>
        </w:rPr>
        <w:t>Tabuladores de Sueldos</w:t>
      </w:r>
      <w:r w:rsidRPr="00D868AB">
        <w:rPr>
          <w:rFonts w:cs="Arial"/>
          <w:lang w:val="es-ES"/>
        </w:rPr>
        <w:t xml:space="preserve"> del presente Decreto, de acuerdo a lo previsto en el artículo 30 de la Ley que Fija las Bases para las Remuneraciones de los Servidores Públicos del Estado y los Municipios. Lo anterior con excepción de las plazas y horas del magisterio federal.</w:t>
      </w:r>
    </w:p>
    <w:p w14:paraId="649F1447" w14:textId="77777777" w:rsidR="00D868AB" w:rsidRPr="00D868AB" w:rsidRDefault="00D868AB" w:rsidP="00D868AB">
      <w:pPr>
        <w:rPr>
          <w:rFonts w:cs="Arial"/>
          <w:lang w:val="es-ES"/>
        </w:rPr>
      </w:pPr>
    </w:p>
    <w:p w14:paraId="45D9C6F4" w14:textId="77777777" w:rsidR="00D868AB" w:rsidRPr="00D868AB" w:rsidRDefault="00D868AB" w:rsidP="00D868AB">
      <w:pPr>
        <w:rPr>
          <w:rFonts w:cs="Arial"/>
          <w:b/>
          <w:lang w:val="es-ES"/>
        </w:rPr>
      </w:pPr>
      <w:r w:rsidRPr="00D868AB">
        <w:rPr>
          <w:rFonts w:cs="Arial"/>
          <w:bCs/>
          <w:lang w:val="es-ES"/>
        </w:rPr>
        <w:t>E</w:t>
      </w:r>
      <w:r w:rsidRPr="00D868AB">
        <w:rPr>
          <w:rFonts w:eastAsia="Times New Roman" w:cs="Arial"/>
        </w:rPr>
        <w:t xml:space="preserve">l </w:t>
      </w:r>
      <w:r w:rsidRPr="00D868AB">
        <w:rPr>
          <w:rFonts w:cs="Arial"/>
          <w:lang w:val="es-ES"/>
        </w:rPr>
        <w:t xml:space="preserve">número de plazas y horas por tipo de contratación por ente público de </w:t>
      </w:r>
      <w:r w:rsidRPr="00D868AB">
        <w:rPr>
          <w:rFonts w:eastAsia="Times New Roman" w:cs="Arial"/>
        </w:rPr>
        <w:t xml:space="preserve">la Administración Pública Centralizada del Estado de Colima, se detalla en los documentos que integran el </w:t>
      </w:r>
      <w:r w:rsidRPr="00D868AB">
        <w:rPr>
          <w:rFonts w:cs="Arial"/>
          <w:b/>
          <w:lang w:val="es-ES"/>
        </w:rPr>
        <w:t>Anexo 8 Tabuladores de Sueldos.</w:t>
      </w:r>
    </w:p>
    <w:p w14:paraId="4EB24C57" w14:textId="77777777" w:rsidR="00D868AB" w:rsidRPr="00D868AB" w:rsidRDefault="00D868AB" w:rsidP="00D868AB">
      <w:pPr>
        <w:rPr>
          <w:rFonts w:cs="Arial"/>
          <w:b/>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081"/>
      </w:tblGrid>
      <w:tr w:rsidR="00D868AB" w:rsidRPr="00D868AB" w14:paraId="4FDF4D27" w14:textId="77777777" w:rsidTr="00A755A7">
        <w:tc>
          <w:tcPr>
            <w:tcW w:w="1276" w:type="dxa"/>
          </w:tcPr>
          <w:p w14:paraId="29278D4F" w14:textId="77777777" w:rsidR="00D868AB" w:rsidRPr="00D868AB" w:rsidRDefault="00D868AB" w:rsidP="00D868AB">
            <w:pPr>
              <w:rPr>
                <w:rFonts w:cs="Arial"/>
                <w:b/>
                <w:sz w:val="20"/>
                <w:lang w:val="es-ES"/>
              </w:rPr>
            </w:pPr>
            <w:bookmarkStart w:id="150" w:name="_Hlk87634916"/>
            <w:r w:rsidRPr="00D868AB">
              <w:rPr>
                <w:rFonts w:cs="Arial"/>
                <w:b/>
                <w:sz w:val="20"/>
                <w:lang w:val="es-ES"/>
              </w:rPr>
              <w:t>Anexo 8.1</w:t>
            </w:r>
          </w:p>
        </w:tc>
        <w:tc>
          <w:tcPr>
            <w:tcW w:w="7081" w:type="dxa"/>
          </w:tcPr>
          <w:p w14:paraId="6D64D228" w14:textId="77777777" w:rsidR="00D868AB" w:rsidRPr="00D868AB" w:rsidRDefault="00D868AB" w:rsidP="00D868AB">
            <w:pPr>
              <w:rPr>
                <w:rFonts w:cs="Arial"/>
                <w:sz w:val="20"/>
                <w:lang w:val="es-ES"/>
              </w:rPr>
            </w:pPr>
            <w:r w:rsidRPr="00D868AB">
              <w:rPr>
                <w:rFonts w:cs="Arial"/>
                <w:sz w:val="20"/>
                <w:lang w:val="es-ES"/>
              </w:rPr>
              <w:t>Total de Plazas y Horas del Magisterio Federal Estimadas para 2023.</w:t>
            </w:r>
          </w:p>
        </w:tc>
      </w:tr>
      <w:tr w:rsidR="00D868AB" w:rsidRPr="00D868AB" w14:paraId="3873D704" w14:textId="77777777" w:rsidTr="00A755A7">
        <w:tc>
          <w:tcPr>
            <w:tcW w:w="1276" w:type="dxa"/>
          </w:tcPr>
          <w:p w14:paraId="449FBE7D" w14:textId="77777777" w:rsidR="00D868AB" w:rsidRPr="00D868AB" w:rsidRDefault="00D868AB" w:rsidP="00D868AB">
            <w:pPr>
              <w:rPr>
                <w:rFonts w:cs="Arial"/>
                <w:b/>
                <w:sz w:val="20"/>
                <w:lang w:val="es-ES"/>
              </w:rPr>
            </w:pPr>
            <w:r w:rsidRPr="00D868AB">
              <w:rPr>
                <w:rFonts w:cs="Arial"/>
                <w:b/>
                <w:sz w:val="20"/>
                <w:lang w:val="es-ES"/>
              </w:rPr>
              <w:t>Anexo 8.2</w:t>
            </w:r>
          </w:p>
        </w:tc>
        <w:tc>
          <w:tcPr>
            <w:tcW w:w="7081" w:type="dxa"/>
          </w:tcPr>
          <w:p w14:paraId="3F5B9BC6" w14:textId="77777777" w:rsidR="00D868AB" w:rsidRPr="00D868AB" w:rsidRDefault="00D868AB" w:rsidP="00D868AB">
            <w:pPr>
              <w:rPr>
                <w:rFonts w:cs="Arial"/>
                <w:sz w:val="20"/>
                <w:lang w:val="es-ES"/>
              </w:rPr>
            </w:pPr>
            <w:r w:rsidRPr="00D868AB">
              <w:rPr>
                <w:rFonts w:cs="Arial"/>
                <w:sz w:val="20"/>
                <w:lang w:val="es-ES"/>
              </w:rPr>
              <w:t>Tabulador de Sueldos Magisterio Federalizado para 2023.</w:t>
            </w:r>
          </w:p>
        </w:tc>
      </w:tr>
      <w:tr w:rsidR="00D868AB" w:rsidRPr="00D868AB" w14:paraId="6BFAB187" w14:textId="77777777" w:rsidTr="00A755A7">
        <w:tc>
          <w:tcPr>
            <w:tcW w:w="1276" w:type="dxa"/>
          </w:tcPr>
          <w:p w14:paraId="4F0C975C" w14:textId="77777777" w:rsidR="00D868AB" w:rsidRPr="00D868AB" w:rsidRDefault="00D868AB" w:rsidP="00D868AB">
            <w:pPr>
              <w:rPr>
                <w:rFonts w:cs="Arial"/>
                <w:b/>
                <w:sz w:val="20"/>
                <w:lang w:val="es-ES"/>
              </w:rPr>
            </w:pPr>
            <w:r w:rsidRPr="00D868AB">
              <w:rPr>
                <w:rFonts w:cs="Arial"/>
                <w:b/>
                <w:sz w:val="20"/>
                <w:lang w:val="es-ES"/>
              </w:rPr>
              <w:t>Anexo 8.3</w:t>
            </w:r>
          </w:p>
        </w:tc>
        <w:tc>
          <w:tcPr>
            <w:tcW w:w="7081" w:type="dxa"/>
          </w:tcPr>
          <w:p w14:paraId="31177545" w14:textId="77777777" w:rsidR="00D868AB" w:rsidRPr="00D868AB" w:rsidRDefault="00D868AB" w:rsidP="00D868AB">
            <w:pPr>
              <w:rPr>
                <w:rFonts w:cs="Arial"/>
                <w:sz w:val="20"/>
                <w:lang w:val="es-ES"/>
              </w:rPr>
            </w:pPr>
            <w:r w:rsidRPr="00D868AB">
              <w:rPr>
                <w:rFonts w:cs="Arial"/>
                <w:sz w:val="20"/>
                <w:lang w:val="es-ES"/>
              </w:rPr>
              <w:t>Tabulador de Sueldos 2023 del Poder Ejecutivo del Estado de Colima.</w:t>
            </w:r>
          </w:p>
        </w:tc>
      </w:tr>
      <w:tr w:rsidR="00D868AB" w:rsidRPr="00D868AB" w14:paraId="3ECD43FD" w14:textId="77777777" w:rsidTr="00A755A7">
        <w:tc>
          <w:tcPr>
            <w:tcW w:w="1276" w:type="dxa"/>
          </w:tcPr>
          <w:p w14:paraId="0B79839A" w14:textId="77777777" w:rsidR="00D868AB" w:rsidRPr="00D868AB" w:rsidRDefault="00D868AB" w:rsidP="00D868AB">
            <w:pPr>
              <w:rPr>
                <w:rFonts w:cs="Arial"/>
                <w:b/>
                <w:sz w:val="20"/>
                <w:lang w:val="es-ES"/>
              </w:rPr>
            </w:pPr>
            <w:r w:rsidRPr="00D868AB">
              <w:rPr>
                <w:rFonts w:cs="Arial"/>
                <w:b/>
                <w:sz w:val="20"/>
                <w:lang w:val="es-ES"/>
              </w:rPr>
              <w:t>Anexo 8.4</w:t>
            </w:r>
          </w:p>
        </w:tc>
        <w:tc>
          <w:tcPr>
            <w:tcW w:w="7081" w:type="dxa"/>
          </w:tcPr>
          <w:p w14:paraId="4FBA72A7" w14:textId="77777777" w:rsidR="00D868AB" w:rsidRPr="00D868AB" w:rsidRDefault="00D868AB" w:rsidP="00D868AB">
            <w:pPr>
              <w:rPr>
                <w:rFonts w:cs="Arial"/>
                <w:sz w:val="20"/>
                <w:lang w:val="es-ES"/>
              </w:rPr>
            </w:pPr>
            <w:r w:rsidRPr="00D868AB">
              <w:rPr>
                <w:rFonts w:cs="Arial"/>
                <w:sz w:val="20"/>
                <w:lang w:val="es-ES"/>
              </w:rPr>
              <w:t>Tabulador de Prestaciones 2023 del Poder Ejecutivo del Estado de Colima.</w:t>
            </w:r>
          </w:p>
        </w:tc>
      </w:tr>
      <w:tr w:rsidR="00D868AB" w:rsidRPr="00D868AB" w14:paraId="549BFE7F" w14:textId="77777777" w:rsidTr="00A755A7">
        <w:tc>
          <w:tcPr>
            <w:tcW w:w="1276" w:type="dxa"/>
          </w:tcPr>
          <w:p w14:paraId="63B61A26" w14:textId="77777777" w:rsidR="00D868AB" w:rsidRPr="00D868AB" w:rsidRDefault="00D868AB" w:rsidP="00D868AB">
            <w:pPr>
              <w:rPr>
                <w:rFonts w:cs="Arial"/>
                <w:b/>
                <w:sz w:val="20"/>
                <w:lang w:val="es-ES"/>
              </w:rPr>
            </w:pPr>
            <w:r w:rsidRPr="00D868AB">
              <w:rPr>
                <w:rFonts w:cs="Arial"/>
                <w:b/>
                <w:sz w:val="20"/>
                <w:lang w:val="es-ES"/>
              </w:rPr>
              <w:t>Anexo 8.5</w:t>
            </w:r>
          </w:p>
        </w:tc>
        <w:tc>
          <w:tcPr>
            <w:tcW w:w="7081" w:type="dxa"/>
          </w:tcPr>
          <w:p w14:paraId="5C160A74" w14:textId="77777777" w:rsidR="00D868AB" w:rsidRPr="00D868AB" w:rsidRDefault="00D868AB" w:rsidP="00D868AB">
            <w:pPr>
              <w:rPr>
                <w:rFonts w:cs="Arial"/>
                <w:sz w:val="20"/>
                <w:lang w:val="es-ES"/>
              </w:rPr>
            </w:pPr>
            <w:r w:rsidRPr="00D868AB">
              <w:rPr>
                <w:rFonts w:cs="Arial"/>
                <w:sz w:val="20"/>
                <w:lang w:val="es-ES"/>
              </w:rPr>
              <w:t>Tabulador de Estímulos al Personal 2023 del Poder Ejecutivo del Estado de Colima.</w:t>
            </w:r>
          </w:p>
        </w:tc>
      </w:tr>
      <w:tr w:rsidR="00D868AB" w:rsidRPr="00D868AB" w14:paraId="13E5A195" w14:textId="77777777" w:rsidTr="00A755A7">
        <w:tc>
          <w:tcPr>
            <w:tcW w:w="1276" w:type="dxa"/>
          </w:tcPr>
          <w:p w14:paraId="7F7F3FB9" w14:textId="77777777" w:rsidR="00D868AB" w:rsidRPr="00D868AB" w:rsidRDefault="00D868AB" w:rsidP="00D868AB">
            <w:pPr>
              <w:rPr>
                <w:rFonts w:cs="Arial"/>
                <w:b/>
                <w:sz w:val="20"/>
                <w:lang w:val="es-ES"/>
              </w:rPr>
            </w:pPr>
            <w:r w:rsidRPr="00D868AB">
              <w:rPr>
                <w:rFonts w:cs="Arial"/>
                <w:b/>
                <w:sz w:val="20"/>
                <w:lang w:val="es-ES"/>
              </w:rPr>
              <w:t>Anexo 8.6</w:t>
            </w:r>
          </w:p>
        </w:tc>
        <w:tc>
          <w:tcPr>
            <w:tcW w:w="7081" w:type="dxa"/>
          </w:tcPr>
          <w:p w14:paraId="4FBCAA7F" w14:textId="77777777" w:rsidR="00D868AB" w:rsidRPr="00D868AB" w:rsidRDefault="00D868AB" w:rsidP="00D868AB">
            <w:pPr>
              <w:rPr>
                <w:rFonts w:cs="Arial"/>
                <w:sz w:val="20"/>
                <w:lang w:val="es-ES"/>
              </w:rPr>
            </w:pPr>
            <w:r w:rsidRPr="00D868AB">
              <w:rPr>
                <w:rFonts w:cs="Arial"/>
                <w:sz w:val="20"/>
                <w:lang w:val="es-ES"/>
              </w:rPr>
              <w:t>Puestos del Personal de Apoyo y Asistencia a la Educación.</w:t>
            </w:r>
          </w:p>
        </w:tc>
      </w:tr>
      <w:tr w:rsidR="00D868AB" w:rsidRPr="00D868AB" w14:paraId="1748B912" w14:textId="77777777" w:rsidTr="00A755A7">
        <w:tc>
          <w:tcPr>
            <w:tcW w:w="1276" w:type="dxa"/>
          </w:tcPr>
          <w:p w14:paraId="6B7483A1" w14:textId="77777777" w:rsidR="00D868AB" w:rsidRPr="00D868AB" w:rsidRDefault="00D868AB" w:rsidP="00D868AB">
            <w:pPr>
              <w:rPr>
                <w:rFonts w:cs="Arial"/>
                <w:b/>
                <w:sz w:val="20"/>
                <w:lang w:val="es-ES"/>
              </w:rPr>
            </w:pPr>
            <w:r w:rsidRPr="00D868AB">
              <w:rPr>
                <w:rFonts w:cs="Arial"/>
                <w:b/>
                <w:sz w:val="20"/>
                <w:lang w:val="es-ES"/>
              </w:rPr>
              <w:t>Anexo 8.7</w:t>
            </w:r>
          </w:p>
        </w:tc>
        <w:tc>
          <w:tcPr>
            <w:tcW w:w="7081" w:type="dxa"/>
          </w:tcPr>
          <w:p w14:paraId="6FEAA1A9" w14:textId="77777777" w:rsidR="00D868AB" w:rsidRPr="00D868AB" w:rsidRDefault="00D868AB" w:rsidP="00D868AB">
            <w:pPr>
              <w:rPr>
                <w:rFonts w:cs="Arial"/>
                <w:sz w:val="20"/>
                <w:lang w:val="es-ES"/>
              </w:rPr>
            </w:pPr>
            <w:r w:rsidRPr="00D868AB">
              <w:rPr>
                <w:rFonts w:cs="Arial"/>
                <w:sz w:val="20"/>
                <w:lang w:val="es-ES"/>
              </w:rPr>
              <w:t>Tabulador Sueldos del Personal de Educación Pública del Estado de Colima - Puestos de profesores y educadoras.</w:t>
            </w:r>
          </w:p>
        </w:tc>
      </w:tr>
      <w:tr w:rsidR="00D868AB" w:rsidRPr="00D868AB" w14:paraId="2A57E0D0" w14:textId="77777777" w:rsidTr="00A755A7">
        <w:tc>
          <w:tcPr>
            <w:tcW w:w="1276" w:type="dxa"/>
          </w:tcPr>
          <w:p w14:paraId="5BF0B7F0" w14:textId="77777777" w:rsidR="00D868AB" w:rsidRPr="00D868AB" w:rsidRDefault="00D868AB" w:rsidP="00D868AB">
            <w:pPr>
              <w:rPr>
                <w:rFonts w:cs="Arial"/>
                <w:b/>
                <w:sz w:val="20"/>
                <w:lang w:val="es-ES"/>
              </w:rPr>
            </w:pPr>
            <w:r w:rsidRPr="00D868AB">
              <w:rPr>
                <w:rFonts w:cs="Arial"/>
                <w:b/>
                <w:sz w:val="20"/>
                <w:lang w:val="es-ES"/>
              </w:rPr>
              <w:t>Anexo 8.8</w:t>
            </w:r>
          </w:p>
        </w:tc>
        <w:tc>
          <w:tcPr>
            <w:tcW w:w="7081" w:type="dxa"/>
          </w:tcPr>
          <w:p w14:paraId="3CCD4835" w14:textId="77777777" w:rsidR="00D868AB" w:rsidRPr="00D868AB" w:rsidRDefault="00D868AB" w:rsidP="00D868AB">
            <w:pPr>
              <w:rPr>
                <w:rFonts w:cs="Arial"/>
                <w:sz w:val="20"/>
                <w:lang w:val="es-ES"/>
              </w:rPr>
            </w:pPr>
            <w:r w:rsidRPr="00D868AB">
              <w:rPr>
                <w:rFonts w:cs="Arial"/>
                <w:sz w:val="20"/>
                <w:lang w:val="es-ES"/>
              </w:rPr>
              <w:t>Tabulador de Horas Catedráticos 2023 del Personal de Educación Pública del Estado de Colima.</w:t>
            </w:r>
          </w:p>
        </w:tc>
      </w:tr>
      <w:tr w:rsidR="00D868AB" w:rsidRPr="00D868AB" w14:paraId="37DB4998" w14:textId="77777777" w:rsidTr="00A755A7">
        <w:tc>
          <w:tcPr>
            <w:tcW w:w="1276" w:type="dxa"/>
          </w:tcPr>
          <w:p w14:paraId="085850F3" w14:textId="77777777" w:rsidR="00D868AB" w:rsidRPr="00D868AB" w:rsidRDefault="00D868AB" w:rsidP="00D868AB">
            <w:pPr>
              <w:rPr>
                <w:rFonts w:cs="Arial"/>
                <w:b/>
                <w:sz w:val="20"/>
                <w:lang w:val="es-ES"/>
              </w:rPr>
            </w:pPr>
            <w:r w:rsidRPr="00D868AB">
              <w:rPr>
                <w:rFonts w:cs="Arial"/>
                <w:b/>
                <w:sz w:val="20"/>
                <w:lang w:val="es-ES"/>
              </w:rPr>
              <w:t>Anexo 8.9</w:t>
            </w:r>
          </w:p>
        </w:tc>
        <w:tc>
          <w:tcPr>
            <w:tcW w:w="7081" w:type="dxa"/>
          </w:tcPr>
          <w:p w14:paraId="3F263565" w14:textId="77777777" w:rsidR="00D868AB" w:rsidRPr="00D868AB" w:rsidRDefault="00D868AB" w:rsidP="00D868AB">
            <w:pPr>
              <w:rPr>
                <w:rFonts w:cs="Arial"/>
                <w:sz w:val="20"/>
                <w:lang w:val="es-ES"/>
              </w:rPr>
            </w:pPr>
            <w:r w:rsidRPr="00D868AB">
              <w:rPr>
                <w:rFonts w:cs="Arial"/>
                <w:sz w:val="20"/>
                <w:lang w:val="es-ES"/>
              </w:rPr>
              <w:t>Tabulador de Puestos de Directivos de Primaria y Jardín de Niños 2023 del Personal de Educación Pública del Estado de Colima.</w:t>
            </w:r>
          </w:p>
        </w:tc>
      </w:tr>
      <w:tr w:rsidR="00D868AB" w:rsidRPr="00D868AB" w14:paraId="5F9E200D" w14:textId="77777777" w:rsidTr="00A755A7">
        <w:tc>
          <w:tcPr>
            <w:tcW w:w="1276" w:type="dxa"/>
          </w:tcPr>
          <w:p w14:paraId="72A32741" w14:textId="77777777" w:rsidR="00D868AB" w:rsidRPr="00D868AB" w:rsidRDefault="00D868AB" w:rsidP="00D868AB">
            <w:pPr>
              <w:rPr>
                <w:rFonts w:cs="Arial"/>
                <w:b/>
                <w:sz w:val="20"/>
                <w:lang w:val="es-ES"/>
              </w:rPr>
            </w:pPr>
            <w:r w:rsidRPr="00D868AB">
              <w:rPr>
                <w:rFonts w:cs="Arial"/>
                <w:b/>
                <w:sz w:val="20"/>
                <w:lang w:val="es-ES"/>
              </w:rPr>
              <w:t>Anexo 8.10</w:t>
            </w:r>
          </w:p>
        </w:tc>
        <w:tc>
          <w:tcPr>
            <w:tcW w:w="7081" w:type="dxa"/>
          </w:tcPr>
          <w:p w14:paraId="7825DD0C" w14:textId="77777777" w:rsidR="00D868AB" w:rsidRPr="00D868AB" w:rsidRDefault="00D868AB" w:rsidP="00D868AB">
            <w:pPr>
              <w:rPr>
                <w:rFonts w:cs="Arial"/>
                <w:sz w:val="20"/>
                <w:lang w:val="es-ES"/>
              </w:rPr>
            </w:pPr>
            <w:r w:rsidRPr="00D868AB">
              <w:rPr>
                <w:rFonts w:cs="Arial"/>
                <w:sz w:val="20"/>
                <w:lang w:val="es-ES"/>
              </w:rPr>
              <w:t>Tabulador de Puestos de Directivos de Secundaria 2023 del Personal de Educación Pública del Estado de Colima.</w:t>
            </w:r>
          </w:p>
        </w:tc>
      </w:tr>
      <w:tr w:rsidR="00D868AB" w:rsidRPr="00D868AB" w14:paraId="76CE6DB0" w14:textId="77777777" w:rsidTr="00A755A7">
        <w:tc>
          <w:tcPr>
            <w:tcW w:w="1276" w:type="dxa"/>
          </w:tcPr>
          <w:p w14:paraId="504074F4" w14:textId="77777777" w:rsidR="00D868AB" w:rsidRPr="00D868AB" w:rsidRDefault="00D868AB" w:rsidP="00D868AB">
            <w:pPr>
              <w:rPr>
                <w:rFonts w:cs="Arial"/>
                <w:b/>
                <w:sz w:val="20"/>
                <w:lang w:val="es-ES"/>
              </w:rPr>
            </w:pPr>
            <w:r w:rsidRPr="00D868AB">
              <w:rPr>
                <w:rFonts w:cs="Arial"/>
                <w:b/>
                <w:sz w:val="20"/>
                <w:lang w:val="es-ES"/>
              </w:rPr>
              <w:t>Anexo 8.11</w:t>
            </w:r>
          </w:p>
        </w:tc>
        <w:tc>
          <w:tcPr>
            <w:tcW w:w="7081" w:type="dxa"/>
          </w:tcPr>
          <w:p w14:paraId="53D39380" w14:textId="77777777" w:rsidR="00D868AB" w:rsidRPr="00D868AB" w:rsidRDefault="00D868AB" w:rsidP="00D868AB">
            <w:pPr>
              <w:rPr>
                <w:rFonts w:cs="Arial"/>
                <w:sz w:val="20"/>
                <w:lang w:val="es-ES"/>
              </w:rPr>
            </w:pPr>
            <w:r w:rsidRPr="00D868AB">
              <w:rPr>
                <w:rFonts w:cs="Arial"/>
                <w:sz w:val="20"/>
                <w:lang w:val="es-ES"/>
              </w:rPr>
              <w:t>Tabulador de Puestos de Personal de Telesecundaria 2023 del Personal de Educación Pública del Estado de Colima.</w:t>
            </w:r>
          </w:p>
        </w:tc>
      </w:tr>
      <w:tr w:rsidR="00D868AB" w:rsidRPr="00D868AB" w14:paraId="7F577BD6" w14:textId="77777777" w:rsidTr="00A755A7">
        <w:tc>
          <w:tcPr>
            <w:tcW w:w="1276" w:type="dxa"/>
          </w:tcPr>
          <w:p w14:paraId="6852F11F" w14:textId="77777777" w:rsidR="00D868AB" w:rsidRPr="00D868AB" w:rsidRDefault="00D868AB" w:rsidP="00D868AB">
            <w:pPr>
              <w:rPr>
                <w:rFonts w:cs="Arial"/>
                <w:b/>
                <w:sz w:val="20"/>
                <w:lang w:val="es-ES"/>
              </w:rPr>
            </w:pPr>
            <w:r w:rsidRPr="00D868AB">
              <w:rPr>
                <w:rFonts w:cs="Arial"/>
                <w:b/>
                <w:sz w:val="20"/>
                <w:lang w:val="es-ES"/>
              </w:rPr>
              <w:t>Anexo 8.12</w:t>
            </w:r>
          </w:p>
        </w:tc>
        <w:tc>
          <w:tcPr>
            <w:tcW w:w="7081" w:type="dxa"/>
          </w:tcPr>
          <w:p w14:paraId="50F91996" w14:textId="77777777" w:rsidR="00D868AB" w:rsidRPr="00D868AB" w:rsidRDefault="00D868AB" w:rsidP="00D868AB">
            <w:pPr>
              <w:rPr>
                <w:rFonts w:cs="Arial"/>
                <w:sz w:val="20"/>
                <w:lang w:val="es-ES"/>
              </w:rPr>
            </w:pPr>
            <w:r w:rsidRPr="00D868AB">
              <w:rPr>
                <w:rFonts w:cs="Arial"/>
                <w:sz w:val="20"/>
                <w:lang w:val="es-ES"/>
              </w:rPr>
              <w:t>Tabulador de Puestos de personal del ISENCO 2023 de Educación Pública del Estado de Colima.</w:t>
            </w:r>
          </w:p>
        </w:tc>
      </w:tr>
      <w:tr w:rsidR="00D868AB" w:rsidRPr="00D868AB" w14:paraId="18DFF438" w14:textId="77777777" w:rsidTr="00A755A7">
        <w:tc>
          <w:tcPr>
            <w:tcW w:w="1276" w:type="dxa"/>
          </w:tcPr>
          <w:p w14:paraId="5A36B39B" w14:textId="77777777" w:rsidR="00D868AB" w:rsidRPr="00D868AB" w:rsidRDefault="00D868AB" w:rsidP="00D868AB">
            <w:pPr>
              <w:rPr>
                <w:rFonts w:cs="Arial"/>
                <w:b/>
                <w:sz w:val="20"/>
                <w:lang w:val="es-ES"/>
              </w:rPr>
            </w:pPr>
            <w:r w:rsidRPr="00D868AB">
              <w:rPr>
                <w:rFonts w:cs="Arial"/>
                <w:b/>
                <w:sz w:val="20"/>
                <w:lang w:val="es-ES"/>
              </w:rPr>
              <w:t>Anexo 8.13</w:t>
            </w:r>
          </w:p>
        </w:tc>
        <w:tc>
          <w:tcPr>
            <w:tcW w:w="7081" w:type="dxa"/>
          </w:tcPr>
          <w:p w14:paraId="7F952CAD" w14:textId="77777777" w:rsidR="00D868AB" w:rsidRPr="00D868AB" w:rsidRDefault="00D868AB" w:rsidP="00D868AB">
            <w:pPr>
              <w:rPr>
                <w:rFonts w:cs="Arial"/>
                <w:sz w:val="20"/>
                <w:lang w:val="es-ES"/>
              </w:rPr>
            </w:pPr>
            <w:r w:rsidRPr="00D868AB">
              <w:rPr>
                <w:rFonts w:cs="Arial"/>
                <w:sz w:val="20"/>
                <w:lang w:val="es-ES"/>
              </w:rPr>
              <w:t>Analítico de Plazas y Horas del Poder Ejecutivo Estatal 2023.</w:t>
            </w:r>
          </w:p>
        </w:tc>
      </w:tr>
      <w:bookmarkEnd w:id="150"/>
    </w:tbl>
    <w:p w14:paraId="62A8B620" w14:textId="77777777" w:rsidR="00D868AB" w:rsidRPr="00D868AB" w:rsidRDefault="00D868AB" w:rsidP="00D868AB">
      <w:pPr>
        <w:rPr>
          <w:rFonts w:cs="Arial"/>
          <w:lang w:val="es-ES"/>
        </w:rPr>
      </w:pPr>
    </w:p>
    <w:p w14:paraId="7D5FC2C9" w14:textId="77777777" w:rsidR="00D868AB" w:rsidRPr="00D868AB" w:rsidRDefault="00D868AB" w:rsidP="00D868AB">
      <w:pPr>
        <w:rPr>
          <w:rFonts w:cs="Arial"/>
          <w:lang w:val="es-ES"/>
        </w:rPr>
      </w:pPr>
      <w:r w:rsidRPr="00D868AB">
        <w:rPr>
          <w:rFonts w:cs="Arial"/>
          <w:b/>
          <w:lang w:val="es-ES"/>
        </w:rPr>
        <w:t>Artículo 40</w:t>
      </w:r>
      <w:r w:rsidRPr="00D868AB">
        <w:rPr>
          <w:rFonts w:cs="Arial"/>
          <w:lang w:val="es-ES"/>
        </w:rPr>
        <w:t xml:space="preserve">. Para el establecimiento y determinación de criterios que regulen los incrementos salariales, la Subsecretaría de Administración se sujetará a lo previsto en las normas y lineamientos en materia de administración, remuneraciones y desarrollo del personal, y cualquier otra incidencia que modifique la relación jurídico-laboral entre el Estado y sus servidores públicos, incluyendo el control y elaboración de la nómina del </w:t>
      </w:r>
      <w:r w:rsidRPr="00D868AB">
        <w:rPr>
          <w:rFonts w:cs="Arial"/>
          <w:lang w:val="es-ES"/>
        </w:rPr>
        <w:lastRenderedPageBreak/>
        <w:t>personal del Gobierno del Estado, lo anterior con fundamento en el artículo 24 de la Ley Orgánica de la Administración Pública del Estado de Colima; y los artículos 36, 56, 57 y 112 de la Ley de los Trabajadores al Servicio del Gobierno, Ayuntamientos y Organismos Descentralizados del Estado de Colima.</w:t>
      </w:r>
    </w:p>
    <w:p w14:paraId="5DC09F11" w14:textId="77777777" w:rsidR="00D868AB" w:rsidRPr="00D868AB" w:rsidRDefault="00D868AB" w:rsidP="00D868AB">
      <w:pPr>
        <w:rPr>
          <w:rFonts w:cs="Arial"/>
          <w:lang w:val="es-ES"/>
        </w:rPr>
      </w:pPr>
    </w:p>
    <w:p w14:paraId="41A3275E" w14:textId="77777777" w:rsidR="00D868AB" w:rsidRPr="00D868AB" w:rsidRDefault="00D868AB" w:rsidP="00D868AB">
      <w:pPr>
        <w:rPr>
          <w:rFonts w:cs="Arial"/>
          <w:lang w:val="es-ES"/>
        </w:rPr>
      </w:pPr>
      <w:r w:rsidRPr="00D868AB">
        <w:rPr>
          <w:rFonts w:cs="Arial"/>
          <w:lang w:val="es-ES"/>
        </w:rPr>
        <w:t>Los Entes Públicos y los Sindicatos establecerán conjuntamente los criterios y los períodos para revisar las prestaciones que disfruten los trabajadores. Las condiciones generales de trabajo de cada Ente Público deberán ser consultadas a la Subsecretaría de Administración.</w:t>
      </w:r>
    </w:p>
    <w:p w14:paraId="2B2A12F9" w14:textId="77777777" w:rsidR="00D868AB" w:rsidRPr="00D868AB" w:rsidRDefault="00D868AB" w:rsidP="00D868AB">
      <w:pPr>
        <w:rPr>
          <w:rFonts w:cs="Arial"/>
          <w:lang w:val="es-ES"/>
        </w:rPr>
      </w:pPr>
    </w:p>
    <w:p w14:paraId="08269B6C" w14:textId="77777777" w:rsidR="00D868AB" w:rsidRPr="00D868AB" w:rsidRDefault="00D868AB" w:rsidP="00D868AB">
      <w:pPr>
        <w:rPr>
          <w:rFonts w:cs="Arial"/>
          <w:lang w:val="es-ES"/>
        </w:rPr>
      </w:pPr>
      <w:r w:rsidRPr="00D868AB">
        <w:rPr>
          <w:rFonts w:cs="Arial"/>
          <w:b/>
          <w:lang w:val="es-ES"/>
        </w:rPr>
        <w:t xml:space="preserve">Artículo 41. </w:t>
      </w:r>
      <w:r w:rsidRPr="00D868AB">
        <w:rPr>
          <w:rFonts w:cs="Arial"/>
          <w:lang w:val="es-ES"/>
        </w:rPr>
        <w:t>Con cargo a la</w:t>
      </w:r>
      <w:r w:rsidRPr="00D868AB">
        <w:rPr>
          <w:rFonts w:cs="Arial"/>
          <w:b/>
          <w:lang w:val="es-ES"/>
        </w:rPr>
        <w:t xml:space="preserve"> </w:t>
      </w:r>
      <w:r w:rsidRPr="00D868AB">
        <w:rPr>
          <w:rFonts w:cs="Arial"/>
          <w:lang w:val="es-ES"/>
        </w:rPr>
        <w:t xml:space="preserve">partida </w:t>
      </w:r>
      <w:r w:rsidRPr="00D868AB">
        <w:rPr>
          <w:rFonts w:cs="Arial"/>
          <w:b/>
          <w:lang w:val="es-ES"/>
        </w:rPr>
        <w:t>Previsiones Salariales y Económicas</w:t>
      </w:r>
      <w:r w:rsidRPr="00D868AB">
        <w:rPr>
          <w:rFonts w:cs="Arial"/>
          <w:lang w:val="es-ES"/>
        </w:rPr>
        <w:t>, que es destinada a cubrir incrementos en percepciones de los servidores públicos, de conformidad por lo dispuesto en el artículo 10 fracción II de la Ley de Disciplina Financiera; se autorizan los siguientes recursos.</w:t>
      </w:r>
    </w:p>
    <w:p w14:paraId="4C254438" w14:textId="77777777" w:rsidR="00D868AB" w:rsidRPr="00D868AB" w:rsidRDefault="00D868AB" w:rsidP="00D868AB">
      <w:pPr>
        <w:keepNext/>
        <w:keepLines/>
        <w:outlineLvl w:val="2"/>
        <w:rPr>
          <w:rFonts w:eastAsia="Calibri" w:cs="Arial"/>
          <w:b/>
          <w:szCs w:val="24"/>
          <w:lang w:val="es-ES" w:eastAsia="en-US"/>
        </w:rPr>
      </w:pPr>
    </w:p>
    <w:p w14:paraId="4CB6E4D8" w14:textId="77777777" w:rsidR="00D868AB" w:rsidRPr="00D868AB" w:rsidRDefault="00D868AB" w:rsidP="00D868AB">
      <w:pPr>
        <w:jc w:val="center"/>
        <w:rPr>
          <w:rFonts w:eastAsia="Times New Roman" w:cs="Arial"/>
          <w:b/>
          <w:sz w:val="20"/>
          <w:lang w:val="es-ES"/>
        </w:rPr>
      </w:pPr>
      <w:bookmarkStart w:id="151" w:name="_Toc522869270"/>
      <w:bookmarkStart w:id="152" w:name="_Toc526757485"/>
      <w:bookmarkStart w:id="153" w:name="_Toc22021932"/>
      <w:bookmarkStart w:id="154" w:name="_Toc22983189"/>
      <w:r w:rsidRPr="00D868AB">
        <w:rPr>
          <w:rFonts w:eastAsia="Times New Roman" w:cs="Arial"/>
          <w:b/>
          <w:sz w:val="20"/>
          <w:lang w:val="es-ES"/>
        </w:rPr>
        <w:t>Tabla 28. Previsiones Salariales y Económicas</w:t>
      </w:r>
      <w:bookmarkEnd w:id="151"/>
      <w:bookmarkEnd w:id="152"/>
      <w:bookmarkEnd w:id="153"/>
      <w:bookmarkEnd w:id="154"/>
    </w:p>
    <w:tbl>
      <w:tblPr>
        <w:tblW w:w="7376" w:type="dxa"/>
        <w:jc w:val="center"/>
        <w:tblCellMar>
          <w:left w:w="70" w:type="dxa"/>
          <w:right w:w="70" w:type="dxa"/>
        </w:tblCellMar>
        <w:tblLook w:val="04A0" w:firstRow="1" w:lastRow="0" w:firstColumn="1" w:lastColumn="0" w:noHBand="0" w:noVBand="1"/>
      </w:tblPr>
      <w:tblGrid>
        <w:gridCol w:w="992"/>
        <w:gridCol w:w="4683"/>
        <w:gridCol w:w="1701"/>
      </w:tblGrid>
      <w:tr w:rsidR="00D868AB" w:rsidRPr="00D868AB" w14:paraId="06AB3064" w14:textId="77777777" w:rsidTr="00A755A7">
        <w:trPr>
          <w:trHeight w:val="510"/>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61DC5" w14:textId="77777777" w:rsidR="00D868AB" w:rsidRPr="00D868AB" w:rsidRDefault="00D868AB" w:rsidP="00D868AB">
            <w:pPr>
              <w:jc w:val="center"/>
              <w:rPr>
                <w:rFonts w:eastAsia="Times New Roman" w:cs="Arial"/>
                <w:b/>
                <w:bCs/>
                <w:sz w:val="20"/>
              </w:rPr>
            </w:pPr>
            <w:r w:rsidRPr="00D868AB">
              <w:rPr>
                <w:rFonts w:eastAsia="Times New Roman" w:cs="Arial"/>
                <w:b/>
                <w:bCs/>
                <w:sz w:val="20"/>
              </w:rPr>
              <w:t>Partida</w:t>
            </w:r>
          </w:p>
        </w:tc>
        <w:tc>
          <w:tcPr>
            <w:tcW w:w="4683" w:type="dxa"/>
            <w:tcBorders>
              <w:top w:val="single" w:sz="4" w:space="0" w:color="auto"/>
              <w:left w:val="nil"/>
              <w:bottom w:val="single" w:sz="4" w:space="0" w:color="auto"/>
              <w:right w:val="single" w:sz="4" w:space="0" w:color="auto"/>
            </w:tcBorders>
            <w:shd w:val="clear" w:color="auto" w:fill="auto"/>
            <w:vAlign w:val="center"/>
            <w:hideMark/>
          </w:tcPr>
          <w:p w14:paraId="1160C63E" w14:textId="77777777" w:rsidR="00D868AB" w:rsidRPr="00D868AB" w:rsidRDefault="00D868AB" w:rsidP="00D868AB">
            <w:pPr>
              <w:jc w:val="center"/>
              <w:rPr>
                <w:rFonts w:eastAsia="Times New Roman" w:cs="Arial"/>
                <w:b/>
                <w:bCs/>
                <w:sz w:val="20"/>
              </w:rPr>
            </w:pPr>
            <w:r w:rsidRPr="00D868AB">
              <w:rPr>
                <w:rFonts w:eastAsia="Times New Roman" w:cs="Arial"/>
                <w:b/>
                <w:bCs/>
                <w:sz w:val="20"/>
              </w:rPr>
              <w:t>Concepto</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8A1EA6D" w14:textId="77777777" w:rsidR="00D868AB" w:rsidRPr="00D868AB" w:rsidRDefault="00D868AB" w:rsidP="00D868AB">
            <w:pPr>
              <w:jc w:val="center"/>
              <w:rPr>
                <w:rFonts w:eastAsia="Times New Roman" w:cs="Arial"/>
                <w:b/>
                <w:bCs/>
                <w:sz w:val="20"/>
              </w:rPr>
            </w:pPr>
            <w:r w:rsidRPr="00D868AB">
              <w:rPr>
                <w:rFonts w:eastAsia="Times New Roman" w:cs="Arial"/>
                <w:b/>
                <w:bCs/>
                <w:sz w:val="20"/>
              </w:rPr>
              <w:t>Asignación Presupuestal</w:t>
            </w:r>
          </w:p>
        </w:tc>
      </w:tr>
      <w:tr w:rsidR="00D868AB" w:rsidRPr="00D868AB" w14:paraId="7C32D3D6" w14:textId="77777777" w:rsidTr="00A755A7">
        <w:trPr>
          <w:trHeight w:val="262"/>
          <w:jc w:val="center"/>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6C292B" w14:textId="77777777" w:rsidR="00D868AB" w:rsidRPr="00D868AB" w:rsidRDefault="00D868AB" w:rsidP="00D868AB">
            <w:pPr>
              <w:jc w:val="center"/>
              <w:rPr>
                <w:rFonts w:eastAsia="Times New Roman" w:cs="Arial"/>
                <w:bCs/>
                <w:sz w:val="20"/>
              </w:rPr>
            </w:pPr>
            <w:r w:rsidRPr="00D868AB">
              <w:rPr>
                <w:rFonts w:eastAsia="Times New Roman" w:cs="Arial"/>
                <w:sz w:val="20"/>
              </w:rPr>
              <w:t>16101</w:t>
            </w:r>
          </w:p>
        </w:tc>
        <w:tc>
          <w:tcPr>
            <w:tcW w:w="4683" w:type="dxa"/>
            <w:tcBorders>
              <w:top w:val="single" w:sz="4" w:space="0" w:color="auto"/>
              <w:left w:val="nil"/>
              <w:bottom w:val="single" w:sz="4" w:space="0" w:color="auto"/>
              <w:right w:val="single" w:sz="4" w:space="0" w:color="auto"/>
            </w:tcBorders>
            <w:shd w:val="clear" w:color="auto" w:fill="auto"/>
            <w:vAlign w:val="center"/>
          </w:tcPr>
          <w:p w14:paraId="00744359" w14:textId="77777777" w:rsidR="00D868AB" w:rsidRPr="00D868AB" w:rsidRDefault="00D868AB" w:rsidP="00D868AB">
            <w:pPr>
              <w:rPr>
                <w:rFonts w:eastAsia="Times New Roman" w:cs="Arial"/>
                <w:bCs/>
                <w:sz w:val="20"/>
              </w:rPr>
            </w:pPr>
            <w:r w:rsidRPr="00D868AB">
              <w:rPr>
                <w:rFonts w:eastAsia="Times New Roman" w:cs="Arial"/>
                <w:bCs/>
                <w:sz w:val="20"/>
              </w:rPr>
              <w:t>Previsiones Salariales y Económicas.</w:t>
            </w:r>
          </w:p>
        </w:tc>
        <w:tc>
          <w:tcPr>
            <w:tcW w:w="1701" w:type="dxa"/>
            <w:tcBorders>
              <w:top w:val="single" w:sz="4" w:space="0" w:color="auto"/>
              <w:left w:val="nil"/>
              <w:bottom w:val="single" w:sz="4" w:space="0" w:color="auto"/>
              <w:right w:val="single" w:sz="4" w:space="0" w:color="auto"/>
            </w:tcBorders>
            <w:shd w:val="clear" w:color="auto" w:fill="auto"/>
            <w:vAlign w:val="center"/>
          </w:tcPr>
          <w:p w14:paraId="07485007" w14:textId="77777777" w:rsidR="00D868AB" w:rsidRPr="00D868AB" w:rsidRDefault="00D868AB" w:rsidP="00D868AB">
            <w:pPr>
              <w:jc w:val="right"/>
              <w:rPr>
                <w:rFonts w:cs="Arial"/>
                <w:bCs/>
                <w:sz w:val="20"/>
              </w:rPr>
            </w:pPr>
            <w:r w:rsidRPr="00D868AB">
              <w:rPr>
                <w:rFonts w:cs="Arial"/>
                <w:bCs/>
                <w:sz w:val="20"/>
              </w:rPr>
              <w:t>82,029,468</w:t>
            </w:r>
          </w:p>
        </w:tc>
      </w:tr>
    </w:tbl>
    <w:p w14:paraId="44F5C665" w14:textId="77777777" w:rsidR="00D868AB" w:rsidRPr="00D868AB" w:rsidRDefault="00D868AB" w:rsidP="00D868AB">
      <w:pPr>
        <w:rPr>
          <w:rFonts w:cs="Arial"/>
          <w:b/>
          <w:lang w:val="es-ES"/>
        </w:rPr>
      </w:pPr>
    </w:p>
    <w:p w14:paraId="23C8E67D" w14:textId="77777777" w:rsidR="00D868AB" w:rsidRPr="00D868AB" w:rsidRDefault="00D868AB" w:rsidP="00D868AB">
      <w:pPr>
        <w:rPr>
          <w:rFonts w:cs="Arial"/>
          <w:lang w:val="es-ES"/>
        </w:rPr>
      </w:pPr>
      <w:r w:rsidRPr="00D868AB">
        <w:rPr>
          <w:rFonts w:cs="Arial"/>
          <w:b/>
          <w:lang w:val="es-ES"/>
        </w:rPr>
        <w:t>Artículo 42.</w:t>
      </w:r>
      <w:r w:rsidRPr="00D868AB">
        <w:rPr>
          <w:rFonts w:cs="Arial"/>
          <w:lang w:val="es-ES"/>
        </w:rPr>
        <w:t xml:space="preserve"> Las erogaciones previstas para Pensiones son las siguientes:</w:t>
      </w:r>
    </w:p>
    <w:p w14:paraId="6D3EFC0F" w14:textId="77777777" w:rsidR="00D868AB" w:rsidRPr="00D868AB" w:rsidRDefault="00D868AB" w:rsidP="00D868AB">
      <w:pPr>
        <w:keepNext/>
        <w:keepLines/>
        <w:outlineLvl w:val="2"/>
        <w:rPr>
          <w:rFonts w:eastAsia="Calibri" w:cs="Arial"/>
          <w:b/>
          <w:szCs w:val="24"/>
          <w:lang w:val="es-ES" w:eastAsia="en-US"/>
        </w:rPr>
      </w:pPr>
    </w:p>
    <w:p w14:paraId="2458C390" w14:textId="77777777" w:rsidR="00D868AB" w:rsidRPr="00D868AB" w:rsidRDefault="00D868AB" w:rsidP="00D868AB">
      <w:pPr>
        <w:jc w:val="center"/>
        <w:rPr>
          <w:rFonts w:eastAsia="Times New Roman" w:cs="Arial"/>
          <w:b/>
          <w:sz w:val="20"/>
          <w:lang w:val="es-ES"/>
        </w:rPr>
      </w:pPr>
      <w:bookmarkStart w:id="155" w:name="_Toc522869274"/>
      <w:bookmarkStart w:id="156" w:name="_Toc526757486"/>
      <w:bookmarkStart w:id="157" w:name="_Toc22021933"/>
      <w:bookmarkStart w:id="158" w:name="_Toc22983190"/>
      <w:r w:rsidRPr="00D868AB">
        <w:rPr>
          <w:rFonts w:eastAsia="Times New Roman" w:cs="Arial"/>
          <w:b/>
          <w:sz w:val="20"/>
          <w:lang w:val="es-ES"/>
        </w:rPr>
        <w:t>Tabla 29. Erogaciones Previstas para Pensiones</w:t>
      </w:r>
      <w:bookmarkEnd w:id="155"/>
      <w:bookmarkEnd w:id="156"/>
      <w:bookmarkEnd w:id="157"/>
      <w:bookmarkEnd w:id="1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4677"/>
        <w:gridCol w:w="1707"/>
      </w:tblGrid>
      <w:tr w:rsidR="00D868AB" w:rsidRPr="00D868AB" w14:paraId="2E99F722" w14:textId="77777777" w:rsidTr="00A755A7">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32561" w14:textId="77777777" w:rsidR="00D868AB" w:rsidRPr="00D868AB" w:rsidRDefault="00D868AB" w:rsidP="00D868AB">
            <w:pPr>
              <w:jc w:val="center"/>
              <w:rPr>
                <w:rFonts w:cs="Arial"/>
                <w:b/>
                <w:sz w:val="20"/>
                <w:lang w:val="es-ES"/>
              </w:rPr>
            </w:pPr>
            <w:r w:rsidRPr="00D868AB">
              <w:rPr>
                <w:rFonts w:cs="Arial"/>
                <w:b/>
                <w:sz w:val="20"/>
                <w:lang w:val="es-ES"/>
              </w:rPr>
              <w:t>Partida</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DF1AD" w14:textId="77777777" w:rsidR="00D868AB" w:rsidRPr="00D868AB" w:rsidRDefault="00D868AB" w:rsidP="00D868AB">
            <w:pPr>
              <w:jc w:val="center"/>
              <w:rPr>
                <w:rFonts w:cs="Arial"/>
                <w:b/>
                <w:sz w:val="20"/>
                <w:lang w:val="es-ES"/>
              </w:rPr>
            </w:pPr>
            <w:r w:rsidRPr="00D868AB">
              <w:rPr>
                <w:rFonts w:cs="Arial"/>
                <w:b/>
                <w:sz w:val="20"/>
                <w:lang w:val="es-ES"/>
              </w:rPr>
              <w:t>Concepto</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BD4201" w14:textId="77777777" w:rsidR="00D868AB" w:rsidRPr="00D868AB" w:rsidRDefault="00D868AB" w:rsidP="00D868AB">
            <w:pPr>
              <w:jc w:val="center"/>
              <w:rPr>
                <w:rFonts w:cs="Arial"/>
                <w:b/>
                <w:sz w:val="20"/>
                <w:lang w:val="es-ES"/>
              </w:rPr>
            </w:pPr>
            <w:r w:rsidRPr="00D868AB">
              <w:rPr>
                <w:rFonts w:cs="Arial"/>
                <w:b/>
                <w:sz w:val="20"/>
                <w:lang w:val="es-ES"/>
              </w:rPr>
              <w:t>Asignación Presupuestal</w:t>
            </w:r>
          </w:p>
        </w:tc>
      </w:tr>
      <w:tr w:rsidR="00D868AB" w:rsidRPr="00D868AB" w14:paraId="50720105" w14:textId="77777777" w:rsidTr="00A755A7">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AA93DD" w14:textId="77777777" w:rsidR="00D868AB" w:rsidRPr="00D868AB" w:rsidRDefault="00D868AB" w:rsidP="00D868AB">
            <w:pPr>
              <w:jc w:val="center"/>
              <w:rPr>
                <w:rFonts w:cs="Arial"/>
                <w:sz w:val="20"/>
                <w:lang w:val="es-ES"/>
              </w:rPr>
            </w:pPr>
            <w:r w:rsidRPr="00D868AB">
              <w:rPr>
                <w:rFonts w:cs="Arial"/>
                <w:sz w:val="20"/>
                <w:lang w:val="es-ES"/>
              </w:rPr>
              <w:t>45101</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76E30" w14:textId="77777777" w:rsidR="00D868AB" w:rsidRPr="00D868AB" w:rsidRDefault="00D868AB" w:rsidP="00D868AB">
            <w:pPr>
              <w:rPr>
                <w:rFonts w:cs="Arial"/>
                <w:sz w:val="20"/>
                <w:lang w:val="es-ES"/>
              </w:rPr>
            </w:pPr>
            <w:r w:rsidRPr="00D868AB">
              <w:rPr>
                <w:rFonts w:cs="Arial"/>
                <w:sz w:val="20"/>
                <w:lang w:val="es-ES"/>
              </w:rPr>
              <w:t>Pensiones Magisterio.</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2C4AE64E" w14:textId="77777777" w:rsidR="00D868AB" w:rsidRPr="00D868AB" w:rsidRDefault="00D868AB" w:rsidP="00D868AB">
            <w:pPr>
              <w:jc w:val="right"/>
              <w:rPr>
                <w:rFonts w:cs="Arial"/>
                <w:sz w:val="20"/>
                <w:lang w:val="es-ES"/>
              </w:rPr>
            </w:pPr>
            <w:r w:rsidRPr="00D868AB">
              <w:rPr>
                <w:rFonts w:cs="Arial"/>
                <w:color w:val="000000"/>
                <w:sz w:val="20"/>
                <w:szCs w:val="20"/>
              </w:rPr>
              <w:t>135,603,968</w:t>
            </w:r>
          </w:p>
        </w:tc>
      </w:tr>
      <w:tr w:rsidR="00D868AB" w:rsidRPr="00D868AB" w14:paraId="0930316C" w14:textId="77777777" w:rsidTr="00A755A7">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9E0FFB" w14:textId="77777777" w:rsidR="00D868AB" w:rsidRPr="00D868AB" w:rsidRDefault="00D868AB" w:rsidP="00D868AB">
            <w:pPr>
              <w:jc w:val="center"/>
              <w:rPr>
                <w:rFonts w:cs="Arial"/>
                <w:sz w:val="20"/>
                <w:lang w:val="es-ES"/>
              </w:rPr>
            </w:pPr>
            <w:r w:rsidRPr="00D868AB">
              <w:rPr>
                <w:rFonts w:cs="Arial"/>
                <w:sz w:val="20"/>
                <w:lang w:val="es-ES"/>
              </w:rPr>
              <w:t>45102</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7F0FF" w14:textId="77777777" w:rsidR="00D868AB" w:rsidRPr="00D868AB" w:rsidRDefault="00D868AB" w:rsidP="00D868AB">
            <w:pPr>
              <w:rPr>
                <w:rFonts w:cs="Arial"/>
                <w:sz w:val="20"/>
                <w:lang w:val="es-ES"/>
              </w:rPr>
            </w:pPr>
            <w:r w:rsidRPr="00D868AB">
              <w:rPr>
                <w:rFonts w:cs="Arial"/>
                <w:sz w:val="20"/>
                <w:lang w:val="es-ES"/>
              </w:rPr>
              <w:t>Pensiones Burocracia.</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19450DD4" w14:textId="77777777" w:rsidR="00D868AB" w:rsidRPr="00D868AB" w:rsidRDefault="00D868AB" w:rsidP="00D868AB">
            <w:pPr>
              <w:jc w:val="right"/>
              <w:rPr>
                <w:rFonts w:cs="Arial"/>
                <w:sz w:val="20"/>
                <w:lang w:val="es-ES"/>
              </w:rPr>
            </w:pPr>
            <w:r w:rsidRPr="00D868AB">
              <w:rPr>
                <w:rFonts w:cs="Arial"/>
                <w:color w:val="000000"/>
                <w:sz w:val="20"/>
                <w:szCs w:val="20"/>
              </w:rPr>
              <w:t>216,355,378</w:t>
            </w:r>
          </w:p>
        </w:tc>
      </w:tr>
      <w:tr w:rsidR="00D868AB" w:rsidRPr="00D868AB" w14:paraId="3CB59132" w14:textId="77777777" w:rsidTr="00A755A7">
        <w:trPr>
          <w:trHeight w:val="227"/>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18E4A094" w14:textId="77777777" w:rsidR="00D868AB" w:rsidRPr="00D868AB" w:rsidRDefault="00D868AB" w:rsidP="00D868AB">
            <w:pPr>
              <w:jc w:val="center"/>
              <w:rPr>
                <w:rFonts w:cs="Arial"/>
                <w:sz w:val="20"/>
                <w:lang w:val="es-ES"/>
              </w:rPr>
            </w:pPr>
          </w:p>
        </w:tc>
        <w:tc>
          <w:tcPr>
            <w:tcW w:w="4677" w:type="dxa"/>
            <w:tcBorders>
              <w:top w:val="single" w:sz="4" w:space="0" w:color="auto"/>
              <w:left w:val="single" w:sz="4" w:space="0" w:color="auto"/>
              <w:bottom w:val="single" w:sz="4" w:space="0" w:color="auto"/>
              <w:right w:val="single" w:sz="4" w:space="0" w:color="auto"/>
            </w:tcBorders>
            <w:shd w:val="clear" w:color="auto" w:fill="auto"/>
            <w:vAlign w:val="center"/>
          </w:tcPr>
          <w:p w14:paraId="15F104EA" w14:textId="77777777" w:rsidR="00D868AB" w:rsidRPr="00D868AB" w:rsidRDefault="00D868AB" w:rsidP="00D868AB">
            <w:pPr>
              <w:jc w:val="center"/>
              <w:rPr>
                <w:rFonts w:cs="Arial"/>
                <w:sz w:val="20"/>
                <w:lang w:val="es-ES"/>
              </w:rPr>
            </w:pPr>
            <w:r w:rsidRPr="00D868AB">
              <w:rPr>
                <w:rFonts w:cs="Arial"/>
                <w:b/>
                <w:sz w:val="20"/>
                <w:lang w:val="es-ES"/>
              </w:rPr>
              <w:t>Total</w:t>
            </w:r>
          </w:p>
        </w:tc>
        <w:tc>
          <w:tcPr>
            <w:tcW w:w="1707" w:type="dxa"/>
            <w:tcBorders>
              <w:top w:val="single" w:sz="4" w:space="0" w:color="auto"/>
              <w:left w:val="single" w:sz="4" w:space="0" w:color="auto"/>
              <w:bottom w:val="single" w:sz="4" w:space="0" w:color="auto"/>
              <w:right w:val="single" w:sz="4" w:space="0" w:color="auto"/>
            </w:tcBorders>
            <w:shd w:val="clear" w:color="auto" w:fill="auto"/>
            <w:vAlign w:val="center"/>
          </w:tcPr>
          <w:p w14:paraId="5A5652DB" w14:textId="77777777" w:rsidR="00D868AB" w:rsidRPr="00D868AB" w:rsidRDefault="00D868AB" w:rsidP="00D868AB">
            <w:pPr>
              <w:jc w:val="right"/>
              <w:rPr>
                <w:rFonts w:cs="Arial"/>
                <w:sz w:val="20"/>
                <w:lang w:val="es-ES"/>
              </w:rPr>
            </w:pPr>
            <w:r w:rsidRPr="00D868AB">
              <w:rPr>
                <w:rFonts w:cs="Arial"/>
                <w:b/>
                <w:bCs/>
                <w:color w:val="000000"/>
                <w:sz w:val="20"/>
                <w:szCs w:val="20"/>
              </w:rPr>
              <w:t>351,959,346</w:t>
            </w:r>
          </w:p>
        </w:tc>
      </w:tr>
    </w:tbl>
    <w:p w14:paraId="3D8D4EDE" w14:textId="77777777" w:rsidR="00D868AB" w:rsidRPr="00D868AB" w:rsidRDefault="00D868AB" w:rsidP="00D868AB">
      <w:pPr>
        <w:rPr>
          <w:rFonts w:cs="Arial"/>
          <w:lang w:val="es-ES"/>
        </w:rPr>
      </w:pPr>
    </w:p>
    <w:p w14:paraId="711782B9" w14:textId="77777777" w:rsidR="00D868AB" w:rsidRPr="00D868AB" w:rsidRDefault="00D868AB" w:rsidP="00D868AB">
      <w:pPr>
        <w:rPr>
          <w:rFonts w:cs="Arial"/>
          <w:lang w:val="es-ES"/>
        </w:rPr>
      </w:pPr>
      <w:r w:rsidRPr="00D868AB">
        <w:rPr>
          <w:rFonts w:cs="Arial"/>
          <w:b/>
          <w:lang w:val="es-ES"/>
        </w:rPr>
        <w:t>Artículo 43.</w:t>
      </w:r>
      <w:r w:rsidRPr="00D868AB">
        <w:rPr>
          <w:rFonts w:cs="Arial"/>
          <w:lang w:val="es-ES"/>
        </w:rPr>
        <w:t xml:space="preserve"> Las erogaciones previstas para Jubilaciones son las siguientes:</w:t>
      </w:r>
    </w:p>
    <w:p w14:paraId="2DFED883" w14:textId="77777777" w:rsidR="00D868AB" w:rsidRPr="00D868AB" w:rsidRDefault="00D868AB" w:rsidP="00D868AB">
      <w:pPr>
        <w:keepNext/>
        <w:keepLines/>
        <w:outlineLvl w:val="2"/>
        <w:rPr>
          <w:rFonts w:eastAsia="Calibri" w:cs="Arial"/>
          <w:b/>
          <w:szCs w:val="24"/>
          <w:lang w:val="es-ES" w:eastAsia="en-US"/>
        </w:rPr>
      </w:pPr>
    </w:p>
    <w:p w14:paraId="24C4E33F" w14:textId="77777777" w:rsidR="00D868AB" w:rsidRPr="00D868AB" w:rsidRDefault="00D868AB" w:rsidP="00D868AB">
      <w:pPr>
        <w:jc w:val="center"/>
        <w:rPr>
          <w:rFonts w:eastAsia="Times New Roman" w:cs="Arial"/>
          <w:b/>
          <w:sz w:val="20"/>
          <w:lang w:val="es-ES"/>
        </w:rPr>
      </w:pPr>
      <w:bookmarkStart w:id="159" w:name="_Toc522869275"/>
      <w:bookmarkStart w:id="160" w:name="_Toc526757487"/>
      <w:bookmarkStart w:id="161" w:name="_Toc22021934"/>
      <w:bookmarkStart w:id="162" w:name="_Toc22983191"/>
      <w:r w:rsidRPr="00D868AB">
        <w:rPr>
          <w:rFonts w:eastAsia="Times New Roman" w:cs="Arial"/>
          <w:b/>
          <w:sz w:val="20"/>
          <w:lang w:val="es-ES"/>
        </w:rPr>
        <w:t>Tabla 30. Erogaciones Previstas para Jubilaciones</w:t>
      </w:r>
      <w:bookmarkEnd w:id="159"/>
      <w:bookmarkEnd w:id="160"/>
      <w:bookmarkEnd w:id="161"/>
      <w:bookmarkEnd w:id="1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770"/>
        <w:gridCol w:w="1843"/>
      </w:tblGrid>
      <w:tr w:rsidR="00D868AB" w:rsidRPr="00D868AB" w14:paraId="401A95CD" w14:textId="77777777" w:rsidTr="00A755A7">
        <w:trPr>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EB092" w14:textId="77777777" w:rsidR="00D868AB" w:rsidRPr="00D868AB" w:rsidRDefault="00D868AB" w:rsidP="00D868AB">
            <w:pPr>
              <w:jc w:val="center"/>
              <w:rPr>
                <w:rFonts w:cs="Arial"/>
                <w:b/>
                <w:sz w:val="20"/>
                <w:lang w:val="es-ES"/>
              </w:rPr>
            </w:pPr>
            <w:r w:rsidRPr="00D868AB">
              <w:rPr>
                <w:rFonts w:cs="Arial"/>
                <w:b/>
                <w:sz w:val="20"/>
                <w:lang w:val="es-ES"/>
              </w:rPr>
              <w:t>Partida</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D88BDB" w14:textId="77777777" w:rsidR="00D868AB" w:rsidRPr="00D868AB" w:rsidRDefault="00D868AB" w:rsidP="00D868AB">
            <w:pPr>
              <w:jc w:val="center"/>
              <w:rPr>
                <w:rFonts w:cs="Arial"/>
                <w:b/>
                <w:sz w:val="20"/>
                <w:lang w:val="es-ES"/>
              </w:rPr>
            </w:pPr>
            <w:r w:rsidRPr="00D868AB">
              <w:rPr>
                <w:rFonts w:cs="Arial"/>
                <w:b/>
                <w:sz w:val="20"/>
                <w:lang w:val="es-ES"/>
              </w:rPr>
              <w:t>Concepto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7A40F3" w14:textId="77777777" w:rsidR="00D868AB" w:rsidRPr="00D868AB" w:rsidRDefault="00D868AB" w:rsidP="00D868AB">
            <w:pPr>
              <w:jc w:val="center"/>
              <w:rPr>
                <w:rFonts w:cs="Arial"/>
                <w:b/>
                <w:sz w:val="20"/>
                <w:lang w:val="es-ES"/>
              </w:rPr>
            </w:pPr>
            <w:r w:rsidRPr="00D868AB">
              <w:rPr>
                <w:rFonts w:cs="Arial"/>
                <w:b/>
                <w:sz w:val="20"/>
                <w:lang w:val="es-ES"/>
              </w:rPr>
              <w:t>Asignación Presupuestal</w:t>
            </w:r>
          </w:p>
        </w:tc>
      </w:tr>
      <w:tr w:rsidR="00D868AB" w:rsidRPr="00D868AB" w14:paraId="2375187A" w14:textId="77777777" w:rsidTr="00A755A7">
        <w:trPr>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1A620" w14:textId="77777777" w:rsidR="00D868AB" w:rsidRPr="00D868AB" w:rsidRDefault="00D868AB" w:rsidP="00D868AB">
            <w:pPr>
              <w:jc w:val="center"/>
              <w:rPr>
                <w:rFonts w:cs="Arial"/>
                <w:sz w:val="20"/>
                <w:lang w:val="es-ES"/>
              </w:rPr>
            </w:pPr>
            <w:r w:rsidRPr="00D868AB">
              <w:rPr>
                <w:rFonts w:cs="Arial"/>
                <w:sz w:val="20"/>
                <w:lang w:val="es-ES"/>
              </w:rPr>
              <w:t>45201</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7EEC80" w14:textId="77777777" w:rsidR="00D868AB" w:rsidRPr="00D868AB" w:rsidRDefault="00D868AB" w:rsidP="00D868AB">
            <w:pPr>
              <w:rPr>
                <w:rFonts w:cs="Arial"/>
                <w:sz w:val="20"/>
                <w:lang w:val="es-ES"/>
              </w:rPr>
            </w:pPr>
            <w:r w:rsidRPr="00D868AB">
              <w:rPr>
                <w:rFonts w:cs="Arial"/>
                <w:sz w:val="20"/>
                <w:lang w:val="es-ES"/>
              </w:rPr>
              <w:t>Jubilaciones Magisterio.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34399EF" w14:textId="77777777" w:rsidR="00D868AB" w:rsidRPr="00D868AB" w:rsidRDefault="00D868AB" w:rsidP="00D868AB">
            <w:pPr>
              <w:jc w:val="right"/>
              <w:rPr>
                <w:rFonts w:cs="Arial"/>
                <w:sz w:val="20"/>
                <w:lang w:val="es-ES"/>
              </w:rPr>
            </w:pPr>
            <w:r w:rsidRPr="00D868AB">
              <w:rPr>
                <w:rFonts w:cs="Arial"/>
                <w:color w:val="000000"/>
                <w:sz w:val="20"/>
                <w:szCs w:val="20"/>
              </w:rPr>
              <w:t>283,782,785</w:t>
            </w:r>
          </w:p>
        </w:tc>
      </w:tr>
      <w:tr w:rsidR="00D868AB" w:rsidRPr="00D868AB" w14:paraId="6F52B080" w14:textId="77777777" w:rsidTr="00A755A7">
        <w:trPr>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38D211" w14:textId="77777777" w:rsidR="00D868AB" w:rsidRPr="00D868AB" w:rsidRDefault="00D868AB" w:rsidP="00D868AB">
            <w:pPr>
              <w:jc w:val="center"/>
              <w:rPr>
                <w:rFonts w:cs="Arial"/>
                <w:sz w:val="20"/>
                <w:lang w:val="es-ES"/>
              </w:rPr>
            </w:pPr>
            <w:r w:rsidRPr="00D868AB">
              <w:rPr>
                <w:rFonts w:cs="Arial"/>
                <w:sz w:val="20"/>
                <w:lang w:val="es-ES"/>
              </w:rPr>
              <w:t>45202</w:t>
            </w: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DFB689" w14:textId="77777777" w:rsidR="00D868AB" w:rsidRPr="00D868AB" w:rsidRDefault="00D868AB" w:rsidP="00D868AB">
            <w:pPr>
              <w:rPr>
                <w:rFonts w:cs="Arial"/>
                <w:sz w:val="20"/>
                <w:lang w:val="es-ES"/>
              </w:rPr>
            </w:pPr>
            <w:r w:rsidRPr="00D868AB">
              <w:rPr>
                <w:rFonts w:cs="Arial"/>
                <w:sz w:val="20"/>
                <w:lang w:val="es-ES"/>
              </w:rPr>
              <w:t>Jubilaciones Burocracia.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56A6FDF" w14:textId="77777777" w:rsidR="00D868AB" w:rsidRPr="00D868AB" w:rsidRDefault="00D868AB" w:rsidP="00D868AB">
            <w:pPr>
              <w:jc w:val="right"/>
              <w:rPr>
                <w:rFonts w:cs="Arial"/>
                <w:sz w:val="20"/>
                <w:lang w:val="es-ES"/>
              </w:rPr>
            </w:pPr>
            <w:r w:rsidRPr="00D868AB">
              <w:rPr>
                <w:rFonts w:cs="Arial"/>
                <w:color w:val="000000"/>
                <w:sz w:val="20"/>
                <w:szCs w:val="20"/>
              </w:rPr>
              <w:t>503,695,027</w:t>
            </w:r>
          </w:p>
        </w:tc>
      </w:tr>
      <w:tr w:rsidR="00D868AB" w:rsidRPr="00D868AB" w14:paraId="0916301E" w14:textId="77777777" w:rsidTr="00A755A7">
        <w:trPr>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524A0D51" w14:textId="77777777" w:rsidR="00D868AB" w:rsidRPr="00D868AB" w:rsidRDefault="00D868AB" w:rsidP="00D868AB">
            <w:pPr>
              <w:jc w:val="center"/>
              <w:rPr>
                <w:rFonts w:cs="Arial"/>
                <w:sz w:val="20"/>
                <w:lang w:val="es-ES"/>
              </w:rPr>
            </w:pPr>
          </w:p>
        </w:tc>
        <w:tc>
          <w:tcPr>
            <w:tcW w:w="4770" w:type="dxa"/>
            <w:tcBorders>
              <w:top w:val="single" w:sz="4" w:space="0" w:color="auto"/>
              <w:left w:val="single" w:sz="4" w:space="0" w:color="auto"/>
              <w:bottom w:val="single" w:sz="4" w:space="0" w:color="auto"/>
              <w:right w:val="single" w:sz="4" w:space="0" w:color="auto"/>
            </w:tcBorders>
            <w:shd w:val="clear" w:color="auto" w:fill="auto"/>
            <w:vAlign w:val="center"/>
          </w:tcPr>
          <w:p w14:paraId="7DEDCF23" w14:textId="77777777" w:rsidR="00D868AB" w:rsidRPr="00D868AB" w:rsidRDefault="00D868AB" w:rsidP="00D868AB">
            <w:pPr>
              <w:jc w:val="center"/>
              <w:rPr>
                <w:rFonts w:cs="Arial"/>
                <w:sz w:val="20"/>
                <w:lang w:val="es-ES"/>
              </w:rPr>
            </w:pPr>
            <w:r w:rsidRPr="00D868AB">
              <w:rPr>
                <w:rFonts w:cs="Arial"/>
                <w:b/>
                <w:sz w:val="20"/>
                <w:lang w:val="es-ES"/>
              </w:rPr>
              <w:t>Total</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27307571" w14:textId="77777777" w:rsidR="00D868AB" w:rsidRPr="00D868AB" w:rsidRDefault="00D868AB" w:rsidP="00D868AB">
            <w:pPr>
              <w:jc w:val="right"/>
              <w:rPr>
                <w:rFonts w:cs="Arial"/>
                <w:sz w:val="20"/>
                <w:lang w:val="es-ES"/>
              </w:rPr>
            </w:pPr>
            <w:r w:rsidRPr="00D868AB">
              <w:rPr>
                <w:rFonts w:cs="Arial"/>
                <w:b/>
                <w:bCs/>
                <w:color w:val="000000"/>
                <w:sz w:val="20"/>
                <w:szCs w:val="20"/>
              </w:rPr>
              <w:t>787,477,812</w:t>
            </w:r>
          </w:p>
        </w:tc>
      </w:tr>
    </w:tbl>
    <w:p w14:paraId="3340ADFD" w14:textId="77777777" w:rsidR="00D868AB" w:rsidRPr="00D868AB" w:rsidRDefault="00D868AB" w:rsidP="00D868AB">
      <w:pPr>
        <w:rPr>
          <w:rFonts w:cs="Arial"/>
          <w:lang w:val="es-ES"/>
        </w:rPr>
      </w:pPr>
    </w:p>
    <w:p w14:paraId="522E53FB" w14:textId="77777777" w:rsidR="00D85BE9" w:rsidRDefault="00D85BE9" w:rsidP="00D868AB">
      <w:pPr>
        <w:rPr>
          <w:rFonts w:cs="Arial"/>
          <w:b/>
          <w:lang w:val="es-ES"/>
        </w:rPr>
      </w:pPr>
    </w:p>
    <w:p w14:paraId="3C9AB993" w14:textId="77777777" w:rsidR="00D85BE9" w:rsidRDefault="00D85BE9" w:rsidP="00D868AB">
      <w:pPr>
        <w:rPr>
          <w:rFonts w:cs="Arial"/>
          <w:b/>
          <w:lang w:val="es-ES"/>
        </w:rPr>
      </w:pPr>
    </w:p>
    <w:p w14:paraId="535F9A80" w14:textId="3D713F6B" w:rsidR="00D868AB" w:rsidRPr="00D868AB" w:rsidRDefault="00D868AB" w:rsidP="00D868AB">
      <w:pPr>
        <w:rPr>
          <w:rFonts w:cs="Arial"/>
          <w:lang w:val="es-ES"/>
        </w:rPr>
      </w:pPr>
      <w:r w:rsidRPr="00D868AB">
        <w:rPr>
          <w:rFonts w:cs="Arial"/>
          <w:b/>
          <w:lang w:val="es-ES"/>
        </w:rPr>
        <w:lastRenderedPageBreak/>
        <w:t xml:space="preserve">Artículo 44. </w:t>
      </w:r>
      <w:r w:rsidRPr="00D868AB">
        <w:rPr>
          <w:rFonts w:cs="Arial"/>
          <w:lang w:val="es-ES"/>
        </w:rPr>
        <w:t xml:space="preserve">Las aportaciones estimadas al </w:t>
      </w:r>
      <w:r w:rsidRPr="00D868AB">
        <w:rPr>
          <w:rFonts w:cs="Arial"/>
          <w:b/>
          <w:lang w:val="es-ES"/>
        </w:rPr>
        <w:t xml:space="preserve">Instituto de Pensiones de los Servidores Públicos del Estado </w:t>
      </w:r>
      <w:r w:rsidRPr="00D868AB">
        <w:rPr>
          <w:rFonts w:cs="Arial"/>
          <w:lang w:val="es-ES"/>
        </w:rPr>
        <w:t>(</w:t>
      </w:r>
      <w:r w:rsidRPr="00D868AB">
        <w:rPr>
          <w:rFonts w:cs="Arial"/>
          <w:b/>
          <w:lang w:val="es-ES"/>
        </w:rPr>
        <w:t>IPECOL</w:t>
      </w:r>
      <w:r w:rsidRPr="00D868AB">
        <w:rPr>
          <w:rFonts w:cs="Arial"/>
          <w:lang w:val="es-ES"/>
        </w:rPr>
        <w:t>), de acuerdo a lo que establece la Ley de Pensiones de los Servidores Públicos del Estado de Colima, serán las siguientes:</w:t>
      </w:r>
    </w:p>
    <w:p w14:paraId="15B7074E" w14:textId="77777777" w:rsidR="00D868AB" w:rsidRPr="00D868AB" w:rsidRDefault="00D868AB" w:rsidP="00D868AB">
      <w:pPr>
        <w:keepNext/>
        <w:keepLines/>
        <w:outlineLvl w:val="2"/>
        <w:rPr>
          <w:rFonts w:eastAsia="Calibri" w:cs="Arial"/>
          <w:b/>
          <w:szCs w:val="24"/>
          <w:lang w:val="es-ES" w:eastAsia="en-US"/>
        </w:rPr>
      </w:pPr>
    </w:p>
    <w:p w14:paraId="299FF6E8" w14:textId="77777777" w:rsidR="00D868AB" w:rsidRPr="00D868AB" w:rsidRDefault="00D868AB" w:rsidP="00D868AB">
      <w:pPr>
        <w:jc w:val="center"/>
        <w:rPr>
          <w:rFonts w:eastAsia="Times New Roman" w:cs="Arial"/>
          <w:b/>
          <w:sz w:val="20"/>
          <w:lang w:val="es-ES"/>
        </w:rPr>
      </w:pPr>
      <w:bookmarkStart w:id="163" w:name="_Toc22021935"/>
      <w:bookmarkStart w:id="164" w:name="_Toc22983192"/>
      <w:r w:rsidRPr="00D868AB">
        <w:rPr>
          <w:rFonts w:eastAsia="Times New Roman" w:cs="Arial"/>
          <w:b/>
          <w:sz w:val="20"/>
          <w:lang w:val="es-ES"/>
        </w:rPr>
        <w:t xml:space="preserve">Tabla 31. Aportaciones al </w:t>
      </w:r>
      <w:bookmarkEnd w:id="163"/>
      <w:bookmarkEnd w:id="164"/>
      <w:r w:rsidRPr="00D868AB">
        <w:rPr>
          <w:rFonts w:eastAsia="Times New Roman" w:cs="Arial"/>
          <w:b/>
          <w:sz w:val="20"/>
          <w:lang w:val="es-ES"/>
        </w:rPr>
        <w:t>IPECOL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046"/>
        <w:gridCol w:w="1553"/>
      </w:tblGrid>
      <w:tr w:rsidR="00D868AB" w:rsidRPr="00D868AB" w14:paraId="02D9B23D" w14:textId="77777777" w:rsidTr="00A755A7">
        <w:trPr>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CFE544" w14:textId="77777777" w:rsidR="00D868AB" w:rsidRPr="00D868AB" w:rsidRDefault="00D868AB" w:rsidP="00D868AB">
            <w:pPr>
              <w:jc w:val="center"/>
              <w:rPr>
                <w:rFonts w:cs="Arial"/>
                <w:b/>
                <w:sz w:val="20"/>
                <w:lang w:val="es-ES"/>
              </w:rPr>
            </w:pPr>
            <w:r w:rsidRPr="00D868AB">
              <w:rPr>
                <w:rFonts w:cs="Arial"/>
                <w:b/>
                <w:sz w:val="20"/>
                <w:lang w:val="es-ES"/>
              </w:rPr>
              <w:t>Partida</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9B4A60" w14:textId="77777777" w:rsidR="00D868AB" w:rsidRPr="00D868AB" w:rsidRDefault="00D868AB" w:rsidP="00D868AB">
            <w:pPr>
              <w:jc w:val="center"/>
              <w:rPr>
                <w:rFonts w:cs="Arial"/>
                <w:b/>
                <w:sz w:val="20"/>
                <w:lang w:val="es-ES"/>
              </w:rPr>
            </w:pPr>
            <w:r w:rsidRPr="00D868AB">
              <w:rPr>
                <w:rFonts w:cs="Arial"/>
                <w:b/>
                <w:sz w:val="20"/>
                <w:lang w:val="es-ES"/>
              </w:rPr>
              <w:t>Concepto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13BA4" w14:textId="77777777" w:rsidR="00D868AB" w:rsidRPr="00D868AB" w:rsidRDefault="00D868AB" w:rsidP="00D868AB">
            <w:pPr>
              <w:jc w:val="center"/>
              <w:rPr>
                <w:rFonts w:cs="Arial"/>
                <w:b/>
                <w:sz w:val="20"/>
                <w:lang w:val="es-ES"/>
              </w:rPr>
            </w:pPr>
            <w:r w:rsidRPr="00D868AB">
              <w:rPr>
                <w:rFonts w:cs="Arial"/>
                <w:b/>
                <w:sz w:val="20"/>
                <w:lang w:val="es-ES"/>
              </w:rPr>
              <w:t>Asignación Presupuestal</w:t>
            </w:r>
          </w:p>
        </w:tc>
      </w:tr>
      <w:tr w:rsidR="00D868AB" w:rsidRPr="00D868AB" w14:paraId="567C028D" w14:textId="77777777" w:rsidTr="00A755A7">
        <w:trPr>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74976F5A" w14:textId="77777777" w:rsidR="00D868AB" w:rsidRPr="00D868AB" w:rsidRDefault="00D868AB" w:rsidP="00D868AB">
            <w:pPr>
              <w:jc w:val="center"/>
              <w:rPr>
                <w:rFonts w:cs="Arial"/>
                <w:sz w:val="20"/>
                <w:lang w:val="es-ES"/>
              </w:rPr>
            </w:pPr>
            <w:r w:rsidRPr="00D868AB">
              <w:rPr>
                <w:rFonts w:cs="Arial"/>
                <w:sz w:val="20"/>
                <w:lang w:val="es-ES"/>
              </w:rPr>
              <w:t>47101</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7097BB71" w14:textId="77777777" w:rsidR="00D868AB" w:rsidRPr="00D868AB" w:rsidRDefault="00D868AB" w:rsidP="00D868AB">
            <w:pPr>
              <w:rPr>
                <w:rFonts w:cs="Arial"/>
                <w:sz w:val="20"/>
                <w:lang w:val="es-ES"/>
              </w:rPr>
            </w:pPr>
            <w:r w:rsidRPr="00D868AB">
              <w:rPr>
                <w:rFonts w:cs="Arial"/>
                <w:sz w:val="20"/>
                <w:lang w:val="es-ES"/>
              </w:rPr>
              <w:t>Aportaciones diferenciadas del Poder Ejecutivo Estatal al Instituto de Pensiones de los Servidores Públicos del Estado.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07FED69D" w14:textId="77777777" w:rsidR="00D868AB" w:rsidRPr="00D868AB" w:rsidRDefault="00D868AB" w:rsidP="00D868AB">
            <w:pPr>
              <w:jc w:val="right"/>
              <w:rPr>
                <w:rFonts w:cs="Arial"/>
                <w:sz w:val="20"/>
                <w:highlight w:val="yellow"/>
                <w:lang w:val="es-ES"/>
              </w:rPr>
            </w:pPr>
            <w:r w:rsidRPr="00D868AB">
              <w:rPr>
                <w:rFonts w:cs="Arial"/>
                <w:color w:val="000000"/>
                <w:sz w:val="20"/>
                <w:szCs w:val="20"/>
              </w:rPr>
              <w:t>242,446,560</w:t>
            </w:r>
          </w:p>
        </w:tc>
      </w:tr>
      <w:tr w:rsidR="00D868AB" w:rsidRPr="00D868AB" w14:paraId="2E9A820A" w14:textId="77777777" w:rsidTr="00A755A7">
        <w:trPr>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6E7AB9EE" w14:textId="77777777" w:rsidR="00D868AB" w:rsidRPr="00D868AB" w:rsidRDefault="00D868AB" w:rsidP="00D868AB">
            <w:pPr>
              <w:jc w:val="center"/>
              <w:rPr>
                <w:rFonts w:cs="Arial"/>
                <w:sz w:val="20"/>
                <w:lang w:val="es-ES"/>
              </w:rPr>
            </w:pPr>
            <w:r w:rsidRPr="00D868AB">
              <w:rPr>
                <w:rFonts w:cs="Arial"/>
                <w:sz w:val="20"/>
                <w:lang w:val="es-ES"/>
              </w:rPr>
              <w:t>47102</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753BD013" w14:textId="77777777" w:rsidR="00D868AB" w:rsidRPr="00D868AB" w:rsidRDefault="00D868AB" w:rsidP="00D868AB">
            <w:pPr>
              <w:rPr>
                <w:rFonts w:cs="Arial"/>
                <w:sz w:val="20"/>
                <w:lang w:val="es-ES"/>
              </w:rPr>
            </w:pPr>
            <w:r w:rsidRPr="00D868AB">
              <w:rPr>
                <w:rFonts w:cs="Arial"/>
                <w:sz w:val="20"/>
                <w:lang w:val="es-ES"/>
              </w:rPr>
              <w:t>Aportaciones extraordinarias al Instituto de Pensiones de los Servidores Públicos del Estado.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12AA6968" w14:textId="77777777" w:rsidR="00D868AB" w:rsidRPr="00D868AB" w:rsidRDefault="00D868AB" w:rsidP="00D868AB">
            <w:pPr>
              <w:jc w:val="right"/>
              <w:rPr>
                <w:rFonts w:cs="Arial"/>
                <w:sz w:val="20"/>
                <w:highlight w:val="yellow"/>
                <w:lang w:val="es-ES"/>
              </w:rPr>
            </w:pPr>
            <w:r w:rsidRPr="00D868AB">
              <w:rPr>
                <w:rFonts w:cs="Arial"/>
                <w:color w:val="000000"/>
                <w:sz w:val="20"/>
                <w:szCs w:val="20"/>
              </w:rPr>
              <w:t>200,000</w:t>
            </w:r>
          </w:p>
        </w:tc>
      </w:tr>
      <w:tr w:rsidR="00D868AB" w:rsidRPr="00D868AB" w14:paraId="3DE5D9DE" w14:textId="77777777" w:rsidTr="00A755A7">
        <w:trPr>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787B8981" w14:textId="77777777" w:rsidR="00D868AB" w:rsidRPr="00D868AB" w:rsidRDefault="00D868AB" w:rsidP="00D868AB">
            <w:pPr>
              <w:jc w:val="center"/>
              <w:rPr>
                <w:rFonts w:cs="Arial"/>
                <w:sz w:val="20"/>
                <w:lang w:val="es-ES"/>
              </w:rPr>
            </w:pP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36570BD5" w14:textId="77777777" w:rsidR="00D868AB" w:rsidRPr="00D868AB" w:rsidRDefault="00D868AB" w:rsidP="00D868AB">
            <w:pPr>
              <w:rPr>
                <w:rFonts w:cs="Arial"/>
                <w:sz w:val="20"/>
                <w:lang w:val="es-ES"/>
              </w:rPr>
            </w:pPr>
            <w:r w:rsidRPr="00D868AB">
              <w:rPr>
                <w:rFonts w:cs="Arial"/>
                <w:sz w:val="20"/>
                <w:lang w:val="es-ES"/>
              </w:rPr>
              <w:t>Aportaciones diferenciadas de los Organismos Descentralizados al Instituto de Pensiones de los Servidores Públicos del Estado.</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46DA87F" w14:textId="77777777" w:rsidR="00D868AB" w:rsidRPr="00D868AB" w:rsidRDefault="00D868AB" w:rsidP="00D868AB">
            <w:pPr>
              <w:jc w:val="right"/>
              <w:rPr>
                <w:rFonts w:cs="Arial"/>
                <w:sz w:val="20"/>
                <w:highlight w:val="yellow"/>
                <w:lang w:val="es-ES"/>
              </w:rPr>
            </w:pPr>
            <w:r w:rsidRPr="00D868AB">
              <w:rPr>
                <w:rFonts w:cs="Arial"/>
                <w:color w:val="000000"/>
                <w:sz w:val="20"/>
                <w:szCs w:val="20"/>
              </w:rPr>
              <w:t>41,189,066</w:t>
            </w:r>
          </w:p>
        </w:tc>
      </w:tr>
      <w:tr w:rsidR="00D868AB" w:rsidRPr="00D868AB" w14:paraId="45570977" w14:textId="77777777" w:rsidTr="00A755A7">
        <w:trPr>
          <w:trHeight w:val="227"/>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35E3E94C" w14:textId="77777777" w:rsidR="00D868AB" w:rsidRPr="00D868AB" w:rsidRDefault="00D868AB" w:rsidP="00D868AB">
            <w:pPr>
              <w:jc w:val="center"/>
              <w:rPr>
                <w:rFonts w:cs="Arial"/>
                <w:sz w:val="20"/>
                <w:lang w:val="es-ES"/>
              </w:rPr>
            </w:pP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0379E5AD" w14:textId="77777777" w:rsidR="00D868AB" w:rsidRPr="00D868AB" w:rsidRDefault="00D868AB" w:rsidP="00D868AB">
            <w:pPr>
              <w:jc w:val="center"/>
              <w:rPr>
                <w:rFonts w:cs="Arial"/>
                <w:b/>
                <w:sz w:val="20"/>
                <w:lang w:val="es-ES"/>
              </w:rPr>
            </w:pPr>
            <w:r w:rsidRPr="00D868AB">
              <w:rPr>
                <w:rFonts w:cs="Arial"/>
                <w:b/>
                <w:sz w:val="20"/>
                <w:lang w:val="es-ES"/>
              </w:rPr>
              <w:t>Total</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766CC1E3" w14:textId="77777777" w:rsidR="00D868AB" w:rsidRPr="00D868AB" w:rsidRDefault="00D868AB" w:rsidP="00D868AB">
            <w:pPr>
              <w:jc w:val="right"/>
              <w:rPr>
                <w:rFonts w:cs="Arial"/>
                <w:sz w:val="20"/>
                <w:lang w:val="es-ES"/>
              </w:rPr>
            </w:pPr>
            <w:r w:rsidRPr="00D868AB">
              <w:rPr>
                <w:rFonts w:cs="Arial"/>
                <w:b/>
                <w:bCs/>
                <w:color w:val="000000"/>
                <w:sz w:val="20"/>
                <w:szCs w:val="20"/>
              </w:rPr>
              <w:t>283,835,626</w:t>
            </w:r>
          </w:p>
        </w:tc>
      </w:tr>
    </w:tbl>
    <w:p w14:paraId="3712F891" w14:textId="77777777" w:rsidR="00D868AB" w:rsidRPr="00D868AB" w:rsidRDefault="00D868AB" w:rsidP="00D868AB">
      <w:pPr>
        <w:rPr>
          <w:rFonts w:cs="Arial"/>
          <w:b/>
          <w:lang w:val="es-ES"/>
        </w:rPr>
      </w:pPr>
    </w:p>
    <w:p w14:paraId="6DD6A073" w14:textId="77777777" w:rsidR="00D868AB" w:rsidRPr="00D868AB" w:rsidRDefault="00D868AB" w:rsidP="00D868AB">
      <w:pPr>
        <w:rPr>
          <w:rFonts w:cs="Arial"/>
          <w:lang w:val="es-ES"/>
        </w:rPr>
      </w:pPr>
      <w:r w:rsidRPr="00D868AB">
        <w:rPr>
          <w:rFonts w:cs="Arial"/>
          <w:b/>
          <w:lang w:val="es-ES"/>
        </w:rPr>
        <w:t xml:space="preserve">Artículo 45. </w:t>
      </w:r>
      <w:r w:rsidRPr="00D868AB">
        <w:rPr>
          <w:rFonts w:cs="Arial"/>
          <w:lang w:val="es-ES"/>
        </w:rPr>
        <w:t xml:space="preserve">Las erogaciones por concepto de obligaciones de carácter fiscal y de seguridad social inherentes a lo señalados en el presente Capítulo, son: </w:t>
      </w:r>
    </w:p>
    <w:p w14:paraId="5DD64A72" w14:textId="77777777" w:rsidR="00D868AB" w:rsidRPr="00D868AB" w:rsidRDefault="00D868AB" w:rsidP="00D868AB">
      <w:pPr>
        <w:keepNext/>
        <w:keepLines/>
        <w:outlineLvl w:val="2"/>
        <w:rPr>
          <w:rFonts w:eastAsia="Times New Roman" w:cs="Arial"/>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9"/>
        <w:gridCol w:w="5555"/>
        <w:gridCol w:w="1418"/>
        <w:gridCol w:w="43"/>
      </w:tblGrid>
      <w:tr w:rsidR="00D868AB" w:rsidRPr="00D868AB" w14:paraId="7FF62966" w14:textId="77777777" w:rsidTr="00A755A7">
        <w:trPr>
          <w:trHeight w:val="20"/>
          <w:tblHeader/>
          <w:jc w:val="center"/>
        </w:trPr>
        <w:tc>
          <w:tcPr>
            <w:tcW w:w="7835" w:type="dxa"/>
            <w:gridSpan w:val="4"/>
            <w:tcBorders>
              <w:top w:val="nil"/>
              <w:left w:val="nil"/>
              <w:bottom w:val="single" w:sz="4" w:space="0" w:color="auto"/>
              <w:right w:val="nil"/>
            </w:tcBorders>
            <w:shd w:val="clear" w:color="auto" w:fill="auto"/>
            <w:vAlign w:val="center"/>
          </w:tcPr>
          <w:p w14:paraId="00F2DC32" w14:textId="77777777" w:rsidR="00D868AB" w:rsidRPr="00D868AB" w:rsidRDefault="00D868AB" w:rsidP="00D868AB">
            <w:pPr>
              <w:jc w:val="center"/>
              <w:rPr>
                <w:rFonts w:cs="Arial"/>
                <w:b/>
                <w:sz w:val="20"/>
                <w:lang w:val="es-ES"/>
              </w:rPr>
            </w:pPr>
            <w:r w:rsidRPr="00D868AB">
              <w:rPr>
                <w:rFonts w:eastAsia="Times New Roman" w:cs="Arial"/>
                <w:b/>
                <w:sz w:val="20"/>
                <w:lang w:val="es-ES"/>
              </w:rPr>
              <w:t>Tabla 32. Obligaciones de Carácter Fiscal y de Seguridad Social</w:t>
            </w:r>
          </w:p>
        </w:tc>
      </w:tr>
      <w:tr w:rsidR="00D868AB" w:rsidRPr="00D868AB" w14:paraId="59F5AF93"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219F39F3"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Partida</w:t>
            </w:r>
          </w:p>
        </w:tc>
        <w:tc>
          <w:tcPr>
            <w:tcW w:w="5555" w:type="dxa"/>
            <w:shd w:val="clear" w:color="auto" w:fill="auto"/>
            <w:vAlign w:val="center"/>
            <w:hideMark/>
          </w:tcPr>
          <w:p w14:paraId="747EE316"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Concepto</w:t>
            </w:r>
          </w:p>
        </w:tc>
        <w:tc>
          <w:tcPr>
            <w:tcW w:w="1418" w:type="dxa"/>
            <w:shd w:val="clear" w:color="auto" w:fill="auto"/>
            <w:vAlign w:val="center"/>
            <w:hideMark/>
          </w:tcPr>
          <w:p w14:paraId="42DAAB98"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Asignación Presupuestal</w:t>
            </w:r>
          </w:p>
        </w:tc>
      </w:tr>
      <w:tr w:rsidR="00D868AB" w:rsidRPr="00D868AB" w14:paraId="31630EC4"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415D6D93"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14000</w:t>
            </w:r>
          </w:p>
        </w:tc>
        <w:tc>
          <w:tcPr>
            <w:tcW w:w="5555" w:type="dxa"/>
            <w:shd w:val="clear" w:color="auto" w:fill="auto"/>
            <w:vAlign w:val="center"/>
            <w:hideMark/>
          </w:tcPr>
          <w:p w14:paraId="38416BB5"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Seguridad Social.</w:t>
            </w:r>
          </w:p>
        </w:tc>
        <w:tc>
          <w:tcPr>
            <w:tcW w:w="1418" w:type="dxa"/>
            <w:shd w:val="clear" w:color="auto" w:fill="auto"/>
            <w:vAlign w:val="center"/>
          </w:tcPr>
          <w:p w14:paraId="40CDC749"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170,815,860</w:t>
            </w:r>
          </w:p>
        </w:tc>
      </w:tr>
      <w:tr w:rsidR="00D868AB" w:rsidRPr="00D868AB" w14:paraId="0206BA57"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403A477A"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14100</w:t>
            </w:r>
          </w:p>
        </w:tc>
        <w:tc>
          <w:tcPr>
            <w:tcW w:w="5555" w:type="dxa"/>
            <w:shd w:val="clear" w:color="auto" w:fill="auto"/>
            <w:vAlign w:val="center"/>
            <w:hideMark/>
          </w:tcPr>
          <w:p w14:paraId="16D4D7BC"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Aportaciones de Seguridad Social.</w:t>
            </w:r>
          </w:p>
        </w:tc>
        <w:tc>
          <w:tcPr>
            <w:tcW w:w="1418" w:type="dxa"/>
            <w:shd w:val="clear" w:color="auto" w:fill="auto"/>
            <w:vAlign w:val="center"/>
          </w:tcPr>
          <w:p w14:paraId="7E64F48D"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165,585,132</w:t>
            </w:r>
          </w:p>
        </w:tc>
      </w:tr>
      <w:tr w:rsidR="00D868AB" w:rsidRPr="00D868AB" w14:paraId="4F2C9D93"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57274B7C"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14101</w:t>
            </w:r>
          </w:p>
        </w:tc>
        <w:tc>
          <w:tcPr>
            <w:tcW w:w="5555" w:type="dxa"/>
            <w:shd w:val="clear" w:color="auto" w:fill="auto"/>
            <w:vAlign w:val="center"/>
            <w:hideMark/>
          </w:tcPr>
          <w:p w14:paraId="1987B083"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Aportaciones de Seguridad Social.</w:t>
            </w:r>
          </w:p>
        </w:tc>
        <w:tc>
          <w:tcPr>
            <w:tcW w:w="1418" w:type="dxa"/>
            <w:shd w:val="clear" w:color="auto" w:fill="auto"/>
            <w:vAlign w:val="center"/>
          </w:tcPr>
          <w:p w14:paraId="058B619E"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165,585,132</w:t>
            </w:r>
          </w:p>
        </w:tc>
      </w:tr>
      <w:tr w:rsidR="00D868AB" w:rsidRPr="00D868AB" w14:paraId="48C5D4F8"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7DA5EC90"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14200</w:t>
            </w:r>
          </w:p>
        </w:tc>
        <w:tc>
          <w:tcPr>
            <w:tcW w:w="5555" w:type="dxa"/>
            <w:shd w:val="clear" w:color="auto" w:fill="auto"/>
            <w:vAlign w:val="center"/>
            <w:hideMark/>
          </w:tcPr>
          <w:p w14:paraId="61713A2F"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Aportaciones a fondos de vivienda.</w:t>
            </w:r>
          </w:p>
        </w:tc>
        <w:tc>
          <w:tcPr>
            <w:tcW w:w="1418" w:type="dxa"/>
            <w:shd w:val="clear" w:color="auto" w:fill="auto"/>
            <w:vAlign w:val="center"/>
          </w:tcPr>
          <w:p w14:paraId="4FD2103D"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1,852,512</w:t>
            </w:r>
          </w:p>
        </w:tc>
      </w:tr>
      <w:tr w:rsidR="00D868AB" w:rsidRPr="00D868AB" w14:paraId="4821BA04"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6887FBA4"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14201</w:t>
            </w:r>
          </w:p>
        </w:tc>
        <w:tc>
          <w:tcPr>
            <w:tcW w:w="5555" w:type="dxa"/>
            <w:shd w:val="clear" w:color="auto" w:fill="auto"/>
            <w:vAlign w:val="center"/>
            <w:hideMark/>
          </w:tcPr>
          <w:p w14:paraId="43CDC2B5"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Aportaciones a fondos de vivienda.</w:t>
            </w:r>
          </w:p>
        </w:tc>
        <w:tc>
          <w:tcPr>
            <w:tcW w:w="1418" w:type="dxa"/>
            <w:shd w:val="clear" w:color="auto" w:fill="auto"/>
            <w:vAlign w:val="center"/>
          </w:tcPr>
          <w:p w14:paraId="47B36475"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1,852,512</w:t>
            </w:r>
          </w:p>
        </w:tc>
      </w:tr>
      <w:tr w:rsidR="00D868AB" w:rsidRPr="00D868AB" w14:paraId="1000CDA0"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50E9F94E"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14300</w:t>
            </w:r>
          </w:p>
        </w:tc>
        <w:tc>
          <w:tcPr>
            <w:tcW w:w="5555" w:type="dxa"/>
            <w:shd w:val="clear" w:color="auto" w:fill="auto"/>
            <w:vAlign w:val="center"/>
            <w:hideMark/>
          </w:tcPr>
          <w:p w14:paraId="3B0DF49C"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Aportaciones al sistema para el retiro.</w:t>
            </w:r>
          </w:p>
        </w:tc>
        <w:tc>
          <w:tcPr>
            <w:tcW w:w="1418" w:type="dxa"/>
            <w:shd w:val="clear" w:color="auto" w:fill="auto"/>
            <w:vAlign w:val="center"/>
          </w:tcPr>
          <w:p w14:paraId="216DE542"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2,912,268</w:t>
            </w:r>
          </w:p>
        </w:tc>
      </w:tr>
      <w:tr w:rsidR="00D868AB" w:rsidRPr="00D868AB" w14:paraId="7378ADDC"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09DD32E5"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14301</w:t>
            </w:r>
          </w:p>
        </w:tc>
        <w:tc>
          <w:tcPr>
            <w:tcW w:w="5555" w:type="dxa"/>
            <w:shd w:val="clear" w:color="auto" w:fill="auto"/>
            <w:vAlign w:val="center"/>
            <w:hideMark/>
          </w:tcPr>
          <w:p w14:paraId="05F61E69"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Aportaciones al Sistema de Ahorro para el Retiro (SAR).</w:t>
            </w:r>
          </w:p>
        </w:tc>
        <w:tc>
          <w:tcPr>
            <w:tcW w:w="1418" w:type="dxa"/>
            <w:shd w:val="clear" w:color="auto" w:fill="auto"/>
            <w:vAlign w:val="center"/>
          </w:tcPr>
          <w:p w14:paraId="4DF963DB"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2,912,268</w:t>
            </w:r>
          </w:p>
        </w:tc>
      </w:tr>
      <w:tr w:rsidR="00D868AB" w:rsidRPr="00D868AB" w14:paraId="6351EF30"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77B2C0F0"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14400</w:t>
            </w:r>
          </w:p>
        </w:tc>
        <w:tc>
          <w:tcPr>
            <w:tcW w:w="5555" w:type="dxa"/>
            <w:shd w:val="clear" w:color="auto" w:fill="auto"/>
            <w:vAlign w:val="center"/>
            <w:hideMark/>
          </w:tcPr>
          <w:p w14:paraId="1FA0A64F"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Aportaciones para seguros.</w:t>
            </w:r>
          </w:p>
        </w:tc>
        <w:tc>
          <w:tcPr>
            <w:tcW w:w="1418" w:type="dxa"/>
            <w:shd w:val="clear" w:color="auto" w:fill="auto"/>
            <w:vAlign w:val="center"/>
          </w:tcPr>
          <w:p w14:paraId="7118E68F"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465,948</w:t>
            </w:r>
          </w:p>
        </w:tc>
      </w:tr>
      <w:tr w:rsidR="00D868AB" w:rsidRPr="00D868AB" w14:paraId="7EFDF11A"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5951EC5D"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14401</w:t>
            </w:r>
          </w:p>
        </w:tc>
        <w:tc>
          <w:tcPr>
            <w:tcW w:w="5555" w:type="dxa"/>
            <w:shd w:val="clear" w:color="auto" w:fill="auto"/>
            <w:vAlign w:val="center"/>
            <w:hideMark/>
          </w:tcPr>
          <w:p w14:paraId="36E58327"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Aportaciones para seguros.</w:t>
            </w:r>
          </w:p>
        </w:tc>
        <w:tc>
          <w:tcPr>
            <w:tcW w:w="1418" w:type="dxa"/>
            <w:shd w:val="clear" w:color="auto" w:fill="auto"/>
            <w:vAlign w:val="center"/>
          </w:tcPr>
          <w:p w14:paraId="1DE54111"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465,948</w:t>
            </w:r>
          </w:p>
        </w:tc>
      </w:tr>
      <w:tr w:rsidR="00D868AB" w:rsidRPr="00D868AB" w14:paraId="018B999D"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6F178108"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39000</w:t>
            </w:r>
          </w:p>
        </w:tc>
        <w:tc>
          <w:tcPr>
            <w:tcW w:w="5555" w:type="dxa"/>
            <w:shd w:val="clear" w:color="auto" w:fill="auto"/>
            <w:vAlign w:val="center"/>
            <w:hideMark/>
          </w:tcPr>
          <w:p w14:paraId="73BE0338"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Otros Servicios Generales.</w:t>
            </w:r>
          </w:p>
        </w:tc>
        <w:tc>
          <w:tcPr>
            <w:tcW w:w="1418" w:type="dxa"/>
            <w:shd w:val="clear" w:color="auto" w:fill="auto"/>
            <w:vAlign w:val="center"/>
          </w:tcPr>
          <w:p w14:paraId="5B8E6A29"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38,661,696</w:t>
            </w:r>
          </w:p>
        </w:tc>
      </w:tr>
      <w:tr w:rsidR="00D868AB" w:rsidRPr="00D868AB" w14:paraId="33D326E7"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6390D308"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39800</w:t>
            </w:r>
          </w:p>
        </w:tc>
        <w:tc>
          <w:tcPr>
            <w:tcW w:w="5555" w:type="dxa"/>
            <w:shd w:val="clear" w:color="auto" w:fill="auto"/>
            <w:vAlign w:val="center"/>
            <w:hideMark/>
          </w:tcPr>
          <w:p w14:paraId="45FCC02F" w14:textId="77777777" w:rsidR="00D868AB" w:rsidRPr="00D868AB" w:rsidRDefault="00D868AB" w:rsidP="00D868AB">
            <w:pPr>
              <w:rPr>
                <w:rFonts w:eastAsia="Times New Roman" w:cs="Arial"/>
                <w:b/>
                <w:bCs/>
                <w:color w:val="000000"/>
                <w:sz w:val="20"/>
                <w:szCs w:val="20"/>
              </w:rPr>
            </w:pPr>
            <w:r w:rsidRPr="00D868AB">
              <w:rPr>
                <w:rFonts w:eastAsia="Times New Roman" w:cs="Arial"/>
                <w:b/>
                <w:bCs/>
                <w:color w:val="000000"/>
                <w:sz w:val="20"/>
                <w:szCs w:val="20"/>
              </w:rPr>
              <w:t>Impuesto sobre nóminas y otros que se deriven de una relación laboral.</w:t>
            </w:r>
          </w:p>
        </w:tc>
        <w:tc>
          <w:tcPr>
            <w:tcW w:w="1418" w:type="dxa"/>
            <w:shd w:val="clear" w:color="auto" w:fill="auto"/>
            <w:vAlign w:val="center"/>
          </w:tcPr>
          <w:p w14:paraId="0C65AE0F"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38,661,696</w:t>
            </w:r>
          </w:p>
        </w:tc>
      </w:tr>
      <w:tr w:rsidR="00D868AB" w:rsidRPr="00D868AB" w14:paraId="7E595C4B"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46884143"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39801</w:t>
            </w:r>
          </w:p>
        </w:tc>
        <w:tc>
          <w:tcPr>
            <w:tcW w:w="5555" w:type="dxa"/>
            <w:shd w:val="clear" w:color="auto" w:fill="auto"/>
            <w:vAlign w:val="center"/>
            <w:hideMark/>
          </w:tcPr>
          <w:p w14:paraId="743C7CE8"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Impuesto sobre Nóminas.</w:t>
            </w:r>
          </w:p>
        </w:tc>
        <w:tc>
          <w:tcPr>
            <w:tcW w:w="1418" w:type="dxa"/>
            <w:shd w:val="clear" w:color="auto" w:fill="auto"/>
            <w:vAlign w:val="center"/>
          </w:tcPr>
          <w:p w14:paraId="4F90BAC1"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38,661,696</w:t>
            </w:r>
          </w:p>
        </w:tc>
      </w:tr>
      <w:tr w:rsidR="00D868AB" w:rsidRPr="00D868AB" w14:paraId="1299144E" w14:textId="77777777" w:rsidTr="00A755A7">
        <w:tblPrEx>
          <w:tblCellMar>
            <w:left w:w="70" w:type="dxa"/>
            <w:right w:w="70" w:type="dxa"/>
          </w:tblCellMar>
        </w:tblPrEx>
        <w:trPr>
          <w:gridAfter w:val="1"/>
          <w:wAfter w:w="43" w:type="dxa"/>
          <w:trHeight w:val="20"/>
          <w:jc w:val="center"/>
        </w:trPr>
        <w:tc>
          <w:tcPr>
            <w:tcW w:w="819" w:type="dxa"/>
            <w:shd w:val="clear" w:color="auto" w:fill="auto"/>
            <w:vAlign w:val="center"/>
            <w:hideMark/>
          </w:tcPr>
          <w:p w14:paraId="4536B5D0"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 </w:t>
            </w:r>
          </w:p>
        </w:tc>
        <w:tc>
          <w:tcPr>
            <w:tcW w:w="5555" w:type="dxa"/>
            <w:shd w:val="clear" w:color="auto" w:fill="auto"/>
            <w:vAlign w:val="center"/>
            <w:hideMark/>
          </w:tcPr>
          <w:p w14:paraId="5EE9BD1C"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Total</w:t>
            </w:r>
          </w:p>
        </w:tc>
        <w:tc>
          <w:tcPr>
            <w:tcW w:w="1418" w:type="dxa"/>
            <w:shd w:val="clear" w:color="auto" w:fill="auto"/>
            <w:vAlign w:val="center"/>
          </w:tcPr>
          <w:p w14:paraId="4808BF20"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209,477,556</w:t>
            </w:r>
          </w:p>
        </w:tc>
      </w:tr>
    </w:tbl>
    <w:p w14:paraId="15ACBA79" w14:textId="77777777" w:rsidR="00D868AB" w:rsidRPr="00D868AB" w:rsidRDefault="00D868AB" w:rsidP="00D868AB">
      <w:pPr>
        <w:rPr>
          <w:rFonts w:cs="Arial"/>
          <w:b/>
          <w:lang w:val="es-ES"/>
        </w:rPr>
      </w:pPr>
    </w:p>
    <w:p w14:paraId="58F5DDF6" w14:textId="77777777" w:rsidR="00D868AB" w:rsidRPr="00D868AB" w:rsidRDefault="00D868AB" w:rsidP="00D868AB">
      <w:pPr>
        <w:rPr>
          <w:rFonts w:cs="Arial"/>
          <w:lang w:val="es-ES"/>
        </w:rPr>
      </w:pPr>
      <w:r w:rsidRPr="00D868AB">
        <w:rPr>
          <w:rFonts w:cs="Arial"/>
          <w:b/>
          <w:lang w:val="es-ES"/>
        </w:rPr>
        <w:t xml:space="preserve">Artículo 46. </w:t>
      </w:r>
      <w:r w:rsidRPr="00D868AB">
        <w:rPr>
          <w:rFonts w:cs="Arial"/>
          <w:lang w:val="es-ES"/>
        </w:rPr>
        <w:t xml:space="preserve">Las erogaciones por concepto de pago de laudos laborales son: </w:t>
      </w:r>
    </w:p>
    <w:p w14:paraId="1E3F7A65" w14:textId="77777777" w:rsidR="00D868AB" w:rsidRPr="00D868AB" w:rsidRDefault="00D868AB" w:rsidP="00D868AB">
      <w:pPr>
        <w:jc w:val="center"/>
        <w:rPr>
          <w:rFonts w:cs="Arial"/>
          <w:b/>
          <w:sz w:val="20"/>
          <w:lang w:val="es-ES"/>
        </w:rPr>
      </w:pPr>
      <w:r w:rsidRPr="00D868AB">
        <w:rPr>
          <w:rFonts w:eastAsia="Times New Roman" w:cs="Arial"/>
          <w:b/>
          <w:sz w:val="20"/>
          <w:lang w:val="es-ES"/>
        </w:rPr>
        <w:t>Tabla 33.</w:t>
      </w:r>
      <w:r w:rsidRPr="00D868AB">
        <w:rPr>
          <w:rFonts w:cs="Arial"/>
          <w:b/>
          <w:sz w:val="20"/>
        </w:rPr>
        <w:t xml:space="preserve"> </w:t>
      </w:r>
      <w:r w:rsidRPr="00D868AB">
        <w:rPr>
          <w:rFonts w:eastAsia="Times New Roman" w:cs="Arial"/>
          <w:b/>
          <w:sz w:val="20"/>
          <w:lang w:val="es-ES"/>
        </w:rPr>
        <w:t>Pago de Laudos Laborales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5675"/>
        <w:gridCol w:w="1559"/>
      </w:tblGrid>
      <w:tr w:rsidR="00D868AB" w:rsidRPr="00D868AB" w14:paraId="76E351E5" w14:textId="77777777" w:rsidTr="00A755A7">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472446" w14:textId="77777777" w:rsidR="00D868AB" w:rsidRPr="00D868AB" w:rsidRDefault="00D868AB" w:rsidP="00D868AB">
            <w:pPr>
              <w:jc w:val="center"/>
              <w:rPr>
                <w:rFonts w:cs="Arial"/>
                <w:b/>
                <w:sz w:val="20"/>
                <w:lang w:val="es-ES"/>
              </w:rPr>
            </w:pPr>
            <w:r w:rsidRPr="00D868AB">
              <w:rPr>
                <w:rFonts w:cs="Arial"/>
                <w:b/>
                <w:sz w:val="20"/>
                <w:lang w:val="es-ES"/>
              </w:rPr>
              <w:t>Partida</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5205" w14:textId="77777777" w:rsidR="00D868AB" w:rsidRPr="00D868AB" w:rsidRDefault="00D868AB" w:rsidP="00D868AB">
            <w:pPr>
              <w:jc w:val="center"/>
              <w:rPr>
                <w:rFonts w:cs="Arial"/>
                <w:b/>
                <w:sz w:val="20"/>
                <w:lang w:val="es-ES"/>
              </w:rPr>
            </w:pPr>
            <w:r w:rsidRPr="00D868AB">
              <w:rPr>
                <w:rFonts w:cs="Arial"/>
                <w:b/>
                <w:sz w:val="20"/>
                <w:lang w:val="es-ES"/>
              </w:rPr>
              <w:t>Concepto</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225353" w14:textId="77777777" w:rsidR="00D868AB" w:rsidRPr="00D868AB" w:rsidRDefault="00D868AB" w:rsidP="00D868AB">
            <w:pPr>
              <w:jc w:val="center"/>
              <w:rPr>
                <w:rFonts w:cs="Arial"/>
                <w:b/>
                <w:sz w:val="20"/>
                <w:lang w:val="es-ES"/>
              </w:rPr>
            </w:pPr>
            <w:r w:rsidRPr="00D868AB">
              <w:rPr>
                <w:rFonts w:cs="Arial"/>
                <w:b/>
                <w:sz w:val="20"/>
                <w:lang w:val="es-ES"/>
              </w:rPr>
              <w:t>Asignación Presupuestal</w:t>
            </w:r>
          </w:p>
        </w:tc>
      </w:tr>
      <w:tr w:rsidR="00D868AB" w:rsidRPr="00D868AB" w14:paraId="50C307D2" w14:textId="77777777" w:rsidTr="00A755A7">
        <w:trPr>
          <w:trHeight w:val="283"/>
          <w:jc w:val="center"/>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9C9A79F" w14:textId="77777777" w:rsidR="00D868AB" w:rsidRPr="00D868AB" w:rsidRDefault="00D868AB" w:rsidP="00D868AB">
            <w:pPr>
              <w:jc w:val="center"/>
              <w:rPr>
                <w:rFonts w:cs="Arial"/>
                <w:sz w:val="20"/>
                <w:lang w:val="es-ES"/>
              </w:rPr>
            </w:pPr>
            <w:r w:rsidRPr="00D868AB">
              <w:rPr>
                <w:rFonts w:cs="Arial"/>
                <w:sz w:val="20"/>
              </w:rPr>
              <w:t>15201</w:t>
            </w:r>
          </w:p>
        </w:tc>
        <w:tc>
          <w:tcPr>
            <w:tcW w:w="5675" w:type="dxa"/>
            <w:tcBorders>
              <w:top w:val="single" w:sz="4" w:space="0" w:color="auto"/>
              <w:left w:val="single" w:sz="4" w:space="0" w:color="auto"/>
              <w:bottom w:val="single" w:sz="4" w:space="0" w:color="auto"/>
              <w:right w:val="single" w:sz="4" w:space="0" w:color="auto"/>
            </w:tcBorders>
            <w:shd w:val="clear" w:color="auto" w:fill="auto"/>
            <w:vAlign w:val="center"/>
          </w:tcPr>
          <w:p w14:paraId="183021C2" w14:textId="77777777" w:rsidR="00D868AB" w:rsidRPr="00D868AB" w:rsidRDefault="00D868AB" w:rsidP="00D868AB">
            <w:pPr>
              <w:rPr>
                <w:rFonts w:cs="Arial"/>
                <w:sz w:val="20"/>
                <w:lang w:val="es-ES"/>
              </w:rPr>
            </w:pPr>
            <w:r w:rsidRPr="00D868AB">
              <w:rPr>
                <w:rFonts w:cs="Arial"/>
                <w:sz w:val="20"/>
              </w:rPr>
              <w:t>Indemnizaciones</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98BBC4A" w14:textId="77777777" w:rsidR="00D868AB" w:rsidRPr="00D868AB" w:rsidRDefault="00D868AB" w:rsidP="00D868AB">
            <w:pPr>
              <w:jc w:val="right"/>
              <w:rPr>
                <w:rFonts w:cs="Arial"/>
                <w:sz w:val="20"/>
                <w:lang w:val="es-ES"/>
              </w:rPr>
            </w:pPr>
            <w:r w:rsidRPr="00D868AB">
              <w:rPr>
                <w:rFonts w:cs="Arial"/>
                <w:sz w:val="20"/>
                <w:lang w:val="es-ES"/>
              </w:rPr>
              <w:t>7,999,956</w:t>
            </w:r>
          </w:p>
        </w:tc>
      </w:tr>
    </w:tbl>
    <w:p w14:paraId="509DCD30" w14:textId="77777777" w:rsidR="00D85BE9" w:rsidRDefault="00D85BE9" w:rsidP="00D868AB">
      <w:pPr>
        <w:jc w:val="center"/>
        <w:rPr>
          <w:rFonts w:eastAsia="Times New Roman" w:cs="Arial"/>
          <w:b/>
          <w:lang w:val="es-ES"/>
        </w:rPr>
      </w:pPr>
      <w:bookmarkStart w:id="165" w:name="_Toc526757489"/>
      <w:bookmarkStart w:id="166" w:name="_Toc22021938"/>
      <w:bookmarkStart w:id="167" w:name="_Toc22983194"/>
    </w:p>
    <w:p w14:paraId="1173C410" w14:textId="16D0501B" w:rsidR="00D868AB" w:rsidRPr="00D868AB" w:rsidRDefault="00D868AB" w:rsidP="00D868AB">
      <w:pPr>
        <w:jc w:val="center"/>
        <w:rPr>
          <w:rFonts w:eastAsia="Times New Roman" w:cs="Arial"/>
          <w:b/>
          <w:lang w:val="es-ES"/>
        </w:rPr>
      </w:pPr>
      <w:r w:rsidRPr="00D868AB">
        <w:rPr>
          <w:rFonts w:eastAsia="Times New Roman" w:cs="Arial"/>
          <w:b/>
          <w:lang w:val="es-ES"/>
        </w:rPr>
        <w:lastRenderedPageBreak/>
        <w:t xml:space="preserve">CAPÍTULO </w:t>
      </w:r>
      <w:bookmarkEnd w:id="165"/>
      <w:r w:rsidRPr="00D868AB">
        <w:rPr>
          <w:rFonts w:eastAsia="Times New Roman" w:cs="Arial"/>
          <w:b/>
          <w:lang w:val="es-ES"/>
        </w:rPr>
        <w:t>X</w:t>
      </w:r>
      <w:bookmarkEnd w:id="166"/>
      <w:bookmarkEnd w:id="167"/>
      <w:r w:rsidRPr="00D868AB">
        <w:rPr>
          <w:rFonts w:eastAsia="Times New Roman" w:cs="Arial"/>
          <w:b/>
          <w:lang w:val="es-ES"/>
        </w:rPr>
        <w:t>I</w:t>
      </w:r>
    </w:p>
    <w:p w14:paraId="21355E39" w14:textId="77777777" w:rsidR="00D868AB" w:rsidRPr="00D868AB" w:rsidRDefault="00D868AB" w:rsidP="00D868AB">
      <w:pPr>
        <w:keepNext/>
        <w:keepLines/>
        <w:jc w:val="center"/>
        <w:outlineLvl w:val="0"/>
        <w:rPr>
          <w:rFonts w:eastAsia="Times New Roman" w:cs="Arial"/>
          <w:b/>
          <w:szCs w:val="32"/>
          <w:lang w:val="es-ES"/>
        </w:rPr>
      </w:pPr>
      <w:bookmarkStart w:id="168" w:name="_Toc526757490"/>
      <w:bookmarkStart w:id="169" w:name="_Toc22021939"/>
      <w:bookmarkStart w:id="170" w:name="_Toc22983195"/>
      <w:r w:rsidRPr="00D868AB">
        <w:rPr>
          <w:rFonts w:eastAsia="Times New Roman" w:cs="Arial"/>
          <w:b/>
          <w:szCs w:val="32"/>
          <w:lang w:val="es-ES"/>
        </w:rPr>
        <w:t>DEL GASTO EDUCATIVO</w:t>
      </w:r>
      <w:bookmarkEnd w:id="168"/>
      <w:bookmarkEnd w:id="169"/>
      <w:bookmarkEnd w:id="170"/>
    </w:p>
    <w:p w14:paraId="391D5944" w14:textId="77777777" w:rsidR="00D868AB" w:rsidRPr="00D868AB" w:rsidRDefault="00D868AB" w:rsidP="00D868AB">
      <w:pPr>
        <w:rPr>
          <w:rFonts w:cs="Arial"/>
          <w:lang w:val="es-ES"/>
        </w:rPr>
      </w:pPr>
      <w:r w:rsidRPr="00D868AB">
        <w:rPr>
          <w:rFonts w:cs="Arial"/>
          <w:b/>
          <w:lang w:val="es-ES"/>
        </w:rPr>
        <w:t>Artículo 47</w:t>
      </w:r>
      <w:r w:rsidRPr="00D868AB">
        <w:rPr>
          <w:rFonts w:cs="Arial"/>
          <w:lang w:val="es-ES"/>
        </w:rPr>
        <w:t>. La integración del Gasto Educativo por fuente de financiamiento es la siguiente:</w:t>
      </w:r>
    </w:p>
    <w:p w14:paraId="35F65BDF" w14:textId="77777777" w:rsidR="00D868AB" w:rsidRPr="00F33998" w:rsidRDefault="00D868AB" w:rsidP="00D868AB">
      <w:pPr>
        <w:keepNext/>
        <w:keepLines/>
        <w:outlineLvl w:val="2"/>
        <w:rPr>
          <w:rFonts w:eastAsia="Times New Roman" w:cs="Arial"/>
          <w:b/>
          <w:sz w:val="10"/>
          <w:szCs w:val="24"/>
          <w:lang w:val="es-ES" w:eastAsia="en-US"/>
        </w:rPr>
      </w:pPr>
    </w:p>
    <w:tbl>
      <w:tblPr>
        <w:tblW w:w="8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4"/>
        <w:gridCol w:w="3827"/>
        <w:gridCol w:w="1218"/>
        <w:gridCol w:w="1243"/>
        <w:gridCol w:w="1276"/>
      </w:tblGrid>
      <w:tr w:rsidR="00D868AB" w:rsidRPr="00D868AB" w14:paraId="7D09EB5D" w14:textId="77777777" w:rsidTr="00A755A7">
        <w:trPr>
          <w:trHeight w:val="20"/>
          <w:tblHeader/>
          <w:jc w:val="center"/>
        </w:trPr>
        <w:tc>
          <w:tcPr>
            <w:tcW w:w="8268" w:type="dxa"/>
            <w:gridSpan w:val="5"/>
            <w:tcBorders>
              <w:top w:val="nil"/>
              <w:left w:val="nil"/>
              <w:bottom w:val="single" w:sz="4" w:space="0" w:color="auto"/>
              <w:right w:val="nil"/>
            </w:tcBorders>
            <w:vAlign w:val="center"/>
          </w:tcPr>
          <w:p w14:paraId="472F4F81" w14:textId="77777777" w:rsidR="00D868AB" w:rsidRPr="00D868AB" w:rsidRDefault="00D868AB" w:rsidP="00D868AB">
            <w:pPr>
              <w:autoSpaceDE w:val="0"/>
              <w:autoSpaceDN w:val="0"/>
              <w:adjustRightInd w:val="0"/>
              <w:jc w:val="center"/>
              <w:rPr>
                <w:rFonts w:eastAsiaTheme="minorHAnsi" w:cs="Arial"/>
                <w:b/>
                <w:bCs/>
                <w:color w:val="000000"/>
                <w:sz w:val="16"/>
                <w:szCs w:val="16"/>
                <w:lang w:eastAsia="en-US"/>
              </w:rPr>
            </w:pPr>
            <w:r w:rsidRPr="00D868AB">
              <w:rPr>
                <w:rFonts w:eastAsia="Times New Roman" w:cs="Arial"/>
                <w:b/>
                <w:sz w:val="20"/>
              </w:rPr>
              <w:t>Tabla 34. Gasto Educativo Estatal</w:t>
            </w:r>
          </w:p>
        </w:tc>
      </w:tr>
      <w:tr w:rsidR="00D868AB" w:rsidRPr="00D868AB" w14:paraId="0FDB4764" w14:textId="77777777" w:rsidTr="00A755A7">
        <w:trPr>
          <w:trHeight w:val="20"/>
          <w:tblHeader/>
          <w:jc w:val="center"/>
        </w:trPr>
        <w:tc>
          <w:tcPr>
            <w:tcW w:w="704" w:type="dxa"/>
            <w:tcBorders>
              <w:top w:val="single" w:sz="4" w:space="0" w:color="auto"/>
            </w:tcBorders>
            <w:vAlign w:val="center"/>
          </w:tcPr>
          <w:p w14:paraId="00975762" w14:textId="77777777" w:rsidR="00D868AB" w:rsidRPr="00D868AB" w:rsidRDefault="00D868AB" w:rsidP="00D868AB">
            <w:pPr>
              <w:autoSpaceDE w:val="0"/>
              <w:autoSpaceDN w:val="0"/>
              <w:adjustRightInd w:val="0"/>
              <w:jc w:val="center"/>
              <w:rPr>
                <w:rFonts w:eastAsiaTheme="minorHAnsi" w:cs="Arial"/>
                <w:b/>
                <w:bCs/>
                <w:color w:val="000000"/>
                <w:sz w:val="16"/>
                <w:szCs w:val="16"/>
                <w:lang w:eastAsia="en-US"/>
              </w:rPr>
            </w:pPr>
            <w:r w:rsidRPr="00D868AB">
              <w:rPr>
                <w:rFonts w:eastAsiaTheme="minorHAnsi" w:cs="Arial"/>
                <w:b/>
                <w:bCs/>
                <w:color w:val="000000"/>
                <w:sz w:val="16"/>
                <w:szCs w:val="16"/>
                <w:lang w:eastAsia="en-US"/>
              </w:rPr>
              <w:t>Clave</w:t>
            </w:r>
          </w:p>
        </w:tc>
        <w:tc>
          <w:tcPr>
            <w:tcW w:w="3827" w:type="dxa"/>
            <w:tcBorders>
              <w:top w:val="single" w:sz="4" w:space="0" w:color="auto"/>
            </w:tcBorders>
            <w:vAlign w:val="center"/>
          </w:tcPr>
          <w:p w14:paraId="4900032C" w14:textId="77777777" w:rsidR="00D868AB" w:rsidRPr="00D868AB" w:rsidRDefault="00D868AB" w:rsidP="00D868AB">
            <w:pPr>
              <w:autoSpaceDE w:val="0"/>
              <w:autoSpaceDN w:val="0"/>
              <w:adjustRightInd w:val="0"/>
              <w:jc w:val="center"/>
              <w:rPr>
                <w:rFonts w:eastAsiaTheme="minorHAnsi" w:cs="Arial"/>
                <w:b/>
                <w:bCs/>
                <w:color w:val="000000"/>
                <w:sz w:val="16"/>
                <w:szCs w:val="16"/>
                <w:lang w:eastAsia="en-US"/>
              </w:rPr>
            </w:pPr>
            <w:r w:rsidRPr="00D868AB">
              <w:rPr>
                <w:rFonts w:eastAsiaTheme="minorHAnsi" w:cs="Arial"/>
                <w:b/>
                <w:bCs/>
                <w:color w:val="000000"/>
                <w:sz w:val="16"/>
                <w:szCs w:val="16"/>
                <w:lang w:eastAsia="en-US"/>
              </w:rPr>
              <w:t>Concepto</w:t>
            </w:r>
          </w:p>
        </w:tc>
        <w:tc>
          <w:tcPr>
            <w:tcW w:w="1218" w:type="dxa"/>
            <w:tcBorders>
              <w:top w:val="single" w:sz="4" w:space="0" w:color="auto"/>
            </w:tcBorders>
            <w:vAlign w:val="center"/>
          </w:tcPr>
          <w:p w14:paraId="20868E26" w14:textId="77777777" w:rsidR="00D868AB" w:rsidRPr="00D868AB" w:rsidRDefault="00D868AB" w:rsidP="00D868AB">
            <w:pPr>
              <w:autoSpaceDE w:val="0"/>
              <w:autoSpaceDN w:val="0"/>
              <w:adjustRightInd w:val="0"/>
              <w:jc w:val="center"/>
              <w:rPr>
                <w:rFonts w:eastAsiaTheme="minorHAnsi" w:cs="Arial"/>
                <w:b/>
                <w:bCs/>
                <w:color w:val="000000"/>
                <w:sz w:val="14"/>
                <w:szCs w:val="16"/>
                <w:lang w:eastAsia="en-US"/>
              </w:rPr>
            </w:pPr>
            <w:r w:rsidRPr="00D868AB">
              <w:rPr>
                <w:rFonts w:eastAsiaTheme="minorHAnsi" w:cs="Arial"/>
                <w:b/>
                <w:bCs/>
                <w:color w:val="000000"/>
                <w:sz w:val="14"/>
                <w:szCs w:val="16"/>
                <w:lang w:eastAsia="en-US"/>
              </w:rPr>
              <w:t>Ingresos de Libre Disposición</w:t>
            </w:r>
          </w:p>
        </w:tc>
        <w:tc>
          <w:tcPr>
            <w:tcW w:w="1243" w:type="dxa"/>
            <w:tcBorders>
              <w:top w:val="single" w:sz="4" w:space="0" w:color="auto"/>
            </w:tcBorders>
            <w:vAlign w:val="center"/>
          </w:tcPr>
          <w:p w14:paraId="6507FA9B" w14:textId="77777777" w:rsidR="00D868AB" w:rsidRPr="00D868AB" w:rsidRDefault="00D868AB" w:rsidP="00D868AB">
            <w:pPr>
              <w:autoSpaceDE w:val="0"/>
              <w:autoSpaceDN w:val="0"/>
              <w:adjustRightInd w:val="0"/>
              <w:jc w:val="center"/>
              <w:rPr>
                <w:rFonts w:eastAsiaTheme="minorHAnsi" w:cs="Arial"/>
                <w:b/>
                <w:bCs/>
                <w:color w:val="000000"/>
                <w:sz w:val="14"/>
                <w:szCs w:val="16"/>
                <w:lang w:eastAsia="en-US"/>
              </w:rPr>
            </w:pPr>
            <w:r w:rsidRPr="00D868AB">
              <w:rPr>
                <w:rFonts w:eastAsiaTheme="minorHAnsi" w:cs="Arial"/>
                <w:b/>
                <w:bCs/>
                <w:color w:val="000000"/>
                <w:sz w:val="14"/>
                <w:szCs w:val="16"/>
                <w:lang w:eastAsia="en-US"/>
              </w:rPr>
              <w:t>Transferencias Federales Etiquetadas</w:t>
            </w:r>
          </w:p>
        </w:tc>
        <w:tc>
          <w:tcPr>
            <w:tcW w:w="1276" w:type="dxa"/>
            <w:tcBorders>
              <w:top w:val="single" w:sz="4" w:space="0" w:color="auto"/>
            </w:tcBorders>
            <w:vAlign w:val="center"/>
          </w:tcPr>
          <w:p w14:paraId="7E25EBFD" w14:textId="77777777" w:rsidR="00D868AB" w:rsidRPr="00D868AB" w:rsidRDefault="00D868AB" w:rsidP="00D868AB">
            <w:pPr>
              <w:autoSpaceDE w:val="0"/>
              <w:autoSpaceDN w:val="0"/>
              <w:adjustRightInd w:val="0"/>
              <w:jc w:val="center"/>
              <w:rPr>
                <w:rFonts w:eastAsiaTheme="minorHAnsi" w:cs="Arial"/>
                <w:b/>
                <w:bCs/>
                <w:color w:val="000000"/>
                <w:sz w:val="16"/>
                <w:szCs w:val="16"/>
                <w:lang w:eastAsia="en-US"/>
              </w:rPr>
            </w:pPr>
            <w:r w:rsidRPr="00D868AB">
              <w:rPr>
                <w:rFonts w:eastAsiaTheme="minorHAnsi" w:cs="Arial"/>
                <w:b/>
                <w:bCs/>
                <w:color w:val="000000"/>
                <w:sz w:val="16"/>
                <w:szCs w:val="16"/>
                <w:lang w:eastAsia="en-US"/>
              </w:rPr>
              <w:t>Asignación Presupuestal</w:t>
            </w:r>
          </w:p>
        </w:tc>
      </w:tr>
      <w:tr w:rsidR="00D868AB" w:rsidRPr="00D868AB" w14:paraId="6CD87886" w14:textId="77777777" w:rsidTr="00A755A7">
        <w:trPr>
          <w:trHeight w:val="20"/>
          <w:jc w:val="center"/>
        </w:trPr>
        <w:tc>
          <w:tcPr>
            <w:tcW w:w="704" w:type="dxa"/>
            <w:vAlign w:val="center"/>
          </w:tcPr>
          <w:p w14:paraId="6A4E922E" w14:textId="77777777" w:rsidR="00D868AB" w:rsidRPr="00D868AB" w:rsidRDefault="00D868AB" w:rsidP="00D868AB">
            <w:pPr>
              <w:autoSpaceDE w:val="0"/>
              <w:autoSpaceDN w:val="0"/>
              <w:adjustRightInd w:val="0"/>
              <w:jc w:val="center"/>
              <w:rPr>
                <w:rFonts w:eastAsiaTheme="minorHAnsi" w:cs="Arial"/>
                <w:b/>
                <w:bCs/>
                <w:color w:val="000000"/>
                <w:sz w:val="16"/>
                <w:szCs w:val="16"/>
                <w:lang w:eastAsia="en-US"/>
              </w:rPr>
            </w:pPr>
            <w:r w:rsidRPr="00D868AB">
              <w:rPr>
                <w:rFonts w:eastAsiaTheme="minorHAnsi" w:cs="Arial"/>
                <w:b/>
                <w:bCs/>
                <w:color w:val="000000"/>
                <w:sz w:val="16"/>
                <w:szCs w:val="16"/>
                <w:lang w:eastAsia="en-US"/>
              </w:rPr>
              <w:t>6</w:t>
            </w:r>
          </w:p>
        </w:tc>
        <w:tc>
          <w:tcPr>
            <w:tcW w:w="3827" w:type="dxa"/>
            <w:vAlign w:val="center"/>
          </w:tcPr>
          <w:p w14:paraId="634ADA28" w14:textId="77777777" w:rsidR="00D868AB" w:rsidRPr="00D868AB" w:rsidRDefault="00D868AB" w:rsidP="00D868AB">
            <w:pPr>
              <w:autoSpaceDE w:val="0"/>
              <w:autoSpaceDN w:val="0"/>
              <w:adjustRightInd w:val="0"/>
              <w:jc w:val="left"/>
              <w:rPr>
                <w:rFonts w:eastAsiaTheme="minorHAnsi" w:cs="Arial"/>
                <w:b/>
                <w:bCs/>
                <w:color w:val="000000"/>
                <w:sz w:val="16"/>
                <w:szCs w:val="16"/>
                <w:lang w:eastAsia="en-US"/>
              </w:rPr>
            </w:pPr>
            <w:r w:rsidRPr="00D868AB">
              <w:rPr>
                <w:rFonts w:eastAsiaTheme="minorHAnsi" w:cs="Arial"/>
                <w:b/>
                <w:bCs/>
                <w:color w:val="000000"/>
                <w:sz w:val="16"/>
                <w:szCs w:val="16"/>
                <w:lang w:eastAsia="en-US"/>
              </w:rPr>
              <w:t>Secretaría de Educación y Cultura.</w:t>
            </w:r>
          </w:p>
        </w:tc>
        <w:tc>
          <w:tcPr>
            <w:tcW w:w="1218" w:type="dxa"/>
            <w:vAlign w:val="center"/>
          </w:tcPr>
          <w:p w14:paraId="49A01C81"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1,251,652,710</w:t>
            </w:r>
          </w:p>
        </w:tc>
        <w:tc>
          <w:tcPr>
            <w:tcW w:w="1243" w:type="dxa"/>
            <w:vAlign w:val="center"/>
          </w:tcPr>
          <w:p w14:paraId="1E7250E4"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6,597,288,702</w:t>
            </w:r>
          </w:p>
        </w:tc>
        <w:tc>
          <w:tcPr>
            <w:tcW w:w="1276" w:type="dxa"/>
            <w:vAlign w:val="center"/>
          </w:tcPr>
          <w:p w14:paraId="2295EE02"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7,848,941,412</w:t>
            </w:r>
          </w:p>
        </w:tc>
      </w:tr>
      <w:tr w:rsidR="00D868AB" w:rsidRPr="00D868AB" w14:paraId="7428EF7A" w14:textId="77777777" w:rsidTr="00A755A7">
        <w:trPr>
          <w:trHeight w:val="20"/>
          <w:jc w:val="center"/>
        </w:trPr>
        <w:tc>
          <w:tcPr>
            <w:tcW w:w="704" w:type="dxa"/>
            <w:vAlign w:val="center"/>
          </w:tcPr>
          <w:p w14:paraId="4794968E" w14:textId="77777777" w:rsidR="00D868AB" w:rsidRPr="00D868AB" w:rsidRDefault="00D868AB" w:rsidP="00D868AB">
            <w:pPr>
              <w:autoSpaceDE w:val="0"/>
              <w:autoSpaceDN w:val="0"/>
              <w:adjustRightInd w:val="0"/>
              <w:jc w:val="center"/>
              <w:rPr>
                <w:rFonts w:eastAsiaTheme="minorHAnsi" w:cs="Arial"/>
                <w:b/>
                <w:bCs/>
                <w:color w:val="000000"/>
                <w:sz w:val="16"/>
                <w:szCs w:val="16"/>
                <w:lang w:eastAsia="en-US"/>
              </w:rPr>
            </w:pPr>
            <w:r w:rsidRPr="00D868AB">
              <w:rPr>
                <w:rFonts w:eastAsiaTheme="minorHAnsi" w:cs="Arial"/>
                <w:b/>
                <w:bCs/>
                <w:color w:val="000000"/>
                <w:sz w:val="16"/>
                <w:szCs w:val="16"/>
                <w:lang w:eastAsia="en-US"/>
              </w:rPr>
              <w:t>10000</w:t>
            </w:r>
          </w:p>
        </w:tc>
        <w:tc>
          <w:tcPr>
            <w:tcW w:w="3827" w:type="dxa"/>
            <w:vAlign w:val="center"/>
          </w:tcPr>
          <w:p w14:paraId="2A609264" w14:textId="77777777" w:rsidR="00D868AB" w:rsidRPr="00D868AB" w:rsidRDefault="00D868AB" w:rsidP="00D868AB">
            <w:pPr>
              <w:autoSpaceDE w:val="0"/>
              <w:autoSpaceDN w:val="0"/>
              <w:adjustRightInd w:val="0"/>
              <w:jc w:val="left"/>
              <w:rPr>
                <w:rFonts w:eastAsiaTheme="minorHAnsi" w:cs="Arial"/>
                <w:b/>
                <w:bCs/>
                <w:color w:val="000000"/>
                <w:sz w:val="16"/>
                <w:szCs w:val="16"/>
                <w:lang w:eastAsia="en-US"/>
              </w:rPr>
            </w:pPr>
            <w:r w:rsidRPr="00D868AB">
              <w:rPr>
                <w:rFonts w:eastAsiaTheme="minorHAnsi" w:cs="Arial"/>
                <w:b/>
                <w:bCs/>
                <w:color w:val="000000"/>
                <w:sz w:val="16"/>
                <w:szCs w:val="16"/>
                <w:lang w:eastAsia="en-US"/>
              </w:rPr>
              <w:t>Servicios Personales.</w:t>
            </w:r>
          </w:p>
        </w:tc>
        <w:tc>
          <w:tcPr>
            <w:tcW w:w="1218" w:type="dxa"/>
            <w:vAlign w:val="center"/>
          </w:tcPr>
          <w:p w14:paraId="55DCC0C5"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532,038,044</w:t>
            </w:r>
          </w:p>
        </w:tc>
        <w:tc>
          <w:tcPr>
            <w:tcW w:w="1243" w:type="dxa"/>
            <w:vAlign w:val="center"/>
          </w:tcPr>
          <w:p w14:paraId="10DC397C"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233,000,000</w:t>
            </w:r>
          </w:p>
        </w:tc>
        <w:tc>
          <w:tcPr>
            <w:tcW w:w="1276" w:type="dxa"/>
            <w:vAlign w:val="center"/>
          </w:tcPr>
          <w:p w14:paraId="6B95FD72"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765,038,044</w:t>
            </w:r>
          </w:p>
        </w:tc>
      </w:tr>
      <w:tr w:rsidR="00D868AB" w:rsidRPr="00D868AB" w14:paraId="3371C0C0" w14:textId="77777777" w:rsidTr="00A755A7">
        <w:trPr>
          <w:trHeight w:val="20"/>
          <w:jc w:val="center"/>
        </w:trPr>
        <w:tc>
          <w:tcPr>
            <w:tcW w:w="704" w:type="dxa"/>
            <w:vAlign w:val="center"/>
          </w:tcPr>
          <w:p w14:paraId="61781F44" w14:textId="77777777" w:rsidR="00D868AB" w:rsidRPr="00D868AB" w:rsidRDefault="00D868AB" w:rsidP="00D868AB">
            <w:pPr>
              <w:autoSpaceDE w:val="0"/>
              <w:autoSpaceDN w:val="0"/>
              <w:adjustRightInd w:val="0"/>
              <w:jc w:val="center"/>
              <w:rPr>
                <w:rFonts w:eastAsiaTheme="minorHAnsi" w:cs="Arial"/>
                <w:b/>
                <w:bCs/>
                <w:color w:val="000000"/>
                <w:sz w:val="16"/>
                <w:szCs w:val="16"/>
                <w:lang w:eastAsia="en-US"/>
              </w:rPr>
            </w:pPr>
            <w:r w:rsidRPr="00D868AB">
              <w:rPr>
                <w:rFonts w:eastAsiaTheme="minorHAnsi" w:cs="Arial"/>
                <w:b/>
                <w:bCs/>
                <w:color w:val="000000"/>
                <w:sz w:val="16"/>
                <w:szCs w:val="16"/>
                <w:lang w:eastAsia="en-US"/>
              </w:rPr>
              <w:t>20000</w:t>
            </w:r>
          </w:p>
        </w:tc>
        <w:tc>
          <w:tcPr>
            <w:tcW w:w="3827" w:type="dxa"/>
            <w:vAlign w:val="center"/>
          </w:tcPr>
          <w:p w14:paraId="58546EF6" w14:textId="77777777" w:rsidR="00D868AB" w:rsidRPr="00D868AB" w:rsidRDefault="00D868AB" w:rsidP="00D868AB">
            <w:pPr>
              <w:autoSpaceDE w:val="0"/>
              <w:autoSpaceDN w:val="0"/>
              <w:adjustRightInd w:val="0"/>
              <w:jc w:val="left"/>
              <w:rPr>
                <w:rFonts w:eastAsiaTheme="minorHAnsi" w:cs="Arial"/>
                <w:b/>
                <w:bCs/>
                <w:color w:val="000000"/>
                <w:sz w:val="16"/>
                <w:szCs w:val="16"/>
                <w:lang w:eastAsia="en-US"/>
              </w:rPr>
            </w:pPr>
            <w:r w:rsidRPr="00D868AB">
              <w:rPr>
                <w:rFonts w:eastAsiaTheme="minorHAnsi" w:cs="Arial"/>
                <w:b/>
                <w:bCs/>
                <w:color w:val="000000"/>
                <w:sz w:val="16"/>
                <w:szCs w:val="16"/>
                <w:lang w:eastAsia="en-US"/>
              </w:rPr>
              <w:t>Materiales y Suministros.</w:t>
            </w:r>
          </w:p>
        </w:tc>
        <w:tc>
          <w:tcPr>
            <w:tcW w:w="1218" w:type="dxa"/>
            <w:vAlign w:val="center"/>
          </w:tcPr>
          <w:p w14:paraId="3A31A57D"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168,000</w:t>
            </w:r>
          </w:p>
        </w:tc>
        <w:tc>
          <w:tcPr>
            <w:tcW w:w="1243" w:type="dxa"/>
            <w:vAlign w:val="center"/>
          </w:tcPr>
          <w:p w14:paraId="1DA68940"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0</w:t>
            </w:r>
          </w:p>
        </w:tc>
        <w:tc>
          <w:tcPr>
            <w:tcW w:w="1276" w:type="dxa"/>
            <w:vAlign w:val="center"/>
          </w:tcPr>
          <w:p w14:paraId="18EC11C0"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168,000</w:t>
            </w:r>
          </w:p>
        </w:tc>
      </w:tr>
      <w:tr w:rsidR="00D868AB" w:rsidRPr="00D868AB" w14:paraId="4FCF1A96" w14:textId="77777777" w:rsidTr="00A755A7">
        <w:trPr>
          <w:trHeight w:val="20"/>
          <w:jc w:val="center"/>
        </w:trPr>
        <w:tc>
          <w:tcPr>
            <w:tcW w:w="704" w:type="dxa"/>
            <w:vAlign w:val="center"/>
          </w:tcPr>
          <w:p w14:paraId="2DFC62F6" w14:textId="77777777" w:rsidR="00D868AB" w:rsidRPr="00D868AB" w:rsidRDefault="00D868AB" w:rsidP="00D868AB">
            <w:pPr>
              <w:autoSpaceDE w:val="0"/>
              <w:autoSpaceDN w:val="0"/>
              <w:adjustRightInd w:val="0"/>
              <w:jc w:val="center"/>
              <w:rPr>
                <w:rFonts w:eastAsiaTheme="minorHAnsi" w:cs="Arial"/>
                <w:b/>
                <w:bCs/>
                <w:color w:val="000000"/>
                <w:sz w:val="16"/>
                <w:szCs w:val="16"/>
                <w:lang w:eastAsia="en-US"/>
              </w:rPr>
            </w:pPr>
            <w:r w:rsidRPr="00D868AB">
              <w:rPr>
                <w:rFonts w:eastAsiaTheme="minorHAnsi" w:cs="Arial"/>
                <w:b/>
                <w:bCs/>
                <w:color w:val="000000"/>
                <w:sz w:val="16"/>
                <w:szCs w:val="16"/>
                <w:lang w:eastAsia="en-US"/>
              </w:rPr>
              <w:t>30000</w:t>
            </w:r>
          </w:p>
        </w:tc>
        <w:tc>
          <w:tcPr>
            <w:tcW w:w="3827" w:type="dxa"/>
            <w:vAlign w:val="center"/>
          </w:tcPr>
          <w:p w14:paraId="466D4FB5" w14:textId="77777777" w:rsidR="00D868AB" w:rsidRPr="00D868AB" w:rsidRDefault="00D868AB" w:rsidP="00D868AB">
            <w:pPr>
              <w:autoSpaceDE w:val="0"/>
              <w:autoSpaceDN w:val="0"/>
              <w:adjustRightInd w:val="0"/>
              <w:jc w:val="left"/>
              <w:rPr>
                <w:rFonts w:eastAsiaTheme="minorHAnsi" w:cs="Arial"/>
                <w:b/>
                <w:bCs/>
                <w:color w:val="000000"/>
                <w:sz w:val="16"/>
                <w:szCs w:val="16"/>
                <w:lang w:eastAsia="en-US"/>
              </w:rPr>
            </w:pPr>
            <w:r w:rsidRPr="00D868AB">
              <w:rPr>
                <w:rFonts w:eastAsiaTheme="minorHAnsi" w:cs="Arial"/>
                <w:b/>
                <w:bCs/>
                <w:color w:val="000000"/>
                <w:sz w:val="16"/>
                <w:szCs w:val="16"/>
                <w:lang w:eastAsia="en-US"/>
              </w:rPr>
              <w:t>Servicios Generales.</w:t>
            </w:r>
          </w:p>
        </w:tc>
        <w:tc>
          <w:tcPr>
            <w:tcW w:w="1218" w:type="dxa"/>
            <w:vAlign w:val="center"/>
          </w:tcPr>
          <w:p w14:paraId="6A97B283"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10,102,008</w:t>
            </w:r>
          </w:p>
        </w:tc>
        <w:tc>
          <w:tcPr>
            <w:tcW w:w="1243" w:type="dxa"/>
            <w:vAlign w:val="center"/>
          </w:tcPr>
          <w:p w14:paraId="58A82AAC"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0</w:t>
            </w:r>
          </w:p>
        </w:tc>
        <w:tc>
          <w:tcPr>
            <w:tcW w:w="1276" w:type="dxa"/>
            <w:vAlign w:val="center"/>
          </w:tcPr>
          <w:p w14:paraId="4679F594"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10,102,008</w:t>
            </w:r>
          </w:p>
        </w:tc>
      </w:tr>
      <w:tr w:rsidR="00D868AB" w:rsidRPr="00D868AB" w14:paraId="0E03F475" w14:textId="77777777" w:rsidTr="00A755A7">
        <w:trPr>
          <w:trHeight w:val="20"/>
          <w:jc w:val="center"/>
        </w:trPr>
        <w:tc>
          <w:tcPr>
            <w:tcW w:w="704" w:type="dxa"/>
            <w:vAlign w:val="center"/>
          </w:tcPr>
          <w:p w14:paraId="573BD4F1" w14:textId="77777777" w:rsidR="00D868AB" w:rsidRPr="00D868AB" w:rsidRDefault="00D868AB" w:rsidP="00D868AB">
            <w:pPr>
              <w:autoSpaceDE w:val="0"/>
              <w:autoSpaceDN w:val="0"/>
              <w:adjustRightInd w:val="0"/>
              <w:jc w:val="center"/>
              <w:rPr>
                <w:rFonts w:eastAsiaTheme="minorHAnsi" w:cs="Arial"/>
                <w:b/>
                <w:bCs/>
                <w:color w:val="000000"/>
                <w:sz w:val="16"/>
                <w:szCs w:val="16"/>
                <w:lang w:eastAsia="en-US"/>
              </w:rPr>
            </w:pPr>
            <w:r w:rsidRPr="00D868AB">
              <w:rPr>
                <w:rFonts w:eastAsiaTheme="minorHAnsi" w:cs="Arial"/>
                <w:b/>
                <w:bCs/>
                <w:color w:val="000000"/>
                <w:sz w:val="16"/>
                <w:szCs w:val="16"/>
                <w:lang w:eastAsia="en-US"/>
              </w:rPr>
              <w:t>40000</w:t>
            </w:r>
          </w:p>
        </w:tc>
        <w:tc>
          <w:tcPr>
            <w:tcW w:w="3827" w:type="dxa"/>
            <w:vAlign w:val="center"/>
          </w:tcPr>
          <w:p w14:paraId="2D650355" w14:textId="77777777" w:rsidR="00D868AB" w:rsidRPr="00D868AB" w:rsidRDefault="00D868AB" w:rsidP="00D868AB">
            <w:pPr>
              <w:autoSpaceDE w:val="0"/>
              <w:autoSpaceDN w:val="0"/>
              <w:adjustRightInd w:val="0"/>
              <w:jc w:val="left"/>
              <w:rPr>
                <w:rFonts w:eastAsiaTheme="minorHAnsi" w:cs="Arial"/>
                <w:b/>
                <w:bCs/>
                <w:color w:val="000000"/>
                <w:sz w:val="16"/>
                <w:szCs w:val="16"/>
                <w:lang w:eastAsia="en-US"/>
              </w:rPr>
            </w:pPr>
            <w:r w:rsidRPr="00D868AB">
              <w:rPr>
                <w:rFonts w:eastAsiaTheme="minorHAnsi" w:cs="Arial"/>
                <w:b/>
                <w:bCs/>
                <w:color w:val="000000"/>
                <w:sz w:val="16"/>
                <w:szCs w:val="16"/>
                <w:lang w:eastAsia="en-US"/>
              </w:rPr>
              <w:t>Transferencias, Asignaciones, Subsidios y Otras Ayudas.</w:t>
            </w:r>
          </w:p>
        </w:tc>
        <w:tc>
          <w:tcPr>
            <w:tcW w:w="1218" w:type="dxa"/>
            <w:vAlign w:val="center"/>
          </w:tcPr>
          <w:p w14:paraId="173DAF4B"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709,344,658</w:t>
            </w:r>
          </w:p>
        </w:tc>
        <w:tc>
          <w:tcPr>
            <w:tcW w:w="1243" w:type="dxa"/>
            <w:vAlign w:val="center"/>
          </w:tcPr>
          <w:p w14:paraId="347A9ACD"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6,364,288,702</w:t>
            </w:r>
          </w:p>
        </w:tc>
        <w:tc>
          <w:tcPr>
            <w:tcW w:w="1276" w:type="dxa"/>
            <w:vAlign w:val="center"/>
          </w:tcPr>
          <w:p w14:paraId="5E917A0C" w14:textId="77777777" w:rsidR="00D868AB" w:rsidRPr="00D868AB" w:rsidRDefault="00D868AB" w:rsidP="00D868AB">
            <w:pPr>
              <w:autoSpaceDE w:val="0"/>
              <w:autoSpaceDN w:val="0"/>
              <w:adjustRightInd w:val="0"/>
              <w:jc w:val="right"/>
              <w:rPr>
                <w:rFonts w:eastAsiaTheme="minorHAnsi" w:cs="Arial"/>
                <w:b/>
                <w:bCs/>
                <w:color w:val="000000"/>
                <w:sz w:val="16"/>
                <w:szCs w:val="16"/>
                <w:lang w:eastAsia="en-US"/>
              </w:rPr>
            </w:pPr>
            <w:r w:rsidRPr="00D868AB">
              <w:rPr>
                <w:rFonts w:cs="Arial"/>
                <w:b/>
                <w:bCs/>
                <w:color w:val="000000"/>
                <w:sz w:val="16"/>
                <w:szCs w:val="16"/>
              </w:rPr>
              <w:t>7,073,633,360</w:t>
            </w:r>
          </w:p>
        </w:tc>
      </w:tr>
      <w:tr w:rsidR="00D868AB" w:rsidRPr="00D868AB" w14:paraId="50512D81" w14:textId="77777777" w:rsidTr="00A755A7">
        <w:trPr>
          <w:trHeight w:val="20"/>
          <w:jc w:val="center"/>
        </w:trPr>
        <w:tc>
          <w:tcPr>
            <w:tcW w:w="704" w:type="dxa"/>
            <w:vAlign w:val="center"/>
          </w:tcPr>
          <w:p w14:paraId="48C5D4AA"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41137</w:t>
            </w:r>
          </w:p>
        </w:tc>
        <w:tc>
          <w:tcPr>
            <w:tcW w:w="3827" w:type="dxa"/>
            <w:vAlign w:val="center"/>
          </w:tcPr>
          <w:p w14:paraId="687C6562"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Coordinación de los Servicios Educativos Estatales.</w:t>
            </w:r>
          </w:p>
        </w:tc>
        <w:tc>
          <w:tcPr>
            <w:tcW w:w="1218" w:type="dxa"/>
            <w:vAlign w:val="center"/>
          </w:tcPr>
          <w:p w14:paraId="074A4276"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100,000,000</w:t>
            </w:r>
          </w:p>
        </w:tc>
        <w:tc>
          <w:tcPr>
            <w:tcW w:w="1243" w:type="dxa"/>
            <w:vAlign w:val="center"/>
          </w:tcPr>
          <w:p w14:paraId="46E464E2"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76" w:type="dxa"/>
            <w:vAlign w:val="center"/>
          </w:tcPr>
          <w:p w14:paraId="42FF1EE6"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100,000,000</w:t>
            </w:r>
          </w:p>
        </w:tc>
      </w:tr>
      <w:tr w:rsidR="00D868AB" w:rsidRPr="00D868AB" w14:paraId="4D896CB8" w14:textId="77777777" w:rsidTr="00A755A7">
        <w:trPr>
          <w:trHeight w:val="20"/>
          <w:jc w:val="center"/>
        </w:trPr>
        <w:tc>
          <w:tcPr>
            <w:tcW w:w="704" w:type="dxa"/>
            <w:vAlign w:val="center"/>
          </w:tcPr>
          <w:p w14:paraId="554B806F"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41147</w:t>
            </w:r>
          </w:p>
        </w:tc>
        <w:tc>
          <w:tcPr>
            <w:tcW w:w="3827" w:type="dxa"/>
            <w:vAlign w:val="center"/>
          </w:tcPr>
          <w:p w14:paraId="4C8B029B"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Escuela de Talentos.</w:t>
            </w:r>
          </w:p>
        </w:tc>
        <w:tc>
          <w:tcPr>
            <w:tcW w:w="1218" w:type="dxa"/>
            <w:vAlign w:val="center"/>
          </w:tcPr>
          <w:p w14:paraId="0BEFDDD0"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5,807,681</w:t>
            </w:r>
          </w:p>
        </w:tc>
        <w:tc>
          <w:tcPr>
            <w:tcW w:w="1243" w:type="dxa"/>
            <w:vAlign w:val="center"/>
          </w:tcPr>
          <w:p w14:paraId="0C1D1E73"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76" w:type="dxa"/>
            <w:vAlign w:val="center"/>
          </w:tcPr>
          <w:p w14:paraId="5425E9DC"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5,807,681</w:t>
            </w:r>
          </w:p>
        </w:tc>
      </w:tr>
      <w:tr w:rsidR="00D868AB" w:rsidRPr="00D868AB" w14:paraId="19307C98" w14:textId="77777777" w:rsidTr="00A755A7">
        <w:trPr>
          <w:trHeight w:val="20"/>
          <w:jc w:val="center"/>
        </w:trPr>
        <w:tc>
          <w:tcPr>
            <w:tcW w:w="704" w:type="dxa"/>
            <w:vAlign w:val="center"/>
          </w:tcPr>
          <w:p w14:paraId="2C1CB9D8"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41148</w:t>
            </w:r>
          </w:p>
        </w:tc>
        <w:tc>
          <w:tcPr>
            <w:tcW w:w="3827" w:type="dxa"/>
            <w:vAlign w:val="center"/>
          </w:tcPr>
          <w:p w14:paraId="651255A1"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Instituto Superior de Educación Normal del Estado de Colima.</w:t>
            </w:r>
          </w:p>
        </w:tc>
        <w:tc>
          <w:tcPr>
            <w:tcW w:w="1218" w:type="dxa"/>
            <w:vAlign w:val="center"/>
          </w:tcPr>
          <w:p w14:paraId="0B6BEA3E"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4,021,525</w:t>
            </w:r>
          </w:p>
        </w:tc>
        <w:tc>
          <w:tcPr>
            <w:tcW w:w="1243" w:type="dxa"/>
            <w:vAlign w:val="center"/>
          </w:tcPr>
          <w:p w14:paraId="4605FD74"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76" w:type="dxa"/>
            <w:vAlign w:val="center"/>
          </w:tcPr>
          <w:p w14:paraId="6ED91611"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4,021,525</w:t>
            </w:r>
          </w:p>
        </w:tc>
      </w:tr>
      <w:tr w:rsidR="00D868AB" w:rsidRPr="00D868AB" w14:paraId="1A79229D" w14:textId="77777777" w:rsidTr="00A755A7">
        <w:trPr>
          <w:trHeight w:val="20"/>
          <w:jc w:val="center"/>
        </w:trPr>
        <w:tc>
          <w:tcPr>
            <w:tcW w:w="704" w:type="dxa"/>
            <w:vAlign w:val="center"/>
          </w:tcPr>
          <w:p w14:paraId="742894C7"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41507</w:t>
            </w:r>
          </w:p>
        </w:tc>
        <w:tc>
          <w:tcPr>
            <w:tcW w:w="3827" w:type="dxa"/>
            <w:vAlign w:val="center"/>
          </w:tcPr>
          <w:p w14:paraId="53E09406"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Instituto Colimense de Infraestructura Física Educativa.</w:t>
            </w:r>
          </w:p>
        </w:tc>
        <w:tc>
          <w:tcPr>
            <w:tcW w:w="1218" w:type="dxa"/>
            <w:vAlign w:val="center"/>
          </w:tcPr>
          <w:p w14:paraId="699B7C39"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12,537,827</w:t>
            </w:r>
          </w:p>
        </w:tc>
        <w:tc>
          <w:tcPr>
            <w:tcW w:w="1243" w:type="dxa"/>
            <w:vAlign w:val="center"/>
          </w:tcPr>
          <w:p w14:paraId="0CF992F1"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76" w:type="dxa"/>
            <w:vAlign w:val="center"/>
          </w:tcPr>
          <w:p w14:paraId="5D86E12B"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12,537,827</w:t>
            </w:r>
          </w:p>
        </w:tc>
      </w:tr>
      <w:tr w:rsidR="00D868AB" w:rsidRPr="00D868AB" w14:paraId="3F631B91" w14:textId="77777777" w:rsidTr="00A755A7">
        <w:trPr>
          <w:trHeight w:val="20"/>
          <w:jc w:val="center"/>
        </w:trPr>
        <w:tc>
          <w:tcPr>
            <w:tcW w:w="704" w:type="dxa"/>
            <w:vAlign w:val="center"/>
          </w:tcPr>
          <w:p w14:paraId="34319B68"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41509</w:t>
            </w:r>
          </w:p>
        </w:tc>
        <w:tc>
          <w:tcPr>
            <w:tcW w:w="3827" w:type="dxa"/>
            <w:vAlign w:val="center"/>
          </w:tcPr>
          <w:p w14:paraId="6E23AB5C"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Universidad Tecnológica de Manzanillo.</w:t>
            </w:r>
          </w:p>
        </w:tc>
        <w:tc>
          <w:tcPr>
            <w:tcW w:w="1218" w:type="dxa"/>
            <w:vAlign w:val="center"/>
          </w:tcPr>
          <w:p w14:paraId="6971ECAB"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24,000,000</w:t>
            </w:r>
          </w:p>
        </w:tc>
        <w:tc>
          <w:tcPr>
            <w:tcW w:w="1243" w:type="dxa"/>
            <w:vAlign w:val="center"/>
          </w:tcPr>
          <w:p w14:paraId="52914CE3"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76" w:type="dxa"/>
            <w:vAlign w:val="center"/>
          </w:tcPr>
          <w:p w14:paraId="2B3F8878"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24,000,000</w:t>
            </w:r>
          </w:p>
        </w:tc>
      </w:tr>
      <w:tr w:rsidR="00D868AB" w:rsidRPr="00D868AB" w14:paraId="0C75F246" w14:textId="77777777" w:rsidTr="00A755A7">
        <w:trPr>
          <w:trHeight w:val="20"/>
          <w:jc w:val="center"/>
        </w:trPr>
        <w:tc>
          <w:tcPr>
            <w:tcW w:w="704" w:type="dxa"/>
            <w:vAlign w:val="center"/>
          </w:tcPr>
          <w:p w14:paraId="58255773"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41517</w:t>
            </w:r>
          </w:p>
        </w:tc>
        <w:tc>
          <w:tcPr>
            <w:tcW w:w="3827" w:type="dxa"/>
            <w:vAlign w:val="center"/>
          </w:tcPr>
          <w:p w14:paraId="2B98C573"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Colegio de Educación Profesional Técnica del Estado de Colima.</w:t>
            </w:r>
          </w:p>
        </w:tc>
        <w:tc>
          <w:tcPr>
            <w:tcW w:w="1218" w:type="dxa"/>
            <w:vAlign w:val="center"/>
          </w:tcPr>
          <w:p w14:paraId="1EDB8B1F"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2,068,600</w:t>
            </w:r>
          </w:p>
        </w:tc>
        <w:tc>
          <w:tcPr>
            <w:tcW w:w="1243" w:type="dxa"/>
            <w:vAlign w:val="center"/>
          </w:tcPr>
          <w:p w14:paraId="6774DC88"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76" w:type="dxa"/>
            <w:vAlign w:val="center"/>
          </w:tcPr>
          <w:p w14:paraId="093D370F"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2,068,600</w:t>
            </w:r>
          </w:p>
        </w:tc>
      </w:tr>
      <w:tr w:rsidR="00D868AB" w:rsidRPr="00D868AB" w14:paraId="0F7C5D5A" w14:textId="77777777" w:rsidTr="00A755A7">
        <w:trPr>
          <w:trHeight w:val="20"/>
          <w:jc w:val="center"/>
        </w:trPr>
        <w:tc>
          <w:tcPr>
            <w:tcW w:w="704" w:type="dxa"/>
            <w:vAlign w:val="center"/>
          </w:tcPr>
          <w:p w14:paraId="23DC2745"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41527</w:t>
            </w:r>
          </w:p>
        </w:tc>
        <w:tc>
          <w:tcPr>
            <w:tcW w:w="3827" w:type="dxa"/>
            <w:vAlign w:val="center"/>
          </w:tcPr>
          <w:p w14:paraId="4FDB529D"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Colegio de Educación Profesional Técnica (Tecomán).</w:t>
            </w:r>
          </w:p>
        </w:tc>
        <w:tc>
          <w:tcPr>
            <w:tcW w:w="1218" w:type="dxa"/>
            <w:vAlign w:val="center"/>
          </w:tcPr>
          <w:p w14:paraId="2BFD34FE"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3,700,000</w:t>
            </w:r>
          </w:p>
        </w:tc>
        <w:tc>
          <w:tcPr>
            <w:tcW w:w="1243" w:type="dxa"/>
            <w:vAlign w:val="center"/>
          </w:tcPr>
          <w:p w14:paraId="2BE6B397"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76" w:type="dxa"/>
            <w:vAlign w:val="center"/>
          </w:tcPr>
          <w:p w14:paraId="4C846DFD"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3,700,000</w:t>
            </w:r>
          </w:p>
        </w:tc>
      </w:tr>
      <w:tr w:rsidR="00D868AB" w:rsidRPr="00D868AB" w14:paraId="42BA1862" w14:textId="77777777" w:rsidTr="00A755A7">
        <w:trPr>
          <w:trHeight w:val="20"/>
          <w:jc w:val="center"/>
        </w:trPr>
        <w:tc>
          <w:tcPr>
            <w:tcW w:w="704" w:type="dxa"/>
            <w:vAlign w:val="center"/>
          </w:tcPr>
          <w:p w14:paraId="31160263"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41529</w:t>
            </w:r>
          </w:p>
        </w:tc>
        <w:tc>
          <w:tcPr>
            <w:tcW w:w="3827" w:type="dxa"/>
            <w:vAlign w:val="center"/>
          </w:tcPr>
          <w:p w14:paraId="34666EC0"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Fondo para la Educación Tecnológica y de Adultos (FAETA/IEEA).</w:t>
            </w:r>
          </w:p>
        </w:tc>
        <w:tc>
          <w:tcPr>
            <w:tcW w:w="1218" w:type="dxa"/>
            <w:vAlign w:val="center"/>
          </w:tcPr>
          <w:p w14:paraId="58B38CF9"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7B340266"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45,206,984</w:t>
            </w:r>
          </w:p>
        </w:tc>
        <w:tc>
          <w:tcPr>
            <w:tcW w:w="1276" w:type="dxa"/>
            <w:vAlign w:val="center"/>
          </w:tcPr>
          <w:p w14:paraId="154CEA02"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45,206,984</w:t>
            </w:r>
          </w:p>
        </w:tc>
      </w:tr>
      <w:tr w:rsidR="00D868AB" w:rsidRPr="00D868AB" w14:paraId="3A15FD3F" w14:textId="77777777" w:rsidTr="00A755A7">
        <w:trPr>
          <w:trHeight w:val="20"/>
          <w:jc w:val="center"/>
        </w:trPr>
        <w:tc>
          <w:tcPr>
            <w:tcW w:w="704" w:type="dxa"/>
            <w:vAlign w:val="center"/>
          </w:tcPr>
          <w:p w14:paraId="78463047"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41530</w:t>
            </w:r>
          </w:p>
        </w:tc>
        <w:tc>
          <w:tcPr>
            <w:tcW w:w="3827" w:type="dxa"/>
            <w:vAlign w:val="center"/>
          </w:tcPr>
          <w:p w14:paraId="37B71B57"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Fondo para la Educación Tecnológica y de Adultos (FAETA/CONALEP).</w:t>
            </w:r>
          </w:p>
        </w:tc>
        <w:tc>
          <w:tcPr>
            <w:tcW w:w="1218" w:type="dxa"/>
            <w:vAlign w:val="center"/>
          </w:tcPr>
          <w:p w14:paraId="06A0A2B7"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5B8EEC3E"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51,087,135</w:t>
            </w:r>
          </w:p>
        </w:tc>
        <w:tc>
          <w:tcPr>
            <w:tcW w:w="1276" w:type="dxa"/>
            <w:vAlign w:val="center"/>
          </w:tcPr>
          <w:p w14:paraId="1509F558"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51,087,135</w:t>
            </w:r>
          </w:p>
        </w:tc>
      </w:tr>
      <w:tr w:rsidR="00D868AB" w:rsidRPr="00D868AB" w14:paraId="4CA72A3F" w14:textId="77777777" w:rsidTr="00A755A7">
        <w:trPr>
          <w:trHeight w:val="20"/>
          <w:jc w:val="center"/>
        </w:trPr>
        <w:tc>
          <w:tcPr>
            <w:tcW w:w="704" w:type="dxa"/>
            <w:vAlign w:val="center"/>
          </w:tcPr>
          <w:p w14:paraId="78A13047"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41532</w:t>
            </w:r>
          </w:p>
        </w:tc>
        <w:tc>
          <w:tcPr>
            <w:tcW w:w="3827" w:type="dxa"/>
            <w:vAlign w:val="center"/>
          </w:tcPr>
          <w:p w14:paraId="5AC5FE31"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Fondo de Aportaciones para la Nómina Educativa y Gasto Operativo.</w:t>
            </w:r>
          </w:p>
        </w:tc>
        <w:tc>
          <w:tcPr>
            <w:tcW w:w="1218" w:type="dxa"/>
            <w:vAlign w:val="center"/>
          </w:tcPr>
          <w:p w14:paraId="78B574F0"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645424E7"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4,031,052,297</w:t>
            </w:r>
          </w:p>
        </w:tc>
        <w:tc>
          <w:tcPr>
            <w:tcW w:w="1276" w:type="dxa"/>
            <w:vAlign w:val="center"/>
          </w:tcPr>
          <w:p w14:paraId="0B18ACBB"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4,031,052,297</w:t>
            </w:r>
          </w:p>
        </w:tc>
      </w:tr>
      <w:tr w:rsidR="00D868AB" w:rsidRPr="00D868AB" w14:paraId="4C0B783A" w14:textId="77777777" w:rsidTr="00A755A7">
        <w:trPr>
          <w:trHeight w:val="20"/>
          <w:jc w:val="center"/>
        </w:trPr>
        <w:tc>
          <w:tcPr>
            <w:tcW w:w="704" w:type="dxa"/>
            <w:vAlign w:val="center"/>
          </w:tcPr>
          <w:p w14:paraId="440C8216"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41534</w:t>
            </w:r>
          </w:p>
        </w:tc>
        <w:tc>
          <w:tcPr>
            <w:tcW w:w="3827" w:type="dxa"/>
            <w:vAlign w:val="center"/>
          </w:tcPr>
          <w:p w14:paraId="2EE75F9C"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Infraestructura Educación Media Superior (IEMS).</w:t>
            </w:r>
          </w:p>
        </w:tc>
        <w:tc>
          <w:tcPr>
            <w:tcW w:w="1218" w:type="dxa"/>
            <w:vAlign w:val="center"/>
          </w:tcPr>
          <w:p w14:paraId="7D4BA06F"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5956CE70"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5,991,471</w:t>
            </w:r>
          </w:p>
        </w:tc>
        <w:tc>
          <w:tcPr>
            <w:tcW w:w="1276" w:type="dxa"/>
            <w:vAlign w:val="center"/>
          </w:tcPr>
          <w:p w14:paraId="723A924D"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5,991,471</w:t>
            </w:r>
          </w:p>
        </w:tc>
      </w:tr>
      <w:tr w:rsidR="00D868AB" w:rsidRPr="00D868AB" w14:paraId="1AE33D40" w14:textId="77777777" w:rsidTr="00A755A7">
        <w:trPr>
          <w:trHeight w:val="20"/>
          <w:jc w:val="center"/>
        </w:trPr>
        <w:tc>
          <w:tcPr>
            <w:tcW w:w="704" w:type="dxa"/>
            <w:vAlign w:val="center"/>
          </w:tcPr>
          <w:p w14:paraId="6F102468"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41535</w:t>
            </w:r>
          </w:p>
        </w:tc>
        <w:tc>
          <w:tcPr>
            <w:tcW w:w="3827" w:type="dxa"/>
            <w:vAlign w:val="center"/>
          </w:tcPr>
          <w:p w14:paraId="595193BB"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Infraestructura Educación Básica (RAMO 33).</w:t>
            </w:r>
          </w:p>
        </w:tc>
        <w:tc>
          <w:tcPr>
            <w:tcW w:w="1218" w:type="dxa"/>
            <w:vAlign w:val="center"/>
          </w:tcPr>
          <w:p w14:paraId="299D40C8"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10CAF5F3"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200,165,960</w:t>
            </w:r>
          </w:p>
        </w:tc>
        <w:tc>
          <w:tcPr>
            <w:tcW w:w="1276" w:type="dxa"/>
            <w:vAlign w:val="center"/>
          </w:tcPr>
          <w:p w14:paraId="554A3515"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200,165,960</w:t>
            </w:r>
          </w:p>
        </w:tc>
      </w:tr>
      <w:tr w:rsidR="00D868AB" w:rsidRPr="00D868AB" w14:paraId="62418D65" w14:textId="77777777" w:rsidTr="00A755A7">
        <w:trPr>
          <w:trHeight w:val="20"/>
          <w:jc w:val="center"/>
        </w:trPr>
        <w:tc>
          <w:tcPr>
            <w:tcW w:w="704" w:type="dxa"/>
            <w:vAlign w:val="center"/>
          </w:tcPr>
          <w:p w14:paraId="1AB172D4"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41539</w:t>
            </w:r>
          </w:p>
        </w:tc>
        <w:tc>
          <w:tcPr>
            <w:tcW w:w="3827" w:type="dxa"/>
            <w:vAlign w:val="center"/>
          </w:tcPr>
          <w:p w14:paraId="248EF9CC"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FAM Infraestructura Educación Superior.</w:t>
            </w:r>
          </w:p>
        </w:tc>
        <w:tc>
          <w:tcPr>
            <w:tcW w:w="1218" w:type="dxa"/>
            <w:vAlign w:val="center"/>
          </w:tcPr>
          <w:p w14:paraId="1C11C53A"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70C80BCC"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78,750,015</w:t>
            </w:r>
          </w:p>
        </w:tc>
        <w:tc>
          <w:tcPr>
            <w:tcW w:w="1276" w:type="dxa"/>
            <w:vAlign w:val="center"/>
          </w:tcPr>
          <w:p w14:paraId="4579871F"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78,750,015</w:t>
            </w:r>
          </w:p>
        </w:tc>
      </w:tr>
      <w:tr w:rsidR="00D868AB" w:rsidRPr="00D868AB" w14:paraId="2381AB95" w14:textId="77777777" w:rsidTr="00A755A7">
        <w:trPr>
          <w:trHeight w:val="20"/>
          <w:jc w:val="center"/>
        </w:trPr>
        <w:tc>
          <w:tcPr>
            <w:tcW w:w="704" w:type="dxa"/>
            <w:vAlign w:val="center"/>
          </w:tcPr>
          <w:p w14:paraId="07DA536E"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41562</w:t>
            </w:r>
          </w:p>
        </w:tc>
        <w:tc>
          <w:tcPr>
            <w:tcW w:w="3827" w:type="dxa"/>
            <w:vAlign w:val="center"/>
          </w:tcPr>
          <w:p w14:paraId="5DBF607A"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Universidad de Colima.</w:t>
            </w:r>
          </w:p>
        </w:tc>
        <w:tc>
          <w:tcPr>
            <w:tcW w:w="1218" w:type="dxa"/>
            <w:vAlign w:val="center"/>
          </w:tcPr>
          <w:p w14:paraId="11E50708"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500,030,275</w:t>
            </w:r>
          </w:p>
        </w:tc>
        <w:tc>
          <w:tcPr>
            <w:tcW w:w="1243" w:type="dxa"/>
            <w:vAlign w:val="center"/>
          </w:tcPr>
          <w:p w14:paraId="1A4B882A"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76" w:type="dxa"/>
            <w:vAlign w:val="center"/>
          </w:tcPr>
          <w:p w14:paraId="5EB366F5"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500,030,275</w:t>
            </w:r>
          </w:p>
        </w:tc>
      </w:tr>
      <w:tr w:rsidR="00D868AB" w:rsidRPr="00D868AB" w14:paraId="568AA599" w14:textId="77777777" w:rsidTr="00A755A7">
        <w:trPr>
          <w:trHeight w:val="20"/>
          <w:jc w:val="center"/>
        </w:trPr>
        <w:tc>
          <w:tcPr>
            <w:tcW w:w="704" w:type="dxa"/>
            <w:vAlign w:val="center"/>
          </w:tcPr>
          <w:p w14:paraId="40A04028"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42455</w:t>
            </w:r>
          </w:p>
        </w:tc>
        <w:tc>
          <w:tcPr>
            <w:tcW w:w="3827" w:type="dxa"/>
            <w:vAlign w:val="center"/>
          </w:tcPr>
          <w:p w14:paraId="5ECA0DE1"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Programa Fortalecimiento a la Excelencia Educativa.</w:t>
            </w:r>
          </w:p>
        </w:tc>
        <w:tc>
          <w:tcPr>
            <w:tcW w:w="1218" w:type="dxa"/>
            <w:vAlign w:val="center"/>
          </w:tcPr>
          <w:p w14:paraId="0883584B"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31DEE9C6"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11,000,716</w:t>
            </w:r>
          </w:p>
        </w:tc>
        <w:tc>
          <w:tcPr>
            <w:tcW w:w="1276" w:type="dxa"/>
            <w:vAlign w:val="center"/>
          </w:tcPr>
          <w:p w14:paraId="4FBB1111"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11,000,716</w:t>
            </w:r>
          </w:p>
        </w:tc>
      </w:tr>
      <w:tr w:rsidR="00D868AB" w:rsidRPr="00D868AB" w14:paraId="03FCC9F2" w14:textId="77777777" w:rsidTr="00A755A7">
        <w:trPr>
          <w:trHeight w:val="20"/>
          <w:jc w:val="center"/>
        </w:trPr>
        <w:tc>
          <w:tcPr>
            <w:tcW w:w="704" w:type="dxa"/>
            <w:vAlign w:val="center"/>
          </w:tcPr>
          <w:p w14:paraId="1FFFB20E"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42479</w:t>
            </w:r>
          </w:p>
        </w:tc>
        <w:tc>
          <w:tcPr>
            <w:tcW w:w="3827" w:type="dxa"/>
            <w:vAlign w:val="center"/>
          </w:tcPr>
          <w:p w14:paraId="2F5E83E6"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Centros de Educación Media Superior a Distancia.</w:t>
            </w:r>
          </w:p>
        </w:tc>
        <w:tc>
          <w:tcPr>
            <w:tcW w:w="1218" w:type="dxa"/>
            <w:vAlign w:val="center"/>
          </w:tcPr>
          <w:p w14:paraId="57F6ECF7"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25,656,343</w:t>
            </w:r>
          </w:p>
        </w:tc>
        <w:tc>
          <w:tcPr>
            <w:tcW w:w="1243" w:type="dxa"/>
            <w:vAlign w:val="center"/>
          </w:tcPr>
          <w:p w14:paraId="36ED947A"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23,126,583</w:t>
            </w:r>
          </w:p>
        </w:tc>
        <w:tc>
          <w:tcPr>
            <w:tcW w:w="1276" w:type="dxa"/>
            <w:vAlign w:val="center"/>
          </w:tcPr>
          <w:p w14:paraId="5365D081"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48,782,926</w:t>
            </w:r>
          </w:p>
        </w:tc>
      </w:tr>
      <w:tr w:rsidR="00D868AB" w:rsidRPr="00D868AB" w14:paraId="68B032A4" w14:textId="77777777" w:rsidTr="00A755A7">
        <w:trPr>
          <w:trHeight w:val="20"/>
          <w:jc w:val="center"/>
        </w:trPr>
        <w:tc>
          <w:tcPr>
            <w:tcW w:w="704" w:type="dxa"/>
            <w:vAlign w:val="center"/>
          </w:tcPr>
          <w:p w14:paraId="13DBFDAB"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42480</w:t>
            </w:r>
          </w:p>
        </w:tc>
        <w:tc>
          <w:tcPr>
            <w:tcW w:w="3827" w:type="dxa"/>
            <w:vAlign w:val="center"/>
          </w:tcPr>
          <w:p w14:paraId="799F37CC"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Programa Fortalecimiento de los Servicios de Educación Especial (PFSEE).</w:t>
            </w:r>
          </w:p>
        </w:tc>
        <w:tc>
          <w:tcPr>
            <w:tcW w:w="1218" w:type="dxa"/>
            <w:vAlign w:val="center"/>
          </w:tcPr>
          <w:p w14:paraId="6C2C9387"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05249D27"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4,172,000</w:t>
            </w:r>
          </w:p>
        </w:tc>
        <w:tc>
          <w:tcPr>
            <w:tcW w:w="1276" w:type="dxa"/>
            <w:vAlign w:val="center"/>
          </w:tcPr>
          <w:p w14:paraId="68ADA56D"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4,172,000</w:t>
            </w:r>
          </w:p>
        </w:tc>
      </w:tr>
      <w:tr w:rsidR="00D868AB" w:rsidRPr="00D868AB" w14:paraId="6E4398B7" w14:textId="77777777" w:rsidTr="00A755A7">
        <w:trPr>
          <w:trHeight w:val="20"/>
          <w:jc w:val="center"/>
        </w:trPr>
        <w:tc>
          <w:tcPr>
            <w:tcW w:w="704" w:type="dxa"/>
            <w:vAlign w:val="center"/>
          </w:tcPr>
          <w:p w14:paraId="4A93BAEF"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42483</w:t>
            </w:r>
          </w:p>
        </w:tc>
        <w:tc>
          <w:tcPr>
            <w:tcW w:w="3827" w:type="dxa"/>
            <w:vAlign w:val="center"/>
          </w:tcPr>
          <w:p w14:paraId="2077383F"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Telebachillerato Comunitario.</w:t>
            </w:r>
          </w:p>
        </w:tc>
        <w:tc>
          <w:tcPr>
            <w:tcW w:w="1218" w:type="dxa"/>
            <w:vAlign w:val="center"/>
          </w:tcPr>
          <w:p w14:paraId="18B57F10"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10,490,757</w:t>
            </w:r>
          </w:p>
        </w:tc>
        <w:tc>
          <w:tcPr>
            <w:tcW w:w="1243" w:type="dxa"/>
            <w:vAlign w:val="center"/>
          </w:tcPr>
          <w:p w14:paraId="05D848CE"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8,338,757</w:t>
            </w:r>
          </w:p>
        </w:tc>
        <w:tc>
          <w:tcPr>
            <w:tcW w:w="1276" w:type="dxa"/>
            <w:vAlign w:val="center"/>
          </w:tcPr>
          <w:p w14:paraId="556DBEF5"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18,829,514</w:t>
            </w:r>
          </w:p>
        </w:tc>
      </w:tr>
      <w:tr w:rsidR="00D868AB" w:rsidRPr="00D868AB" w14:paraId="64DBDE91" w14:textId="77777777" w:rsidTr="00A755A7">
        <w:trPr>
          <w:trHeight w:val="20"/>
          <w:jc w:val="center"/>
        </w:trPr>
        <w:tc>
          <w:tcPr>
            <w:tcW w:w="704" w:type="dxa"/>
            <w:vAlign w:val="center"/>
          </w:tcPr>
          <w:p w14:paraId="32468AE9"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42625</w:t>
            </w:r>
          </w:p>
        </w:tc>
        <w:tc>
          <w:tcPr>
            <w:tcW w:w="3827" w:type="dxa"/>
            <w:vAlign w:val="center"/>
          </w:tcPr>
          <w:p w14:paraId="574BCBCF"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Programa Expansión de la Educación Inicial.</w:t>
            </w:r>
          </w:p>
        </w:tc>
        <w:tc>
          <w:tcPr>
            <w:tcW w:w="1218" w:type="dxa"/>
            <w:vAlign w:val="center"/>
          </w:tcPr>
          <w:p w14:paraId="11D6A2C3"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722ECF28"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59,883,000</w:t>
            </w:r>
          </w:p>
        </w:tc>
        <w:tc>
          <w:tcPr>
            <w:tcW w:w="1276" w:type="dxa"/>
            <w:vAlign w:val="center"/>
          </w:tcPr>
          <w:p w14:paraId="08CE13D7"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59,883,000</w:t>
            </w:r>
          </w:p>
        </w:tc>
      </w:tr>
      <w:tr w:rsidR="00D868AB" w:rsidRPr="00D868AB" w14:paraId="30C4C183" w14:textId="77777777" w:rsidTr="00A755A7">
        <w:trPr>
          <w:trHeight w:val="20"/>
          <w:jc w:val="center"/>
        </w:trPr>
        <w:tc>
          <w:tcPr>
            <w:tcW w:w="704" w:type="dxa"/>
            <w:vAlign w:val="center"/>
          </w:tcPr>
          <w:p w14:paraId="61F65B1B"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42627</w:t>
            </w:r>
          </w:p>
        </w:tc>
        <w:tc>
          <w:tcPr>
            <w:tcW w:w="3827" w:type="dxa"/>
            <w:vAlign w:val="center"/>
          </w:tcPr>
          <w:p w14:paraId="4312135E"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Programa Nacional de Inglés.</w:t>
            </w:r>
          </w:p>
        </w:tc>
        <w:tc>
          <w:tcPr>
            <w:tcW w:w="1218" w:type="dxa"/>
            <w:vAlign w:val="center"/>
          </w:tcPr>
          <w:p w14:paraId="277DE0F4"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232BC862"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15,964,000</w:t>
            </w:r>
          </w:p>
        </w:tc>
        <w:tc>
          <w:tcPr>
            <w:tcW w:w="1276" w:type="dxa"/>
            <w:vAlign w:val="center"/>
          </w:tcPr>
          <w:p w14:paraId="61B325FA"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15,964,000</w:t>
            </w:r>
          </w:p>
        </w:tc>
      </w:tr>
      <w:tr w:rsidR="00D868AB" w:rsidRPr="00D868AB" w14:paraId="1F06C171" w14:textId="77777777" w:rsidTr="00A755A7">
        <w:trPr>
          <w:trHeight w:val="20"/>
          <w:jc w:val="center"/>
        </w:trPr>
        <w:tc>
          <w:tcPr>
            <w:tcW w:w="704" w:type="dxa"/>
            <w:vAlign w:val="center"/>
          </w:tcPr>
          <w:p w14:paraId="07408254"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42687</w:t>
            </w:r>
          </w:p>
        </w:tc>
        <w:tc>
          <w:tcPr>
            <w:tcW w:w="3827" w:type="dxa"/>
            <w:vAlign w:val="center"/>
          </w:tcPr>
          <w:p w14:paraId="50D48BC9"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Programa para el Desarrollo Profesional Docente.</w:t>
            </w:r>
          </w:p>
        </w:tc>
        <w:tc>
          <w:tcPr>
            <w:tcW w:w="1218" w:type="dxa"/>
            <w:vAlign w:val="center"/>
          </w:tcPr>
          <w:p w14:paraId="05036B80"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6F3FB9EE"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1,347,000</w:t>
            </w:r>
          </w:p>
        </w:tc>
        <w:tc>
          <w:tcPr>
            <w:tcW w:w="1276" w:type="dxa"/>
            <w:vAlign w:val="center"/>
          </w:tcPr>
          <w:p w14:paraId="7ACCD4A5"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1,347,000</w:t>
            </w:r>
          </w:p>
        </w:tc>
      </w:tr>
      <w:tr w:rsidR="00D868AB" w:rsidRPr="00D868AB" w14:paraId="6329F38F" w14:textId="77777777" w:rsidTr="00A755A7">
        <w:trPr>
          <w:trHeight w:val="20"/>
          <w:jc w:val="center"/>
        </w:trPr>
        <w:tc>
          <w:tcPr>
            <w:tcW w:w="704" w:type="dxa"/>
            <w:vAlign w:val="center"/>
          </w:tcPr>
          <w:p w14:paraId="6137DD7F"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43905</w:t>
            </w:r>
          </w:p>
        </w:tc>
        <w:tc>
          <w:tcPr>
            <w:tcW w:w="3827" w:type="dxa"/>
            <w:vAlign w:val="center"/>
          </w:tcPr>
          <w:p w14:paraId="37393BFC"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Subsidio federal ordinario y extraordinario de la Universidad de Colima.</w:t>
            </w:r>
          </w:p>
        </w:tc>
        <w:tc>
          <w:tcPr>
            <w:tcW w:w="1218" w:type="dxa"/>
            <w:vAlign w:val="center"/>
          </w:tcPr>
          <w:p w14:paraId="29BF0D23"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2167C258"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1,800,366,068</w:t>
            </w:r>
          </w:p>
        </w:tc>
        <w:tc>
          <w:tcPr>
            <w:tcW w:w="1276" w:type="dxa"/>
            <w:vAlign w:val="center"/>
          </w:tcPr>
          <w:p w14:paraId="24978083"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1,800,366,068</w:t>
            </w:r>
          </w:p>
        </w:tc>
      </w:tr>
      <w:tr w:rsidR="00D868AB" w:rsidRPr="00D868AB" w14:paraId="43D925C5" w14:textId="77777777" w:rsidTr="00A755A7">
        <w:trPr>
          <w:trHeight w:val="20"/>
          <w:jc w:val="center"/>
        </w:trPr>
        <w:tc>
          <w:tcPr>
            <w:tcW w:w="704" w:type="dxa"/>
            <w:vAlign w:val="center"/>
          </w:tcPr>
          <w:p w14:paraId="5B71AA36"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43912</w:t>
            </w:r>
          </w:p>
        </w:tc>
        <w:tc>
          <w:tcPr>
            <w:tcW w:w="3827" w:type="dxa"/>
            <w:vAlign w:val="center"/>
          </w:tcPr>
          <w:p w14:paraId="329BBDB9"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Subsidio Federal Universidad Tecnológica de Manzanillo.</w:t>
            </w:r>
          </w:p>
        </w:tc>
        <w:tc>
          <w:tcPr>
            <w:tcW w:w="1218" w:type="dxa"/>
            <w:vAlign w:val="center"/>
          </w:tcPr>
          <w:p w14:paraId="1BCA2F76"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43" w:type="dxa"/>
            <w:vAlign w:val="center"/>
          </w:tcPr>
          <w:p w14:paraId="368B7FC2"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23,071,115</w:t>
            </w:r>
          </w:p>
        </w:tc>
        <w:tc>
          <w:tcPr>
            <w:tcW w:w="1276" w:type="dxa"/>
            <w:vAlign w:val="center"/>
          </w:tcPr>
          <w:p w14:paraId="20B110AB"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23,071,115</w:t>
            </w:r>
          </w:p>
        </w:tc>
      </w:tr>
      <w:tr w:rsidR="00D868AB" w:rsidRPr="00D868AB" w14:paraId="09A9A0F7" w14:textId="77777777" w:rsidTr="00A755A7">
        <w:trPr>
          <w:trHeight w:val="20"/>
          <w:jc w:val="center"/>
        </w:trPr>
        <w:tc>
          <w:tcPr>
            <w:tcW w:w="704" w:type="dxa"/>
            <w:vAlign w:val="center"/>
          </w:tcPr>
          <w:p w14:paraId="7C8AD280"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44301</w:t>
            </w:r>
          </w:p>
        </w:tc>
        <w:tc>
          <w:tcPr>
            <w:tcW w:w="3827" w:type="dxa"/>
            <w:vAlign w:val="center"/>
          </w:tcPr>
          <w:p w14:paraId="74BA73D4"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Tecnológico Nacional de México Campus Colima.</w:t>
            </w:r>
          </w:p>
        </w:tc>
        <w:tc>
          <w:tcPr>
            <w:tcW w:w="1218" w:type="dxa"/>
            <w:vAlign w:val="center"/>
          </w:tcPr>
          <w:p w14:paraId="2FFA8B9F"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13,445,900</w:t>
            </w:r>
          </w:p>
        </w:tc>
        <w:tc>
          <w:tcPr>
            <w:tcW w:w="1243" w:type="dxa"/>
            <w:vAlign w:val="center"/>
          </w:tcPr>
          <w:p w14:paraId="39CB1320"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76" w:type="dxa"/>
            <w:vAlign w:val="center"/>
          </w:tcPr>
          <w:p w14:paraId="3EA98D97"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13,445,900</w:t>
            </w:r>
          </w:p>
        </w:tc>
      </w:tr>
      <w:tr w:rsidR="00D868AB" w:rsidRPr="00D868AB" w14:paraId="009C8E05" w14:textId="77777777" w:rsidTr="00A755A7">
        <w:trPr>
          <w:trHeight w:val="20"/>
          <w:jc w:val="center"/>
        </w:trPr>
        <w:tc>
          <w:tcPr>
            <w:tcW w:w="704" w:type="dxa"/>
            <w:vAlign w:val="center"/>
          </w:tcPr>
          <w:p w14:paraId="4B90E5AB"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44304</w:t>
            </w:r>
          </w:p>
        </w:tc>
        <w:tc>
          <w:tcPr>
            <w:tcW w:w="3827" w:type="dxa"/>
            <w:vAlign w:val="center"/>
          </w:tcPr>
          <w:p w14:paraId="10C7A4F8"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Instituto de Educación Inicial del Estado de Colima.</w:t>
            </w:r>
          </w:p>
        </w:tc>
        <w:tc>
          <w:tcPr>
            <w:tcW w:w="1218" w:type="dxa"/>
            <w:vAlign w:val="center"/>
          </w:tcPr>
          <w:p w14:paraId="56107B62"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5,000,000</w:t>
            </w:r>
          </w:p>
        </w:tc>
        <w:tc>
          <w:tcPr>
            <w:tcW w:w="1243" w:type="dxa"/>
            <w:vAlign w:val="center"/>
          </w:tcPr>
          <w:p w14:paraId="515A4EC5"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0</w:t>
            </w:r>
          </w:p>
        </w:tc>
        <w:tc>
          <w:tcPr>
            <w:tcW w:w="1276" w:type="dxa"/>
            <w:vAlign w:val="center"/>
          </w:tcPr>
          <w:p w14:paraId="108CB230"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5,000,000</w:t>
            </w:r>
          </w:p>
        </w:tc>
      </w:tr>
      <w:tr w:rsidR="00D868AB" w:rsidRPr="00D868AB" w14:paraId="53396750" w14:textId="77777777" w:rsidTr="00A755A7">
        <w:trPr>
          <w:trHeight w:val="20"/>
          <w:jc w:val="center"/>
        </w:trPr>
        <w:tc>
          <w:tcPr>
            <w:tcW w:w="704" w:type="dxa"/>
            <w:vAlign w:val="center"/>
          </w:tcPr>
          <w:p w14:paraId="1100FA3C" w14:textId="77777777" w:rsidR="00D868AB" w:rsidRPr="00D868AB" w:rsidRDefault="00D868AB" w:rsidP="00D868AB">
            <w:pPr>
              <w:autoSpaceDE w:val="0"/>
              <w:autoSpaceDN w:val="0"/>
              <w:adjustRightInd w:val="0"/>
              <w:jc w:val="center"/>
              <w:rPr>
                <w:rFonts w:eastAsiaTheme="minorHAnsi" w:cs="Arial"/>
                <w:color w:val="000000"/>
                <w:sz w:val="16"/>
                <w:szCs w:val="16"/>
                <w:lang w:eastAsia="en-US"/>
              </w:rPr>
            </w:pPr>
            <w:r w:rsidRPr="00D868AB">
              <w:rPr>
                <w:rFonts w:eastAsiaTheme="minorHAnsi" w:cs="Arial"/>
                <w:color w:val="000000"/>
                <w:sz w:val="16"/>
                <w:szCs w:val="16"/>
                <w:lang w:eastAsia="en-US"/>
              </w:rPr>
              <w:t>44305</w:t>
            </w:r>
          </w:p>
        </w:tc>
        <w:tc>
          <w:tcPr>
            <w:tcW w:w="3827" w:type="dxa"/>
            <w:vAlign w:val="center"/>
          </w:tcPr>
          <w:p w14:paraId="6D8C8DE9" w14:textId="77777777" w:rsidR="00D868AB" w:rsidRPr="00D868AB" w:rsidRDefault="00D868AB" w:rsidP="00D868AB">
            <w:pPr>
              <w:autoSpaceDE w:val="0"/>
              <w:autoSpaceDN w:val="0"/>
              <w:adjustRightInd w:val="0"/>
              <w:jc w:val="left"/>
              <w:rPr>
                <w:rFonts w:eastAsiaTheme="minorHAnsi" w:cs="Arial"/>
                <w:color w:val="000000"/>
                <w:sz w:val="16"/>
                <w:szCs w:val="16"/>
                <w:lang w:eastAsia="en-US"/>
              </w:rPr>
            </w:pPr>
            <w:r w:rsidRPr="00D868AB">
              <w:rPr>
                <w:rFonts w:eastAsiaTheme="minorHAnsi" w:cs="Arial"/>
                <w:color w:val="000000"/>
                <w:sz w:val="16"/>
                <w:szCs w:val="16"/>
                <w:lang w:eastAsia="en-US"/>
              </w:rPr>
              <w:t>Instituto Estatal de Educación para Adultos.</w:t>
            </w:r>
          </w:p>
        </w:tc>
        <w:tc>
          <w:tcPr>
            <w:tcW w:w="1218" w:type="dxa"/>
            <w:vAlign w:val="center"/>
          </w:tcPr>
          <w:p w14:paraId="442D1F3D"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2,585,750</w:t>
            </w:r>
          </w:p>
        </w:tc>
        <w:tc>
          <w:tcPr>
            <w:tcW w:w="1243" w:type="dxa"/>
            <w:vAlign w:val="center"/>
          </w:tcPr>
          <w:p w14:paraId="1214457F"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4,765,601</w:t>
            </w:r>
          </w:p>
        </w:tc>
        <w:tc>
          <w:tcPr>
            <w:tcW w:w="1276" w:type="dxa"/>
            <w:vAlign w:val="center"/>
          </w:tcPr>
          <w:p w14:paraId="2EBAE6EA" w14:textId="77777777" w:rsidR="00D868AB" w:rsidRPr="00D868AB" w:rsidRDefault="00D868AB" w:rsidP="00D868AB">
            <w:pPr>
              <w:autoSpaceDE w:val="0"/>
              <w:autoSpaceDN w:val="0"/>
              <w:adjustRightInd w:val="0"/>
              <w:jc w:val="right"/>
              <w:rPr>
                <w:rFonts w:eastAsiaTheme="minorHAnsi" w:cs="Arial"/>
                <w:color w:val="000000"/>
                <w:sz w:val="16"/>
                <w:szCs w:val="16"/>
                <w:lang w:eastAsia="en-US"/>
              </w:rPr>
            </w:pPr>
            <w:r w:rsidRPr="00D868AB">
              <w:rPr>
                <w:rFonts w:cs="Arial"/>
                <w:color w:val="000000"/>
                <w:sz w:val="16"/>
                <w:szCs w:val="16"/>
              </w:rPr>
              <w:t>7,351,351</w:t>
            </w:r>
          </w:p>
        </w:tc>
      </w:tr>
    </w:tbl>
    <w:p w14:paraId="5C3D4CC4" w14:textId="77777777" w:rsidR="00D868AB" w:rsidRPr="00D868AB" w:rsidRDefault="00D868AB" w:rsidP="00D868AB">
      <w:pPr>
        <w:ind w:left="142"/>
        <w:rPr>
          <w:rFonts w:cs="Arial"/>
          <w:sz w:val="15"/>
          <w:szCs w:val="15"/>
          <w:lang w:val="es-ES"/>
        </w:rPr>
      </w:pPr>
      <w:r w:rsidRPr="00D868AB">
        <w:rPr>
          <w:rFonts w:cs="Arial"/>
          <w:b/>
          <w:sz w:val="15"/>
          <w:szCs w:val="15"/>
          <w:lang w:val="es-ES"/>
        </w:rPr>
        <w:t>Nota</w:t>
      </w:r>
      <w:r w:rsidRPr="00D868AB">
        <w:rPr>
          <w:rFonts w:cs="Arial"/>
          <w:sz w:val="15"/>
          <w:szCs w:val="15"/>
          <w:lang w:val="es-ES"/>
        </w:rPr>
        <w:t xml:space="preserve">: El monto de </w:t>
      </w:r>
      <w:r w:rsidRPr="00D868AB">
        <w:rPr>
          <w:rFonts w:eastAsiaTheme="minorHAnsi" w:cs="Arial"/>
          <w:color w:val="000000"/>
          <w:sz w:val="15"/>
          <w:szCs w:val="15"/>
          <w:lang w:eastAsia="en-US"/>
        </w:rPr>
        <w:t>41148 Instituto Superior de Educación Normal del Estado de Colima</w:t>
      </w:r>
      <w:r w:rsidRPr="00D868AB">
        <w:rPr>
          <w:rFonts w:cs="Arial"/>
          <w:sz w:val="15"/>
          <w:szCs w:val="15"/>
          <w:lang w:val="es-ES"/>
        </w:rPr>
        <w:t xml:space="preserve"> solo refleja el gasto operativo.</w:t>
      </w:r>
    </w:p>
    <w:p w14:paraId="1FCFD065" w14:textId="77777777" w:rsidR="00D868AB" w:rsidRPr="00D868AB" w:rsidRDefault="00D868AB" w:rsidP="00D868AB">
      <w:pPr>
        <w:rPr>
          <w:rFonts w:cs="Arial"/>
          <w:lang w:val="es-ES"/>
        </w:rPr>
      </w:pPr>
      <w:r w:rsidRPr="00D868AB">
        <w:rPr>
          <w:rFonts w:cs="Arial"/>
          <w:b/>
          <w:lang w:val="es-ES"/>
        </w:rPr>
        <w:lastRenderedPageBreak/>
        <w:t>Artículo 48</w:t>
      </w:r>
      <w:r w:rsidRPr="00D868AB">
        <w:rPr>
          <w:rFonts w:cs="Arial"/>
          <w:lang w:val="es-ES"/>
        </w:rPr>
        <w:t>. El Gasto Educativo por nivel educativo y fuente de financiamiento para el ejercicio fiscal 2023 es el siguiente:</w:t>
      </w:r>
    </w:p>
    <w:p w14:paraId="027A6A84" w14:textId="77777777" w:rsidR="00D868AB" w:rsidRPr="00D868AB" w:rsidRDefault="00D868AB" w:rsidP="00D868AB">
      <w:pPr>
        <w:keepNext/>
        <w:keepLines/>
        <w:outlineLvl w:val="2"/>
        <w:rPr>
          <w:rFonts w:eastAsia="Times New Roman" w:cs="Arial"/>
          <w:b/>
          <w:szCs w:val="24"/>
          <w:lang w:val="es-ES" w:eastAsia="en-US"/>
        </w:rPr>
      </w:pPr>
    </w:p>
    <w:tbl>
      <w:tblPr>
        <w:tblW w:w="7720" w:type="dxa"/>
        <w:jc w:val="center"/>
        <w:tblCellMar>
          <w:left w:w="70" w:type="dxa"/>
          <w:right w:w="70" w:type="dxa"/>
        </w:tblCellMar>
        <w:tblLook w:val="04A0" w:firstRow="1" w:lastRow="0" w:firstColumn="1" w:lastColumn="0" w:noHBand="0" w:noVBand="1"/>
      </w:tblPr>
      <w:tblGrid>
        <w:gridCol w:w="3114"/>
        <w:gridCol w:w="1520"/>
        <w:gridCol w:w="1563"/>
        <w:gridCol w:w="1523"/>
      </w:tblGrid>
      <w:tr w:rsidR="00D868AB" w:rsidRPr="00D868AB" w14:paraId="3265814C" w14:textId="77777777" w:rsidTr="00A755A7">
        <w:trPr>
          <w:trHeight w:val="460"/>
          <w:tblHeader/>
          <w:jc w:val="center"/>
        </w:trPr>
        <w:tc>
          <w:tcPr>
            <w:tcW w:w="7720" w:type="dxa"/>
            <w:gridSpan w:val="4"/>
            <w:tcBorders>
              <w:bottom w:val="single" w:sz="4" w:space="0" w:color="auto"/>
            </w:tcBorders>
            <w:shd w:val="clear" w:color="auto" w:fill="auto"/>
            <w:vAlign w:val="center"/>
          </w:tcPr>
          <w:p w14:paraId="2D5509CB" w14:textId="77777777" w:rsidR="00D868AB" w:rsidRPr="00D868AB" w:rsidRDefault="00D868AB" w:rsidP="00D868AB">
            <w:pPr>
              <w:jc w:val="center"/>
              <w:rPr>
                <w:rFonts w:eastAsia="Times New Roman" w:cs="Arial"/>
                <w:b/>
                <w:bCs/>
                <w:color w:val="000000"/>
                <w:sz w:val="20"/>
              </w:rPr>
            </w:pPr>
            <w:r w:rsidRPr="00D868AB">
              <w:rPr>
                <w:rFonts w:eastAsia="Times New Roman" w:cs="Arial"/>
                <w:b/>
                <w:sz w:val="20"/>
                <w:lang w:val="es-ES"/>
              </w:rPr>
              <w:t>Tabla 35. Gasto Educativo por Nivel Educativo</w:t>
            </w:r>
          </w:p>
        </w:tc>
      </w:tr>
      <w:tr w:rsidR="00D868AB" w:rsidRPr="00D868AB" w14:paraId="407147C1" w14:textId="77777777" w:rsidTr="00A755A7">
        <w:trPr>
          <w:trHeight w:val="460"/>
          <w:tblHeader/>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E1533" w14:textId="77777777" w:rsidR="00D868AB" w:rsidRPr="00D868AB" w:rsidRDefault="00D868AB" w:rsidP="00D868AB">
            <w:pPr>
              <w:jc w:val="center"/>
              <w:rPr>
                <w:rFonts w:eastAsia="Times New Roman" w:cs="Arial"/>
                <w:b/>
                <w:bCs/>
                <w:color w:val="000000"/>
                <w:sz w:val="20"/>
              </w:rPr>
            </w:pPr>
            <w:r w:rsidRPr="00D868AB">
              <w:rPr>
                <w:rFonts w:eastAsia="Times New Roman" w:cs="Arial"/>
                <w:b/>
                <w:bCs/>
                <w:color w:val="000000"/>
                <w:sz w:val="20"/>
              </w:rPr>
              <w:t>Concepto</w:t>
            </w:r>
          </w:p>
        </w:tc>
        <w:tc>
          <w:tcPr>
            <w:tcW w:w="1520" w:type="dxa"/>
            <w:tcBorders>
              <w:top w:val="single" w:sz="4" w:space="0" w:color="auto"/>
              <w:left w:val="nil"/>
              <w:bottom w:val="single" w:sz="4" w:space="0" w:color="auto"/>
              <w:right w:val="single" w:sz="4" w:space="0" w:color="auto"/>
            </w:tcBorders>
            <w:shd w:val="clear" w:color="auto" w:fill="auto"/>
            <w:vAlign w:val="center"/>
          </w:tcPr>
          <w:p w14:paraId="4C204880" w14:textId="77777777" w:rsidR="00D868AB" w:rsidRPr="00D868AB" w:rsidRDefault="00D868AB" w:rsidP="00D868AB">
            <w:pPr>
              <w:jc w:val="center"/>
              <w:rPr>
                <w:rFonts w:eastAsia="Times New Roman" w:cs="Arial"/>
                <w:b/>
                <w:bCs/>
                <w:color w:val="000000"/>
                <w:sz w:val="18"/>
                <w:szCs w:val="20"/>
              </w:rPr>
            </w:pPr>
            <w:r w:rsidRPr="00D868AB">
              <w:rPr>
                <w:rFonts w:eastAsia="Times New Roman" w:cs="Arial"/>
                <w:b/>
                <w:bCs/>
                <w:sz w:val="18"/>
                <w:szCs w:val="20"/>
              </w:rPr>
              <w:t>Ingresos de Libre Disposición</w:t>
            </w:r>
          </w:p>
        </w:tc>
        <w:tc>
          <w:tcPr>
            <w:tcW w:w="1563" w:type="dxa"/>
            <w:tcBorders>
              <w:top w:val="single" w:sz="4" w:space="0" w:color="auto"/>
              <w:left w:val="nil"/>
              <w:bottom w:val="single" w:sz="4" w:space="0" w:color="auto"/>
              <w:right w:val="single" w:sz="4" w:space="0" w:color="auto"/>
            </w:tcBorders>
            <w:shd w:val="clear" w:color="auto" w:fill="auto"/>
            <w:vAlign w:val="center"/>
          </w:tcPr>
          <w:p w14:paraId="0D8A43D3" w14:textId="77777777" w:rsidR="00D868AB" w:rsidRPr="00D868AB" w:rsidRDefault="00D868AB" w:rsidP="00D868AB">
            <w:pPr>
              <w:jc w:val="center"/>
              <w:rPr>
                <w:rFonts w:eastAsia="Times New Roman" w:cs="Arial"/>
                <w:b/>
                <w:bCs/>
                <w:color w:val="000000"/>
                <w:sz w:val="18"/>
                <w:szCs w:val="20"/>
              </w:rPr>
            </w:pPr>
            <w:r w:rsidRPr="00D868AB">
              <w:rPr>
                <w:rFonts w:eastAsia="Times New Roman" w:cs="Arial"/>
                <w:b/>
                <w:bCs/>
                <w:sz w:val="18"/>
                <w:szCs w:val="20"/>
              </w:rPr>
              <w:t>Transferencias Federales Etiquetadas</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14:paraId="0C58A9A8" w14:textId="77777777" w:rsidR="00D868AB" w:rsidRPr="00D868AB" w:rsidRDefault="00D868AB" w:rsidP="00D868AB">
            <w:pPr>
              <w:jc w:val="center"/>
              <w:rPr>
                <w:rFonts w:eastAsia="Times New Roman" w:cs="Arial"/>
                <w:b/>
                <w:bCs/>
                <w:color w:val="000000"/>
                <w:sz w:val="20"/>
              </w:rPr>
            </w:pPr>
            <w:r w:rsidRPr="00D868AB">
              <w:rPr>
                <w:rFonts w:eastAsia="Times New Roman" w:cs="Arial"/>
                <w:b/>
                <w:bCs/>
                <w:color w:val="000000"/>
                <w:sz w:val="20"/>
              </w:rPr>
              <w:t>Asignación Presupuestal</w:t>
            </w:r>
          </w:p>
        </w:tc>
      </w:tr>
      <w:tr w:rsidR="00D868AB" w:rsidRPr="00D868AB" w14:paraId="719C9D8C" w14:textId="77777777" w:rsidTr="00A755A7">
        <w:trPr>
          <w:trHeight w:val="26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54DA9A05" w14:textId="77777777" w:rsidR="00D868AB" w:rsidRPr="00D868AB" w:rsidRDefault="00D868AB" w:rsidP="00D868AB">
            <w:pPr>
              <w:rPr>
                <w:rFonts w:eastAsia="Times New Roman" w:cs="Arial"/>
                <w:color w:val="000000"/>
                <w:sz w:val="20"/>
              </w:rPr>
            </w:pPr>
            <w:r w:rsidRPr="00D868AB">
              <w:rPr>
                <w:rFonts w:eastAsia="Times New Roman" w:cs="Arial"/>
                <w:color w:val="000000"/>
                <w:sz w:val="20"/>
              </w:rPr>
              <w:t>Educación Básica.</w:t>
            </w:r>
          </w:p>
        </w:tc>
        <w:tc>
          <w:tcPr>
            <w:tcW w:w="1520" w:type="dxa"/>
            <w:tcBorders>
              <w:top w:val="nil"/>
              <w:left w:val="nil"/>
              <w:bottom w:val="single" w:sz="4" w:space="0" w:color="auto"/>
              <w:right w:val="single" w:sz="4" w:space="0" w:color="auto"/>
            </w:tcBorders>
            <w:shd w:val="clear" w:color="auto" w:fill="auto"/>
            <w:noWrap/>
            <w:vAlign w:val="center"/>
          </w:tcPr>
          <w:p w14:paraId="615382AA" w14:textId="77777777" w:rsidR="00D868AB" w:rsidRPr="00D868AB" w:rsidRDefault="00D868AB" w:rsidP="00D868AB">
            <w:pPr>
              <w:jc w:val="right"/>
              <w:rPr>
                <w:rFonts w:eastAsia="Times New Roman" w:cs="Arial"/>
                <w:color w:val="000000"/>
                <w:sz w:val="20"/>
              </w:rPr>
            </w:pPr>
            <w:r w:rsidRPr="00D868AB">
              <w:rPr>
                <w:rFonts w:cs="Arial"/>
                <w:color w:val="000000"/>
                <w:sz w:val="20"/>
                <w:szCs w:val="20"/>
              </w:rPr>
              <w:t>537,503,037</w:t>
            </w:r>
          </w:p>
        </w:tc>
        <w:tc>
          <w:tcPr>
            <w:tcW w:w="1563" w:type="dxa"/>
            <w:tcBorders>
              <w:top w:val="nil"/>
              <w:left w:val="nil"/>
              <w:bottom w:val="single" w:sz="4" w:space="0" w:color="auto"/>
              <w:right w:val="single" w:sz="4" w:space="0" w:color="auto"/>
            </w:tcBorders>
            <w:shd w:val="clear" w:color="auto" w:fill="auto"/>
            <w:noWrap/>
            <w:vAlign w:val="center"/>
          </w:tcPr>
          <w:p w14:paraId="5BC88D39" w14:textId="77777777" w:rsidR="00D868AB" w:rsidRPr="00D868AB" w:rsidRDefault="00D868AB" w:rsidP="00D868AB">
            <w:pPr>
              <w:jc w:val="right"/>
              <w:rPr>
                <w:rFonts w:eastAsia="Times New Roman" w:cs="Arial"/>
                <w:color w:val="000000"/>
                <w:sz w:val="20"/>
              </w:rPr>
            </w:pPr>
            <w:r w:rsidRPr="00D868AB">
              <w:rPr>
                <w:rFonts w:cs="Arial"/>
                <w:color w:val="000000"/>
                <w:sz w:val="20"/>
                <w:szCs w:val="20"/>
              </w:rPr>
              <w:t>4,561,350,574</w:t>
            </w:r>
          </w:p>
        </w:tc>
        <w:tc>
          <w:tcPr>
            <w:tcW w:w="1523" w:type="dxa"/>
            <w:tcBorders>
              <w:top w:val="nil"/>
              <w:left w:val="nil"/>
              <w:bottom w:val="single" w:sz="4" w:space="0" w:color="auto"/>
              <w:right w:val="single" w:sz="4" w:space="0" w:color="auto"/>
            </w:tcBorders>
            <w:shd w:val="clear" w:color="auto" w:fill="auto"/>
            <w:noWrap/>
            <w:vAlign w:val="center"/>
          </w:tcPr>
          <w:p w14:paraId="37DE98E7" w14:textId="77777777" w:rsidR="00D868AB" w:rsidRPr="00D868AB" w:rsidRDefault="00D868AB" w:rsidP="00D868AB">
            <w:pPr>
              <w:jc w:val="right"/>
              <w:rPr>
                <w:rFonts w:eastAsia="Times New Roman" w:cs="Arial"/>
                <w:b/>
                <w:bCs/>
                <w:color w:val="000000"/>
                <w:sz w:val="20"/>
              </w:rPr>
            </w:pPr>
            <w:r w:rsidRPr="00D868AB">
              <w:rPr>
                <w:rFonts w:cs="Arial"/>
                <w:b/>
                <w:bCs/>
                <w:color w:val="000000"/>
                <w:sz w:val="20"/>
                <w:szCs w:val="20"/>
              </w:rPr>
              <w:t>5,098,853,611</w:t>
            </w:r>
          </w:p>
        </w:tc>
      </w:tr>
      <w:tr w:rsidR="00D868AB" w:rsidRPr="00D868AB" w14:paraId="1E99B14A" w14:textId="77777777" w:rsidTr="00A755A7">
        <w:trPr>
          <w:trHeight w:val="26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2054F694" w14:textId="77777777" w:rsidR="00D868AB" w:rsidRPr="00D868AB" w:rsidRDefault="00D868AB" w:rsidP="00D868AB">
            <w:pPr>
              <w:rPr>
                <w:rFonts w:eastAsia="Times New Roman" w:cs="Arial"/>
                <w:color w:val="000000"/>
                <w:sz w:val="20"/>
              </w:rPr>
            </w:pPr>
            <w:r w:rsidRPr="00D868AB">
              <w:rPr>
                <w:rFonts w:eastAsia="Times New Roman" w:cs="Arial"/>
                <w:color w:val="000000"/>
                <w:sz w:val="20"/>
              </w:rPr>
              <w:t>Educación Media Superior.</w:t>
            </w:r>
          </w:p>
        </w:tc>
        <w:tc>
          <w:tcPr>
            <w:tcW w:w="1520" w:type="dxa"/>
            <w:tcBorders>
              <w:top w:val="nil"/>
              <w:left w:val="nil"/>
              <w:bottom w:val="single" w:sz="4" w:space="0" w:color="auto"/>
              <w:right w:val="single" w:sz="4" w:space="0" w:color="auto"/>
            </w:tcBorders>
            <w:shd w:val="clear" w:color="auto" w:fill="auto"/>
            <w:noWrap/>
            <w:vAlign w:val="center"/>
          </w:tcPr>
          <w:p w14:paraId="768442D6" w14:textId="77777777" w:rsidR="00D868AB" w:rsidRPr="00D868AB" w:rsidRDefault="00D868AB" w:rsidP="00D868AB">
            <w:pPr>
              <w:jc w:val="right"/>
              <w:rPr>
                <w:rFonts w:eastAsia="Times New Roman" w:cs="Arial"/>
                <w:color w:val="000000"/>
                <w:sz w:val="20"/>
              </w:rPr>
            </w:pPr>
            <w:r w:rsidRPr="00D868AB">
              <w:rPr>
                <w:rFonts w:cs="Arial"/>
                <w:color w:val="000000"/>
                <w:sz w:val="20"/>
                <w:szCs w:val="20"/>
              </w:rPr>
              <w:t>41,915,700</w:t>
            </w:r>
          </w:p>
        </w:tc>
        <w:tc>
          <w:tcPr>
            <w:tcW w:w="1563" w:type="dxa"/>
            <w:tcBorders>
              <w:top w:val="nil"/>
              <w:left w:val="nil"/>
              <w:bottom w:val="single" w:sz="4" w:space="0" w:color="auto"/>
              <w:right w:val="single" w:sz="4" w:space="0" w:color="auto"/>
            </w:tcBorders>
            <w:shd w:val="clear" w:color="auto" w:fill="auto"/>
            <w:noWrap/>
            <w:vAlign w:val="center"/>
          </w:tcPr>
          <w:p w14:paraId="4B04F8FD" w14:textId="77777777" w:rsidR="00D868AB" w:rsidRPr="00D868AB" w:rsidRDefault="00D868AB" w:rsidP="00D868AB">
            <w:pPr>
              <w:jc w:val="right"/>
              <w:rPr>
                <w:rFonts w:eastAsia="Times New Roman" w:cs="Arial"/>
                <w:color w:val="000000"/>
                <w:sz w:val="20"/>
              </w:rPr>
            </w:pPr>
            <w:r w:rsidRPr="00D868AB">
              <w:rPr>
                <w:rFonts w:cs="Arial"/>
                <w:color w:val="000000"/>
                <w:sz w:val="20"/>
                <w:szCs w:val="20"/>
              </w:rPr>
              <w:t>133,750,930</w:t>
            </w:r>
          </w:p>
        </w:tc>
        <w:tc>
          <w:tcPr>
            <w:tcW w:w="1523" w:type="dxa"/>
            <w:tcBorders>
              <w:top w:val="nil"/>
              <w:left w:val="nil"/>
              <w:bottom w:val="single" w:sz="4" w:space="0" w:color="auto"/>
              <w:right w:val="single" w:sz="4" w:space="0" w:color="auto"/>
            </w:tcBorders>
            <w:shd w:val="clear" w:color="auto" w:fill="auto"/>
            <w:noWrap/>
            <w:vAlign w:val="center"/>
          </w:tcPr>
          <w:p w14:paraId="18D0D575" w14:textId="77777777" w:rsidR="00D868AB" w:rsidRPr="00D868AB" w:rsidRDefault="00D868AB" w:rsidP="00D868AB">
            <w:pPr>
              <w:jc w:val="right"/>
              <w:rPr>
                <w:rFonts w:eastAsia="Times New Roman" w:cs="Arial"/>
                <w:b/>
                <w:bCs/>
                <w:color w:val="000000"/>
                <w:sz w:val="20"/>
              </w:rPr>
            </w:pPr>
            <w:r w:rsidRPr="00D868AB">
              <w:rPr>
                <w:rFonts w:cs="Arial"/>
                <w:b/>
                <w:bCs/>
                <w:color w:val="000000"/>
                <w:sz w:val="20"/>
                <w:szCs w:val="20"/>
              </w:rPr>
              <w:t>175,666,630</w:t>
            </w:r>
          </w:p>
        </w:tc>
      </w:tr>
      <w:tr w:rsidR="00D868AB" w:rsidRPr="00D868AB" w14:paraId="12B57106" w14:textId="77777777" w:rsidTr="00A755A7">
        <w:trPr>
          <w:trHeight w:val="260"/>
          <w:jc w:val="center"/>
        </w:trPr>
        <w:tc>
          <w:tcPr>
            <w:tcW w:w="3114" w:type="dxa"/>
            <w:tcBorders>
              <w:top w:val="nil"/>
              <w:left w:val="single" w:sz="4" w:space="0" w:color="auto"/>
              <w:bottom w:val="single" w:sz="4" w:space="0" w:color="auto"/>
              <w:right w:val="single" w:sz="4" w:space="0" w:color="auto"/>
            </w:tcBorders>
            <w:shd w:val="clear" w:color="auto" w:fill="auto"/>
            <w:noWrap/>
            <w:vAlign w:val="center"/>
            <w:hideMark/>
          </w:tcPr>
          <w:p w14:paraId="093317D0" w14:textId="77777777" w:rsidR="00D868AB" w:rsidRPr="00D868AB" w:rsidRDefault="00D868AB" w:rsidP="00D868AB">
            <w:pPr>
              <w:rPr>
                <w:rFonts w:eastAsia="Times New Roman" w:cs="Arial"/>
                <w:color w:val="000000"/>
                <w:sz w:val="20"/>
              </w:rPr>
            </w:pPr>
            <w:r w:rsidRPr="00D868AB">
              <w:rPr>
                <w:rFonts w:eastAsia="Times New Roman" w:cs="Arial"/>
                <w:color w:val="000000"/>
                <w:sz w:val="20"/>
              </w:rPr>
              <w:t>Educación Superior.</w:t>
            </w:r>
          </w:p>
        </w:tc>
        <w:tc>
          <w:tcPr>
            <w:tcW w:w="1520" w:type="dxa"/>
            <w:tcBorders>
              <w:top w:val="nil"/>
              <w:left w:val="nil"/>
              <w:bottom w:val="single" w:sz="4" w:space="0" w:color="auto"/>
              <w:right w:val="single" w:sz="4" w:space="0" w:color="auto"/>
            </w:tcBorders>
            <w:shd w:val="clear" w:color="auto" w:fill="auto"/>
            <w:noWrap/>
            <w:vAlign w:val="center"/>
          </w:tcPr>
          <w:p w14:paraId="08253552" w14:textId="77777777" w:rsidR="00D868AB" w:rsidRPr="00D868AB" w:rsidRDefault="00D868AB" w:rsidP="00D868AB">
            <w:pPr>
              <w:jc w:val="right"/>
              <w:rPr>
                <w:rFonts w:eastAsia="Times New Roman" w:cs="Arial"/>
                <w:color w:val="000000"/>
                <w:sz w:val="20"/>
              </w:rPr>
            </w:pPr>
            <w:r w:rsidRPr="00D868AB">
              <w:rPr>
                <w:rFonts w:cs="Arial"/>
                <w:color w:val="000000"/>
                <w:sz w:val="20"/>
                <w:szCs w:val="20"/>
              </w:rPr>
              <w:t>672,233,973</w:t>
            </w:r>
          </w:p>
        </w:tc>
        <w:tc>
          <w:tcPr>
            <w:tcW w:w="1563" w:type="dxa"/>
            <w:tcBorders>
              <w:top w:val="nil"/>
              <w:left w:val="nil"/>
              <w:bottom w:val="single" w:sz="4" w:space="0" w:color="auto"/>
              <w:right w:val="single" w:sz="4" w:space="0" w:color="auto"/>
            </w:tcBorders>
            <w:shd w:val="clear" w:color="auto" w:fill="auto"/>
            <w:noWrap/>
            <w:vAlign w:val="center"/>
          </w:tcPr>
          <w:p w14:paraId="167B4B74" w14:textId="77777777" w:rsidR="00D868AB" w:rsidRPr="00D868AB" w:rsidRDefault="00D868AB" w:rsidP="00D868AB">
            <w:pPr>
              <w:jc w:val="right"/>
              <w:rPr>
                <w:rFonts w:eastAsia="Times New Roman" w:cs="Arial"/>
                <w:color w:val="000000"/>
                <w:sz w:val="20"/>
              </w:rPr>
            </w:pPr>
            <w:r w:rsidRPr="00D868AB">
              <w:rPr>
                <w:rFonts w:cs="Arial"/>
                <w:color w:val="000000"/>
                <w:sz w:val="20"/>
                <w:szCs w:val="20"/>
              </w:rPr>
              <w:t>1,902,187,198</w:t>
            </w:r>
          </w:p>
        </w:tc>
        <w:tc>
          <w:tcPr>
            <w:tcW w:w="1523" w:type="dxa"/>
            <w:tcBorders>
              <w:top w:val="nil"/>
              <w:left w:val="nil"/>
              <w:bottom w:val="single" w:sz="4" w:space="0" w:color="auto"/>
              <w:right w:val="single" w:sz="4" w:space="0" w:color="auto"/>
            </w:tcBorders>
            <w:shd w:val="clear" w:color="auto" w:fill="auto"/>
            <w:noWrap/>
            <w:vAlign w:val="center"/>
          </w:tcPr>
          <w:p w14:paraId="130A719E" w14:textId="77777777" w:rsidR="00D868AB" w:rsidRPr="00D868AB" w:rsidRDefault="00D868AB" w:rsidP="00D868AB">
            <w:pPr>
              <w:jc w:val="right"/>
              <w:rPr>
                <w:rFonts w:eastAsia="Times New Roman" w:cs="Arial"/>
                <w:b/>
                <w:bCs/>
                <w:color w:val="000000"/>
                <w:sz w:val="20"/>
              </w:rPr>
            </w:pPr>
            <w:r w:rsidRPr="00D868AB">
              <w:rPr>
                <w:rFonts w:cs="Arial"/>
                <w:b/>
                <w:bCs/>
                <w:color w:val="000000"/>
                <w:sz w:val="20"/>
                <w:szCs w:val="20"/>
              </w:rPr>
              <w:t>2,574,421,171</w:t>
            </w:r>
          </w:p>
        </w:tc>
      </w:tr>
      <w:tr w:rsidR="00D868AB" w:rsidRPr="00D868AB" w14:paraId="5B0A2773" w14:textId="77777777" w:rsidTr="00A755A7">
        <w:trPr>
          <w:trHeight w:val="260"/>
          <w:jc w:val="center"/>
        </w:trPr>
        <w:tc>
          <w:tcPr>
            <w:tcW w:w="3114" w:type="dxa"/>
            <w:tcBorders>
              <w:top w:val="nil"/>
              <w:left w:val="single" w:sz="4" w:space="0" w:color="auto"/>
              <w:bottom w:val="single" w:sz="4" w:space="0" w:color="auto"/>
              <w:right w:val="single" w:sz="4" w:space="0" w:color="auto"/>
            </w:tcBorders>
            <w:shd w:val="clear" w:color="auto" w:fill="auto"/>
            <w:vAlign w:val="center"/>
            <w:hideMark/>
          </w:tcPr>
          <w:p w14:paraId="55BDB69D" w14:textId="77777777" w:rsidR="00D868AB" w:rsidRPr="00D868AB" w:rsidRDefault="00D868AB" w:rsidP="00D868AB">
            <w:pPr>
              <w:jc w:val="center"/>
              <w:rPr>
                <w:rFonts w:eastAsia="Times New Roman" w:cs="Arial"/>
                <w:b/>
                <w:bCs/>
                <w:color w:val="000000"/>
                <w:sz w:val="20"/>
              </w:rPr>
            </w:pPr>
            <w:r w:rsidRPr="00D868AB">
              <w:rPr>
                <w:rFonts w:eastAsia="Times New Roman" w:cs="Arial"/>
                <w:b/>
                <w:bCs/>
                <w:color w:val="000000"/>
                <w:sz w:val="20"/>
              </w:rPr>
              <w:t>Total</w:t>
            </w:r>
          </w:p>
        </w:tc>
        <w:tc>
          <w:tcPr>
            <w:tcW w:w="1520" w:type="dxa"/>
            <w:tcBorders>
              <w:top w:val="nil"/>
              <w:left w:val="nil"/>
              <w:bottom w:val="single" w:sz="4" w:space="0" w:color="auto"/>
              <w:right w:val="single" w:sz="4" w:space="0" w:color="auto"/>
            </w:tcBorders>
            <w:shd w:val="clear" w:color="auto" w:fill="auto"/>
            <w:vAlign w:val="center"/>
          </w:tcPr>
          <w:p w14:paraId="6A139128" w14:textId="77777777" w:rsidR="00D868AB" w:rsidRPr="00D868AB" w:rsidRDefault="00D868AB" w:rsidP="00D868AB">
            <w:pPr>
              <w:jc w:val="right"/>
              <w:rPr>
                <w:rFonts w:eastAsia="Times New Roman" w:cs="Arial"/>
                <w:b/>
                <w:bCs/>
                <w:color w:val="000000"/>
                <w:sz w:val="20"/>
              </w:rPr>
            </w:pPr>
            <w:r w:rsidRPr="00D868AB">
              <w:rPr>
                <w:rFonts w:cs="Arial"/>
                <w:b/>
                <w:bCs/>
                <w:color w:val="000000"/>
                <w:sz w:val="20"/>
                <w:szCs w:val="20"/>
              </w:rPr>
              <w:t>1,251,652,710</w:t>
            </w:r>
          </w:p>
        </w:tc>
        <w:tc>
          <w:tcPr>
            <w:tcW w:w="1563" w:type="dxa"/>
            <w:tcBorders>
              <w:top w:val="nil"/>
              <w:left w:val="nil"/>
              <w:bottom w:val="single" w:sz="4" w:space="0" w:color="auto"/>
              <w:right w:val="single" w:sz="4" w:space="0" w:color="auto"/>
            </w:tcBorders>
            <w:shd w:val="clear" w:color="auto" w:fill="auto"/>
            <w:noWrap/>
            <w:vAlign w:val="center"/>
          </w:tcPr>
          <w:p w14:paraId="0BB4897F" w14:textId="77777777" w:rsidR="00D868AB" w:rsidRPr="00D868AB" w:rsidRDefault="00D868AB" w:rsidP="00D868AB">
            <w:pPr>
              <w:jc w:val="right"/>
              <w:rPr>
                <w:rFonts w:eastAsia="Times New Roman" w:cs="Arial"/>
                <w:b/>
                <w:bCs/>
                <w:color w:val="000000"/>
                <w:sz w:val="20"/>
              </w:rPr>
            </w:pPr>
            <w:r w:rsidRPr="00D868AB">
              <w:rPr>
                <w:rFonts w:cs="Arial"/>
                <w:b/>
                <w:bCs/>
                <w:color w:val="000000"/>
                <w:sz w:val="20"/>
                <w:szCs w:val="20"/>
              </w:rPr>
              <w:t>6,597,288,702</w:t>
            </w:r>
          </w:p>
        </w:tc>
        <w:tc>
          <w:tcPr>
            <w:tcW w:w="1523" w:type="dxa"/>
            <w:tcBorders>
              <w:top w:val="nil"/>
              <w:left w:val="nil"/>
              <w:bottom w:val="single" w:sz="4" w:space="0" w:color="auto"/>
              <w:right w:val="single" w:sz="4" w:space="0" w:color="auto"/>
            </w:tcBorders>
            <w:shd w:val="clear" w:color="auto" w:fill="auto"/>
            <w:noWrap/>
            <w:vAlign w:val="center"/>
          </w:tcPr>
          <w:p w14:paraId="280B7813" w14:textId="77777777" w:rsidR="00D868AB" w:rsidRPr="00D868AB" w:rsidRDefault="00D868AB" w:rsidP="00D868AB">
            <w:pPr>
              <w:jc w:val="right"/>
              <w:rPr>
                <w:rFonts w:eastAsia="Times New Roman" w:cs="Arial"/>
                <w:b/>
                <w:bCs/>
                <w:color w:val="000000"/>
                <w:sz w:val="20"/>
              </w:rPr>
            </w:pPr>
            <w:r w:rsidRPr="00D868AB">
              <w:rPr>
                <w:rFonts w:cs="Arial"/>
                <w:b/>
                <w:bCs/>
                <w:color w:val="000000"/>
                <w:sz w:val="20"/>
                <w:szCs w:val="20"/>
              </w:rPr>
              <w:t>7,848,941,412</w:t>
            </w:r>
          </w:p>
        </w:tc>
      </w:tr>
    </w:tbl>
    <w:p w14:paraId="2F98499C" w14:textId="77777777" w:rsidR="00D868AB" w:rsidRPr="00D868AB" w:rsidRDefault="00D868AB" w:rsidP="00D868AB">
      <w:pPr>
        <w:keepNext/>
        <w:keepLines/>
        <w:jc w:val="center"/>
        <w:outlineLvl w:val="1"/>
        <w:rPr>
          <w:rFonts w:eastAsia="Times New Roman" w:cs="Arial"/>
          <w:b/>
          <w:lang w:val="es-ES"/>
        </w:rPr>
      </w:pPr>
    </w:p>
    <w:p w14:paraId="004CAF8E" w14:textId="77777777" w:rsidR="00D868AB" w:rsidRPr="00D868AB" w:rsidRDefault="00D868AB" w:rsidP="00D868AB">
      <w:pPr>
        <w:rPr>
          <w:rFonts w:cs="Arial"/>
          <w:lang w:val="es-ES"/>
        </w:rPr>
      </w:pPr>
      <w:r w:rsidRPr="00D868AB">
        <w:rPr>
          <w:rFonts w:cs="Arial"/>
          <w:b/>
          <w:lang w:val="es-ES"/>
        </w:rPr>
        <w:t>Artículo 49</w:t>
      </w:r>
      <w:r w:rsidRPr="00D868AB">
        <w:rPr>
          <w:rFonts w:cs="Arial"/>
          <w:lang w:val="es-ES"/>
        </w:rPr>
        <w:t>. El Gasto Educativo por Institución de nivel Superior para el ejercicio fiscal 2023 es el siguiente:</w:t>
      </w:r>
    </w:p>
    <w:p w14:paraId="18F791D0" w14:textId="77777777" w:rsidR="00D868AB" w:rsidRPr="00D868AB" w:rsidRDefault="00D868AB" w:rsidP="00D868AB">
      <w:pPr>
        <w:keepNext/>
        <w:keepLines/>
        <w:outlineLvl w:val="2"/>
        <w:rPr>
          <w:rFonts w:eastAsia="Calibri" w:cs="Arial"/>
          <w:b/>
          <w:szCs w:val="24"/>
          <w:lang w:val="es-ES" w:eastAsia="en-US"/>
        </w:rPr>
      </w:pPr>
    </w:p>
    <w:tbl>
      <w:tblPr>
        <w:tblW w:w="8717" w:type="dxa"/>
        <w:jc w:val="center"/>
        <w:tblCellMar>
          <w:left w:w="70" w:type="dxa"/>
          <w:right w:w="70" w:type="dxa"/>
        </w:tblCellMar>
        <w:tblLook w:val="04A0" w:firstRow="1" w:lastRow="0" w:firstColumn="1" w:lastColumn="0" w:noHBand="0" w:noVBand="1"/>
      </w:tblPr>
      <w:tblGrid>
        <w:gridCol w:w="5097"/>
        <w:gridCol w:w="1141"/>
        <w:gridCol w:w="1292"/>
        <w:gridCol w:w="1292"/>
      </w:tblGrid>
      <w:tr w:rsidR="00D868AB" w:rsidRPr="00D868AB" w14:paraId="0BC5A457" w14:textId="77777777" w:rsidTr="00A755A7">
        <w:trPr>
          <w:trHeight w:val="20"/>
          <w:jc w:val="center"/>
        </w:trPr>
        <w:tc>
          <w:tcPr>
            <w:tcW w:w="8717" w:type="dxa"/>
            <w:gridSpan w:val="4"/>
            <w:tcBorders>
              <w:bottom w:val="single" w:sz="4" w:space="0" w:color="auto"/>
            </w:tcBorders>
            <w:shd w:val="clear" w:color="auto" w:fill="auto"/>
            <w:noWrap/>
            <w:vAlign w:val="center"/>
          </w:tcPr>
          <w:p w14:paraId="6CA18704" w14:textId="77777777" w:rsidR="00D868AB" w:rsidRPr="00D868AB" w:rsidRDefault="00D868AB" w:rsidP="00D868AB">
            <w:pPr>
              <w:jc w:val="center"/>
              <w:rPr>
                <w:rFonts w:eastAsia="Times New Roman" w:cs="Arial"/>
                <w:b/>
                <w:bCs/>
                <w:sz w:val="20"/>
                <w:szCs w:val="20"/>
                <w:lang w:val="es-ES"/>
              </w:rPr>
            </w:pPr>
            <w:r w:rsidRPr="00D868AB">
              <w:rPr>
                <w:rFonts w:eastAsia="Times New Roman" w:cs="Arial"/>
                <w:b/>
                <w:bCs/>
                <w:sz w:val="20"/>
                <w:szCs w:val="20"/>
                <w:lang w:val="es-ES"/>
              </w:rPr>
              <w:t>Tabla 36. Instituciones de Educación Superior</w:t>
            </w:r>
          </w:p>
        </w:tc>
      </w:tr>
      <w:tr w:rsidR="00D868AB" w:rsidRPr="00D868AB" w14:paraId="48665E07" w14:textId="77777777" w:rsidTr="00A755A7">
        <w:trPr>
          <w:trHeight w:val="20"/>
          <w:jc w:val="center"/>
        </w:trPr>
        <w:tc>
          <w:tcPr>
            <w:tcW w:w="509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E5B46" w14:textId="77777777" w:rsidR="00D868AB" w:rsidRPr="00D868AB" w:rsidRDefault="00D868AB" w:rsidP="00D868AB">
            <w:pPr>
              <w:jc w:val="center"/>
              <w:rPr>
                <w:rFonts w:cs="Arial"/>
                <w:b/>
                <w:bCs/>
                <w:color w:val="000000"/>
                <w:sz w:val="18"/>
              </w:rPr>
            </w:pPr>
            <w:r w:rsidRPr="00D868AB">
              <w:rPr>
                <w:rFonts w:cs="Arial"/>
                <w:b/>
                <w:bCs/>
                <w:color w:val="000000"/>
                <w:sz w:val="18"/>
              </w:rPr>
              <w:t>Institución de Nivel Superior</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4B4052B6" w14:textId="77777777" w:rsidR="00D868AB" w:rsidRPr="00D868AB" w:rsidRDefault="00D868AB" w:rsidP="00D868AB">
            <w:pPr>
              <w:jc w:val="center"/>
              <w:rPr>
                <w:rFonts w:cs="Arial"/>
                <w:color w:val="000000"/>
                <w:sz w:val="14"/>
                <w:szCs w:val="14"/>
              </w:rPr>
            </w:pPr>
            <w:r w:rsidRPr="00D868AB">
              <w:rPr>
                <w:rFonts w:eastAsia="Times New Roman" w:cs="Arial"/>
                <w:b/>
                <w:bCs/>
                <w:sz w:val="14"/>
                <w:szCs w:val="14"/>
              </w:rPr>
              <w:t>Ingresos de Libre Disposición</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7DB1F87D" w14:textId="77777777" w:rsidR="00D868AB" w:rsidRPr="00D868AB" w:rsidRDefault="00D868AB" w:rsidP="00D868AB">
            <w:pPr>
              <w:jc w:val="center"/>
              <w:rPr>
                <w:rFonts w:cs="Arial"/>
                <w:color w:val="000000"/>
                <w:sz w:val="14"/>
                <w:szCs w:val="14"/>
              </w:rPr>
            </w:pPr>
            <w:r w:rsidRPr="00D868AB">
              <w:rPr>
                <w:rFonts w:eastAsia="Times New Roman" w:cs="Arial"/>
                <w:b/>
                <w:bCs/>
                <w:sz w:val="14"/>
                <w:szCs w:val="14"/>
              </w:rPr>
              <w:t>Transferencias Federales Etiquetadas</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2F96D496" w14:textId="77777777" w:rsidR="00D868AB" w:rsidRPr="00D868AB" w:rsidRDefault="00D868AB" w:rsidP="00D868AB">
            <w:pPr>
              <w:jc w:val="center"/>
              <w:rPr>
                <w:rFonts w:cs="Arial"/>
                <w:b/>
                <w:bCs/>
                <w:color w:val="000000"/>
                <w:sz w:val="16"/>
                <w:szCs w:val="16"/>
              </w:rPr>
            </w:pPr>
            <w:r w:rsidRPr="00D868AB">
              <w:rPr>
                <w:rFonts w:eastAsia="Times New Roman" w:cs="Arial"/>
                <w:b/>
                <w:bCs/>
                <w:sz w:val="16"/>
                <w:szCs w:val="16"/>
                <w:lang w:val="es-ES"/>
              </w:rPr>
              <w:t>Asignación Presupuestal</w:t>
            </w:r>
          </w:p>
        </w:tc>
      </w:tr>
      <w:tr w:rsidR="00D868AB" w:rsidRPr="00D868AB" w14:paraId="2A1C04AA" w14:textId="77777777" w:rsidTr="00A755A7">
        <w:trPr>
          <w:trHeight w:val="20"/>
          <w:jc w:val="center"/>
        </w:trPr>
        <w:tc>
          <w:tcPr>
            <w:tcW w:w="50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1FCBA" w14:textId="77777777" w:rsidR="00D868AB" w:rsidRPr="00D868AB" w:rsidRDefault="00D868AB" w:rsidP="00D868AB">
            <w:pPr>
              <w:rPr>
                <w:rFonts w:eastAsia="Times New Roman" w:cs="Arial"/>
                <w:bCs/>
                <w:sz w:val="18"/>
              </w:rPr>
            </w:pPr>
            <w:r w:rsidRPr="00D868AB">
              <w:rPr>
                <w:rFonts w:cs="Arial"/>
                <w:color w:val="000000"/>
                <w:sz w:val="18"/>
              </w:rPr>
              <w:t>Universidad de Colima.</w:t>
            </w:r>
          </w:p>
        </w:tc>
        <w:tc>
          <w:tcPr>
            <w:tcW w:w="1141" w:type="dxa"/>
            <w:tcBorders>
              <w:top w:val="single" w:sz="4" w:space="0" w:color="auto"/>
              <w:left w:val="nil"/>
              <w:bottom w:val="single" w:sz="4" w:space="0" w:color="auto"/>
              <w:right w:val="single" w:sz="4" w:space="0" w:color="auto"/>
            </w:tcBorders>
            <w:shd w:val="clear" w:color="auto" w:fill="auto"/>
            <w:noWrap/>
            <w:vAlign w:val="center"/>
          </w:tcPr>
          <w:p w14:paraId="0AB9184E" w14:textId="77777777" w:rsidR="00D868AB" w:rsidRPr="00D868AB" w:rsidRDefault="00D868AB" w:rsidP="00D868AB">
            <w:pPr>
              <w:jc w:val="right"/>
              <w:rPr>
                <w:rFonts w:eastAsia="Times New Roman" w:cs="Arial"/>
                <w:sz w:val="18"/>
              </w:rPr>
            </w:pPr>
            <w:r w:rsidRPr="00D868AB">
              <w:rPr>
                <w:rFonts w:cs="Arial"/>
                <w:color w:val="000000"/>
                <w:sz w:val="18"/>
                <w:szCs w:val="18"/>
              </w:rPr>
              <w:t>500,030,275</w:t>
            </w:r>
          </w:p>
        </w:tc>
        <w:tc>
          <w:tcPr>
            <w:tcW w:w="1292" w:type="dxa"/>
            <w:tcBorders>
              <w:top w:val="single" w:sz="4" w:space="0" w:color="auto"/>
              <w:left w:val="nil"/>
              <w:bottom w:val="single" w:sz="4" w:space="0" w:color="auto"/>
              <w:right w:val="single" w:sz="4" w:space="0" w:color="auto"/>
            </w:tcBorders>
            <w:shd w:val="clear" w:color="auto" w:fill="auto"/>
            <w:noWrap/>
            <w:vAlign w:val="center"/>
          </w:tcPr>
          <w:p w14:paraId="79E62CAB" w14:textId="77777777" w:rsidR="00D868AB" w:rsidRPr="00D868AB" w:rsidRDefault="00D868AB" w:rsidP="00D868AB">
            <w:pPr>
              <w:jc w:val="right"/>
              <w:rPr>
                <w:rFonts w:eastAsia="Times New Roman" w:cs="Arial"/>
                <w:sz w:val="18"/>
              </w:rPr>
            </w:pPr>
            <w:r w:rsidRPr="00D868AB">
              <w:rPr>
                <w:rFonts w:cs="Arial"/>
                <w:color w:val="000000"/>
                <w:sz w:val="18"/>
                <w:szCs w:val="18"/>
              </w:rPr>
              <w:t>1,800,366,068</w:t>
            </w:r>
          </w:p>
        </w:tc>
        <w:tc>
          <w:tcPr>
            <w:tcW w:w="1187" w:type="dxa"/>
            <w:tcBorders>
              <w:top w:val="single" w:sz="4" w:space="0" w:color="auto"/>
              <w:left w:val="nil"/>
              <w:bottom w:val="single" w:sz="4" w:space="0" w:color="auto"/>
              <w:right w:val="single" w:sz="4" w:space="0" w:color="auto"/>
            </w:tcBorders>
            <w:shd w:val="clear" w:color="auto" w:fill="auto"/>
            <w:noWrap/>
            <w:vAlign w:val="center"/>
          </w:tcPr>
          <w:p w14:paraId="0E4C8F24" w14:textId="77777777" w:rsidR="00D868AB" w:rsidRPr="00D868AB" w:rsidRDefault="00D868AB" w:rsidP="00D868AB">
            <w:pPr>
              <w:jc w:val="right"/>
              <w:rPr>
                <w:rFonts w:eastAsia="Times New Roman" w:cs="Arial"/>
                <w:b/>
                <w:bCs/>
                <w:sz w:val="18"/>
              </w:rPr>
            </w:pPr>
            <w:r w:rsidRPr="00D868AB">
              <w:rPr>
                <w:rFonts w:cs="Arial"/>
                <w:b/>
                <w:bCs/>
                <w:color w:val="000000"/>
                <w:sz w:val="18"/>
                <w:szCs w:val="18"/>
              </w:rPr>
              <w:t>2,300,396,343</w:t>
            </w:r>
          </w:p>
        </w:tc>
      </w:tr>
      <w:tr w:rsidR="00D868AB" w:rsidRPr="00D868AB" w14:paraId="5592E412" w14:textId="77777777" w:rsidTr="00A755A7">
        <w:trPr>
          <w:trHeight w:val="20"/>
          <w:jc w:val="center"/>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14:paraId="0FEBA429" w14:textId="77777777" w:rsidR="00D868AB" w:rsidRPr="00D868AB" w:rsidRDefault="00D868AB" w:rsidP="00D868AB">
            <w:pPr>
              <w:rPr>
                <w:rFonts w:eastAsia="Times New Roman" w:cs="Arial"/>
                <w:bCs/>
                <w:sz w:val="18"/>
              </w:rPr>
            </w:pPr>
            <w:r w:rsidRPr="00D868AB">
              <w:rPr>
                <w:rFonts w:cs="Arial"/>
                <w:color w:val="000000"/>
                <w:sz w:val="18"/>
              </w:rPr>
              <w:t>Instituto Superior de Educación Normal del Estado de Colima.</w:t>
            </w:r>
          </w:p>
        </w:tc>
        <w:tc>
          <w:tcPr>
            <w:tcW w:w="1141" w:type="dxa"/>
            <w:tcBorders>
              <w:top w:val="nil"/>
              <w:left w:val="nil"/>
              <w:bottom w:val="single" w:sz="4" w:space="0" w:color="auto"/>
              <w:right w:val="single" w:sz="4" w:space="0" w:color="auto"/>
            </w:tcBorders>
            <w:shd w:val="clear" w:color="auto" w:fill="auto"/>
            <w:noWrap/>
            <w:vAlign w:val="center"/>
          </w:tcPr>
          <w:p w14:paraId="5E05676C" w14:textId="77777777" w:rsidR="00D868AB" w:rsidRPr="00D868AB" w:rsidRDefault="00D868AB" w:rsidP="00D868AB">
            <w:pPr>
              <w:jc w:val="right"/>
              <w:rPr>
                <w:rFonts w:eastAsia="Times New Roman" w:cs="Arial"/>
                <w:color w:val="FF0000"/>
                <w:sz w:val="18"/>
                <w:highlight w:val="yellow"/>
              </w:rPr>
            </w:pPr>
            <w:r w:rsidRPr="00D868AB">
              <w:rPr>
                <w:rFonts w:cs="Arial"/>
                <w:color w:val="000000"/>
                <w:sz w:val="18"/>
                <w:szCs w:val="18"/>
              </w:rPr>
              <w:t>134,757,798</w:t>
            </w:r>
          </w:p>
        </w:tc>
        <w:tc>
          <w:tcPr>
            <w:tcW w:w="1292" w:type="dxa"/>
            <w:tcBorders>
              <w:top w:val="nil"/>
              <w:left w:val="nil"/>
              <w:bottom w:val="single" w:sz="4" w:space="0" w:color="auto"/>
              <w:right w:val="single" w:sz="4" w:space="0" w:color="auto"/>
            </w:tcBorders>
            <w:shd w:val="clear" w:color="auto" w:fill="auto"/>
            <w:noWrap/>
            <w:vAlign w:val="center"/>
          </w:tcPr>
          <w:p w14:paraId="105D92B9" w14:textId="77777777" w:rsidR="00D868AB" w:rsidRPr="00D868AB" w:rsidRDefault="00D868AB" w:rsidP="00D868AB">
            <w:pPr>
              <w:jc w:val="right"/>
              <w:rPr>
                <w:rFonts w:eastAsia="Times New Roman" w:cs="Arial"/>
                <w:sz w:val="18"/>
              </w:rPr>
            </w:pPr>
            <w:r w:rsidRPr="00D868AB">
              <w:rPr>
                <w:rFonts w:cs="Arial"/>
                <w:color w:val="000000"/>
                <w:sz w:val="18"/>
                <w:szCs w:val="18"/>
              </w:rPr>
              <w:t>0</w:t>
            </w:r>
          </w:p>
        </w:tc>
        <w:tc>
          <w:tcPr>
            <w:tcW w:w="1187" w:type="dxa"/>
            <w:tcBorders>
              <w:top w:val="nil"/>
              <w:left w:val="nil"/>
              <w:bottom w:val="single" w:sz="4" w:space="0" w:color="auto"/>
              <w:right w:val="single" w:sz="4" w:space="0" w:color="auto"/>
            </w:tcBorders>
            <w:shd w:val="clear" w:color="auto" w:fill="auto"/>
            <w:noWrap/>
            <w:vAlign w:val="center"/>
          </w:tcPr>
          <w:p w14:paraId="70D279AD" w14:textId="77777777" w:rsidR="00D868AB" w:rsidRPr="00D868AB" w:rsidRDefault="00D868AB" w:rsidP="00D868AB">
            <w:pPr>
              <w:jc w:val="right"/>
              <w:rPr>
                <w:rFonts w:eastAsia="Times New Roman" w:cs="Arial"/>
                <w:b/>
                <w:bCs/>
                <w:sz w:val="18"/>
              </w:rPr>
            </w:pPr>
            <w:r w:rsidRPr="00D868AB">
              <w:rPr>
                <w:rFonts w:cs="Arial"/>
                <w:b/>
                <w:bCs/>
                <w:color w:val="000000"/>
                <w:sz w:val="18"/>
                <w:szCs w:val="18"/>
              </w:rPr>
              <w:t>134,757,798</w:t>
            </w:r>
          </w:p>
        </w:tc>
      </w:tr>
      <w:tr w:rsidR="00D868AB" w:rsidRPr="00D868AB" w14:paraId="72C6637F" w14:textId="77777777" w:rsidTr="00A755A7">
        <w:trPr>
          <w:trHeight w:val="20"/>
          <w:jc w:val="center"/>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14:paraId="7F447B0D" w14:textId="77777777" w:rsidR="00D868AB" w:rsidRPr="00D868AB" w:rsidRDefault="00D868AB" w:rsidP="00D868AB">
            <w:pPr>
              <w:rPr>
                <w:rFonts w:eastAsia="Times New Roman" w:cs="Arial"/>
                <w:bCs/>
                <w:sz w:val="18"/>
              </w:rPr>
            </w:pPr>
            <w:r w:rsidRPr="00D868AB">
              <w:rPr>
                <w:rFonts w:cs="Arial"/>
                <w:color w:val="000000"/>
                <w:sz w:val="18"/>
              </w:rPr>
              <w:t>Universidad Tecnológica de Manzanillo.</w:t>
            </w:r>
          </w:p>
        </w:tc>
        <w:tc>
          <w:tcPr>
            <w:tcW w:w="1141" w:type="dxa"/>
            <w:tcBorders>
              <w:top w:val="nil"/>
              <w:left w:val="nil"/>
              <w:bottom w:val="single" w:sz="4" w:space="0" w:color="auto"/>
              <w:right w:val="single" w:sz="4" w:space="0" w:color="auto"/>
            </w:tcBorders>
            <w:shd w:val="clear" w:color="auto" w:fill="auto"/>
            <w:vAlign w:val="center"/>
          </w:tcPr>
          <w:p w14:paraId="01318CE0" w14:textId="77777777" w:rsidR="00D868AB" w:rsidRPr="00D868AB" w:rsidRDefault="00D868AB" w:rsidP="00D868AB">
            <w:pPr>
              <w:jc w:val="right"/>
              <w:rPr>
                <w:rFonts w:eastAsia="Times New Roman" w:cs="Arial"/>
                <w:sz w:val="18"/>
              </w:rPr>
            </w:pPr>
            <w:r w:rsidRPr="00D868AB">
              <w:rPr>
                <w:rFonts w:cs="Arial"/>
                <w:color w:val="000000"/>
                <w:sz w:val="18"/>
                <w:szCs w:val="18"/>
              </w:rPr>
              <w:t>24,000,000</w:t>
            </w:r>
          </w:p>
        </w:tc>
        <w:tc>
          <w:tcPr>
            <w:tcW w:w="1292" w:type="dxa"/>
            <w:tcBorders>
              <w:top w:val="nil"/>
              <w:left w:val="nil"/>
              <w:bottom w:val="single" w:sz="4" w:space="0" w:color="auto"/>
              <w:right w:val="single" w:sz="4" w:space="0" w:color="auto"/>
            </w:tcBorders>
            <w:shd w:val="clear" w:color="auto" w:fill="auto"/>
            <w:vAlign w:val="center"/>
          </w:tcPr>
          <w:p w14:paraId="64F61742" w14:textId="77777777" w:rsidR="00D868AB" w:rsidRPr="00D868AB" w:rsidRDefault="00D868AB" w:rsidP="00D868AB">
            <w:pPr>
              <w:jc w:val="right"/>
              <w:rPr>
                <w:rFonts w:eastAsia="Times New Roman" w:cs="Arial"/>
                <w:sz w:val="18"/>
              </w:rPr>
            </w:pPr>
            <w:r w:rsidRPr="00D868AB">
              <w:rPr>
                <w:rFonts w:cs="Arial"/>
                <w:color w:val="000000"/>
                <w:sz w:val="18"/>
                <w:szCs w:val="18"/>
              </w:rPr>
              <w:t>23,071,115</w:t>
            </w:r>
          </w:p>
        </w:tc>
        <w:tc>
          <w:tcPr>
            <w:tcW w:w="1187" w:type="dxa"/>
            <w:tcBorders>
              <w:top w:val="nil"/>
              <w:left w:val="nil"/>
              <w:bottom w:val="single" w:sz="4" w:space="0" w:color="auto"/>
              <w:right w:val="single" w:sz="4" w:space="0" w:color="auto"/>
            </w:tcBorders>
            <w:shd w:val="clear" w:color="auto" w:fill="auto"/>
            <w:vAlign w:val="center"/>
          </w:tcPr>
          <w:p w14:paraId="4FE72D6C" w14:textId="77777777" w:rsidR="00D868AB" w:rsidRPr="00D868AB" w:rsidRDefault="00D868AB" w:rsidP="00D868AB">
            <w:pPr>
              <w:jc w:val="right"/>
              <w:rPr>
                <w:rFonts w:eastAsia="Times New Roman" w:cs="Arial"/>
                <w:b/>
                <w:bCs/>
                <w:sz w:val="18"/>
              </w:rPr>
            </w:pPr>
            <w:r w:rsidRPr="00D868AB">
              <w:rPr>
                <w:rFonts w:cs="Arial"/>
                <w:b/>
                <w:bCs/>
                <w:color w:val="000000"/>
                <w:sz w:val="18"/>
                <w:szCs w:val="18"/>
              </w:rPr>
              <w:t>47,071,115</w:t>
            </w:r>
          </w:p>
        </w:tc>
      </w:tr>
      <w:tr w:rsidR="00D868AB" w:rsidRPr="00D868AB" w14:paraId="2DD7FC05" w14:textId="77777777" w:rsidTr="00A755A7">
        <w:trPr>
          <w:trHeight w:val="20"/>
          <w:jc w:val="center"/>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14:paraId="3FE3E21E" w14:textId="77777777" w:rsidR="00D868AB" w:rsidRPr="00D868AB" w:rsidRDefault="00D868AB" w:rsidP="00D868AB">
            <w:pPr>
              <w:rPr>
                <w:rFonts w:eastAsia="Times New Roman" w:cs="Arial"/>
                <w:bCs/>
                <w:sz w:val="18"/>
              </w:rPr>
            </w:pPr>
            <w:r w:rsidRPr="00D868AB">
              <w:rPr>
                <w:rFonts w:cs="Arial"/>
                <w:color w:val="000000"/>
                <w:sz w:val="18"/>
              </w:rPr>
              <w:t>Tecnológico Nacional de México Campus Colima.</w:t>
            </w:r>
          </w:p>
        </w:tc>
        <w:tc>
          <w:tcPr>
            <w:tcW w:w="1141" w:type="dxa"/>
            <w:tcBorders>
              <w:top w:val="nil"/>
              <w:left w:val="nil"/>
              <w:bottom w:val="single" w:sz="4" w:space="0" w:color="auto"/>
              <w:right w:val="single" w:sz="4" w:space="0" w:color="auto"/>
            </w:tcBorders>
            <w:shd w:val="clear" w:color="auto" w:fill="auto"/>
            <w:vAlign w:val="center"/>
          </w:tcPr>
          <w:p w14:paraId="246670CB" w14:textId="77777777" w:rsidR="00D868AB" w:rsidRPr="00D868AB" w:rsidRDefault="00D868AB" w:rsidP="00D868AB">
            <w:pPr>
              <w:jc w:val="right"/>
              <w:rPr>
                <w:rFonts w:eastAsia="Times New Roman" w:cs="Arial"/>
                <w:sz w:val="18"/>
              </w:rPr>
            </w:pPr>
            <w:r w:rsidRPr="00D868AB">
              <w:rPr>
                <w:rFonts w:cs="Arial"/>
                <w:color w:val="000000"/>
                <w:sz w:val="18"/>
                <w:szCs w:val="18"/>
              </w:rPr>
              <w:t>13,445,900</w:t>
            </w:r>
          </w:p>
        </w:tc>
        <w:tc>
          <w:tcPr>
            <w:tcW w:w="1292" w:type="dxa"/>
            <w:tcBorders>
              <w:top w:val="nil"/>
              <w:left w:val="nil"/>
              <w:bottom w:val="single" w:sz="4" w:space="0" w:color="auto"/>
              <w:right w:val="single" w:sz="4" w:space="0" w:color="auto"/>
            </w:tcBorders>
            <w:shd w:val="clear" w:color="auto" w:fill="auto"/>
            <w:vAlign w:val="center"/>
          </w:tcPr>
          <w:p w14:paraId="0901D1B3" w14:textId="77777777" w:rsidR="00D868AB" w:rsidRPr="00D868AB" w:rsidRDefault="00D868AB" w:rsidP="00D868AB">
            <w:pPr>
              <w:jc w:val="right"/>
              <w:rPr>
                <w:rFonts w:eastAsia="Times New Roman" w:cs="Arial"/>
                <w:sz w:val="18"/>
              </w:rPr>
            </w:pPr>
            <w:r w:rsidRPr="00D868AB">
              <w:rPr>
                <w:rFonts w:cs="Arial"/>
                <w:color w:val="000000"/>
                <w:sz w:val="18"/>
                <w:szCs w:val="18"/>
              </w:rPr>
              <w:t>0</w:t>
            </w:r>
          </w:p>
        </w:tc>
        <w:tc>
          <w:tcPr>
            <w:tcW w:w="1187" w:type="dxa"/>
            <w:tcBorders>
              <w:top w:val="nil"/>
              <w:left w:val="nil"/>
              <w:bottom w:val="single" w:sz="4" w:space="0" w:color="auto"/>
              <w:right w:val="single" w:sz="4" w:space="0" w:color="auto"/>
            </w:tcBorders>
            <w:shd w:val="clear" w:color="auto" w:fill="auto"/>
            <w:vAlign w:val="center"/>
          </w:tcPr>
          <w:p w14:paraId="25D66B1D" w14:textId="77777777" w:rsidR="00D868AB" w:rsidRPr="00D868AB" w:rsidRDefault="00D868AB" w:rsidP="00D868AB">
            <w:pPr>
              <w:jc w:val="right"/>
              <w:rPr>
                <w:rFonts w:eastAsia="Times New Roman" w:cs="Arial"/>
                <w:b/>
                <w:bCs/>
                <w:sz w:val="18"/>
              </w:rPr>
            </w:pPr>
            <w:r w:rsidRPr="00D868AB">
              <w:rPr>
                <w:rFonts w:cs="Arial"/>
                <w:b/>
                <w:bCs/>
                <w:color w:val="000000"/>
                <w:sz w:val="18"/>
                <w:szCs w:val="18"/>
              </w:rPr>
              <w:t>13,445,900</w:t>
            </w:r>
          </w:p>
        </w:tc>
      </w:tr>
      <w:tr w:rsidR="00D868AB" w:rsidRPr="00D868AB" w14:paraId="1090EE6B" w14:textId="77777777" w:rsidTr="00A755A7">
        <w:trPr>
          <w:trHeight w:val="20"/>
          <w:jc w:val="center"/>
        </w:trPr>
        <w:tc>
          <w:tcPr>
            <w:tcW w:w="5097" w:type="dxa"/>
            <w:tcBorders>
              <w:top w:val="nil"/>
              <w:left w:val="single" w:sz="4" w:space="0" w:color="auto"/>
              <w:bottom w:val="single" w:sz="4" w:space="0" w:color="auto"/>
              <w:right w:val="single" w:sz="4" w:space="0" w:color="auto"/>
            </w:tcBorders>
            <w:shd w:val="clear" w:color="auto" w:fill="auto"/>
            <w:noWrap/>
            <w:vAlign w:val="center"/>
            <w:hideMark/>
          </w:tcPr>
          <w:p w14:paraId="51EC2667" w14:textId="77777777" w:rsidR="00D868AB" w:rsidRPr="00D868AB" w:rsidRDefault="00D868AB" w:rsidP="00D868AB">
            <w:pPr>
              <w:jc w:val="center"/>
              <w:rPr>
                <w:rFonts w:eastAsia="Times New Roman" w:cs="Arial"/>
                <w:b/>
                <w:bCs/>
                <w:sz w:val="18"/>
              </w:rPr>
            </w:pPr>
            <w:r w:rsidRPr="00D868AB">
              <w:rPr>
                <w:rFonts w:cs="Arial"/>
                <w:b/>
                <w:bCs/>
                <w:color w:val="000000"/>
                <w:sz w:val="18"/>
              </w:rPr>
              <w:t>Total</w:t>
            </w:r>
          </w:p>
        </w:tc>
        <w:tc>
          <w:tcPr>
            <w:tcW w:w="1141" w:type="dxa"/>
            <w:tcBorders>
              <w:top w:val="nil"/>
              <w:left w:val="nil"/>
              <w:bottom w:val="single" w:sz="4" w:space="0" w:color="auto"/>
              <w:right w:val="single" w:sz="4" w:space="0" w:color="auto"/>
            </w:tcBorders>
            <w:shd w:val="clear" w:color="auto" w:fill="auto"/>
            <w:vAlign w:val="center"/>
          </w:tcPr>
          <w:p w14:paraId="6B8A2E68" w14:textId="77777777" w:rsidR="00D868AB" w:rsidRPr="00D868AB" w:rsidRDefault="00D868AB" w:rsidP="00D868AB">
            <w:pPr>
              <w:jc w:val="right"/>
              <w:rPr>
                <w:rFonts w:eastAsia="Times New Roman" w:cs="Arial"/>
                <w:b/>
                <w:bCs/>
                <w:sz w:val="18"/>
              </w:rPr>
            </w:pPr>
            <w:r w:rsidRPr="00D868AB">
              <w:rPr>
                <w:rFonts w:cs="Arial"/>
                <w:b/>
                <w:bCs/>
                <w:color w:val="000000"/>
                <w:sz w:val="18"/>
                <w:szCs w:val="18"/>
              </w:rPr>
              <w:t>672,233,973</w:t>
            </w:r>
          </w:p>
        </w:tc>
        <w:tc>
          <w:tcPr>
            <w:tcW w:w="1292" w:type="dxa"/>
            <w:tcBorders>
              <w:top w:val="nil"/>
              <w:left w:val="nil"/>
              <w:bottom w:val="single" w:sz="4" w:space="0" w:color="auto"/>
              <w:right w:val="single" w:sz="4" w:space="0" w:color="auto"/>
            </w:tcBorders>
            <w:shd w:val="clear" w:color="auto" w:fill="auto"/>
            <w:vAlign w:val="center"/>
          </w:tcPr>
          <w:p w14:paraId="2F2348B0" w14:textId="77777777" w:rsidR="00D868AB" w:rsidRPr="00D868AB" w:rsidRDefault="00D868AB" w:rsidP="00D868AB">
            <w:pPr>
              <w:jc w:val="right"/>
              <w:rPr>
                <w:rFonts w:eastAsia="Times New Roman" w:cs="Arial"/>
                <w:b/>
                <w:bCs/>
                <w:sz w:val="18"/>
              </w:rPr>
            </w:pPr>
            <w:r w:rsidRPr="00D868AB">
              <w:rPr>
                <w:rFonts w:cs="Arial"/>
                <w:b/>
                <w:bCs/>
                <w:color w:val="000000"/>
                <w:sz w:val="18"/>
                <w:szCs w:val="18"/>
              </w:rPr>
              <w:t>1,823,437,183</w:t>
            </w:r>
          </w:p>
        </w:tc>
        <w:tc>
          <w:tcPr>
            <w:tcW w:w="1187" w:type="dxa"/>
            <w:tcBorders>
              <w:top w:val="nil"/>
              <w:left w:val="nil"/>
              <w:bottom w:val="single" w:sz="4" w:space="0" w:color="auto"/>
              <w:right w:val="single" w:sz="4" w:space="0" w:color="auto"/>
            </w:tcBorders>
            <w:shd w:val="clear" w:color="auto" w:fill="auto"/>
            <w:vAlign w:val="center"/>
          </w:tcPr>
          <w:p w14:paraId="77A859FB" w14:textId="77777777" w:rsidR="00D868AB" w:rsidRPr="00D868AB" w:rsidRDefault="00D868AB" w:rsidP="00D868AB">
            <w:pPr>
              <w:jc w:val="right"/>
              <w:rPr>
                <w:rFonts w:eastAsia="Times New Roman" w:cs="Arial"/>
                <w:b/>
                <w:bCs/>
                <w:sz w:val="18"/>
              </w:rPr>
            </w:pPr>
            <w:r w:rsidRPr="00D868AB">
              <w:rPr>
                <w:rFonts w:cs="Arial"/>
                <w:b/>
                <w:bCs/>
                <w:color w:val="000000"/>
                <w:sz w:val="18"/>
                <w:szCs w:val="18"/>
              </w:rPr>
              <w:t>2,495,671,156</w:t>
            </w:r>
          </w:p>
        </w:tc>
      </w:tr>
    </w:tbl>
    <w:p w14:paraId="231738A5" w14:textId="77777777" w:rsidR="00D868AB" w:rsidRPr="00D868AB" w:rsidRDefault="00D868AB" w:rsidP="00D868AB">
      <w:pPr>
        <w:rPr>
          <w:rFonts w:cs="Arial"/>
          <w:szCs w:val="28"/>
          <w:lang w:val="es-ES"/>
        </w:rPr>
      </w:pPr>
      <w:bookmarkStart w:id="171" w:name="_Toc522869276"/>
      <w:bookmarkStart w:id="172" w:name="_Toc526757494"/>
      <w:bookmarkStart w:id="173" w:name="_Toc22021943"/>
      <w:bookmarkStart w:id="174" w:name="_Toc22983197"/>
      <w:bookmarkStart w:id="175" w:name="_Toc465292958"/>
      <w:bookmarkStart w:id="176" w:name="_Toc465292886"/>
    </w:p>
    <w:p w14:paraId="4CE4C724" w14:textId="77777777" w:rsidR="00D868AB" w:rsidRPr="00D868AB" w:rsidRDefault="00D868AB" w:rsidP="00D868AB">
      <w:pPr>
        <w:rPr>
          <w:rFonts w:cs="Arial"/>
          <w:szCs w:val="28"/>
          <w:lang w:val="es-ES"/>
        </w:rPr>
      </w:pPr>
    </w:p>
    <w:p w14:paraId="7FB88891" w14:textId="77777777" w:rsidR="00D868AB" w:rsidRPr="00D868AB" w:rsidRDefault="00D868AB" w:rsidP="00D868AB">
      <w:pPr>
        <w:jc w:val="center"/>
        <w:rPr>
          <w:rFonts w:eastAsia="Times New Roman" w:cs="Arial"/>
          <w:b/>
          <w:lang w:val="es-ES"/>
        </w:rPr>
      </w:pPr>
      <w:bookmarkStart w:id="177" w:name="_Hlk87266831"/>
      <w:r w:rsidRPr="00D868AB">
        <w:rPr>
          <w:rFonts w:eastAsia="Times New Roman" w:cs="Arial"/>
          <w:b/>
          <w:lang w:val="es-ES"/>
        </w:rPr>
        <w:t xml:space="preserve">CAPÍTULO </w:t>
      </w:r>
      <w:bookmarkEnd w:id="171"/>
      <w:bookmarkEnd w:id="172"/>
      <w:r w:rsidRPr="00D868AB">
        <w:rPr>
          <w:rFonts w:eastAsia="Times New Roman" w:cs="Arial"/>
          <w:b/>
          <w:lang w:val="es-ES"/>
        </w:rPr>
        <w:t>X</w:t>
      </w:r>
      <w:bookmarkEnd w:id="173"/>
      <w:bookmarkEnd w:id="174"/>
      <w:r w:rsidRPr="00D868AB">
        <w:rPr>
          <w:rFonts w:eastAsia="Times New Roman" w:cs="Arial"/>
          <w:b/>
          <w:lang w:val="es-ES"/>
        </w:rPr>
        <w:t>I</w:t>
      </w:r>
    </w:p>
    <w:p w14:paraId="655C105E" w14:textId="77777777" w:rsidR="00D868AB" w:rsidRPr="00D868AB" w:rsidRDefault="00D868AB" w:rsidP="00D868AB">
      <w:pPr>
        <w:keepNext/>
        <w:keepLines/>
        <w:jc w:val="center"/>
        <w:outlineLvl w:val="0"/>
        <w:rPr>
          <w:rFonts w:eastAsia="Times New Roman" w:cs="Arial"/>
          <w:b/>
          <w:szCs w:val="32"/>
        </w:rPr>
      </w:pPr>
      <w:bookmarkStart w:id="178" w:name="_Toc522869277"/>
      <w:bookmarkStart w:id="179" w:name="_Toc526757495"/>
      <w:bookmarkStart w:id="180" w:name="_Toc22021944"/>
      <w:bookmarkStart w:id="181" w:name="_Toc22983198"/>
      <w:r w:rsidRPr="00D868AB">
        <w:rPr>
          <w:rFonts w:eastAsia="Times New Roman" w:cs="Arial"/>
          <w:b/>
          <w:szCs w:val="32"/>
        </w:rPr>
        <w:t>DE LA DEUDA PÚBLICA</w:t>
      </w:r>
      <w:bookmarkEnd w:id="175"/>
      <w:bookmarkEnd w:id="176"/>
      <w:bookmarkEnd w:id="178"/>
      <w:bookmarkEnd w:id="179"/>
      <w:bookmarkEnd w:id="180"/>
      <w:bookmarkEnd w:id="181"/>
    </w:p>
    <w:p w14:paraId="17ECE35B" w14:textId="77777777" w:rsidR="00D868AB" w:rsidRPr="00D868AB" w:rsidRDefault="00D868AB" w:rsidP="00D868AB">
      <w:pPr>
        <w:rPr>
          <w:rFonts w:cs="Arial"/>
          <w:b/>
          <w:lang w:val="es-ES"/>
        </w:rPr>
      </w:pPr>
    </w:p>
    <w:p w14:paraId="75DAE18A" w14:textId="77777777" w:rsidR="00D868AB" w:rsidRPr="00D868AB" w:rsidRDefault="00D868AB" w:rsidP="00D868AB">
      <w:pPr>
        <w:rPr>
          <w:rFonts w:cs="Arial"/>
          <w:lang w:val="es-ES"/>
        </w:rPr>
      </w:pPr>
      <w:r w:rsidRPr="00D868AB">
        <w:rPr>
          <w:rFonts w:cs="Arial"/>
          <w:b/>
          <w:lang w:val="es-ES"/>
        </w:rPr>
        <w:t>Artículo 50</w:t>
      </w:r>
      <w:r w:rsidRPr="00D868AB">
        <w:rPr>
          <w:rFonts w:cs="Arial"/>
          <w:lang w:val="es-ES"/>
        </w:rPr>
        <w:t xml:space="preserve">. </w:t>
      </w:r>
      <w:r w:rsidRPr="00D868AB">
        <w:rPr>
          <w:rFonts w:cs="Arial"/>
          <w:lang w:val="es-ES"/>
        </w:rPr>
        <w:tab/>
        <w:t>Para el Ejercicio Fiscal 2023, se establece la asignación presupuestaria destinada a cubrir la amortización de capital, el pago de intereses, el pago por administración de los fideicomisos que fungen como mecanismo de pago de la deuda, comisiones y demás accesorios de la Deuda Pública, de la siguiente manera.</w:t>
      </w:r>
    </w:p>
    <w:p w14:paraId="690B4FE9" w14:textId="77777777" w:rsidR="00D868AB" w:rsidRPr="00D868AB" w:rsidRDefault="00D868AB" w:rsidP="00D868AB">
      <w:pPr>
        <w:rPr>
          <w:rFonts w:cs="Arial"/>
          <w:lang w:val="es-ES"/>
        </w:rPr>
      </w:pPr>
    </w:p>
    <w:p w14:paraId="72058352" w14:textId="77777777" w:rsidR="00D868AB" w:rsidRPr="00D868AB" w:rsidRDefault="00D868AB" w:rsidP="00D868AB">
      <w:pPr>
        <w:ind w:left="567" w:hanging="567"/>
        <w:rPr>
          <w:rFonts w:eastAsia="Times New Roman" w:cs="Arial"/>
          <w:lang w:val="es-ES" w:eastAsia="es-ES"/>
        </w:rPr>
      </w:pPr>
      <w:r w:rsidRPr="00D868AB">
        <w:rPr>
          <w:rFonts w:eastAsia="Times New Roman" w:cs="Arial"/>
          <w:lang w:val="es-ES" w:eastAsia="es-ES"/>
        </w:rPr>
        <w:t>I.</w:t>
      </w:r>
      <w:r w:rsidRPr="00D868AB">
        <w:rPr>
          <w:rFonts w:eastAsia="Times New Roman" w:cs="Arial"/>
          <w:lang w:val="es-ES" w:eastAsia="es-ES"/>
        </w:rPr>
        <w:tab/>
        <w:t xml:space="preserve">El saldo insoluto de la </w:t>
      </w:r>
      <w:r w:rsidRPr="00D868AB">
        <w:rPr>
          <w:rFonts w:eastAsia="Times New Roman" w:cs="Arial"/>
          <w:b/>
          <w:bCs/>
          <w:lang w:val="es-ES" w:eastAsia="es-ES"/>
        </w:rPr>
        <w:t>Deuda Pública Directa</w:t>
      </w:r>
      <w:r w:rsidRPr="00D868AB">
        <w:rPr>
          <w:rFonts w:eastAsia="Times New Roman" w:cs="Arial"/>
          <w:lang w:val="es-ES" w:eastAsia="es-ES"/>
        </w:rPr>
        <w:t xml:space="preserve"> del Gobierno del Estado de Colima al 30 de septiembre</w:t>
      </w:r>
      <w:r w:rsidRPr="00D868AB">
        <w:rPr>
          <w:rFonts w:eastAsia="Times New Roman" w:cs="Arial"/>
          <w:b/>
          <w:lang w:val="es-ES" w:eastAsia="es-ES"/>
        </w:rPr>
        <w:t xml:space="preserve"> </w:t>
      </w:r>
      <w:r w:rsidRPr="00D868AB">
        <w:rPr>
          <w:rFonts w:eastAsia="Times New Roman" w:cs="Arial"/>
          <w:lang w:val="es-ES" w:eastAsia="es-ES"/>
        </w:rPr>
        <w:t>de 2022, es de un total de</w:t>
      </w:r>
      <w:r w:rsidRPr="00D868AB">
        <w:rPr>
          <w:rFonts w:eastAsia="Times New Roman" w:cs="Arial"/>
          <w:b/>
          <w:bCs/>
          <w:lang w:val="es-ES" w:eastAsia="es-ES"/>
        </w:rPr>
        <w:t xml:space="preserve"> $3,689,328,806.00 </w:t>
      </w:r>
      <w:r w:rsidRPr="00D868AB">
        <w:rPr>
          <w:rFonts w:eastAsia="Times New Roman" w:cs="Arial"/>
          <w:lang w:val="es-ES" w:eastAsia="es-ES"/>
        </w:rPr>
        <w:t>(Tres mil seiscientos ochenta y nueve millones trescientos veintiocho mil ochocientos seis pesos). El desglose de la Deuda Pública Directa por institución acreedora, tipo de instrumento, monto contratado, monto dispuesto, saldo insoluto, número de crédito, tasa de interés anual, fechas de suscripción, de vencimiento y garantías es de la siguiente forma:</w:t>
      </w:r>
    </w:p>
    <w:p w14:paraId="29EEF110" w14:textId="77777777" w:rsidR="00D868AB" w:rsidRPr="00D868AB" w:rsidRDefault="00D868AB" w:rsidP="00D868AB">
      <w:pPr>
        <w:keepNext/>
        <w:keepLines/>
        <w:outlineLvl w:val="2"/>
        <w:rPr>
          <w:rFonts w:eastAsia="Times New Roman" w:cs="Arial"/>
          <w:b/>
          <w:szCs w:val="24"/>
          <w:lang w:val="es-ES" w:eastAsia="en-US"/>
        </w:rPr>
      </w:pPr>
    </w:p>
    <w:tbl>
      <w:tblPr>
        <w:tblW w:w="10293" w:type="dxa"/>
        <w:jc w:val="center"/>
        <w:tblCellMar>
          <w:left w:w="70" w:type="dxa"/>
          <w:right w:w="70" w:type="dxa"/>
        </w:tblCellMar>
        <w:tblLook w:val="04A0" w:firstRow="1" w:lastRow="0" w:firstColumn="1" w:lastColumn="0" w:noHBand="0" w:noVBand="1"/>
      </w:tblPr>
      <w:tblGrid>
        <w:gridCol w:w="667"/>
        <w:gridCol w:w="956"/>
        <w:gridCol w:w="908"/>
        <w:gridCol w:w="908"/>
        <w:gridCol w:w="941"/>
        <w:gridCol w:w="876"/>
        <w:gridCol w:w="601"/>
        <w:gridCol w:w="827"/>
        <w:gridCol w:w="854"/>
        <w:gridCol w:w="1090"/>
        <w:gridCol w:w="592"/>
        <w:gridCol w:w="1101"/>
      </w:tblGrid>
      <w:tr w:rsidR="00D868AB" w:rsidRPr="00D868AB" w14:paraId="19AB0BC3" w14:textId="77777777" w:rsidTr="00A755A7">
        <w:trPr>
          <w:trHeight w:val="480"/>
          <w:jc w:val="center"/>
        </w:trPr>
        <w:tc>
          <w:tcPr>
            <w:tcW w:w="10293" w:type="dxa"/>
            <w:gridSpan w:val="12"/>
            <w:tcBorders>
              <w:bottom w:val="single" w:sz="4" w:space="0" w:color="auto"/>
            </w:tcBorders>
            <w:shd w:val="clear" w:color="auto" w:fill="auto"/>
            <w:vAlign w:val="center"/>
          </w:tcPr>
          <w:p w14:paraId="4EA2AB3C" w14:textId="77777777" w:rsidR="00D868AB" w:rsidRPr="00D868AB" w:rsidRDefault="00D868AB" w:rsidP="00D868AB">
            <w:pPr>
              <w:jc w:val="center"/>
              <w:rPr>
                <w:rFonts w:eastAsia="Times New Roman" w:cs="Arial"/>
                <w:b/>
                <w:sz w:val="20"/>
                <w:lang w:val="es-ES"/>
              </w:rPr>
            </w:pPr>
            <w:bookmarkStart w:id="182" w:name="_Toc522869280"/>
            <w:bookmarkStart w:id="183" w:name="_Toc526757498"/>
            <w:bookmarkStart w:id="184" w:name="_Toc22021945"/>
            <w:bookmarkStart w:id="185" w:name="_Toc22983199"/>
            <w:r w:rsidRPr="00D868AB">
              <w:rPr>
                <w:rFonts w:eastAsia="Times New Roman" w:cs="Arial"/>
                <w:b/>
                <w:sz w:val="20"/>
                <w:lang w:val="es-ES"/>
              </w:rPr>
              <w:t>Tabla 37. Saldos de la Deuda Pública (Directa) a Largo Plazo</w:t>
            </w:r>
            <w:bookmarkEnd w:id="182"/>
            <w:bookmarkEnd w:id="183"/>
            <w:bookmarkEnd w:id="184"/>
            <w:bookmarkEnd w:id="185"/>
          </w:p>
          <w:p w14:paraId="518FEE05" w14:textId="77777777" w:rsidR="00D868AB" w:rsidRPr="00D868AB" w:rsidRDefault="00D868AB" w:rsidP="00D868AB">
            <w:pPr>
              <w:jc w:val="center"/>
              <w:rPr>
                <w:rFonts w:eastAsia="Times New Roman" w:cs="Arial"/>
                <w:sz w:val="12"/>
                <w:szCs w:val="12"/>
              </w:rPr>
            </w:pPr>
            <w:bookmarkStart w:id="186" w:name="_Toc522869281"/>
            <w:r w:rsidRPr="00D868AB">
              <w:rPr>
                <w:rFonts w:eastAsia="Times New Roman" w:cs="Arial"/>
                <w:sz w:val="18"/>
                <w:lang w:val="es-ES"/>
              </w:rPr>
              <w:t>Saldos al 30 de Septiembre de 20</w:t>
            </w:r>
            <w:bookmarkEnd w:id="186"/>
            <w:r w:rsidRPr="00D868AB">
              <w:rPr>
                <w:rFonts w:eastAsia="Times New Roman" w:cs="Arial"/>
                <w:sz w:val="18"/>
                <w:lang w:val="es-ES"/>
              </w:rPr>
              <w:t>22</w:t>
            </w:r>
          </w:p>
        </w:tc>
      </w:tr>
      <w:tr w:rsidR="00D868AB" w:rsidRPr="00D868AB" w14:paraId="580159D0" w14:textId="77777777" w:rsidTr="00A755A7">
        <w:trPr>
          <w:trHeight w:val="480"/>
          <w:jc w:val="center"/>
        </w:trPr>
        <w:tc>
          <w:tcPr>
            <w:tcW w:w="6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EF86D"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Acreedor</w:t>
            </w:r>
          </w:p>
        </w:tc>
        <w:tc>
          <w:tcPr>
            <w:tcW w:w="956" w:type="dxa"/>
            <w:tcBorders>
              <w:top w:val="single" w:sz="4" w:space="0" w:color="auto"/>
              <w:left w:val="nil"/>
              <w:bottom w:val="single" w:sz="4" w:space="0" w:color="auto"/>
              <w:right w:val="single" w:sz="4" w:space="0" w:color="auto"/>
            </w:tcBorders>
            <w:shd w:val="clear" w:color="auto" w:fill="auto"/>
            <w:vAlign w:val="center"/>
            <w:hideMark/>
          </w:tcPr>
          <w:p w14:paraId="57BD5D77"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Monto Contratado</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16B77F57"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Monto Dispuesto</w:t>
            </w:r>
          </w:p>
        </w:tc>
        <w:tc>
          <w:tcPr>
            <w:tcW w:w="908" w:type="dxa"/>
            <w:tcBorders>
              <w:top w:val="single" w:sz="4" w:space="0" w:color="auto"/>
              <w:left w:val="nil"/>
              <w:bottom w:val="single" w:sz="4" w:space="0" w:color="auto"/>
              <w:right w:val="single" w:sz="4" w:space="0" w:color="auto"/>
            </w:tcBorders>
            <w:shd w:val="clear" w:color="auto" w:fill="auto"/>
            <w:vAlign w:val="center"/>
            <w:hideMark/>
          </w:tcPr>
          <w:p w14:paraId="189CEFAB"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Saldo Insoluto</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57A33C66"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Número de Crédito</w:t>
            </w:r>
          </w:p>
        </w:tc>
        <w:tc>
          <w:tcPr>
            <w:tcW w:w="876" w:type="dxa"/>
            <w:tcBorders>
              <w:top w:val="single" w:sz="4" w:space="0" w:color="auto"/>
              <w:left w:val="nil"/>
              <w:bottom w:val="single" w:sz="4" w:space="0" w:color="auto"/>
              <w:right w:val="single" w:sz="4" w:space="0" w:color="auto"/>
            </w:tcBorders>
            <w:shd w:val="clear" w:color="auto" w:fill="auto"/>
            <w:vAlign w:val="center"/>
            <w:hideMark/>
          </w:tcPr>
          <w:p w14:paraId="2C51079F"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Tasa de Interés Contratada</w:t>
            </w:r>
          </w:p>
        </w:tc>
        <w:tc>
          <w:tcPr>
            <w:tcW w:w="601" w:type="dxa"/>
            <w:tcBorders>
              <w:top w:val="single" w:sz="4" w:space="0" w:color="auto"/>
              <w:left w:val="nil"/>
              <w:bottom w:val="single" w:sz="4" w:space="0" w:color="auto"/>
              <w:right w:val="single" w:sz="4" w:space="0" w:color="auto"/>
            </w:tcBorders>
            <w:shd w:val="clear" w:color="auto" w:fill="auto"/>
            <w:vAlign w:val="center"/>
            <w:hideMark/>
          </w:tcPr>
          <w:p w14:paraId="3B9E2E30"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Tasa Efectiva</w:t>
            </w:r>
          </w:p>
        </w:tc>
        <w:tc>
          <w:tcPr>
            <w:tcW w:w="827" w:type="dxa"/>
            <w:tcBorders>
              <w:top w:val="single" w:sz="4" w:space="0" w:color="auto"/>
              <w:left w:val="nil"/>
              <w:bottom w:val="single" w:sz="4" w:space="0" w:color="auto"/>
              <w:right w:val="single" w:sz="4" w:space="0" w:color="auto"/>
            </w:tcBorders>
            <w:shd w:val="clear" w:color="auto" w:fill="auto"/>
            <w:vAlign w:val="center"/>
            <w:hideMark/>
          </w:tcPr>
          <w:p w14:paraId="3E5EAF98"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Fecha de Suscripción</w:t>
            </w:r>
          </w:p>
        </w:tc>
        <w:tc>
          <w:tcPr>
            <w:tcW w:w="854" w:type="dxa"/>
            <w:tcBorders>
              <w:top w:val="single" w:sz="4" w:space="0" w:color="auto"/>
              <w:left w:val="nil"/>
              <w:bottom w:val="single" w:sz="4" w:space="0" w:color="auto"/>
              <w:right w:val="single" w:sz="4" w:space="0" w:color="auto"/>
            </w:tcBorders>
            <w:shd w:val="clear" w:color="auto" w:fill="auto"/>
            <w:vAlign w:val="center"/>
            <w:hideMark/>
          </w:tcPr>
          <w:p w14:paraId="518330FC"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Fecha de Vencimiento</w:t>
            </w:r>
          </w:p>
        </w:tc>
        <w:tc>
          <w:tcPr>
            <w:tcW w:w="1090" w:type="dxa"/>
            <w:tcBorders>
              <w:top w:val="single" w:sz="4" w:space="0" w:color="auto"/>
              <w:left w:val="nil"/>
              <w:bottom w:val="single" w:sz="4" w:space="0" w:color="auto"/>
              <w:right w:val="single" w:sz="4" w:space="0" w:color="auto"/>
            </w:tcBorders>
            <w:shd w:val="clear" w:color="auto" w:fill="auto"/>
            <w:vAlign w:val="center"/>
            <w:hideMark/>
          </w:tcPr>
          <w:p w14:paraId="30FB1A6D"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Garantía y/o Fuente de Pago</w:t>
            </w:r>
          </w:p>
        </w:tc>
        <w:tc>
          <w:tcPr>
            <w:tcW w:w="592" w:type="dxa"/>
            <w:tcBorders>
              <w:top w:val="single" w:sz="4" w:space="0" w:color="auto"/>
              <w:left w:val="nil"/>
              <w:bottom w:val="single" w:sz="4" w:space="0" w:color="auto"/>
              <w:right w:val="single" w:sz="4" w:space="0" w:color="auto"/>
            </w:tcBorders>
            <w:shd w:val="clear" w:color="auto" w:fill="auto"/>
            <w:vAlign w:val="center"/>
            <w:hideMark/>
          </w:tcPr>
          <w:p w14:paraId="2C318A23"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Tipo de Crédito</w:t>
            </w:r>
          </w:p>
        </w:tc>
        <w:tc>
          <w:tcPr>
            <w:tcW w:w="1073" w:type="dxa"/>
            <w:tcBorders>
              <w:top w:val="single" w:sz="4" w:space="0" w:color="auto"/>
              <w:left w:val="nil"/>
              <w:bottom w:val="single" w:sz="4" w:space="0" w:color="auto"/>
              <w:right w:val="single" w:sz="4" w:space="0" w:color="auto"/>
            </w:tcBorders>
            <w:shd w:val="clear" w:color="auto" w:fill="auto"/>
            <w:vAlign w:val="center"/>
            <w:hideMark/>
          </w:tcPr>
          <w:p w14:paraId="038D1F95"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Destino</w:t>
            </w:r>
          </w:p>
        </w:tc>
      </w:tr>
      <w:tr w:rsidR="00D868AB" w:rsidRPr="00D868AB" w14:paraId="0D7D43A7"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6DF73BA" w14:textId="77777777" w:rsidR="00D868AB" w:rsidRPr="00D868AB" w:rsidRDefault="00D868AB" w:rsidP="00D868AB">
            <w:pPr>
              <w:jc w:val="left"/>
              <w:rPr>
                <w:rFonts w:eastAsia="Times New Roman" w:cs="Arial"/>
                <w:sz w:val="12"/>
                <w:szCs w:val="12"/>
              </w:rPr>
            </w:pPr>
            <w:r w:rsidRPr="00D868AB">
              <w:rPr>
                <w:rFonts w:eastAsia="Times New Roman" w:cs="Arial"/>
                <w:sz w:val="12"/>
                <w:szCs w:val="12"/>
              </w:rPr>
              <w:t>Banobras</w:t>
            </w:r>
          </w:p>
        </w:tc>
        <w:tc>
          <w:tcPr>
            <w:tcW w:w="956" w:type="dxa"/>
            <w:tcBorders>
              <w:top w:val="nil"/>
              <w:left w:val="nil"/>
              <w:bottom w:val="single" w:sz="4" w:space="0" w:color="auto"/>
              <w:right w:val="single" w:sz="4" w:space="0" w:color="auto"/>
            </w:tcBorders>
            <w:shd w:val="clear" w:color="auto" w:fill="auto"/>
            <w:noWrap/>
            <w:vAlign w:val="center"/>
            <w:hideMark/>
          </w:tcPr>
          <w:p w14:paraId="05678762"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502,012,500 </w:t>
            </w:r>
          </w:p>
        </w:tc>
        <w:tc>
          <w:tcPr>
            <w:tcW w:w="908" w:type="dxa"/>
            <w:tcBorders>
              <w:top w:val="nil"/>
              <w:left w:val="nil"/>
              <w:bottom w:val="single" w:sz="4" w:space="0" w:color="auto"/>
              <w:right w:val="single" w:sz="4" w:space="0" w:color="auto"/>
            </w:tcBorders>
            <w:shd w:val="clear" w:color="auto" w:fill="auto"/>
            <w:noWrap/>
            <w:vAlign w:val="center"/>
            <w:hideMark/>
          </w:tcPr>
          <w:p w14:paraId="6FC161C9"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500,610,000 </w:t>
            </w:r>
          </w:p>
        </w:tc>
        <w:tc>
          <w:tcPr>
            <w:tcW w:w="908" w:type="dxa"/>
            <w:tcBorders>
              <w:top w:val="nil"/>
              <w:left w:val="nil"/>
              <w:bottom w:val="single" w:sz="4" w:space="0" w:color="auto"/>
              <w:right w:val="single" w:sz="4" w:space="0" w:color="auto"/>
            </w:tcBorders>
            <w:shd w:val="clear" w:color="auto" w:fill="auto"/>
            <w:noWrap/>
            <w:vAlign w:val="center"/>
            <w:hideMark/>
          </w:tcPr>
          <w:p w14:paraId="68D15C25"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332,713,755 </w:t>
            </w:r>
          </w:p>
        </w:tc>
        <w:tc>
          <w:tcPr>
            <w:tcW w:w="941" w:type="dxa"/>
            <w:tcBorders>
              <w:top w:val="nil"/>
              <w:left w:val="nil"/>
              <w:bottom w:val="single" w:sz="4" w:space="0" w:color="auto"/>
              <w:right w:val="single" w:sz="4" w:space="0" w:color="auto"/>
            </w:tcBorders>
            <w:shd w:val="clear" w:color="auto" w:fill="auto"/>
            <w:noWrap/>
            <w:vAlign w:val="center"/>
            <w:hideMark/>
          </w:tcPr>
          <w:p w14:paraId="42C8E8A9"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7225, 7226</w:t>
            </w:r>
          </w:p>
        </w:tc>
        <w:tc>
          <w:tcPr>
            <w:tcW w:w="876" w:type="dxa"/>
            <w:tcBorders>
              <w:top w:val="nil"/>
              <w:left w:val="nil"/>
              <w:bottom w:val="single" w:sz="4" w:space="0" w:color="auto"/>
              <w:right w:val="single" w:sz="4" w:space="0" w:color="auto"/>
            </w:tcBorders>
            <w:shd w:val="clear" w:color="auto" w:fill="auto"/>
            <w:noWrap/>
            <w:vAlign w:val="center"/>
            <w:hideMark/>
          </w:tcPr>
          <w:p w14:paraId="3092607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TIIE+ 0.27%</w:t>
            </w:r>
          </w:p>
        </w:tc>
        <w:tc>
          <w:tcPr>
            <w:tcW w:w="601" w:type="dxa"/>
            <w:tcBorders>
              <w:top w:val="nil"/>
              <w:left w:val="nil"/>
              <w:bottom w:val="single" w:sz="4" w:space="0" w:color="auto"/>
              <w:right w:val="single" w:sz="4" w:space="0" w:color="auto"/>
            </w:tcBorders>
            <w:shd w:val="clear" w:color="auto" w:fill="auto"/>
            <w:noWrap/>
            <w:vAlign w:val="center"/>
            <w:hideMark/>
          </w:tcPr>
          <w:p w14:paraId="7A8C144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n.a</w:t>
            </w:r>
          </w:p>
        </w:tc>
        <w:tc>
          <w:tcPr>
            <w:tcW w:w="827" w:type="dxa"/>
            <w:tcBorders>
              <w:top w:val="nil"/>
              <w:left w:val="nil"/>
              <w:bottom w:val="single" w:sz="4" w:space="0" w:color="auto"/>
              <w:right w:val="single" w:sz="4" w:space="0" w:color="auto"/>
            </w:tcBorders>
            <w:shd w:val="clear" w:color="auto" w:fill="auto"/>
            <w:noWrap/>
            <w:vAlign w:val="center"/>
            <w:hideMark/>
          </w:tcPr>
          <w:p w14:paraId="6AF35144"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jun-08</w:t>
            </w:r>
          </w:p>
        </w:tc>
        <w:tc>
          <w:tcPr>
            <w:tcW w:w="854" w:type="dxa"/>
            <w:tcBorders>
              <w:top w:val="nil"/>
              <w:left w:val="nil"/>
              <w:bottom w:val="single" w:sz="4" w:space="0" w:color="auto"/>
              <w:right w:val="single" w:sz="4" w:space="0" w:color="auto"/>
            </w:tcBorders>
            <w:shd w:val="clear" w:color="auto" w:fill="auto"/>
            <w:noWrap/>
            <w:vAlign w:val="center"/>
            <w:hideMark/>
          </w:tcPr>
          <w:p w14:paraId="13819D9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jun-33</w:t>
            </w:r>
          </w:p>
        </w:tc>
        <w:tc>
          <w:tcPr>
            <w:tcW w:w="1090" w:type="dxa"/>
            <w:tcBorders>
              <w:top w:val="nil"/>
              <w:left w:val="nil"/>
              <w:bottom w:val="single" w:sz="4" w:space="0" w:color="auto"/>
              <w:right w:val="single" w:sz="4" w:space="0" w:color="auto"/>
            </w:tcBorders>
            <w:shd w:val="clear" w:color="auto" w:fill="auto"/>
            <w:noWrap/>
            <w:vAlign w:val="center"/>
            <w:hideMark/>
          </w:tcPr>
          <w:p w14:paraId="6E881F8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592" w:type="dxa"/>
            <w:tcBorders>
              <w:top w:val="nil"/>
              <w:left w:val="nil"/>
              <w:bottom w:val="single" w:sz="4" w:space="0" w:color="auto"/>
              <w:right w:val="single" w:sz="4" w:space="0" w:color="auto"/>
            </w:tcBorders>
            <w:shd w:val="clear" w:color="auto" w:fill="auto"/>
            <w:noWrap/>
            <w:vAlign w:val="center"/>
            <w:hideMark/>
          </w:tcPr>
          <w:p w14:paraId="772F0856"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1073" w:type="dxa"/>
            <w:tcBorders>
              <w:top w:val="nil"/>
              <w:left w:val="nil"/>
              <w:bottom w:val="single" w:sz="4" w:space="0" w:color="auto"/>
              <w:right w:val="single" w:sz="4" w:space="0" w:color="auto"/>
            </w:tcBorders>
            <w:shd w:val="clear" w:color="auto" w:fill="auto"/>
            <w:noWrap/>
            <w:vAlign w:val="center"/>
            <w:hideMark/>
          </w:tcPr>
          <w:p w14:paraId="625FBA5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Refinanciamiento e Inversión Publica Productiva.</w:t>
            </w:r>
          </w:p>
        </w:tc>
      </w:tr>
      <w:tr w:rsidR="00D868AB" w:rsidRPr="00D868AB" w14:paraId="0E58537D"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1999042F" w14:textId="77777777" w:rsidR="00D868AB" w:rsidRPr="00D868AB" w:rsidRDefault="00D868AB" w:rsidP="00D868AB">
            <w:pPr>
              <w:jc w:val="left"/>
              <w:rPr>
                <w:rFonts w:eastAsia="Times New Roman" w:cs="Arial"/>
                <w:sz w:val="12"/>
                <w:szCs w:val="12"/>
              </w:rPr>
            </w:pPr>
            <w:r w:rsidRPr="00D868AB">
              <w:rPr>
                <w:rFonts w:eastAsia="Times New Roman" w:cs="Arial"/>
                <w:sz w:val="12"/>
                <w:szCs w:val="12"/>
              </w:rPr>
              <w:t>Banobras</w:t>
            </w:r>
          </w:p>
        </w:tc>
        <w:tc>
          <w:tcPr>
            <w:tcW w:w="956" w:type="dxa"/>
            <w:tcBorders>
              <w:top w:val="nil"/>
              <w:left w:val="nil"/>
              <w:bottom w:val="single" w:sz="4" w:space="0" w:color="auto"/>
              <w:right w:val="single" w:sz="4" w:space="0" w:color="auto"/>
            </w:tcBorders>
            <w:shd w:val="clear" w:color="auto" w:fill="auto"/>
            <w:noWrap/>
            <w:vAlign w:val="center"/>
            <w:hideMark/>
          </w:tcPr>
          <w:p w14:paraId="1E42407D"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251,006,250 </w:t>
            </w:r>
          </w:p>
        </w:tc>
        <w:tc>
          <w:tcPr>
            <w:tcW w:w="908" w:type="dxa"/>
            <w:tcBorders>
              <w:top w:val="nil"/>
              <w:left w:val="nil"/>
              <w:bottom w:val="single" w:sz="4" w:space="0" w:color="auto"/>
              <w:right w:val="single" w:sz="4" w:space="0" w:color="auto"/>
            </w:tcBorders>
            <w:shd w:val="clear" w:color="auto" w:fill="auto"/>
            <w:noWrap/>
            <w:vAlign w:val="center"/>
            <w:hideMark/>
          </w:tcPr>
          <w:p w14:paraId="6EB0C4D6"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231,937,940 </w:t>
            </w:r>
          </w:p>
        </w:tc>
        <w:tc>
          <w:tcPr>
            <w:tcW w:w="908" w:type="dxa"/>
            <w:tcBorders>
              <w:top w:val="nil"/>
              <w:left w:val="nil"/>
              <w:bottom w:val="single" w:sz="4" w:space="0" w:color="auto"/>
              <w:right w:val="single" w:sz="4" w:space="0" w:color="auto"/>
            </w:tcBorders>
            <w:shd w:val="clear" w:color="auto" w:fill="auto"/>
            <w:noWrap/>
            <w:vAlign w:val="center"/>
            <w:hideMark/>
          </w:tcPr>
          <w:p w14:paraId="0E7C463F"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163,953,626 </w:t>
            </w:r>
          </w:p>
        </w:tc>
        <w:tc>
          <w:tcPr>
            <w:tcW w:w="941" w:type="dxa"/>
            <w:tcBorders>
              <w:top w:val="nil"/>
              <w:left w:val="nil"/>
              <w:bottom w:val="single" w:sz="4" w:space="0" w:color="auto"/>
              <w:right w:val="single" w:sz="4" w:space="0" w:color="auto"/>
            </w:tcBorders>
            <w:shd w:val="clear" w:color="auto" w:fill="auto"/>
            <w:noWrap/>
            <w:vAlign w:val="center"/>
            <w:hideMark/>
          </w:tcPr>
          <w:p w14:paraId="509FA62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7271, 7272</w:t>
            </w:r>
          </w:p>
        </w:tc>
        <w:tc>
          <w:tcPr>
            <w:tcW w:w="876" w:type="dxa"/>
            <w:tcBorders>
              <w:top w:val="nil"/>
              <w:left w:val="nil"/>
              <w:bottom w:val="single" w:sz="4" w:space="0" w:color="auto"/>
              <w:right w:val="single" w:sz="4" w:space="0" w:color="auto"/>
            </w:tcBorders>
            <w:shd w:val="clear" w:color="auto" w:fill="auto"/>
            <w:noWrap/>
            <w:vAlign w:val="center"/>
            <w:hideMark/>
          </w:tcPr>
          <w:p w14:paraId="17B5A951"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Fija 9.81%</w:t>
            </w:r>
          </w:p>
        </w:tc>
        <w:tc>
          <w:tcPr>
            <w:tcW w:w="601" w:type="dxa"/>
            <w:tcBorders>
              <w:top w:val="nil"/>
              <w:left w:val="nil"/>
              <w:bottom w:val="single" w:sz="4" w:space="0" w:color="auto"/>
              <w:right w:val="single" w:sz="4" w:space="0" w:color="auto"/>
            </w:tcBorders>
            <w:shd w:val="clear" w:color="auto" w:fill="auto"/>
            <w:noWrap/>
            <w:vAlign w:val="center"/>
            <w:hideMark/>
          </w:tcPr>
          <w:p w14:paraId="2F2D5408"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n.a.</w:t>
            </w:r>
          </w:p>
        </w:tc>
        <w:tc>
          <w:tcPr>
            <w:tcW w:w="827" w:type="dxa"/>
            <w:tcBorders>
              <w:top w:val="nil"/>
              <w:left w:val="nil"/>
              <w:bottom w:val="single" w:sz="4" w:space="0" w:color="auto"/>
              <w:right w:val="single" w:sz="4" w:space="0" w:color="auto"/>
            </w:tcBorders>
            <w:shd w:val="clear" w:color="auto" w:fill="auto"/>
            <w:noWrap/>
            <w:vAlign w:val="center"/>
            <w:hideMark/>
          </w:tcPr>
          <w:p w14:paraId="78FD74F2"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jun-08</w:t>
            </w:r>
          </w:p>
        </w:tc>
        <w:tc>
          <w:tcPr>
            <w:tcW w:w="854" w:type="dxa"/>
            <w:tcBorders>
              <w:top w:val="nil"/>
              <w:left w:val="nil"/>
              <w:bottom w:val="single" w:sz="4" w:space="0" w:color="auto"/>
              <w:right w:val="single" w:sz="4" w:space="0" w:color="auto"/>
            </w:tcBorders>
            <w:shd w:val="clear" w:color="auto" w:fill="auto"/>
            <w:noWrap/>
            <w:vAlign w:val="center"/>
            <w:hideMark/>
          </w:tcPr>
          <w:p w14:paraId="2E7C510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jun-33</w:t>
            </w:r>
          </w:p>
        </w:tc>
        <w:tc>
          <w:tcPr>
            <w:tcW w:w="1090" w:type="dxa"/>
            <w:tcBorders>
              <w:top w:val="nil"/>
              <w:left w:val="nil"/>
              <w:bottom w:val="single" w:sz="4" w:space="0" w:color="auto"/>
              <w:right w:val="single" w:sz="4" w:space="0" w:color="auto"/>
            </w:tcBorders>
            <w:shd w:val="clear" w:color="auto" w:fill="auto"/>
            <w:noWrap/>
            <w:vAlign w:val="center"/>
            <w:hideMark/>
          </w:tcPr>
          <w:p w14:paraId="723DC07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592" w:type="dxa"/>
            <w:tcBorders>
              <w:top w:val="nil"/>
              <w:left w:val="nil"/>
              <w:bottom w:val="single" w:sz="4" w:space="0" w:color="auto"/>
              <w:right w:val="single" w:sz="4" w:space="0" w:color="auto"/>
            </w:tcBorders>
            <w:shd w:val="clear" w:color="auto" w:fill="auto"/>
            <w:noWrap/>
            <w:vAlign w:val="center"/>
            <w:hideMark/>
          </w:tcPr>
          <w:p w14:paraId="460DEBF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1073" w:type="dxa"/>
            <w:tcBorders>
              <w:top w:val="nil"/>
              <w:left w:val="nil"/>
              <w:bottom w:val="single" w:sz="4" w:space="0" w:color="auto"/>
              <w:right w:val="single" w:sz="4" w:space="0" w:color="auto"/>
            </w:tcBorders>
            <w:shd w:val="clear" w:color="auto" w:fill="auto"/>
            <w:noWrap/>
            <w:vAlign w:val="center"/>
            <w:hideMark/>
          </w:tcPr>
          <w:p w14:paraId="1F229FC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Refinanciamiento.</w:t>
            </w:r>
          </w:p>
        </w:tc>
      </w:tr>
      <w:tr w:rsidR="00D868AB" w:rsidRPr="00D868AB" w14:paraId="45822051"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D878CBE" w14:textId="77777777" w:rsidR="00D868AB" w:rsidRPr="00D868AB" w:rsidRDefault="00D868AB" w:rsidP="00D868AB">
            <w:pPr>
              <w:jc w:val="left"/>
              <w:rPr>
                <w:rFonts w:eastAsia="Times New Roman" w:cs="Arial"/>
                <w:sz w:val="12"/>
                <w:szCs w:val="12"/>
              </w:rPr>
            </w:pPr>
            <w:r w:rsidRPr="00D868AB">
              <w:rPr>
                <w:rFonts w:eastAsia="Times New Roman" w:cs="Arial"/>
                <w:sz w:val="12"/>
                <w:szCs w:val="12"/>
              </w:rPr>
              <w:t>Banobras</w:t>
            </w:r>
          </w:p>
        </w:tc>
        <w:tc>
          <w:tcPr>
            <w:tcW w:w="956" w:type="dxa"/>
            <w:tcBorders>
              <w:top w:val="nil"/>
              <w:left w:val="nil"/>
              <w:bottom w:val="single" w:sz="4" w:space="0" w:color="auto"/>
              <w:right w:val="single" w:sz="4" w:space="0" w:color="auto"/>
            </w:tcBorders>
            <w:shd w:val="clear" w:color="auto" w:fill="auto"/>
            <w:noWrap/>
            <w:vAlign w:val="center"/>
            <w:hideMark/>
          </w:tcPr>
          <w:p w14:paraId="042F46EB"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280,948,782 </w:t>
            </w:r>
          </w:p>
        </w:tc>
        <w:tc>
          <w:tcPr>
            <w:tcW w:w="908" w:type="dxa"/>
            <w:tcBorders>
              <w:top w:val="nil"/>
              <w:left w:val="nil"/>
              <w:bottom w:val="single" w:sz="4" w:space="0" w:color="auto"/>
              <w:right w:val="single" w:sz="4" w:space="0" w:color="auto"/>
            </w:tcBorders>
            <w:shd w:val="clear" w:color="auto" w:fill="auto"/>
            <w:noWrap/>
            <w:vAlign w:val="center"/>
            <w:hideMark/>
          </w:tcPr>
          <w:p w14:paraId="24C05C72"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280,948,782 </w:t>
            </w:r>
          </w:p>
        </w:tc>
        <w:tc>
          <w:tcPr>
            <w:tcW w:w="908" w:type="dxa"/>
            <w:tcBorders>
              <w:top w:val="nil"/>
              <w:left w:val="nil"/>
              <w:bottom w:val="single" w:sz="4" w:space="0" w:color="auto"/>
              <w:right w:val="single" w:sz="4" w:space="0" w:color="auto"/>
            </w:tcBorders>
            <w:shd w:val="clear" w:color="auto" w:fill="auto"/>
            <w:noWrap/>
            <w:vAlign w:val="center"/>
            <w:hideMark/>
          </w:tcPr>
          <w:p w14:paraId="02A7484D"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280,948,782 </w:t>
            </w:r>
          </w:p>
        </w:tc>
        <w:tc>
          <w:tcPr>
            <w:tcW w:w="941" w:type="dxa"/>
            <w:tcBorders>
              <w:top w:val="nil"/>
              <w:left w:val="nil"/>
              <w:bottom w:val="single" w:sz="4" w:space="0" w:color="auto"/>
              <w:right w:val="single" w:sz="4" w:space="0" w:color="auto"/>
            </w:tcBorders>
            <w:shd w:val="clear" w:color="auto" w:fill="auto"/>
            <w:noWrap/>
            <w:vAlign w:val="center"/>
            <w:hideMark/>
          </w:tcPr>
          <w:p w14:paraId="668D5F01"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10487</w:t>
            </w:r>
          </w:p>
        </w:tc>
        <w:tc>
          <w:tcPr>
            <w:tcW w:w="876" w:type="dxa"/>
            <w:tcBorders>
              <w:top w:val="nil"/>
              <w:left w:val="nil"/>
              <w:bottom w:val="single" w:sz="4" w:space="0" w:color="auto"/>
              <w:right w:val="single" w:sz="4" w:space="0" w:color="auto"/>
            </w:tcBorders>
            <w:shd w:val="clear" w:color="auto" w:fill="auto"/>
            <w:noWrap/>
            <w:vAlign w:val="center"/>
            <w:hideMark/>
          </w:tcPr>
          <w:p w14:paraId="58828993"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Tasa base + 0.84%</w:t>
            </w:r>
          </w:p>
        </w:tc>
        <w:tc>
          <w:tcPr>
            <w:tcW w:w="601" w:type="dxa"/>
            <w:tcBorders>
              <w:top w:val="nil"/>
              <w:left w:val="nil"/>
              <w:bottom w:val="single" w:sz="4" w:space="0" w:color="auto"/>
              <w:right w:val="single" w:sz="4" w:space="0" w:color="auto"/>
            </w:tcBorders>
            <w:shd w:val="clear" w:color="auto" w:fill="auto"/>
            <w:noWrap/>
            <w:vAlign w:val="center"/>
            <w:hideMark/>
          </w:tcPr>
          <w:p w14:paraId="22E49F93"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n.a.</w:t>
            </w:r>
          </w:p>
        </w:tc>
        <w:tc>
          <w:tcPr>
            <w:tcW w:w="827" w:type="dxa"/>
            <w:tcBorders>
              <w:top w:val="nil"/>
              <w:left w:val="nil"/>
              <w:bottom w:val="single" w:sz="4" w:space="0" w:color="auto"/>
              <w:right w:val="single" w:sz="4" w:space="0" w:color="auto"/>
            </w:tcBorders>
            <w:shd w:val="clear" w:color="auto" w:fill="auto"/>
            <w:noWrap/>
            <w:vAlign w:val="center"/>
            <w:hideMark/>
          </w:tcPr>
          <w:p w14:paraId="37CA95B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feb-12</w:t>
            </w:r>
          </w:p>
        </w:tc>
        <w:tc>
          <w:tcPr>
            <w:tcW w:w="854" w:type="dxa"/>
            <w:tcBorders>
              <w:top w:val="nil"/>
              <w:left w:val="nil"/>
              <w:bottom w:val="single" w:sz="4" w:space="0" w:color="auto"/>
              <w:right w:val="single" w:sz="4" w:space="0" w:color="auto"/>
            </w:tcBorders>
            <w:shd w:val="clear" w:color="auto" w:fill="auto"/>
            <w:noWrap/>
            <w:vAlign w:val="center"/>
            <w:hideMark/>
          </w:tcPr>
          <w:p w14:paraId="71DE0948"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abr-32</w:t>
            </w:r>
          </w:p>
        </w:tc>
        <w:tc>
          <w:tcPr>
            <w:tcW w:w="1090" w:type="dxa"/>
            <w:tcBorders>
              <w:top w:val="nil"/>
              <w:left w:val="nil"/>
              <w:bottom w:val="single" w:sz="4" w:space="0" w:color="auto"/>
              <w:right w:val="single" w:sz="4" w:space="0" w:color="auto"/>
            </w:tcBorders>
            <w:shd w:val="clear" w:color="auto" w:fill="auto"/>
            <w:noWrap/>
            <w:vAlign w:val="center"/>
            <w:hideMark/>
          </w:tcPr>
          <w:p w14:paraId="6E1708C3"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592" w:type="dxa"/>
            <w:tcBorders>
              <w:top w:val="nil"/>
              <w:left w:val="nil"/>
              <w:bottom w:val="single" w:sz="4" w:space="0" w:color="auto"/>
              <w:right w:val="single" w:sz="4" w:space="0" w:color="auto"/>
            </w:tcBorders>
            <w:shd w:val="clear" w:color="auto" w:fill="auto"/>
            <w:noWrap/>
            <w:vAlign w:val="center"/>
            <w:hideMark/>
          </w:tcPr>
          <w:p w14:paraId="04B8198E"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1073" w:type="dxa"/>
            <w:tcBorders>
              <w:top w:val="nil"/>
              <w:left w:val="nil"/>
              <w:bottom w:val="single" w:sz="4" w:space="0" w:color="auto"/>
              <w:right w:val="single" w:sz="4" w:space="0" w:color="auto"/>
            </w:tcBorders>
            <w:shd w:val="clear" w:color="auto" w:fill="auto"/>
            <w:noWrap/>
            <w:vAlign w:val="center"/>
            <w:hideMark/>
          </w:tcPr>
          <w:p w14:paraId="25B901AD"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Inversión Publica Productiva.</w:t>
            </w:r>
          </w:p>
        </w:tc>
      </w:tr>
      <w:tr w:rsidR="00D868AB" w:rsidRPr="00D868AB" w14:paraId="37B72F22"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2C1E8E6E" w14:textId="77777777" w:rsidR="00D868AB" w:rsidRPr="00D868AB" w:rsidRDefault="00D868AB" w:rsidP="00D868AB">
            <w:pPr>
              <w:jc w:val="left"/>
              <w:rPr>
                <w:rFonts w:eastAsia="Times New Roman" w:cs="Arial"/>
                <w:sz w:val="12"/>
                <w:szCs w:val="12"/>
              </w:rPr>
            </w:pPr>
            <w:r w:rsidRPr="00D868AB">
              <w:rPr>
                <w:rFonts w:eastAsia="Times New Roman" w:cs="Arial"/>
                <w:sz w:val="12"/>
                <w:szCs w:val="12"/>
              </w:rPr>
              <w:t>Banobras</w:t>
            </w:r>
          </w:p>
        </w:tc>
        <w:tc>
          <w:tcPr>
            <w:tcW w:w="956" w:type="dxa"/>
            <w:tcBorders>
              <w:top w:val="nil"/>
              <w:left w:val="nil"/>
              <w:bottom w:val="single" w:sz="4" w:space="0" w:color="auto"/>
              <w:right w:val="single" w:sz="4" w:space="0" w:color="auto"/>
            </w:tcBorders>
            <w:shd w:val="clear" w:color="auto" w:fill="auto"/>
            <w:noWrap/>
            <w:vAlign w:val="center"/>
            <w:hideMark/>
          </w:tcPr>
          <w:p w14:paraId="2B4AE4FC"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159,963,093 </w:t>
            </w:r>
          </w:p>
        </w:tc>
        <w:tc>
          <w:tcPr>
            <w:tcW w:w="908" w:type="dxa"/>
            <w:tcBorders>
              <w:top w:val="nil"/>
              <w:left w:val="nil"/>
              <w:bottom w:val="single" w:sz="4" w:space="0" w:color="auto"/>
              <w:right w:val="single" w:sz="4" w:space="0" w:color="auto"/>
            </w:tcBorders>
            <w:shd w:val="clear" w:color="auto" w:fill="auto"/>
            <w:noWrap/>
            <w:vAlign w:val="center"/>
            <w:hideMark/>
          </w:tcPr>
          <w:p w14:paraId="733F54E9"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159,963,093 </w:t>
            </w:r>
          </w:p>
        </w:tc>
        <w:tc>
          <w:tcPr>
            <w:tcW w:w="908" w:type="dxa"/>
            <w:tcBorders>
              <w:top w:val="nil"/>
              <w:left w:val="nil"/>
              <w:bottom w:val="single" w:sz="4" w:space="0" w:color="auto"/>
              <w:right w:val="single" w:sz="4" w:space="0" w:color="auto"/>
            </w:tcBorders>
            <w:shd w:val="clear" w:color="auto" w:fill="auto"/>
            <w:noWrap/>
            <w:vAlign w:val="center"/>
            <w:hideMark/>
          </w:tcPr>
          <w:p w14:paraId="5FA965C7"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159,963,093 </w:t>
            </w:r>
          </w:p>
        </w:tc>
        <w:tc>
          <w:tcPr>
            <w:tcW w:w="941" w:type="dxa"/>
            <w:tcBorders>
              <w:top w:val="nil"/>
              <w:left w:val="nil"/>
              <w:bottom w:val="single" w:sz="4" w:space="0" w:color="auto"/>
              <w:right w:val="single" w:sz="4" w:space="0" w:color="auto"/>
            </w:tcBorders>
            <w:shd w:val="clear" w:color="auto" w:fill="auto"/>
            <w:noWrap/>
            <w:vAlign w:val="center"/>
            <w:hideMark/>
          </w:tcPr>
          <w:p w14:paraId="00B27C4E"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11282, 11126</w:t>
            </w:r>
          </w:p>
        </w:tc>
        <w:tc>
          <w:tcPr>
            <w:tcW w:w="876" w:type="dxa"/>
            <w:tcBorders>
              <w:top w:val="nil"/>
              <w:left w:val="nil"/>
              <w:bottom w:val="single" w:sz="4" w:space="0" w:color="auto"/>
              <w:right w:val="single" w:sz="4" w:space="0" w:color="auto"/>
            </w:tcBorders>
            <w:shd w:val="clear" w:color="auto" w:fill="auto"/>
            <w:noWrap/>
            <w:vAlign w:val="center"/>
            <w:hideMark/>
          </w:tcPr>
          <w:p w14:paraId="5A577D39"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Tasa base + 1.13%</w:t>
            </w:r>
          </w:p>
        </w:tc>
        <w:tc>
          <w:tcPr>
            <w:tcW w:w="601" w:type="dxa"/>
            <w:tcBorders>
              <w:top w:val="nil"/>
              <w:left w:val="nil"/>
              <w:bottom w:val="single" w:sz="4" w:space="0" w:color="auto"/>
              <w:right w:val="single" w:sz="4" w:space="0" w:color="auto"/>
            </w:tcBorders>
            <w:shd w:val="clear" w:color="auto" w:fill="auto"/>
            <w:noWrap/>
            <w:vAlign w:val="center"/>
            <w:hideMark/>
          </w:tcPr>
          <w:p w14:paraId="696BD91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n.a.</w:t>
            </w:r>
          </w:p>
        </w:tc>
        <w:tc>
          <w:tcPr>
            <w:tcW w:w="827" w:type="dxa"/>
            <w:tcBorders>
              <w:top w:val="nil"/>
              <w:left w:val="nil"/>
              <w:bottom w:val="single" w:sz="4" w:space="0" w:color="auto"/>
              <w:right w:val="single" w:sz="4" w:space="0" w:color="auto"/>
            </w:tcBorders>
            <w:shd w:val="clear" w:color="auto" w:fill="auto"/>
            <w:noWrap/>
            <w:vAlign w:val="center"/>
            <w:hideMark/>
          </w:tcPr>
          <w:p w14:paraId="6973FD14"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jul-13</w:t>
            </w:r>
          </w:p>
        </w:tc>
        <w:tc>
          <w:tcPr>
            <w:tcW w:w="854" w:type="dxa"/>
            <w:tcBorders>
              <w:top w:val="nil"/>
              <w:left w:val="nil"/>
              <w:bottom w:val="single" w:sz="4" w:space="0" w:color="auto"/>
              <w:right w:val="single" w:sz="4" w:space="0" w:color="auto"/>
            </w:tcBorders>
            <w:shd w:val="clear" w:color="auto" w:fill="auto"/>
            <w:noWrap/>
            <w:vAlign w:val="center"/>
            <w:hideMark/>
          </w:tcPr>
          <w:p w14:paraId="21C0CB2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ago-33</w:t>
            </w:r>
          </w:p>
        </w:tc>
        <w:tc>
          <w:tcPr>
            <w:tcW w:w="1090" w:type="dxa"/>
            <w:tcBorders>
              <w:top w:val="nil"/>
              <w:left w:val="nil"/>
              <w:bottom w:val="single" w:sz="4" w:space="0" w:color="auto"/>
              <w:right w:val="single" w:sz="4" w:space="0" w:color="auto"/>
            </w:tcBorders>
            <w:shd w:val="clear" w:color="auto" w:fill="auto"/>
            <w:noWrap/>
            <w:vAlign w:val="center"/>
            <w:hideMark/>
          </w:tcPr>
          <w:p w14:paraId="7C3F27D4"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592" w:type="dxa"/>
            <w:tcBorders>
              <w:top w:val="nil"/>
              <w:left w:val="nil"/>
              <w:bottom w:val="single" w:sz="4" w:space="0" w:color="auto"/>
              <w:right w:val="single" w:sz="4" w:space="0" w:color="auto"/>
            </w:tcBorders>
            <w:shd w:val="clear" w:color="auto" w:fill="auto"/>
            <w:noWrap/>
            <w:vAlign w:val="center"/>
            <w:hideMark/>
          </w:tcPr>
          <w:p w14:paraId="1DE7EFD9"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1073" w:type="dxa"/>
            <w:tcBorders>
              <w:top w:val="nil"/>
              <w:left w:val="nil"/>
              <w:bottom w:val="single" w:sz="4" w:space="0" w:color="auto"/>
              <w:right w:val="single" w:sz="4" w:space="0" w:color="auto"/>
            </w:tcBorders>
            <w:shd w:val="clear" w:color="auto" w:fill="auto"/>
            <w:noWrap/>
            <w:vAlign w:val="center"/>
            <w:hideMark/>
          </w:tcPr>
          <w:p w14:paraId="65E906CF"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Inversión Publica Productiva.</w:t>
            </w:r>
          </w:p>
        </w:tc>
      </w:tr>
      <w:tr w:rsidR="00D868AB" w:rsidRPr="00D868AB" w14:paraId="4B223CC1"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997EF77" w14:textId="77777777" w:rsidR="00D868AB" w:rsidRPr="00D868AB" w:rsidRDefault="00D868AB" w:rsidP="00D868AB">
            <w:pPr>
              <w:jc w:val="left"/>
              <w:rPr>
                <w:rFonts w:eastAsia="Times New Roman" w:cs="Arial"/>
                <w:sz w:val="12"/>
                <w:szCs w:val="12"/>
              </w:rPr>
            </w:pPr>
            <w:r w:rsidRPr="00D868AB">
              <w:rPr>
                <w:rFonts w:eastAsia="Times New Roman" w:cs="Arial"/>
                <w:sz w:val="12"/>
                <w:szCs w:val="12"/>
              </w:rPr>
              <w:t>Banobras</w:t>
            </w:r>
          </w:p>
        </w:tc>
        <w:tc>
          <w:tcPr>
            <w:tcW w:w="956" w:type="dxa"/>
            <w:tcBorders>
              <w:top w:val="nil"/>
              <w:left w:val="nil"/>
              <w:bottom w:val="single" w:sz="4" w:space="0" w:color="auto"/>
              <w:right w:val="single" w:sz="4" w:space="0" w:color="auto"/>
            </w:tcBorders>
            <w:shd w:val="clear" w:color="auto" w:fill="auto"/>
            <w:noWrap/>
            <w:vAlign w:val="center"/>
            <w:hideMark/>
          </w:tcPr>
          <w:p w14:paraId="24CA5FFB"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660,700,000 </w:t>
            </w:r>
          </w:p>
        </w:tc>
        <w:tc>
          <w:tcPr>
            <w:tcW w:w="908" w:type="dxa"/>
            <w:tcBorders>
              <w:top w:val="nil"/>
              <w:left w:val="nil"/>
              <w:bottom w:val="single" w:sz="4" w:space="0" w:color="auto"/>
              <w:right w:val="single" w:sz="4" w:space="0" w:color="auto"/>
            </w:tcBorders>
            <w:shd w:val="clear" w:color="auto" w:fill="auto"/>
            <w:noWrap/>
            <w:vAlign w:val="center"/>
            <w:hideMark/>
          </w:tcPr>
          <w:p w14:paraId="02D0D90F"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660,700,000 </w:t>
            </w:r>
          </w:p>
        </w:tc>
        <w:tc>
          <w:tcPr>
            <w:tcW w:w="908" w:type="dxa"/>
            <w:tcBorders>
              <w:top w:val="nil"/>
              <w:left w:val="nil"/>
              <w:bottom w:val="single" w:sz="4" w:space="0" w:color="auto"/>
              <w:right w:val="single" w:sz="4" w:space="0" w:color="auto"/>
            </w:tcBorders>
            <w:shd w:val="clear" w:color="auto" w:fill="auto"/>
            <w:noWrap/>
            <w:vAlign w:val="center"/>
            <w:hideMark/>
          </w:tcPr>
          <w:p w14:paraId="2123C2C2"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440,466,667 </w:t>
            </w:r>
          </w:p>
        </w:tc>
        <w:tc>
          <w:tcPr>
            <w:tcW w:w="941" w:type="dxa"/>
            <w:tcBorders>
              <w:top w:val="nil"/>
              <w:left w:val="nil"/>
              <w:bottom w:val="single" w:sz="4" w:space="0" w:color="auto"/>
              <w:right w:val="single" w:sz="4" w:space="0" w:color="auto"/>
            </w:tcBorders>
            <w:shd w:val="clear" w:color="auto" w:fill="auto"/>
            <w:noWrap/>
            <w:vAlign w:val="center"/>
            <w:hideMark/>
          </w:tcPr>
          <w:p w14:paraId="73F349B1"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11149</w:t>
            </w:r>
          </w:p>
        </w:tc>
        <w:tc>
          <w:tcPr>
            <w:tcW w:w="876" w:type="dxa"/>
            <w:tcBorders>
              <w:top w:val="nil"/>
              <w:left w:val="nil"/>
              <w:bottom w:val="single" w:sz="4" w:space="0" w:color="auto"/>
              <w:right w:val="single" w:sz="4" w:space="0" w:color="auto"/>
            </w:tcBorders>
            <w:shd w:val="clear" w:color="auto" w:fill="auto"/>
            <w:noWrap/>
            <w:vAlign w:val="center"/>
            <w:hideMark/>
          </w:tcPr>
          <w:p w14:paraId="575F0B81"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TIIE+0.87%</w:t>
            </w:r>
          </w:p>
        </w:tc>
        <w:tc>
          <w:tcPr>
            <w:tcW w:w="601" w:type="dxa"/>
            <w:tcBorders>
              <w:top w:val="nil"/>
              <w:left w:val="nil"/>
              <w:bottom w:val="single" w:sz="4" w:space="0" w:color="auto"/>
              <w:right w:val="single" w:sz="4" w:space="0" w:color="auto"/>
            </w:tcBorders>
            <w:shd w:val="clear" w:color="auto" w:fill="auto"/>
            <w:noWrap/>
            <w:vAlign w:val="center"/>
            <w:hideMark/>
          </w:tcPr>
          <w:p w14:paraId="7449259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n.a.</w:t>
            </w:r>
          </w:p>
        </w:tc>
        <w:tc>
          <w:tcPr>
            <w:tcW w:w="827" w:type="dxa"/>
            <w:tcBorders>
              <w:top w:val="nil"/>
              <w:left w:val="nil"/>
              <w:bottom w:val="single" w:sz="4" w:space="0" w:color="auto"/>
              <w:right w:val="single" w:sz="4" w:space="0" w:color="auto"/>
            </w:tcBorders>
            <w:shd w:val="clear" w:color="auto" w:fill="auto"/>
            <w:noWrap/>
            <w:vAlign w:val="center"/>
            <w:hideMark/>
          </w:tcPr>
          <w:p w14:paraId="3534B208"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sep-13</w:t>
            </w:r>
          </w:p>
        </w:tc>
        <w:tc>
          <w:tcPr>
            <w:tcW w:w="854" w:type="dxa"/>
            <w:tcBorders>
              <w:top w:val="nil"/>
              <w:left w:val="nil"/>
              <w:bottom w:val="single" w:sz="4" w:space="0" w:color="auto"/>
              <w:right w:val="single" w:sz="4" w:space="0" w:color="auto"/>
            </w:tcBorders>
            <w:shd w:val="clear" w:color="auto" w:fill="auto"/>
            <w:noWrap/>
            <w:vAlign w:val="center"/>
            <w:hideMark/>
          </w:tcPr>
          <w:p w14:paraId="419EA729"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sep-38</w:t>
            </w:r>
          </w:p>
        </w:tc>
        <w:tc>
          <w:tcPr>
            <w:tcW w:w="1090" w:type="dxa"/>
            <w:tcBorders>
              <w:top w:val="nil"/>
              <w:left w:val="nil"/>
              <w:bottom w:val="single" w:sz="4" w:space="0" w:color="auto"/>
              <w:right w:val="single" w:sz="4" w:space="0" w:color="auto"/>
            </w:tcBorders>
            <w:shd w:val="clear" w:color="auto" w:fill="auto"/>
            <w:noWrap/>
            <w:vAlign w:val="center"/>
            <w:hideMark/>
          </w:tcPr>
          <w:p w14:paraId="7E7FA9F4"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592" w:type="dxa"/>
            <w:tcBorders>
              <w:top w:val="nil"/>
              <w:left w:val="nil"/>
              <w:bottom w:val="single" w:sz="4" w:space="0" w:color="auto"/>
              <w:right w:val="single" w:sz="4" w:space="0" w:color="auto"/>
            </w:tcBorders>
            <w:shd w:val="clear" w:color="auto" w:fill="auto"/>
            <w:noWrap/>
            <w:vAlign w:val="center"/>
            <w:hideMark/>
          </w:tcPr>
          <w:p w14:paraId="02A80296"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1073" w:type="dxa"/>
            <w:tcBorders>
              <w:top w:val="nil"/>
              <w:left w:val="nil"/>
              <w:bottom w:val="single" w:sz="4" w:space="0" w:color="auto"/>
              <w:right w:val="single" w:sz="4" w:space="0" w:color="auto"/>
            </w:tcBorders>
            <w:shd w:val="clear" w:color="auto" w:fill="auto"/>
            <w:noWrap/>
            <w:vAlign w:val="center"/>
            <w:hideMark/>
          </w:tcPr>
          <w:p w14:paraId="0277DB3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Refinanciamiento.</w:t>
            </w:r>
          </w:p>
        </w:tc>
      </w:tr>
      <w:tr w:rsidR="00D868AB" w:rsidRPr="00D868AB" w14:paraId="3EBF289C"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7B818C2D" w14:textId="77777777" w:rsidR="00D868AB" w:rsidRPr="00D868AB" w:rsidRDefault="00D868AB" w:rsidP="00D868AB">
            <w:pPr>
              <w:jc w:val="left"/>
              <w:rPr>
                <w:rFonts w:eastAsia="Times New Roman" w:cs="Arial"/>
                <w:sz w:val="12"/>
                <w:szCs w:val="12"/>
              </w:rPr>
            </w:pPr>
            <w:r w:rsidRPr="00D868AB">
              <w:rPr>
                <w:rFonts w:eastAsia="Times New Roman" w:cs="Arial"/>
                <w:sz w:val="12"/>
                <w:szCs w:val="12"/>
              </w:rPr>
              <w:t>Banorte</w:t>
            </w:r>
          </w:p>
        </w:tc>
        <w:tc>
          <w:tcPr>
            <w:tcW w:w="956" w:type="dxa"/>
            <w:tcBorders>
              <w:top w:val="nil"/>
              <w:left w:val="nil"/>
              <w:bottom w:val="single" w:sz="4" w:space="0" w:color="auto"/>
              <w:right w:val="single" w:sz="4" w:space="0" w:color="auto"/>
            </w:tcBorders>
            <w:shd w:val="clear" w:color="auto" w:fill="auto"/>
            <w:noWrap/>
            <w:vAlign w:val="center"/>
            <w:hideMark/>
          </w:tcPr>
          <w:p w14:paraId="33EB8B44"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802,886,872 </w:t>
            </w:r>
          </w:p>
        </w:tc>
        <w:tc>
          <w:tcPr>
            <w:tcW w:w="908" w:type="dxa"/>
            <w:tcBorders>
              <w:top w:val="nil"/>
              <w:left w:val="nil"/>
              <w:bottom w:val="single" w:sz="4" w:space="0" w:color="auto"/>
              <w:right w:val="single" w:sz="4" w:space="0" w:color="auto"/>
            </w:tcBorders>
            <w:shd w:val="clear" w:color="auto" w:fill="auto"/>
            <w:noWrap/>
            <w:vAlign w:val="center"/>
            <w:hideMark/>
          </w:tcPr>
          <w:p w14:paraId="6E4A7F59"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798,250,510 </w:t>
            </w:r>
          </w:p>
        </w:tc>
        <w:tc>
          <w:tcPr>
            <w:tcW w:w="908" w:type="dxa"/>
            <w:tcBorders>
              <w:top w:val="nil"/>
              <w:left w:val="nil"/>
              <w:bottom w:val="single" w:sz="4" w:space="0" w:color="auto"/>
              <w:right w:val="single" w:sz="4" w:space="0" w:color="auto"/>
            </w:tcBorders>
            <w:shd w:val="clear" w:color="auto" w:fill="auto"/>
            <w:noWrap/>
            <w:vAlign w:val="center"/>
            <w:hideMark/>
          </w:tcPr>
          <w:p w14:paraId="3B047CC2"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646,289,423 </w:t>
            </w:r>
          </w:p>
        </w:tc>
        <w:tc>
          <w:tcPr>
            <w:tcW w:w="941" w:type="dxa"/>
            <w:tcBorders>
              <w:top w:val="nil"/>
              <w:left w:val="nil"/>
              <w:bottom w:val="single" w:sz="4" w:space="0" w:color="auto"/>
              <w:right w:val="single" w:sz="4" w:space="0" w:color="auto"/>
            </w:tcBorders>
            <w:shd w:val="clear" w:color="auto" w:fill="auto"/>
            <w:noWrap/>
            <w:vAlign w:val="center"/>
            <w:hideMark/>
          </w:tcPr>
          <w:p w14:paraId="3632E908"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84908305</w:t>
            </w:r>
          </w:p>
        </w:tc>
        <w:tc>
          <w:tcPr>
            <w:tcW w:w="876" w:type="dxa"/>
            <w:tcBorders>
              <w:top w:val="nil"/>
              <w:left w:val="nil"/>
              <w:bottom w:val="single" w:sz="4" w:space="0" w:color="auto"/>
              <w:right w:val="single" w:sz="4" w:space="0" w:color="auto"/>
            </w:tcBorders>
            <w:shd w:val="clear" w:color="auto" w:fill="auto"/>
            <w:noWrap/>
            <w:vAlign w:val="center"/>
            <w:hideMark/>
          </w:tcPr>
          <w:p w14:paraId="5A22A77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TIIE+0.69%</w:t>
            </w:r>
          </w:p>
        </w:tc>
        <w:tc>
          <w:tcPr>
            <w:tcW w:w="601" w:type="dxa"/>
            <w:tcBorders>
              <w:top w:val="nil"/>
              <w:left w:val="nil"/>
              <w:bottom w:val="single" w:sz="4" w:space="0" w:color="auto"/>
              <w:right w:val="single" w:sz="4" w:space="0" w:color="auto"/>
            </w:tcBorders>
            <w:shd w:val="clear" w:color="auto" w:fill="auto"/>
            <w:noWrap/>
            <w:vAlign w:val="center"/>
            <w:hideMark/>
          </w:tcPr>
          <w:p w14:paraId="7E7FEFC6"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8.813%</w:t>
            </w:r>
          </w:p>
        </w:tc>
        <w:tc>
          <w:tcPr>
            <w:tcW w:w="827" w:type="dxa"/>
            <w:tcBorders>
              <w:top w:val="nil"/>
              <w:left w:val="nil"/>
              <w:bottom w:val="single" w:sz="4" w:space="0" w:color="auto"/>
              <w:right w:val="single" w:sz="4" w:space="0" w:color="auto"/>
            </w:tcBorders>
            <w:shd w:val="clear" w:color="auto" w:fill="auto"/>
            <w:noWrap/>
            <w:vAlign w:val="center"/>
            <w:hideMark/>
          </w:tcPr>
          <w:p w14:paraId="0D1E73D2"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abr-18</w:t>
            </w:r>
          </w:p>
        </w:tc>
        <w:tc>
          <w:tcPr>
            <w:tcW w:w="854" w:type="dxa"/>
            <w:tcBorders>
              <w:top w:val="nil"/>
              <w:left w:val="nil"/>
              <w:bottom w:val="single" w:sz="4" w:space="0" w:color="auto"/>
              <w:right w:val="single" w:sz="4" w:space="0" w:color="auto"/>
            </w:tcBorders>
            <w:shd w:val="clear" w:color="auto" w:fill="auto"/>
            <w:noWrap/>
            <w:vAlign w:val="center"/>
            <w:hideMark/>
          </w:tcPr>
          <w:p w14:paraId="644E008D"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dic-31</w:t>
            </w:r>
          </w:p>
        </w:tc>
        <w:tc>
          <w:tcPr>
            <w:tcW w:w="1090" w:type="dxa"/>
            <w:tcBorders>
              <w:top w:val="nil"/>
              <w:left w:val="nil"/>
              <w:bottom w:val="single" w:sz="4" w:space="0" w:color="auto"/>
              <w:right w:val="single" w:sz="4" w:space="0" w:color="auto"/>
            </w:tcBorders>
            <w:shd w:val="clear" w:color="auto" w:fill="auto"/>
            <w:noWrap/>
            <w:vAlign w:val="center"/>
            <w:hideMark/>
          </w:tcPr>
          <w:p w14:paraId="1F78031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592" w:type="dxa"/>
            <w:tcBorders>
              <w:top w:val="nil"/>
              <w:left w:val="nil"/>
              <w:bottom w:val="single" w:sz="4" w:space="0" w:color="auto"/>
              <w:right w:val="single" w:sz="4" w:space="0" w:color="auto"/>
            </w:tcBorders>
            <w:shd w:val="clear" w:color="auto" w:fill="auto"/>
            <w:noWrap/>
            <w:vAlign w:val="center"/>
            <w:hideMark/>
          </w:tcPr>
          <w:p w14:paraId="5A1AF8A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1073" w:type="dxa"/>
            <w:tcBorders>
              <w:top w:val="nil"/>
              <w:left w:val="nil"/>
              <w:bottom w:val="single" w:sz="4" w:space="0" w:color="auto"/>
              <w:right w:val="single" w:sz="4" w:space="0" w:color="auto"/>
            </w:tcBorders>
            <w:shd w:val="clear" w:color="auto" w:fill="auto"/>
            <w:noWrap/>
            <w:vAlign w:val="center"/>
            <w:hideMark/>
          </w:tcPr>
          <w:p w14:paraId="57C1BEB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Refinanciamiento.</w:t>
            </w:r>
          </w:p>
        </w:tc>
      </w:tr>
      <w:tr w:rsidR="00D868AB" w:rsidRPr="00D868AB" w14:paraId="61C3D1A0"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4685BB3E" w14:textId="77777777" w:rsidR="00D868AB" w:rsidRPr="00D868AB" w:rsidRDefault="00D868AB" w:rsidP="00D868AB">
            <w:pPr>
              <w:jc w:val="left"/>
              <w:rPr>
                <w:rFonts w:eastAsia="Times New Roman" w:cs="Arial"/>
                <w:sz w:val="12"/>
                <w:szCs w:val="12"/>
              </w:rPr>
            </w:pPr>
            <w:r w:rsidRPr="00D868AB">
              <w:rPr>
                <w:rFonts w:eastAsia="Times New Roman" w:cs="Arial"/>
                <w:sz w:val="12"/>
                <w:szCs w:val="12"/>
              </w:rPr>
              <w:t>Banobras</w:t>
            </w:r>
          </w:p>
        </w:tc>
        <w:tc>
          <w:tcPr>
            <w:tcW w:w="956" w:type="dxa"/>
            <w:tcBorders>
              <w:top w:val="nil"/>
              <w:left w:val="nil"/>
              <w:bottom w:val="single" w:sz="4" w:space="0" w:color="auto"/>
              <w:right w:val="single" w:sz="4" w:space="0" w:color="auto"/>
            </w:tcBorders>
            <w:shd w:val="clear" w:color="auto" w:fill="auto"/>
            <w:noWrap/>
            <w:vAlign w:val="center"/>
            <w:hideMark/>
          </w:tcPr>
          <w:p w14:paraId="136D19CF"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410,000,000 </w:t>
            </w:r>
          </w:p>
        </w:tc>
        <w:tc>
          <w:tcPr>
            <w:tcW w:w="908" w:type="dxa"/>
            <w:tcBorders>
              <w:top w:val="nil"/>
              <w:left w:val="nil"/>
              <w:bottom w:val="single" w:sz="4" w:space="0" w:color="auto"/>
              <w:right w:val="single" w:sz="4" w:space="0" w:color="auto"/>
            </w:tcBorders>
            <w:shd w:val="clear" w:color="auto" w:fill="auto"/>
            <w:noWrap/>
            <w:vAlign w:val="center"/>
            <w:hideMark/>
          </w:tcPr>
          <w:p w14:paraId="5B83DD55"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402,911,553 </w:t>
            </w:r>
          </w:p>
        </w:tc>
        <w:tc>
          <w:tcPr>
            <w:tcW w:w="908" w:type="dxa"/>
            <w:tcBorders>
              <w:top w:val="nil"/>
              <w:left w:val="nil"/>
              <w:bottom w:val="single" w:sz="4" w:space="0" w:color="auto"/>
              <w:right w:val="single" w:sz="4" w:space="0" w:color="auto"/>
            </w:tcBorders>
            <w:shd w:val="clear" w:color="auto" w:fill="auto"/>
            <w:noWrap/>
            <w:vAlign w:val="center"/>
            <w:hideMark/>
          </w:tcPr>
          <w:p w14:paraId="6CCEFC7D"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383,070,698 </w:t>
            </w:r>
          </w:p>
        </w:tc>
        <w:tc>
          <w:tcPr>
            <w:tcW w:w="941" w:type="dxa"/>
            <w:tcBorders>
              <w:top w:val="nil"/>
              <w:left w:val="nil"/>
              <w:bottom w:val="single" w:sz="4" w:space="0" w:color="auto"/>
              <w:right w:val="single" w:sz="4" w:space="0" w:color="auto"/>
            </w:tcBorders>
            <w:shd w:val="clear" w:color="auto" w:fill="auto"/>
            <w:noWrap/>
            <w:vAlign w:val="center"/>
            <w:hideMark/>
          </w:tcPr>
          <w:p w14:paraId="5BB935D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13451</w:t>
            </w:r>
          </w:p>
        </w:tc>
        <w:tc>
          <w:tcPr>
            <w:tcW w:w="876" w:type="dxa"/>
            <w:tcBorders>
              <w:top w:val="nil"/>
              <w:left w:val="nil"/>
              <w:bottom w:val="single" w:sz="4" w:space="0" w:color="auto"/>
              <w:right w:val="single" w:sz="4" w:space="0" w:color="auto"/>
            </w:tcBorders>
            <w:shd w:val="clear" w:color="auto" w:fill="auto"/>
            <w:noWrap/>
            <w:vAlign w:val="center"/>
            <w:hideMark/>
          </w:tcPr>
          <w:p w14:paraId="6B53E281"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TIIE+0.50%</w:t>
            </w:r>
          </w:p>
        </w:tc>
        <w:tc>
          <w:tcPr>
            <w:tcW w:w="601" w:type="dxa"/>
            <w:tcBorders>
              <w:top w:val="nil"/>
              <w:left w:val="nil"/>
              <w:bottom w:val="single" w:sz="4" w:space="0" w:color="auto"/>
              <w:right w:val="single" w:sz="4" w:space="0" w:color="auto"/>
            </w:tcBorders>
            <w:shd w:val="clear" w:color="auto" w:fill="auto"/>
            <w:noWrap/>
            <w:vAlign w:val="center"/>
            <w:hideMark/>
          </w:tcPr>
          <w:p w14:paraId="0C2567CD"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9.70%</w:t>
            </w:r>
          </w:p>
        </w:tc>
        <w:tc>
          <w:tcPr>
            <w:tcW w:w="827" w:type="dxa"/>
            <w:tcBorders>
              <w:top w:val="nil"/>
              <w:left w:val="nil"/>
              <w:bottom w:val="single" w:sz="4" w:space="0" w:color="auto"/>
              <w:right w:val="single" w:sz="4" w:space="0" w:color="auto"/>
            </w:tcBorders>
            <w:shd w:val="clear" w:color="auto" w:fill="auto"/>
            <w:noWrap/>
            <w:vAlign w:val="center"/>
            <w:hideMark/>
          </w:tcPr>
          <w:p w14:paraId="120BDD8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nov-18</w:t>
            </w:r>
          </w:p>
        </w:tc>
        <w:tc>
          <w:tcPr>
            <w:tcW w:w="854" w:type="dxa"/>
            <w:tcBorders>
              <w:top w:val="nil"/>
              <w:left w:val="nil"/>
              <w:bottom w:val="single" w:sz="4" w:space="0" w:color="auto"/>
              <w:right w:val="single" w:sz="4" w:space="0" w:color="auto"/>
            </w:tcBorders>
            <w:shd w:val="clear" w:color="auto" w:fill="auto"/>
            <w:noWrap/>
            <w:vAlign w:val="center"/>
            <w:hideMark/>
          </w:tcPr>
          <w:p w14:paraId="6C3EEE91"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nov-38</w:t>
            </w:r>
          </w:p>
        </w:tc>
        <w:tc>
          <w:tcPr>
            <w:tcW w:w="1090" w:type="dxa"/>
            <w:tcBorders>
              <w:top w:val="nil"/>
              <w:left w:val="nil"/>
              <w:bottom w:val="single" w:sz="4" w:space="0" w:color="auto"/>
              <w:right w:val="single" w:sz="4" w:space="0" w:color="auto"/>
            </w:tcBorders>
            <w:shd w:val="clear" w:color="auto" w:fill="auto"/>
            <w:noWrap/>
            <w:vAlign w:val="center"/>
            <w:hideMark/>
          </w:tcPr>
          <w:p w14:paraId="45531F0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592" w:type="dxa"/>
            <w:tcBorders>
              <w:top w:val="nil"/>
              <w:left w:val="nil"/>
              <w:bottom w:val="single" w:sz="4" w:space="0" w:color="auto"/>
              <w:right w:val="single" w:sz="4" w:space="0" w:color="auto"/>
            </w:tcBorders>
            <w:shd w:val="clear" w:color="auto" w:fill="auto"/>
            <w:noWrap/>
            <w:vAlign w:val="center"/>
            <w:hideMark/>
          </w:tcPr>
          <w:p w14:paraId="20DAD844"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1073" w:type="dxa"/>
            <w:tcBorders>
              <w:top w:val="nil"/>
              <w:left w:val="nil"/>
              <w:bottom w:val="single" w:sz="4" w:space="0" w:color="auto"/>
              <w:right w:val="single" w:sz="4" w:space="0" w:color="auto"/>
            </w:tcBorders>
            <w:shd w:val="clear" w:color="auto" w:fill="auto"/>
            <w:noWrap/>
            <w:vAlign w:val="center"/>
            <w:hideMark/>
          </w:tcPr>
          <w:p w14:paraId="06A7786E"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Inversión Publica Productiva.</w:t>
            </w:r>
          </w:p>
        </w:tc>
      </w:tr>
      <w:tr w:rsidR="00D868AB" w:rsidRPr="00D868AB" w14:paraId="3069B857"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04DD3C6" w14:textId="77777777" w:rsidR="00D868AB" w:rsidRPr="00D868AB" w:rsidRDefault="00D868AB" w:rsidP="00D868AB">
            <w:pPr>
              <w:jc w:val="left"/>
              <w:rPr>
                <w:rFonts w:eastAsia="Times New Roman" w:cs="Arial"/>
                <w:sz w:val="12"/>
                <w:szCs w:val="12"/>
              </w:rPr>
            </w:pPr>
            <w:r w:rsidRPr="00D868AB">
              <w:rPr>
                <w:rFonts w:eastAsia="Times New Roman" w:cs="Arial"/>
                <w:sz w:val="12"/>
                <w:szCs w:val="12"/>
              </w:rPr>
              <w:t>BBVA</w:t>
            </w:r>
          </w:p>
        </w:tc>
        <w:tc>
          <w:tcPr>
            <w:tcW w:w="956" w:type="dxa"/>
            <w:tcBorders>
              <w:top w:val="nil"/>
              <w:left w:val="nil"/>
              <w:bottom w:val="single" w:sz="4" w:space="0" w:color="auto"/>
              <w:right w:val="single" w:sz="4" w:space="0" w:color="auto"/>
            </w:tcBorders>
            <w:shd w:val="clear" w:color="auto" w:fill="auto"/>
            <w:noWrap/>
            <w:vAlign w:val="center"/>
            <w:hideMark/>
          </w:tcPr>
          <w:p w14:paraId="34C214F1"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601,573,686 </w:t>
            </w:r>
          </w:p>
        </w:tc>
        <w:tc>
          <w:tcPr>
            <w:tcW w:w="908" w:type="dxa"/>
            <w:tcBorders>
              <w:top w:val="nil"/>
              <w:left w:val="nil"/>
              <w:bottom w:val="single" w:sz="4" w:space="0" w:color="auto"/>
              <w:right w:val="single" w:sz="4" w:space="0" w:color="auto"/>
            </w:tcBorders>
            <w:shd w:val="clear" w:color="auto" w:fill="auto"/>
            <w:noWrap/>
            <w:vAlign w:val="center"/>
            <w:hideMark/>
          </w:tcPr>
          <w:p w14:paraId="14AA3C5E"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599,545,208 </w:t>
            </w:r>
          </w:p>
        </w:tc>
        <w:tc>
          <w:tcPr>
            <w:tcW w:w="908" w:type="dxa"/>
            <w:tcBorders>
              <w:top w:val="nil"/>
              <w:left w:val="nil"/>
              <w:bottom w:val="single" w:sz="4" w:space="0" w:color="auto"/>
              <w:right w:val="single" w:sz="4" w:space="0" w:color="auto"/>
            </w:tcBorders>
            <w:shd w:val="clear" w:color="auto" w:fill="auto"/>
            <w:noWrap/>
            <w:vAlign w:val="center"/>
            <w:hideMark/>
          </w:tcPr>
          <w:p w14:paraId="61DA9B51"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558,100,816 </w:t>
            </w:r>
          </w:p>
        </w:tc>
        <w:tc>
          <w:tcPr>
            <w:tcW w:w="941" w:type="dxa"/>
            <w:tcBorders>
              <w:top w:val="nil"/>
              <w:left w:val="nil"/>
              <w:bottom w:val="single" w:sz="4" w:space="0" w:color="auto"/>
              <w:right w:val="single" w:sz="4" w:space="0" w:color="auto"/>
            </w:tcBorders>
            <w:shd w:val="clear" w:color="auto" w:fill="auto"/>
            <w:noWrap/>
            <w:vAlign w:val="center"/>
            <w:hideMark/>
          </w:tcPr>
          <w:p w14:paraId="1A8562F8"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9863672986</w:t>
            </w:r>
          </w:p>
        </w:tc>
        <w:tc>
          <w:tcPr>
            <w:tcW w:w="876" w:type="dxa"/>
            <w:tcBorders>
              <w:top w:val="nil"/>
              <w:left w:val="nil"/>
              <w:bottom w:val="single" w:sz="4" w:space="0" w:color="auto"/>
              <w:right w:val="single" w:sz="4" w:space="0" w:color="auto"/>
            </w:tcBorders>
            <w:shd w:val="clear" w:color="auto" w:fill="auto"/>
            <w:noWrap/>
            <w:vAlign w:val="center"/>
            <w:hideMark/>
          </w:tcPr>
          <w:p w14:paraId="0A329731"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TIIE+0.60%</w:t>
            </w:r>
          </w:p>
        </w:tc>
        <w:tc>
          <w:tcPr>
            <w:tcW w:w="601" w:type="dxa"/>
            <w:tcBorders>
              <w:top w:val="nil"/>
              <w:left w:val="nil"/>
              <w:bottom w:val="single" w:sz="4" w:space="0" w:color="auto"/>
              <w:right w:val="single" w:sz="4" w:space="0" w:color="auto"/>
            </w:tcBorders>
            <w:shd w:val="clear" w:color="auto" w:fill="auto"/>
            <w:noWrap/>
            <w:vAlign w:val="center"/>
            <w:hideMark/>
          </w:tcPr>
          <w:p w14:paraId="51DEF722"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8.93%</w:t>
            </w:r>
          </w:p>
        </w:tc>
        <w:tc>
          <w:tcPr>
            <w:tcW w:w="827" w:type="dxa"/>
            <w:tcBorders>
              <w:top w:val="nil"/>
              <w:left w:val="nil"/>
              <w:bottom w:val="single" w:sz="4" w:space="0" w:color="auto"/>
              <w:right w:val="single" w:sz="4" w:space="0" w:color="auto"/>
            </w:tcBorders>
            <w:shd w:val="clear" w:color="auto" w:fill="auto"/>
            <w:noWrap/>
            <w:vAlign w:val="center"/>
            <w:hideMark/>
          </w:tcPr>
          <w:p w14:paraId="71BBC65D"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oct-19</w:t>
            </w:r>
          </w:p>
        </w:tc>
        <w:tc>
          <w:tcPr>
            <w:tcW w:w="854" w:type="dxa"/>
            <w:tcBorders>
              <w:top w:val="nil"/>
              <w:left w:val="nil"/>
              <w:bottom w:val="single" w:sz="4" w:space="0" w:color="auto"/>
              <w:right w:val="single" w:sz="4" w:space="0" w:color="auto"/>
            </w:tcBorders>
            <w:shd w:val="clear" w:color="auto" w:fill="auto"/>
            <w:noWrap/>
            <w:vAlign w:val="center"/>
            <w:hideMark/>
          </w:tcPr>
          <w:p w14:paraId="4BB5D70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dic-35</w:t>
            </w:r>
          </w:p>
        </w:tc>
        <w:tc>
          <w:tcPr>
            <w:tcW w:w="1090" w:type="dxa"/>
            <w:tcBorders>
              <w:top w:val="nil"/>
              <w:left w:val="nil"/>
              <w:bottom w:val="single" w:sz="4" w:space="0" w:color="auto"/>
              <w:right w:val="single" w:sz="4" w:space="0" w:color="auto"/>
            </w:tcBorders>
            <w:shd w:val="clear" w:color="auto" w:fill="auto"/>
            <w:noWrap/>
            <w:vAlign w:val="center"/>
            <w:hideMark/>
          </w:tcPr>
          <w:p w14:paraId="1A06B0C3"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592" w:type="dxa"/>
            <w:tcBorders>
              <w:top w:val="nil"/>
              <w:left w:val="nil"/>
              <w:bottom w:val="single" w:sz="4" w:space="0" w:color="auto"/>
              <w:right w:val="single" w:sz="4" w:space="0" w:color="auto"/>
            </w:tcBorders>
            <w:shd w:val="clear" w:color="auto" w:fill="auto"/>
            <w:noWrap/>
            <w:vAlign w:val="center"/>
            <w:hideMark/>
          </w:tcPr>
          <w:p w14:paraId="0DB7E96E"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1073" w:type="dxa"/>
            <w:tcBorders>
              <w:top w:val="nil"/>
              <w:left w:val="nil"/>
              <w:bottom w:val="single" w:sz="4" w:space="0" w:color="auto"/>
              <w:right w:val="single" w:sz="4" w:space="0" w:color="auto"/>
            </w:tcBorders>
            <w:shd w:val="clear" w:color="auto" w:fill="auto"/>
            <w:noWrap/>
            <w:vAlign w:val="center"/>
            <w:hideMark/>
          </w:tcPr>
          <w:p w14:paraId="6382EA7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Refinanciamiento.</w:t>
            </w:r>
          </w:p>
        </w:tc>
      </w:tr>
      <w:tr w:rsidR="00D868AB" w:rsidRPr="00D868AB" w14:paraId="158F46CB"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62D1A4AA" w14:textId="77777777" w:rsidR="00D868AB" w:rsidRPr="00D868AB" w:rsidRDefault="00D868AB" w:rsidP="00D868AB">
            <w:pPr>
              <w:jc w:val="left"/>
              <w:rPr>
                <w:rFonts w:eastAsia="Times New Roman" w:cs="Arial"/>
                <w:sz w:val="12"/>
                <w:szCs w:val="12"/>
              </w:rPr>
            </w:pPr>
            <w:r w:rsidRPr="00D868AB">
              <w:rPr>
                <w:rFonts w:eastAsia="Times New Roman" w:cs="Arial"/>
                <w:sz w:val="12"/>
                <w:szCs w:val="12"/>
              </w:rPr>
              <w:t>BANSI</w:t>
            </w:r>
          </w:p>
        </w:tc>
        <w:tc>
          <w:tcPr>
            <w:tcW w:w="956" w:type="dxa"/>
            <w:tcBorders>
              <w:top w:val="nil"/>
              <w:left w:val="nil"/>
              <w:bottom w:val="single" w:sz="4" w:space="0" w:color="auto"/>
              <w:right w:val="single" w:sz="4" w:space="0" w:color="auto"/>
            </w:tcBorders>
            <w:shd w:val="clear" w:color="auto" w:fill="auto"/>
            <w:noWrap/>
            <w:vAlign w:val="center"/>
            <w:hideMark/>
          </w:tcPr>
          <w:p w14:paraId="1FA6FD67"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240,000,000 </w:t>
            </w:r>
          </w:p>
        </w:tc>
        <w:tc>
          <w:tcPr>
            <w:tcW w:w="908" w:type="dxa"/>
            <w:tcBorders>
              <w:top w:val="nil"/>
              <w:left w:val="nil"/>
              <w:bottom w:val="single" w:sz="4" w:space="0" w:color="auto"/>
              <w:right w:val="single" w:sz="4" w:space="0" w:color="auto"/>
            </w:tcBorders>
            <w:shd w:val="clear" w:color="auto" w:fill="auto"/>
            <w:noWrap/>
            <w:vAlign w:val="center"/>
            <w:hideMark/>
          </w:tcPr>
          <w:p w14:paraId="6454249E"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240,000,000 </w:t>
            </w:r>
          </w:p>
        </w:tc>
        <w:tc>
          <w:tcPr>
            <w:tcW w:w="908" w:type="dxa"/>
            <w:tcBorders>
              <w:top w:val="nil"/>
              <w:left w:val="nil"/>
              <w:bottom w:val="single" w:sz="4" w:space="0" w:color="auto"/>
              <w:right w:val="single" w:sz="4" w:space="0" w:color="auto"/>
            </w:tcBorders>
            <w:shd w:val="clear" w:color="auto" w:fill="auto"/>
            <w:noWrap/>
            <w:vAlign w:val="center"/>
            <w:hideMark/>
          </w:tcPr>
          <w:p w14:paraId="0B0DB730"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234,951,096 </w:t>
            </w:r>
          </w:p>
        </w:tc>
        <w:tc>
          <w:tcPr>
            <w:tcW w:w="941" w:type="dxa"/>
            <w:tcBorders>
              <w:top w:val="nil"/>
              <w:left w:val="nil"/>
              <w:bottom w:val="single" w:sz="4" w:space="0" w:color="auto"/>
              <w:right w:val="single" w:sz="4" w:space="0" w:color="auto"/>
            </w:tcBorders>
            <w:shd w:val="clear" w:color="auto" w:fill="auto"/>
            <w:noWrap/>
            <w:vAlign w:val="center"/>
            <w:hideMark/>
          </w:tcPr>
          <w:p w14:paraId="28397498"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111000315037</w:t>
            </w:r>
          </w:p>
        </w:tc>
        <w:tc>
          <w:tcPr>
            <w:tcW w:w="876" w:type="dxa"/>
            <w:tcBorders>
              <w:top w:val="nil"/>
              <w:left w:val="nil"/>
              <w:bottom w:val="single" w:sz="4" w:space="0" w:color="auto"/>
              <w:right w:val="single" w:sz="4" w:space="0" w:color="auto"/>
            </w:tcBorders>
            <w:shd w:val="clear" w:color="auto" w:fill="auto"/>
            <w:noWrap/>
            <w:vAlign w:val="center"/>
            <w:hideMark/>
          </w:tcPr>
          <w:p w14:paraId="3F3AC1F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 + 2.00%</w:t>
            </w:r>
          </w:p>
        </w:tc>
        <w:tc>
          <w:tcPr>
            <w:tcW w:w="601" w:type="dxa"/>
            <w:tcBorders>
              <w:top w:val="nil"/>
              <w:left w:val="nil"/>
              <w:bottom w:val="single" w:sz="4" w:space="0" w:color="auto"/>
              <w:right w:val="single" w:sz="4" w:space="0" w:color="auto"/>
            </w:tcBorders>
            <w:shd w:val="clear" w:color="auto" w:fill="auto"/>
            <w:noWrap/>
            <w:vAlign w:val="center"/>
            <w:hideMark/>
          </w:tcPr>
          <w:p w14:paraId="4C30C76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8.43%</w:t>
            </w:r>
          </w:p>
        </w:tc>
        <w:tc>
          <w:tcPr>
            <w:tcW w:w="827" w:type="dxa"/>
            <w:tcBorders>
              <w:top w:val="nil"/>
              <w:left w:val="nil"/>
              <w:bottom w:val="single" w:sz="4" w:space="0" w:color="auto"/>
              <w:right w:val="single" w:sz="4" w:space="0" w:color="auto"/>
            </w:tcBorders>
            <w:shd w:val="clear" w:color="auto" w:fill="auto"/>
            <w:noWrap/>
            <w:vAlign w:val="center"/>
            <w:hideMark/>
          </w:tcPr>
          <w:p w14:paraId="065F6323"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dic-20</w:t>
            </w:r>
          </w:p>
        </w:tc>
        <w:tc>
          <w:tcPr>
            <w:tcW w:w="854" w:type="dxa"/>
            <w:tcBorders>
              <w:top w:val="nil"/>
              <w:left w:val="nil"/>
              <w:bottom w:val="single" w:sz="4" w:space="0" w:color="auto"/>
              <w:right w:val="single" w:sz="4" w:space="0" w:color="auto"/>
            </w:tcBorders>
            <w:shd w:val="clear" w:color="auto" w:fill="auto"/>
            <w:noWrap/>
            <w:vAlign w:val="center"/>
            <w:hideMark/>
          </w:tcPr>
          <w:p w14:paraId="146AF49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mar-41</w:t>
            </w:r>
          </w:p>
        </w:tc>
        <w:tc>
          <w:tcPr>
            <w:tcW w:w="1090" w:type="dxa"/>
            <w:tcBorders>
              <w:top w:val="nil"/>
              <w:left w:val="nil"/>
              <w:bottom w:val="single" w:sz="4" w:space="0" w:color="auto"/>
              <w:right w:val="single" w:sz="4" w:space="0" w:color="auto"/>
            </w:tcBorders>
            <w:shd w:val="clear" w:color="auto" w:fill="auto"/>
            <w:noWrap/>
            <w:vAlign w:val="center"/>
            <w:hideMark/>
          </w:tcPr>
          <w:p w14:paraId="6635BAD0"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592" w:type="dxa"/>
            <w:tcBorders>
              <w:top w:val="nil"/>
              <w:left w:val="nil"/>
              <w:bottom w:val="single" w:sz="4" w:space="0" w:color="auto"/>
              <w:right w:val="single" w:sz="4" w:space="0" w:color="auto"/>
            </w:tcBorders>
            <w:shd w:val="clear" w:color="auto" w:fill="auto"/>
            <w:noWrap/>
            <w:vAlign w:val="center"/>
            <w:hideMark/>
          </w:tcPr>
          <w:p w14:paraId="364CB0B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1073" w:type="dxa"/>
            <w:tcBorders>
              <w:top w:val="nil"/>
              <w:left w:val="nil"/>
              <w:bottom w:val="single" w:sz="4" w:space="0" w:color="auto"/>
              <w:right w:val="single" w:sz="4" w:space="0" w:color="auto"/>
            </w:tcBorders>
            <w:shd w:val="clear" w:color="auto" w:fill="auto"/>
            <w:noWrap/>
            <w:vAlign w:val="center"/>
            <w:hideMark/>
          </w:tcPr>
          <w:p w14:paraId="3724B061"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Inversión Publica Productiva.</w:t>
            </w:r>
          </w:p>
        </w:tc>
      </w:tr>
      <w:tr w:rsidR="00D868AB" w:rsidRPr="00D868AB" w14:paraId="3568A2FF"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349B8D26" w14:textId="77777777" w:rsidR="00D868AB" w:rsidRPr="00D868AB" w:rsidRDefault="00D868AB" w:rsidP="00D868AB">
            <w:pPr>
              <w:jc w:val="left"/>
              <w:rPr>
                <w:rFonts w:eastAsia="Times New Roman" w:cs="Arial"/>
                <w:sz w:val="12"/>
                <w:szCs w:val="12"/>
              </w:rPr>
            </w:pPr>
            <w:r w:rsidRPr="00D868AB">
              <w:rPr>
                <w:rFonts w:eastAsia="Times New Roman" w:cs="Arial"/>
                <w:sz w:val="12"/>
                <w:szCs w:val="12"/>
              </w:rPr>
              <w:t>HSBC</w:t>
            </w:r>
          </w:p>
        </w:tc>
        <w:tc>
          <w:tcPr>
            <w:tcW w:w="956" w:type="dxa"/>
            <w:tcBorders>
              <w:top w:val="nil"/>
              <w:left w:val="nil"/>
              <w:bottom w:val="single" w:sz="4" w:space="0" w:color="auto"/>
              <w:right w:val="single" w:sz="4" w:space="0" w:color="auto"/>
            </w:tcBorders>
            <w:shd w:val="clear" w:color="auto" w:fill="auto"/>
            <w:noWrap/>
            <w:vAlign w:val="center"/>
            <w:hideMark/>
          </w:tcPr>
          <w:p w14:paraId="4E82B582"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500,000,000 </w:t>
            </w:r>
          </w:p>
        </w:tc>
        <w:tc>
          <w:tcPr>
            <w:tcW w:w="908" w:type="dxa"/>
            <w:tcBorders>
              <w:top w:val="nil"/>
              <w:left w:val="nil"/>
              <w:bottom w:val="single" w:sz="4" w:space="0" w:color="auto"/>
              <w:right w:val="single" w:sz="4" w:space="0" w:color="auto"/>
            </w:tcBorders>
            <w:shd w:val="clear" w:color="auto" w:fill="auto"/>
            <w:noWrap/>
            <w:vAlign w:val="center"/>
            <w:hideMark/>
          </w:tcPr>
          <w:p w14:paraId="077A19BE"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 500,000,000 </w:t>
            </w:r>
          </w:p>
        </w:tc>
        <w:tc>
          <w:tcPr>
            <w:tcW w:w="908" w:type="dxa"/>
            <w:tcBorders>
              <w:top w:val="nil"/>
              <w:left w:val="nil"/>
              <w:bottom w:val="single" w:sz="4" w:space="0" w:color="auto"/>
              <w:right w:val="single" w:sz="4" w:space="0" w:color="auto"/>
            </w:tcBorders>
            <w:shd w:val="clear" w:color="auto" w:fill="auto"/>
            <w:noWrap/>
            <w:vAlign w:val="center"/>
            <w:hideMark/>
          </w:tcPr>
          <w:p w14:paraId="723A3582" w14:textId="77777777" w:rsidR="00D868AB" w:rsidRPr="00D868AB" w:rsidRDefault="00D868AB" w:rsidP="00D868AB">
            <w:pPr>
              <w:jc w:val="right"/>
              <w:rPr>
                <w:rFonts w:eastAsia="Times New Roman" w:cs="Arial"/>
                <w:sz w:val="12"/>
                <w:szCs w:val="12"/>
              </w:rPr>
            </w:pPr>
            <w:r w:rsidRPr="00D868AB">
              <w:rPr>
                <w:rFonts w:eastAsia="Times New Roman" w:cs="Arial"/>
                <w:sz w:val="12"/>
                <w:szCs w:val="12"/>
              </w:rPr>
              <w:t xml:space="preserve">488,870,850 </w:t>
            </w:r>
          </w:p>
        </w:tc>
        <w:tc>
          <w:tcPr>
            <w:tcW w:w="941" w:type="dxa"/>
            <w:tcBorders>
              <w:top w:val="nil"/>
              <w:left w:val="nil"/>
              <w:bottom w:val="single" w:sz="4" w:space="0" w:color="auto"/>
              <w:right w:val="single" w:sz="4" w:space="0" w:color="auto"/>
            </w:tcBorders>
            <w:shd w:val="clear" w:color="auto" w:fill="auto"/>
            <w:noWrap/>
            <w:vAlign w:val="center"/>
            <w:hideMark/>
          </w:tcPr>
          <w:p w14:paraId="3E23B1DD"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84108927</w:t>
            </w:r>
          </w:p>
        </w:tc>
        <w:tc>
          <w:tcPr>
            <w:tcW w:w="876" w:type="dxa"/>
            <w:tcBorders>
              <w:top w:val="nil"/>
              <w:left w:val="nil"/>
              <w:bottom w:val="single" w:sz="4" w:space="0" w:color="auto"/>
              <w:right w:val="single" w:sz="4" w:space="0" w:color="auto"/>
            </w:tcBorders>
            <w:shd w:val="clear" w:color="auto" w:fill="auto"/>
            <w:noWrap/>
            <w:vAlign w:val="center"/>
            <w:hideMark/>
          </w:tcPr>
          <w:p w14:paraId="7A6B4C04"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 + 1.53%</w:t>
            </w:r>
          </w:p>
        </w:tc>
        <w:tc>
          <w:tcPr>
            <w:tcW w:w="601" w:type="dxa"/>
            <w:tcBorders>
              <w:top w:val="nil"/>
              <w:left w:val="nil"/>
              <w:bottom w:val="single" w:sz="4" w:space="0" w:color="auto"/>
              <w:right w:val="single" w:sz="4" w:space="0" w:color="auto"/>
            </w:tcBorders>
            <w:shd w:val="clear" w:color="auto" w:fill="auto"/>
            <w:noWrap/>
            <w:vAlign w:val="center"/>
            <w:hideMark/>
          </w:tcPr>
          <w:p w14:paraId="0150226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7.92%</w:t>
            </w:r>
          </w:p>
        </w:tc>
        <w:tc>
          <w:tcPr>
            <w:tcW w:w="827" w:type="dxa"/>
            <w:tcBorders>
              <w:top w:val="nil"/>
              <w:left w:val="nil"/>
              <w:bottom w:val="single" w:sz="4" w:space="0" w:color="auto"/>
              <w:right w:val="single" w:sz="4" w:space="0" w:color="auto"/>
            </w:tcBorders>
            <w:shd w:val="clear" w:color="auto" w:fill="auto"/>
            <w:noWrap/>
            <w:vAlign w:val="center"/>
            <w:hideMark/>
          </w:tcPr>
          <w:p w14:paraId="7A448116"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dic-20</w:t>
            </w:r>
          </w:p>
        </w:tc>
        <w:tc>
          <w:tcPr>
            <w:tcW w:w="854" w:type="dxa"/>
            <w:tcBorders>
              <w:top w:val="nil"/>
              <w:left w:val="nil"/>
              <w:bottom w:val="single" w:sz="4" w:space="0" w:color="auto"/>
              <w:right w:val="single" w:sz="4" w:space="0" w:color="auto"/>
            </w:tcBorders>
            <w:shd w:val="clear" w:color="auto" w:fill="auto"/>
            <w:noWrap/>
            <w:vAlign w:val="center"/>
            <w:hideMark/>
          </w:tcPr>
          <w:p w14:paraId="311927A0"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mar-41</w:t>
            </w:r>
          </w:p>
        </w:tc>
        <w:tc>
          <w:tcPr>
            <w:tcW w:w="1090" w:type="dxa"/>
            <w:tcBorders>
              <w:top w:val="nil"/>
              <w:left w:val="nil"/>
              <w:bottom w:val="single" w:sz="4" w:space="0" w:color="auto"/>
              <w:right w:val="single" w:sz="4" w:space="0" w:color="auto"/>
            </w:tcBorders>
            <w:shd w:val="clear" w:color="auto" w:fill="auto"/>
            <w:noWrap/>
            <w:vAlign w:val="center"/>
            <w:hideMark/>
          </w:tcPr>
          <w:p w14:paraId="2D11E318"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592" w:type="dxa"/>
            <w:tcBorders>
              <w:top w:val="nil"/>
              <w:left w:val="nil"/>
              <w:bottom w:val="single" w:sz="4" w:space="0" w:color="auto"/>
              <w:right w:val="single" w:sz="4" w:space="0" w:color="auto"/>
            </w:tcBorders>
            <w:shd w:val="clear" w:color="auto" w:fill="auto"/>
            <w:noWrap/>
            <w:vAlign w:val="center"/>
            <w:hideMark/>
          </w:tcPr>
          <w:p w14:paraId="2241CB83"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1073" w:type="dxa"/>
            <w:tcBorders>
              <w:top w:val="nil"/>
              <w:left w:val="nil"/>
              <w:bottom w:val="single" w:sz="4" w:space="0" w:color="auto"/>
              <w:right w:val="single" w:sz="4" w:space="0" w:color="auto"/>
            </w:tcBorders>
            <w:shd w:val="clear" w:color="auto" w:fill="auto"/>
            <w:noWrap/>
            <w:vAlign w:val="center"/>
            <w:hideMark/>
          </w:tcPr>
          <w:p w14:paraId="5129387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Inversión Publica Productiva.</w:t>
            </w:r>
          </w:p>
        </w:tc>
      </w:tr>
      <w:tr w:rsidR="00D868AB" w:rsidRPr="00D868AB" w14:paraId="70C25A6D" w14:textId="77777777" w:rsidTr="00A755A7">
        <w:trPr>
          <w:trHeight w:val="300"/>
          <w:jc w:val="center"/>
        </w:trPr>
        <w:tc>
          <w:tcPr>
            <w:tcW w:w="667" w:type="dxa"/>
            <w:tcBorders>
              <w:top w:val="nil"/>
              <w:left w:val="single" w:sz="4" w:space="0" w:color="auto"/>
              <w:bottom w:val="single" w:sz="4" w:space="0" w:color="auto"/>
              <w:right w:val="single" w:sz="4" w:space="0" w:color="auto"/>
            </w:tcBorders>
            <w:shd w:val="clear" w:color="auto" w:fill="auto"/>
            <w:vAlign w:val="center"/>
            <w:hideMark/>
          </w:tcPr>
          <w:p w14:paraId="0A41E216" w14:textId="77777777" w:rsidR="00D868AB" w:rsidRPr="00D868AB" w:rsidRDefault="00D868AB" w:rsidP="00D868AB">
            <w:pPr>
              <w:jc w:val="center"/>
              <w:rPr>
                <w:rFonts w:eastAsia="Times New Roman" w:cs="Arial"/>
                <w:b/>
                <w:sz w:val="12"/>
                <w:szCs w:val="12"/>
              </w:rPr>
            </w:pPr>
            <w:r w:rsidRPr="00D868AB">
              <w:rPr>
                <w:rFonts w:eastAsia="Times New Roman" w:cs="Arial"/>
                <w:b/>
                <w:sz w:val="12"/>
                <w:szCs w:val="12"/>
              </w:rPr>
              <w:t>Total</w:t>
            </w:r>
          </w:p>
        </w:tc>
        <w:tc>
          <w:tcPr>
            <w:tcW w:w="956" w:type="dxa"/>
            <w:tcBorders>
              <w:top w:val="nil"/>
              <w:left w:val="nil"/>
              <w:bottom w:val="single" w:sz="4" w:space="0" w:color="auto"/>
              <w:right w:val="single" w:sz="4" w:space="0" w:color="auto"/>
            </w:tcBorders>
            <w:shd w:val="clear" w:color="auto" w:fill="auto"/>
            <w:vAlign w:val="center"/>
            <w:hideMark/>
          </w:tcPr>
          <w:p w14:paraId="1C8B2A7B" w14:textId="77777777" w:rsidR="00D868AB" w:rsidRPr="00D868AB" w:rsidRDefault="00D868AB" w:rsidP="00D868AB">
            <w:pPr>
              <w:jc w:val="right"/>
              <w:rPr>
                <w:rFonts w:eastAsia="Times New Roman" w:cs="Arial"/>
                <w:b/>
                <w:sz w:val="12"/>
                <w:szCs w:val="12"/>
              </w:rPr>
            </w:pPr>
            <w:r w:rsidRPr="00D868AB">
              <w:rPr>
                <w:rFonts w:eastAsia="Times New Roman" w:cs="Arial"/>
                <w:b/>
                <w:sz w:val="12"/>
                <w:szCs w:val="12"/>
              </w:rPr>
              <w:t xml:space="preserve">4,409,091,183 </w:t>
            </w:r>
          </w:p>
        </w:tc>
        <w:tc>
          <w:tcPr>
            <w:tcW w:w="908" w:type="dxa"/>
            <w:tcBorders>
              <w:top w:val="nil"/>
              <w:left w:val="nil"/>
              <w:bottom w:val="single" w:sz="4" w:space="0" w:color="auto"/>
              <w:right w:val="single" w:sz="4" w:space="0" w:color="auto"/>
            </w:tcBorders>
            <w:shd w:val="clear" w:color="auto" w:fill="auto"/>
            <w:vAlign w:val="center"/>
            <w:hideMark/>
          </w:tcPr>
          <w:p w14:paraId="21E964E9" w14:textId="77777777" w:rsidR="00D868AB" w:rsidRPr="00D868AB" w:rsidRDefault="00D868AB" w:rsidP="00D868AB">
            <w:pPr>
              <w:jc w:val="right"/>
              <w:rPr>
                <w:rFonts w:eastAsia="Times New Roman" w:cs="Arial"/>
                <w:b/>
                <w:sz w:val="12"/>
                <w:szCs w:val="12"/>
              </w:rPr>
            </w:pPr>
            <w:r w:rsidRPr="00D868AB">
              <w:rPr>
                <w:rFonts w:eastAsia="Times New Roman" w:cs="Arial"/>
                <w:b/>
                <w:sz w:val="12"/>
                <w:szCs w:val="12"/>
              </w:rPr>
              <w:t xml:space="preserve">4,374,867,086 </w:t>
            </w:r>
          </w:p>
        </w:tc>
        <w:tc>
          <w:tcPr>
            <w:tcW w:w="908" w:type="dxa"/>
            <w:tcBorders>
              <w:top w:val="nil"/>
              <w:left w:val="nil"/>
              <w:bottom w:val="single" w:sz="4" w:space="0" w:color="auto"/>
              <w:right w:val="single" w:sz="4" w:space="0" w:color="auto"/>
            </w:tcBorders>
            <w:shd w:val="clear" w:color="auto" w:fill="auto"/>
            <w:vAlign w:val="center"/>
          </w:tcPr>
          <w:p w14:paraId="11D10947" w14:textId="77777777" w:rsidR="00D868AB" w:rsidRPr="00D868AB" w:rsidRDefault="00D868AB" w:rsidP="00D868AB">
            <w:pPr>
              <w:jc w:val="right"/>
              <w:rPr>
                <w:rFonts w:eastAsia="Times New Roman" w:cs="Arial"/>
                <w:b/>
                <w:sz w:val="12"/>
                <w:szCs w:val="12"/>
              </w:rPr>
            </w:pPr>
            <w:r w:rsidRPr="00D868AB">
              <w:rPr>
                <w:rFonts w:eastAsia="Times New Roman" w:cs="Arial"/>
                <w:b/>
                <w:sz w:val="12"/>
                <w:szCs w:val="12"/>
              </w:rPr>
              <w:t>3,689,328,806</w:t>
            </w:r>
          </w:p>
        </w:tc>
        <w:tc>
          <w:tcPr>
            <w:tcW w:w="6854" w:type="dxa"/>
            <w:gridSpan w:val="8"/>
            <w:tcBorders>
              <w:top w:val="single" w:sz="4" w:space="0" w:color="auto"/>
              <w:left w:val="nil"/>
              <w:bottom w:val="single" w:sz="4" w:space="0" w:color="auto"/>
              <w:right w:val="single" w:sz="4" w:space="0" w:color="auto"/>
            </w:tcBorders>
            <w:shd w:val="clear" w:color="auto" w:fill="auto"/>
            <w:vAlign w:val="center"/>
            <w:hideMark/>
          </w:tcPr>
          <w:p w14:paraId="1B5D98F9" w14:textId="77777777" w:rsidR="00D868AB" w:rsidRPr="00D868AB" w:rsidRDefault="00D868AB" w:rsidP="00D868AB">
            <w:pPr>
              <w:jc w:val="center"/>
              <w:rPr>
                <w:rFonts w:eastAsia="Times New Roman" w:cs="Arial"/>
                <w:b/>
                <w:sz w:val="12"/>
                <w:szCs w:val="12"/>
              </w:rPr>
            </w:pPr>
          </w:p>
        </w:tc>
      </w:tr>
    </w:tbl>
    <w:p w14:paraId="6B13FCDC" w14:textId="77777777" w:rsidR="00D868AB" w:rsidRPr="00D868AB" w:rsidRDefault="00D868AB" w:rsidP="00D868AB">
      <w:pPr>
        <w:ind w:left="142"/>
        <w:rPr>
          <w:rFonts w:cs="Arial"/>
          <w:sz w:val="16"/>
          <w:szCs w:val="20"/>
          <w:lang w:val="es-ES"/>
        </w:rPr>
      </w:pPr>
      <w:r w:rsidRPr="00D868AB">
        <w:rPr>
          <w:rFonts w:cs="Arial"/>
          <w:b/>
          <w:sz w:val="16"/>
          <w:szCs w:val="20"/>
          <w:lang w:val="es-ES"/>
        </w:rPr>
        <w:t>Nota</w:t>
      </w:r>
      <w:r w:rsidRPr="00D868AB">
        <w:rPr>
          <w:rFonts w:cs="Arial"/>
          <w:sz w:val="16"/>
          <w:szCs w:val="20"/>
          <w:lang w:val="es-ES"/>
        </w:rPr>
        <w:t>: La suma de los parciales puede no coincidir con el total debido al redondeo de cifras</w:t>
      </w:r>
    </w:p>
    <w:p w14:paraId="78D86819" w14:textId="77777777" w:rsidR="00D868AB" w:rsidRPr="00D868AB" w:rsidRDefault="00D868AB" w:rsidP="00D868AB">
      <w:pPr>
        <w:rPr>
          <w:rFonts w:eastAsia="Times New Roman" w:cs="Arial"/>
          <w:lang w:val="es-ES" w:eastAsia="es-ES"/>
        </w:rPr>
      </w:pPr>
    </w:p>
    <w:p w14:paraId="211E81BE" w14:textId="77777777" w:rsidR="00D868AB" w:rsidRPr="00D868AB" w:rsidRDefault="00D868AB" w:rsidP="00D868AB">
      <w:pPr>
        <w:ind w:left="567" w:hanging="567"/>
        <w:rPr>
          <w:rFonts w:eastAsia="Times New Roman" w:cs="Arial"/>
          <w:lang w:val="es-ES" w:eastAsia="es-ES"/>
        </w:rPr>
      </w:pPr>
      <w:r w:rsidRPr="00D868AB">
        <w:rPr>
          <w:rFonts w:eastAsia="Times New Roman" w:cs="Arial"/>
          <w:lang w:val="es-ES" w:eastAsia="es-ES"/>
        </w:rPr>
        <w:t xml:space="preserve">II. </w:t>
      </w:r>
      <w:r w:rsidRPr="00D868AB">
        <w:rPr>
          <w:rFonts w:eastAsia="Times New Roman" w:cs="Arial"/>
          <w:lang w:val="es-ES" w:eastAsia="es-ES"/>
        </w:rPr>
        <w:tab/>
        <w:t>Para el Ejercicio Fiscal 2023, la previsión de recursos para el pago del servicio de la deuda pública directa es la siguiente.</w:t>
      </w:r>
    </w:p>
    <w:p w14:paraId="2A6416D7" w14:textId="77777777" w:rsidR="00D868AB" w:rsidRPr="00D868AB" w:rsidRDefault="00D868AB" w:rsidP="00D868AB">
      <w:pPr>
        <w:keepNext/>
        <w:keepLines/>
        <w:outlineLvl w:val="2"/>
        <w:rPr>
          <w:rFonts w:eastAsia="Times New Roman" w:cs="Arial"/>
          <w:b/>
          <w:szCs w:val="24"/>
          <w:lang w:val="es-ES" w:eastAsia="en-US"/>
        </w:rPr>
      </w:pPr>
    </w:p>
    <w:tbl>
      <w:tblPr>
        <w:tblW w:w="7230" w:type="dxa"/>
        <w:jc w:val="center"/>
        <w:tblCellMar>
          <w:left w:w="70" w:type="dxa"/>
          <w:right w:w="70" w:type="dxa"/>
        </w:tblCellMar>
        <w:tblLook w:val="04A0" w:firstRow="1" w:lastRow="0" w:firstColumn="1" w:lastColumn="0" w:noHBand="0" w:noVBand="1"/>
      </w:tblPr>
      <w:tblGrid>
        <w:gridCol w:w="1666"/>
        <w:gridCol w:w="1475"/>
        <w:gridCol w:w="1407"/>
        <w:gridCol w:w="1406"/>
        <w:gridCol w:w="1276"/>
      </w:tblGrid>
      <w:tr w:rsidR="00D868AB" w:rsidRPr="00D868AB" w14:paraId="3CD922EA" w14:textId="77777777" w:rsidTr="00A755A7">
        <w:trPr>
          <w:trHeight w:val="20"/>
          <w:tblHeader/>
          <w:jc w:val="center"/>
        </w:trPr>
        <w:tc>
          <w:tcPr>
            <w:tcW w:w="7230" w:type="dxa"/>
            <w:gridSpan w:val="5"/>
            <w:tcBorders>
              <w:bottom w:val="single" w:sz="4" w:space="0" w:color="auto"/>
            </w:tcBorders>
            <w:shd w:val="clear" w:color="auto" w:fill="auto"/>
            <w:noWrap/>
            <w:vAlign w:val="center"/>
          </w:tcPr>
          <w:p w14:paraId="5CCCEE27" w14:textId="77777777" w:rsidR="00D868AB" w:rsidRPr="00D868AB" w:rsidRDefault="00D868AB" w:rsidP="00D868AB">
            <w:pPr>
              <w:jc w:val="center"/>
              <w:rPr>
                <w:rFonts w:eastAsia="Times New Roman" w:cs="Arial"/>
                <w:b/>
                <w:sz w:val="20"/>
              </w:rPr>
            </w:pPr>
            <w:r w:rsidRPr="00D868AB">
              <w:rPr>
                <w:rFonts w:eastAsia="Times New Roman" w:cs="Arial"/>
                <w:b/>
                <w:sz w:val="20"/>
              </w:rPr>
              <w:t>Tabla 38. Presupuesto Deuda Pública Directa 2023</w:t>
            </w:r>
          </w:p>
        </w:tc>
      </w:tr>
      <w:tr w:rsidR="00D868AB" w:rsidRPr="00D868AB" w14:paraId="405CD624" w14:textId="77777777" w:rsidTr="00A755A7">
        <w:trPr>
          <w:trHeight w:val="20"/>
          <w:jc w:val="center"/>
        </w:trPr>
        <w:tc>
          <w:tcPr>
            <w:tcW w:w="16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D2F31"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Institución Bancaria</w:t>
            </w:r>
          </w:p>
        </w:tc>
        <w:tc>
          <w:tcPr>
            <w:tcW w:w="1475" w:type="dxa"/>
            <w:tcBorders>
              <w:top w:val="single" w:sz="4" w:space="0" w:color="auto"/>
              <w:left w:val="nil"/>
              <w:bottom w:val="single" w:sz="4" w:space="0" w:color="auto"/>
              <w:right w:val="single" w:sz="4" w:space="0" w:color="auto"/>
            </w:tcBorders>
            <w:shd w:val="clear" w:color="auto" w:fill="auto"/>
            <w:noWrap/>
            <w:vAlign w:val="center"/>
            <w:hideMark/>
          </w:tcPr>
          <w:p w14:paraId="07A84FE2"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Número de Crédito</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14:paraId="5F0D45ED"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Amortización de Capital</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1B40711D"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Pago de Intereses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2401B1D"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Subtotal</w:t>
            </w:r>
          </w:p>
        </w:tc>
      </w:tr>
      <w:tr w:rsidR="00D868AB" w:rsidRPr="00D868AB" w14:paraId="5326D13E" w14:textId="77777777" w:rsidTr="00A755A7">
        <w:trPr>
          <w:trHeight w:val="20"/>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448FFC2B"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14:paraId="62C9D656"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7225 y 7226</w:t>
            </w:r>
          </w:p>
        </w:tc>
        <w:tc>
          <w:tcPr>
            <w:tcW w:w="1407" w:type="dxa"/>
            <w:tcBorders>
              <w:top w:val="nil"/>
              <w:left w:val="nil"/>
              <w:bottom w:val="single" w:sz="4" w:space="0" w:color="auto"/>
              <w:right w:val="single" w:sz="4" w:space="0" w:color="auto"/>
            </w:tcBorders>
            <w:shd w:val="clear" w:color="auto" w:fill="auto"/>
            <w:noWrap/>
            <w:vAlign w:val="center"/>
          </w:tcPr>
          <w:p w14:paraId="74307D7A"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21,314,959</w:t>
            </w:r>
          </w:p>
        </w:tc>
        <w:tc>
          <w:tcPr>
            <w:tcW w:w="1406" w:type="dxa"/>
            <w:tcBorders>
              <w:top w:val="nil"/>
              <w:left w:val="nil"/>
              <w:bottom w:val="single" w:sz="4" w:space="0" w:color="auto"/>
              <w:right w:val="single" w:sz="4" w:space="0" w:color="auto"/>
            </w:tcBorders>
            <w:shd w:val="clear" w:color="auto" w:fill="auto"/>
            <w:noWrap/>
            <w:vAlign w:val="center"/>
          </w:tcPr>
          <w:p w14:paraId="034AA22B"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36,375,790</w:t>
            </w:r>
          </w:p>
        </w:tc>
        <w:tc>
          <w:tcPr>
            <w:tcW w:w="1276" w:type="dxa"/>
            <w:tcBorders>
              <w:top w:val="nil"/>
              <w:left w:val="nil"/>
              <w:bottom w:val="single" w:sz="4" w:space="0" w:color="auto"/>
              <w:right w:val="single" w:sz="4" w:space="0" w:color="auto"/>
            </w:tcBorders>
            <w:shd w:val="clear" w:color="auto" w:fill="auto"/>
            <w:noWrap/>
            <w:vAlign w:val="center"/>
          </w:tcPr>
          <w:p w14:paraId="613BEE03" w14:textId="77777777" w:rsidR="00D868AB" w:rsidRPr="00D868AB" w:rsidRDefault="00D868AB" w:rsidP="00D868AB">
            <w:pPr>
              <w:jc w:val="right"/>
              <w:rPr>
                <w:rFonts w:eastAsia="Times New Roman" w:cs="Arial"/>
                <w:sz w:val="20"/>
                <w:szCs w:val="20"/>
                <w:highlight w:val="yellow"/>
              </w:rPr>
            </w:pPr>
            <w:r w:rsidRPr="00D868AB">
              <w:rPr>
                <w:rFonts w:cs="Arial"/>
                <w:b/>
                <w:bCs/>
                <w:color w:val="000000"/>
                <w:sz w:val="20"/>
                <w:szCs w:val="20"/>
              </w:rPr>
              <w:t>57,690,749</w:t>
            </w:r>
          </w:p>
        </w:tc>
      </w:tr>
      <w:tr w:rsidR="00D868AB" w:rsidRPr="00D868AB" w14:paraId="5DC10B44" w14:textId="77777777" w:rsidTr="00A755A7">
        <w:trPr>
          <w:trHeight w:val="20"/>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13361470"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14:paraId="1CBAC928"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7271 y 7272</w:t>
            </w:r>
          </w:p>
        </w:tc>
        <w:tc>
          <w:tcPr>
            <w:tcW w:w="1407" w:type="dxa"/>
            <w:tcBorders>
              <w:top w:val="nil"/>
              <w:left w:val="nil"/>
              <w:bottom w:val="single" w:sz="4" w:space="0" w:color="auto"/>
              <w:right w:val="single" w:sz="4" w:space="0" w:color="auto"/>
            </w:tcBorders>
            <w:shd w:val="clear" w:color="auto" w:fill="auto"/>
            <w:noWrap/>
            <w:vAlign w:val="center"/>
          </w:tcPr>
          <w:p w14:paraId="44C3CD69"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9,514,495</w:t>
            </w:r>
          </w:p>
        </w:tc>
        <w:tc>
          <w:tcPr>
            <w:tcW w:w="1406" w:type="dxa"/>
            <w:tcBorders>
              <w:top w:val="nil"/>
              <w:left w:val="nil"/>
              <w:bottom w:val="single" w:sz="4" w:space="0" w:color="auto"/>
              <w:right w:val="single" w:sz="4" w:space="0" w:color="auto"/>
            </w:tcBorders>
            <w:shd w:val="clear" w:color="auto" w:fill="auto"/>
            <w:noWrap/>
            <w:vAlign w:val="center"/>
          </w:tcPr>
          <w:p w14:paraId="26AC12BB"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15,677,720</w:t>
            </w:r>
          </w:p>
        </w:tc>
        <w:tc>
          <w:tcPr>
            <w:tcW w:w="1276" w:type="dxa"/>
            <w:tcBorders>
              <w:top w:val="nil"/>
              <w:left w:val="nil"/>
              <w:bottom w:val="single" w:sz="4" w:space="0" w:color="auto"/>
              <w:right w:val="single" w:sz="4" w:space="0" w:color="auto"/>
            </w:tcBorders>
            <w:shd w:val="clear" w:color="auto" w:fill="auto"/>
            <w:noWrap/>
            <w:vAlign w:val="center"/>
          </w:tcPr>
          <w:p w14:paraId="325764C1" w14:textId="77777777" w:rsidR="00D868AB" w:rsidRPr="00D868AB" w:rsidRDefault="00D868AB" w:rsidP="00D868AB">
            <w:pPr>
              <w:jc w:val="right"/>
              <w:rPr>
                <w:rFonts w:eastAsia="Times New Roman" w:cs="Arial"/>
                <w:sz w:val="20"/>
                <w:szCs w:val="20"/>
                <w:highlight w:val="yellow"/>
              </w:rPr>
            </w:pPr>
            <w:r w:rsidRPr="00D868AB">
              <w:rPr>
                <w:rFonts w:cs="Arial"/>
                <w:b/>
                <w:bCs/>
                <w:color w:val="000000"/>
                <w:sz w:val="20"/>
                <w:szCs w:val="20"/>
              </w:rPr>
              <w:t>25,192,215</w:t>
            </w:r>
          </w:p>
        </w:tc>
      </w:tr>
      <w:tr w:rsidR="00D868AB" w:rsidRPr="00D868AB" w14:paraId="68A5B2CC" w14:textId="77777777" w:rsidTr="00A755A7">
        <w:trPr>
          <w:trHeight w:val="20"/>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51DA10A9"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14:paraId="35BDFEE2"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10487</w:t>
            </w:r>
          </w:p>
        </w:tc>
        <w:tc>
          <w:tcPr>
            <w:tcW w:w="1407" w:type="dxa"/>
            <w:tcBorders>
              <w:top w:val="nil"/>
              <w:left w:val="nil"/>
              <w:bottom w:val="single" w:sz="4" w:space="0" w:color="auto"/>
              <w:right w:val="single" w:sz="4" w:space="0" w:color="auto"/>
            </w:tcBorders>
            <w:shd w:val="clear" w:color="auto" w:fill="auto"/>
            <w:noWrap/>
            <w:vAlign w:val="center"/>
          </w:tcPr>
          <w:p w14:paraId="54E7F59F"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tcPr>
          <w:p w14:paraId="61C6C693"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24,779,293</w:t>
            </w:r>
          </w:p>
        </w:tc>
        <w:tc>
          <w:tcPr>
            <w:tcW w:w="1276" w:type="dxa"/>
            <w:tcBorders>
              <w:top w:val="nil"/>
              <w:left w:val="nil"/>
              <w:bottom w:val="single" w:sz="4" w:space="0" w:color="auto"/>
              <w:right w:val="single" w:sz="4" w:space="0" w:color="auto"/>
            </w:tcBorders>
            <w:shd w:val="clear" w:color="auto" w:fill="auto"/>
            <w:noWrap/>
            <w:vAlign w:val="center"/>
          </w:tcPr>
          <w:p w14:paraId="21BCF23C" w14:textId="77777777" w:rsidR="00D868AB" w:rsidRPr="00D868AB" w:rsidRDefault="00D868AB" w:rsidP="00D868AB">
            <w:pPr>
              <w:jc w:val="right"/>
              <w:rPr>
                <w:rFonts w:eastAsia="Times New Roman" w:cs="Arial"/>
                <w:sz w:val="20"/>
                <w:szCs w:val="20"/>
                <w:highlight w:val="yellow"/>
              </w:rPr>
            </w:pPr>
            <w:r w:rsidRPr="00D868AB">
              <w:rPr>
                <w:rFonts w:cs="Arial"/>
                <w:b/>
                <w:bCs/>
                <w:color w:val="000000"/>
                <w:sz w:val="20"/>
                <w:szCs w:val="20"/>
              </w:rPr>
              <w:t>24,779,293</w:t>
            </w:r>
          </w:p>
        </w:tc>
      </w:tr>
      <w:tr w:rsidR="00D868AB" w:rsidRPr="00D868AB" w14:paraId="5CF9C294" w14:textId="77777777" w:rsidTr="00A755A7">
        <w:trPr>
          <w:trHeight w:val="20"/>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37C9357E"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14:paraId="3D160681"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11126 y 11282</w:t>
            </w:r>
          </w:p>
        </w:tc>
        <w:tc>
          <w:tcPr>
            <w:tcW w:w="1407" w:type="dxa"/>
            <w:tcBorders>
              <w:top w:val="nil"/>
              <w:left w:val="nil"/>
              <w:bottom w:val="single" w:sz="4" w:space="0" w:color="auto"/>
              <w:right w:val="single" w:sz="4" w:space="0" w:color="auto"/>
            </w:tcBorders>
            <w:shd w:val="clear" w:color="auto" w:fill="auto"/>
            <w:noWrap/>
            <w:vAlign w:val="center"/>
          </w:tcPr>
          <w:p w14:paraId="110453A4"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0</w:t>
            </w:r>
          </w:p>
        </w:tc>
        <w:tc>
          <w:tcPr>
            <w:tcW w:w="1406" w:type="dxa"/>
            <w:tcBorders>
              <w:top w:val="nil"/>
              <w:left w:val="nil"/>
              <w:bottom w:val="single" w:sz="4" w:space="0" w:color="auto"/>
              <w:right w:val="single" w:sz="4" w:space="0" w:color="auto"/>
            </w:tcBorders>
            <w:shd w:val="clear" w:color="auto" w:fill="auto"/>
            <w:noWrap/>
            <w:vAlign w:val="center"/>
          </w:tcPr>
          <w:p w14:paraId="6E0966B5"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14,699,677</w:t>
            </w:r>
          </w:p>
        </w:tc>
        <w:tc>
          <w:tcPr>
            <w:tcW w:w="1276" w:type="dxa"/>
            <w:tcBorders>
              <w:top w:val="nil"/>
              <w:left w:val="nil"/>
              <w:bottom w:val="single" w:sz="4" w:space="0" w:color="auto"/>
              <w:right w:val="single" w:sz="4" w:space="0" w:color="auto"/>
            </w:tcBorders>
            <w:shd w:val="clear" w:color="auto" w:fill="auto"/>
            <w:noWrap/>
            <w:vAlign w:val="center"/>
          </w:tcPr>
          <w:p w14:paraId="79B62D6E" w14:textId="77777777" w:rsidR="00D868AB" w:rsidRPr="00D868AB" w:rsidRDefault="00D868AB" w:rsidP="00D868AB">
            <w:pPr>
              <w:jc w:val="right"/>
              <w:rPr>
                <w:rFonts w:eastAsia="Times New Roman" w:cs="Arial"/>
                <w:sz w:val="20"/>
                <w:szCs w:val="20"/>
                <w:highlight w:val="yellow"/>
              </w:rPr>
            </w:pPr>
            <w:r w:rsidRPr="00D868AB">
              <w:rPr>
                <w:rFonts w:cs="Arial"/>
                <w:b/>
                <w:bCs/>
                <w:color w:val="000000"/>
                <w:sz w:val="20"/>
                <w:szCs w:val="20"/>
              </w:rPr>
              <w:t>14,699,677</w:t>
            </w:r>
          </w:p>
        </w:tc>
      </w:tr>
      <w:tr w:rsidR="00D868AB" w:rsidRPr="00D868AB" w14:paraId="0721B65C" w14:textId="77777777" w:rsidTr="00A755A7">
        <w:trPr>
          <w:trHeight w:val="20"/>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74AA9E13"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14:paraId="507F37D6"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11149</w:t>
            </w:r>
          </w:p>
        </w:tc>
        <w:tc>
          <w:tcPr>
            <w:tcW w:w="1407" w:type="dxa"/>
            <w:tcBorders>
              <w:top w:val="nil"/>
              <w:left w:val="nil"/>
              <w:bottom w:val="single" w:sz="4" w:space="0" w:color="auto"/>
              <w:right w:val="single" w:sz="4" w:space="0" w:color="auto"/>
            </w:tcBorders>
            <w:shd w:val="clear" w:color="auto" w:fill="auto"/>
            <w:noWrap/>
            <w:vAlign w:val="center"/>
          </w:tcPr>
          <w:p w14:paraId="3B8DED2D"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27,529,167</w:t>
            </w:r>
          </w:p>
        </w:tc>
        <w:tc>
          <w:tcPr>
            <w:tcW w:w="1406" w:type="dxa"/>
            <w:tcBorders>
              <w:top w:val="nil"/>
              <w:left w:val="nil"/>
              <w:bottom w:val="single" w:sz="4" w:space="0" w:color="auto"/>
              <w:right w:val="single" w:sz="4" w:space="0" w:color="auto"/>
            </w:tcBorders>
            <w:shd w:val="clear" w:color="auto" w:fill="auto"/>
            <w:noWrap/>
            <w:vAlign w:val="center"/>
          </w:tcPr>
          <w:p w14:paraId="4ED0A86B"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50,617,135</w:t>
            </w:r>
          </w:p>
        </w:tc>
        <w:tc>
          <w:tcPr>
            <w:tcW w:w="1276" w:type="dxa"/>
            <w:tcBorders>
              <w:top w:val="nil"/>
              <w:left w:val="nil"/>
              <w:bottom w:val="single" w:sz="4" w:space="0" w:color="auto"/>
              <w:right w:val="single" w:sz="4" w:space="0" w:color="auto"/>
            </w:tcBorders>
            <w:shd w:val="clear" w:color="auto" w:fill="auto"/>
            <w:noWrap/>
            <w:vAlign w:val="center"/>
          </w:tcPr>
          <w:p w14:paraId="35D9FF3E" w14:textId="77777777" w:rsidR="00D868AB" w:rsidRPr="00D868AB" w:rsidRDefault="00D868AB" w:rsidP="00D868AB">
            <w:pPr>
              <w:jc w:val="right"/>
              <w:rPr>
                <w:rFonts w:eastAsia="Times New Roman" w:cs="Arial"/>
                <w:sz w:val="20"/>
                <w:szCs w:val="20"/>
                <w:highlight w:val="yellow"/>
              </w:rPr>
            </w:pPr>
            <w:r w:rsidRPr="00D868AB">
              <w:rPr>
                <w:rFonts w:cs="Arial"/>
                <w:b/>
                <w:bCs/>
                <w:color w:val="000000"/>
                <w:sz w:val="20"/>
                <w:szCs w:val="20"/>
              </w:rPr>
              <w:t>78,146,302</w:t>
            </w:r>
          </w:p>
        </w:tc>
      </w:tr>
      <w:tr w:rsidR="00D868AB" w:rsidRPr="00D868AB" w14:paraId="5C05AD57" w14:textId="77777777" w:rsidTr="00A755A7">
        <w:trPr>
          <w:trHeight w:val="20"/>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335D89D1"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Banobras</w:t>
            </w:r>
          </w:p>
        </w:tc>
        <w:tc>
          <w:tcPr>
            <w:tcW w:w="1475" w:type="dxa"/>
            <w:tcBorders>
              <w:top w:val="nil"/>
              <w:left w:val="nil"/>
              <w:bottom w:val="single" w:sz="4" w:space="0" w:color="auto"/>
              <w:right w:val="single" w:sz="4" w:space="0" w:color="auto"/>
            </w:tcBorders>
            <w:shd w:val="clear" w:color="auto" w:fill="auto"/>
            <w:noWrap/>
            <w:vAlign w:val="center"/>
            <w:hideMark/>
          </w:tcPr>
          <w:p w14:paraId="267CD8B7"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13451</w:t>
            </w:r>
          </w:p>
        </w:tc>
        <w:tc>
          <w:tcPr>
            <w:tcW w:w="1407" w:type="dxa"/>
            <w:tcBorders>
              <w:top w:val="nil"/>
              <w:left w:val="nil"/>
              <w:bottom w:val="single" w:sz="4" w:space="0" w:color="auto"/>
              <w:right w:val="single" w:sz="4" w:space="0" w:color="auto"/>
            </w:tcBorders>
            <w:shd w:val="clear" w:color="auto" w:fill="auto"/>
            <w:noWrap/>
            <w:vAlign w:val="center"/>
          </w:tcPr>
          <w:p w14:paraId="1E92AA64"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8,395,663</w:t>
            </w:r>
          </w:p>
        </w:tc>
        <w:tc>
          <w:tcPr>
            <w:tcW w:w="1406" w:type="dxa"/>
            <w:tcBorders>
              <w:top w:val="nil"/>
              <w:left w:val="nil"/>
              <w:bottom w:val="single" w:sz="4" w:space="0" w:color="auto"/>
              <w:right w:val="single" w:sz="4" w:space="0" w:color="auto"/>
            </w:tcBorders>
            <w:shd w:val="clear" w:color="auto" w:fill="auto"/>
            <w:noWrap/>
            <w:vAlign w:val="center"/>
          </w:tcPr>
          <w:p w14:paraId="7B9F83DC"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44,026,258</w:t>
            </w:r>
          </w:p>
        </w:tc>
        <w:tc>
          <w:tcPr>
            <w:tcW w:w="1276" w:type="dxa"/>
            <w:tcBorders>
              <w:top w:val="nil"/>
              <w:left w:val="nil"/>
              <w:bottom w:val="single" w:sz="4" w:space="0" w:color="auto"/>
              <w:right w:val="single" w:sz="4" w:space="0" w:color="auto"/>
            </w:tcBorders>
            <w:shd w:val="clear" w:color="auto" w:fill="auto"/>
            <w:noWrap/>
            <w:vAlign w:val="center"/>
          </w:tcPr>
          <w:p w14:paraId="31927E57" w14:textId="77777777" w:rsidR="00D868AB" w:rsidRPr="00D868AB" w:rsidRDefault="00D868AB" w:rsidP="00D868AB">
            <w:pPr>
              <w:jc w:val="right"/>
              <w:rPr>
                <w:rFonts w:eastAsia="Times New Roman" w:cs="Arial"/>
                <w:sz w:val="20"/>
                <w:szCs w:val="20"/>
                <w:highlight w:val="yellow"/>
              </w:rPr>
            </w:pPr>
            <w:r w:rsidRPr="00D868AB">
              <w:rPr>
                <w:rFonts w:cs="Arial"/>
                <w:b/>
                <w:bCs/>
                <w:color w:val="000000"/>
                <w:sz w:val="20"/>
                <w:szCs w:val="20"/>
              </w:rPr>
              <w:t>52,421,921</w:t>
            </w:r>
          </w:p>
        </w:tc>
      </w:tr>
      <w:tr w:rsidR="00D868AB" w:rsidRPr="00D868AB" w14:paraId="094B22AF" w14:textId="77777777" w:rsidTr="00A755A7">
        <w:trPr>
          <w:trHeight w:val="20"/>
          <w:jc w:val="center"/>
        </w:trPr>
        <w:tc>
          <w:tcPr>
            <w:tcW w:w="31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D7C55C"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Subtotal Banca de Desarrollo</w:t>
            </w:r>
          </w:p>
        </w:tc>
        <w:tc>
          <w:tcPr>
            <w:tcW w:w="1407" w:type="dxa"/>
            <w:tcBorders>
              <w:top w:val="nil"/>
              <w:left w:val="nil"/>
              <w:bottom w:val="single" w:sz="4" w:space="0" w:color="auto"/>
              <w:right w:val="single" w:sz="4" w:space="0" w:color="auto"/>
            </w:tcBorders>
            <w:shd w:val="clear" w:color="auto" w:fill="auto"/>
            <w:noWrap/>
            <w:vAlign w:val="center"/>
          </w:tcPr>
          <w:p w14:paraId="50BB43B2" w14:textId="77777777" w:rsidR="00D868AB" w:rsidRPr="00D868AB" w:rsidRDefault="00D868AB" w:rsidP="00D868AB">
            <w:pPr>
              <w:jc w:val="right"/>
              <w:rPr>
                <w:rFonts w:eastAsia="Times New Roman" w:cs="Arial"/>
                <w:b/>
                <w:bCs/>
                <w:sz w:val="20"/>
                <w:szCs w:val="20"/>
                <w:highlight w:val="yellow"/>
              </w:rPr>
            </w:pPr>
            <w:r w:rsidRPr="00D868AB">
              <w:rPr>
                <w:rFonts w:cs="Arial"/>
                <w:b/>
                <w:bCs/>
                <w:color w:val="000000"/>
                <w:sz w:val="20"/>
                <w:szCs w:val="20"/>
              </w:rPr>
              <w:t>66,754,284</w:t>
            </w:r>
          </w:p>
        </w:tc>
        <w:tc>
          <w:tcPr>
            <w:tcW w:w="1406" w:type="dxa"/>
            <w:tcBorders>
              <w:top w:val="nil"/>
              <w:left w:val="nil"/>
              <w:bottom w:val="single" w:sz="4" w:space="0" w:color="auto"/>
              <w:right w:val="single" w:sz="4" w:space="0" w:color="auto"/>
            </w:tcBorders>
            <w:shd w:val="clear" w:color="auto" w:fill="auto"/>
            <w:noWrap/>
            <w:vAlign w:val="center"/>
          </w:tcPr>
          <w:p w14:paraId="3B20E55F" w14:textId="77777777" w:rsidR="00D868AB" w:rsidRPr="00D868AB" w:rsidRDefault="00D868AB" w:rsidP="00D868AB">
            <w:pPr>
              <w:jc w:val="right"/>
              <w:rPr>
                <w:rFonts w:eastAsia="Times New Roman" w:cs="Arial"/>
                <w:b/>
                <w:bCs/>
                <w:sz w:val="20"/>
                <w:szCs w:val="20"/>
                <w:highlight w:val="yellow"/>
              </w:rPr>
            </w:pPr>
            <w:r w:rsidRPr="00D868AB">
              <w:rPr>
                <w:rFonts w:cs="Arial"/>
                <w:b/>
                <w:bCs/>
                <w:color w:val="000000"/>
                <w:sz w:val="20"/>
                <w:szCs w:val="20"/>
              </w:rPr>
              <w:t>186,175,873</w:t>
            </w:r>
          </w:p>
        </w:tc>
        <w:tc>
          <w:tcPr>
            <w:tcW w:w="1276" w:type="dxa"/>
            <w:tcBorders>
              <w:top w:val="nil"/>
              <w:left w:val="nil"/>
              <w:bottom w:val="single" w:sz="4" w:space="0" w:color="auto"/>
              <w:right w:val="single" w:sz="4" w:space="0" w:color="auto"/>
            </w:tcBorders>
            <w:shd w:val="clear" w:color="auto" w:fill="auto"/>
            <w:noWrap/>
            <w:vAlign w:val="center"/>
          </w:tcPr>
          <w:p w14:paraId="780C41F4" w14:textId="77777777" w:rsidR="00D868AB" w:rsidRPr="00D868AB" w:rsidRDefault="00D868AB" w:rsidP="00D868AB">
            <w:pPr>
              <w:jc w:val="right"/>
              <w:rPr>
                <w:rFonts w:eastAsia="Times New Roman" w:cs="Arial"/>
                <w:b/>
                <w:bCs/>
                <w:sz w:val="20"/>
                <w:szCs w:val="20"/>
                <w:highlight w:val="yellow"/>
              </w:rPr>
            </w:pPr>
            <w:r w:rsidRPr="00D868AB">
              <w:rPr>
                <w:rFonts w:cs="Arial"/>
                <w:b/>
                <w:bCs/>
                <w:color w:val="000000"/>
                <w:sz w:val="20"/>
                <w:szCs w:val="20"/>
              </w:rPr>
              <w:t>252,930,157</w:t>
            </w:r>
          </w:p>
        </w:tc>
      </w:tr>
      <w:tr w:rsidR="00D868AB" w:rsidRPr="00D868AB" w14:paraId="085AB124" w14:textId="77777777" w:rsidTr="00A755A7">
        <w:trPr>
          <w:trHeight w:val="20"/>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227E3C90"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Banorte</w:t>
            </w:r>
          </w:p>
        </w:tc>
        <w:tc>
          <w:tcPr>
            <w:tcW w:w="1475" w:type="dxa"/>
            <w:tcBorders>
              <w:top w:val="nil"/>
              <w:left w:val="nil"/>
              <w:bottom w:val="single" w:sz="4" w:space="0" w:color="auto"/>
              <w:right w:val="single" w:sz="4" w:space="0" w:color="auto"/>
            </w:tcBorders>
            <w:shd w:val="clear" w:color="auto" w:fill="auto"/>
            <w:noWrap/>
            <w:vAlign w:val="center"/>
            <w:hideMark/>
          </w:tcPr>
          <w:p w14:paraId="5FE62180"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84908305</w:t>
            </w:r>
          </w:p>
        </w:tc>
        <w:tc>
          <w:tcPr>
            <w:tcW w:w="1407" w:type="dxa"/>
            <w:tcBorders>
              <w:top w:val="nil"/>
              <w:left w:val="nil"/>
              <w:bottom w:val="single" w:sz="4" w:space="0" w:color="auto"/>
              <w:right w:val="single" w:sz="4" w:space="0" w:color="auto"/>
            </w:tcBorders>
            <w:shd w:val="clear" w:color="auto" w:fill="auto"/>
            <w:noWrap/>
            <w:vAlign w:val="center"/>
          </w:tcPr>
          <w:p w14:paraId="1AA00664"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46,533,521</w:t>
            </w:r>
          </w:p>
        </w:tc>
        <w:tc>
          <w:tcPr>
            <w:tcW w:w="1406" w:type="dxa"/>
            <w:tcBorders>
              <w:top w:val="nil"/>
              <w:left w:val="nil"/>
              <w:bottom w:val="single" w:sz="4" w:space="0" w:color="auto"/>
              <w:right w:val="single" w:sz="4" w:space="0" w:color="auto"/>
            </w:tcBorders>
            <w:shd w:val="clear" w:color="auto" w:fill="auto"/>
            <w:noWrap/>
            <w:vAlign w:val="center"/>
          </w:tcPr>
          <w:p w14:paraId="0821EA78"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72,558,116</w:t>
            </w:r>
          </w:p>
        </w:tc>
        <w:tc>
          <w:tcPr>
            <w:tcW w:w="1276" w:type="dxa"/>
            <w:tcBorders>
              <w:top w:val="nil"/>
              <w:left w:val="nil"/>
              <w:bottom w:val="single" w:sz="4" w:space="0" w:color="auto"/>
              <w:right w:val="single" w:sz="4" w:space="0" w:color="auto"/>
            </w:tcBorders>
            <w:shd w:val="clear" w:color="auto" w:fill="auto"/>
            <w:noWrap/>
            <w:vAlign w:val="center"/>
          </w:tcPr>
          <w:p w14:paraId="182CC3A8" w14:textId="77777777" w:rsidR="00D868AB" w:rsidRPr="00D868AB" w:rsidRDefault="00D868AB" w:rsidP="00D868AB">
            <w:pPr>
              <w:jc w:val="right"/>
              <w:rPr>
                <w:rFonts w:eastAsia="Times New Roman" w:cs="Arial"/>
                <w:sz w:val="20"/>
                <w:szCs w:val="20"/>
                <w:highlight w:val="yellow"/>
              </w:rPr>
            </w:pPr>
            <w:r w:rsidRPr="00D868AB">
              <w:rPr>
                <w:rFonts w:cs="Arial"/>
                <w:b/>
                <w:bCs/>
                <w:color w:val="000000"/>
                <w:sz w:val="20"/>
                <w:szCs w:val="20"/>
              </w:rPr>
              <w:t>119,091,637</w:t>
            </w:r>
          </w:p>
        </w:tc>
      </w:tr>
      <w:tr w:rsidR="00D868AB" w:rsidRPr="00D868AB" w14:paraId="426EC6D0" w14:textId="77777777" w:rsidTr="00A755A7">
        <w:trPr>
          <w:trHeight w:val="20"/>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1A4A72E5"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BBVA  Bancomer</w:t>
            </w:r>
          </w:p>
        </w:tc>
        <w:tc>
          <w:tcPr>
            <w:tcW w:w="1475" w:type="dxa"/>
            <w:tcBorders>
              <w:top w:val="nil"/>
              <w:left w:val="nil"/>
              <w:bottom w:val="single" w:sz="4" w:space="0" w:color="auto"/>
              <w:right w:val="single" w:sz="4" w:space="0" w:color="auto"/>
            </w:tcBorders>
            <w:shd w:val="clear" w:color="auto" w:fill="auto"/>
            <w:noWrap/>
            <w:vAlign w:val="center"/>
            <w:hideMark/>
          </w:tcPr>
          <w:p w14:paraId="3526733D"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9863672986</w:t>
            </w:r>
          </w:p>
        </w:tc>
        <w:tc>
          <w:tcPr>
            <w:tcW w:w="1407" w:type="dxa"/>
            <w:tcBorders>
              <w:top w:val="nil"/>
              <w:left w:val="nil"/>
              <w:bottom w:val="single" w:sz="4" w:space="0" w:color="auto"/>
              <w:right w:val="single" w:sz="4" w:space="0" w:color="auto"/>
            </w:tcBorders>
            <w:shd w:val="clear" w:color="auto" w:fill="auto"/>
            <w:noWrap/>
            <w:vAlign w:val="center"/>
          </w:tcPr>
          <w:p w14:paraId="1F1FBFE8"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18,867,425</w:t>
            </w:r>
          </w:p>
        </w:tc>
        <w:tc>
          <w:tcPr>
            <w:tcW w:w="1406" w:type="dxa"/>
            <w:tcBorders>
              <w:top w:val="nil"/>
              <w:left w:val="nil"/>
              <w:bottom w:val="single" w:sz="4" w:space="0" w:color="auto"/>
              <w:right w:val="single" w:sz="4" w:space="0" w:color="auto"/>
            </w:tcBorders>
            <w:shd w:val="clear" w:color="auto" w:fill="auto"/>
            <w:noWrap/>
            <w:vAlign w:val="center"/>
          </w:tcPr>
          <w:p w14:paraId="2011EB78"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64,195,909</w:t>
            </w:r>
          </w:p>
        </w:tc>
        <w:tc>
          <w:tcPr>
            <w:tcW w:w="1276" w:type="dxa"/>
            <w:tcBorders>
              <w:top w:val="nil"/>
              <w:left w:val="nil"/>
              <w:bottom w:val="single" w:sz="4" w:space="0" w:color="auto"/>
              <w:right w:val="single" w:sz="4" w:space="0" w:color="auto"/>
            </w:tcBorders>
            <w:shd w:val="clear" w:color="auto" w:fill="auto"/>
            <w:noWrap/>
            <w:vAlign w:val="center"/>
          </w:tcPr>
          <w:p w14:paraId="6A83194E" w14:textId="77777777" w:rsidR="00D868AB" w:rsidRPr="00D868AB" w:rsidRDefault="00D868AB" w:rsidP="00D868AB">
            <w:pPr>
              <w:jc w:val="right"/>
              <w:rPr>
                <w:rFonts w:eastAsia="Times New Roman" w:cs="Arial"/>
                <w:sz w:val="20"/>
                <w:szCs w:val="20"/>
                <w:highlight w:val="yellow"/>
              </w:rPr>
            </w:pPr>
            <w:r w:rsidRPr="00D868AB">
              <w:rPr>
                <w:rFonts w:cs="Arial"/>
                <w:b/>
                <w:bCs/>
                <w:color w:val="000000"/>
                <w:sz w:val="20"/>
                <w:szCs w:val="20"/>
              </w:rPr>
              <w:t>83,063,334</w:t>
            </w:r>
          </w:p>
        </w:tc>
      </w:tr>
      <w:tr w:rsidR="00D868AB" w:rsidRPr="00D868AB" w14:paraId="6E373558" w14:textId="77777777" w:rsidTr="00A755A7">
        <w:trPr>
          <w:trHeight w:val="20"/>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2ECDEE9C"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HSBC</w:t>
            </w:r>
          </w:p>
        </w:tc>
        <w:tc>
          <w:tcPr>
            <w:tcW w:w="1475" w:type="dxa"/>
            <w:tcBorders>
              <w:top w:val="nil"/>
              <w:left w:val="nil"/>
              <w:bottom w:val="single" w:sz="4" w:space="0" w:color="auto"/>
              <w:right w:val="single" w:sz="4" w:space="0" w:color="auto"/>
            </w:tcBorders>
            <w:shd w:val="clear" w:color="auto" w:fill="auto"/>
            <w:noWrap/>
            <w:vAlign w:val="center"/>
            <w:hideMark/>
          </w:tcPr>
          <w:p w14:paraId="2D47905E"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84108927</w:t>
            </w:r>
          </w:p>
        </w:tc>
        <w:tc>
          <w:tcPr>
            <w:tcW w:w="1407" w:type="dxa"/>
            <w:tcBorders>
              <w:top w:val="nil"/>
              <w:left w:val="nil"/>
              <w:bottom w:val="single" w:sz="4" w:space="0" w:color="auto"/>
              <w:right w:val="single" w:sz="4" w:space="0" w:color="auto"/>
            </w:tcBorders>
            <w:shd w:val="clear" w:color="auto" w:fill="auto"/>
            <w:noWrap/>
            <w:vAlign w:val="center"/>
          </w:tcPr>
          <w:p w14:paraId="2D7A3ABE"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8,058,550</w:t>
            </w:r>
          </w:p>
        </w:tc>
        <w:tc>
          <w:tcPr>
            <w:tcW w:w="1406" w:type="dxa"/>
            <w:tcBorders>
              <w:top w:val="nil"/>
              <w:left w:val="nil"/>
              <w:bottom w:val="single" w:sz="4" w:space="0" w:color="auto"/>
              <w:right w:val="single" w:sz="4" w:space="0" w:color="auto"/>
            </w:tcBorders>
            <w:shd w:val="clear" w:color="auto" w:fill="auto"/>
            <w:noWrap/>
            <w:vAlign w:val="center"/>
          </w:tcPr>
          <w:p w14:paraId="452C67A3"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62,449,770</w:t>
            </w:r>
          </w:p>
        </w:tc>
        <w:tc>
          <w:tcPr>
            <w:tcW w:w="1276" w:type="dxa"/>
            <w:tcBorders>
              <w:top w:val="nil"/>
              <w:left w:val="nil"/>
              <w:bottom w:val="single" w:sz="4" w:space="0" w:color="auto"/>
              <w:right w:val="single" w:sz="4" w:space="0" w:color="auto"/>
            </w:tcBorders>
            <w:shd w:val="clear" w:color="auto" w:fill="auto"/>
            <w:noWrap/>
            <w:vAlign w:val="center"/>
          </w:tcPr>
          <w:p w14:paraId="53909F2C" w14:textId="77777777" w:rsidR="00D868AB" w:rsidRPr="00D868AB" w:rsidRDefault="00D868AB" w:rsidP="00D868AB">
            <w:pPr>
              <w:jc w:val="right"/>
              <w:rPr>
                <w:rFonts w:eastAsia="Times New Roman" w:cs="Arial"/>
                <w:sz w:val="20"/>
                <w:szCs w:val="20"/>
                <w:highlight w:val="yellow"/>
              </w:rPr>
            </w:pPr>
            <w:r w:rsidRPr="00D868AB">
              <w:rPr>
                <w:rFonts w:cs="Arial"/>
                <w:b/>
                <w:bCs/>
                <w:color w:val="000000"/>
                <w:sz w:val="20"/>
                <w:szCs w:val="20"/>
              </w:rPr>
              <w:t>70,508,320</w:t>
            </w:r>
          </w:p>
        </w:tc>
      </w:tr>
      <w:tr w:rsidR="00D868AB" w:rsidRPr="00D868AB" w14:paraId="43F3B94D" w14:textId="77777777" w:rsidTr="00A755A7">
        <w:trPr>
          <w:trHeight w:val="20"/>
          <w:jc w:val="center"/>
        </w:trPr>
        <w:tc>
          <w:tcPr>
            <w:tcW w:w="1666" w:type="dxa"/>
            <w:tcBorders>
              <w:top w:val="nil"/>
              <w:left w:val="single" w:sz="4" w:space="0" w:color="auto"/>
              <w:bottom w:val="single" w:sz="4" w:space="0" w:color="auto"/>
              <w:right w:val="single" w:sz="4" w:space="0" w:color="auto"/>
            </w:tcBorders>
            <w:shd w:val="clear" w:color="auto" w:fill="auto"/>
            <w:noWrap/>
            <w:vAlign w:val="center"/>
            <w:hideMark/>
          </w:tcPr>
          <w:p w14:paraId="5706736B"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BANSI</w:t>
            </w:r>
          </w:p>
        </w:tc>
        <w:tc>
          <w:tcPr>
            <w:tcW w:w="1475" w:type="dxa"/>
            <w:tcBorders>
              <w:top w:val="nil"/>
              <w:left w:val="nil"/>
              <w:bottom w:val="single" w:sz="4" w:space="0" w:color="auto"/>
              <w:right w:val="single" w:sz="4" w:space="0" w:color="auto"/>
            </w:tcBorders>
            <w:shd w:val="clear" w:color="auto" w:fill="auto"/>
            <w:noWrap/>
            <w:vAlign w:val="center"/>
            <w:hideMark/>
          </w:tcPr>
          <w:p w14:paraId="2D86B2DA"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111000315037</w:t>
            </w:r>
          </w:p>
        </w:tc>
        <w:tc>
          <w:tcPr>
            <w:tcW w:w="1407" w:type="dxa"/>
            <w:tcBorders>
              <w:top w:val="nil"/>
              <w:left w:val="nil"/>
              <w:bottom w:val="single" w:sz="4" w:space="0" w:color="auto"/>
              <w:right w:val="single" w:sz="4" w:space="0" w:color="auto"/>
            </w:tcBorders>
            <w:shd w:val="clear" w:color="auto" w:fill="auto"/>
            <w:noWrap/>
            <w:vAlign w:val="center"/>
          </w:tcPr>
          <w:p w14:paraId="23882D03"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3,829,800</w:t>
            </w:r>
          </w:p>
        </w:tc>
        <w:tc>
          <w:tcPr>
            <w:tcW w:w="1406" w:type="dxa"/>
            <w:tcBorders>
              <w:top w:val="nil"/>
              <w:left w:val="nil"/>
              <w:bottom w:val="single" w:sz="4" w:space="0" w:color="auto"/>
              <w:right w:val="single" w:sz="4" w:space="0" w:color="auto"/>
            </w:tcBorders>
            <w:shd w:val="clear" w:color="auto" w:fill="auto"/>
            <w:noWrap/>
            <w:vAlign w:val="center"/>
          </w:tcPr>
          <w:p w14:paraId="3A33A16F" w14:textId="77777777" w:rsidR="00D868AB" w:rsidRPr="00D868AB" w:rsidRDefault="00D868AB" w:rsidP="00D868AB">
            <w:pPr>
              <w:jc w:val="right"/>
              <w:rPr>
                <w:rFonts w:eastAsia="Times New Roman" w:cs="Arial"/>
                <w:sz w:val="20"/>
                <w:szCs w:val="20"/>
                <w:highlight w:val="yellow"/>
              </w:rPr>
            </w:pPr>
            <w:r w:rsidRPr="00D868AB">
              <w:rPr>
                <w:rFonts w:cs="Arial"/>
                <w:color w:val="000000"/>
                <w:sz w:val="20"/>
                <w:szCs w:val="20"/>
              </w:rPr>
              <w:t>30,760,519</w:t>
            </w:r>
          </w:p>
        </w:tc>
        <w:tc>
          <w:tcPr>
            <w:tcW w:w="1276" w:type="dxa"/>
            <w:tcBorders>
              <w:top w:val="nil"/>
              <w:left w:val="nil"/>
              <w:bottom w:val="single" w:sz="4" w:space="0" w:color="auto"/>
              <w:right w:val="single" w:sz="4" w:space="0" w:color="auto"/>
            </w:tcBorders>
            <w:shd w:val="clear" w:color="auto" w:fill="auto"/>
            <w:noWrap/>
            <w:vAlign w:val="center"/>
          </w:tcPr>
          <w:p w14:paraId="69C4F4E4" w14:textId="77777777" w:rsidR="00D868AB" w:rsidRPr="00D868AB" w:rsidRDefault="00D868AB" w:rsidP="00D868AB">
            <w:pPr>
              <w:jc w:val="right"/>
              <w:rPr>
                <w:rFonts w:eastAsia="Times New Roman" w:cs="Arial"/>
                <w:sz w:val="20"/>
                <w:szCs w:val="20"/>
                <w:highlight w:val="yellow"/>
              </w:rPr>
            </w:pPr>
            <w:r w:rsidRPr="00D868AB">
              <w:rPr>
                <w:rFonts w:cs="Arial"/>
                <w:b/>
                <w:bCs/>
                <w:color w:val="000000"/>
                <w:sz w:val="20"/>
                <w:szCs w:val="20"/>
              </w:rPr>
              <w:t>34,590,319</w:t>
            </w:r>
          </w:p>
        </w:tc>
      </w:tr>
      <w:tr w:rsidR="00D868AB" w:rsidRPr="00D868AB" w14:paraId="7BFB1E95" w14:textId="77777777" w:rsidTr="00A755A7">
        <w:trPr>
          <w:trHeight w:val="20"/>
          <w:jc w:val="center"/>
        </w:trPr>
        <w:tc>
          <w:tcPr>
            <w:tcW w:w="314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8189D14"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Subtotal Banca Comercial</w:t>
            </w:r>
          </w:p>
        </w:tc>
        <w:tc>
          <w:tcPr>
            <w:tcW w:w="1407" w:type="dxa"/>
            <w:tcBorders>
              <w:top w:val="nil"/>
              <w:left w:val="nil"/>
              <w:bottom w:val="single" w:sz="4" w:space="0" w:color="auto"/>
              <w:right w:val="single" w:sz="4" w:space="0" w:color="auto"/>
            </w:tcBorders>
            <w:shd w:val="clear" w:color="auto" w:fill="auto"/>
            <w:noWrap/>
            <w:vAlign w:val="center"/>
          </w:tcPr>
          <w:p w14:paraId="634F0DDC" w14:textId="77777777" w:rsidR="00D868AB" w:rsidRPr="00D868AB" w:rsidRDefault="00D868AB" w:rsidP="00D868AB">
            <w:pPr>
              <w:jc w:val="right"/>
              <w:rPr>
                <w:rFonts w:eastAsia="Times New Roman" w:cs="Arial"/>
                <w:b/>
                <w:bCs/>
                <w:sz w:val="20"/>
                <w:szCs w:val="20"/>
                <w:highlight w:val="yellow"/>
              </w:rPr>
            </w:pPr>
            <w:r w:rsidRPr="00D868AB">
              <w:rPr>
                <w:rFonts w:cs="Arial"/>
                <w:b/>
                <w:bCs/>
                <w:color w:val="000000"/>
                <w:sz w:val="20"/>
                <w:szCs w:val="20"/>
              </w:rPr>
              <w:t>77,289,296</w:t>
            </w:r>
          </w:p>
        </w:tc>
        <w:tc>
          <w:tcPr>
            <w:tcW w:w="1406" w:type="dxa"/>
            <w:tcBorders>
              <w:top w:val="nil"/>
              <w:left w:val="nil"/>
              <w:bottom w:val="single" w:sz="4" w:space="0" w:color="auto"/>
              <w:right w:val="single" w:sz="4" w:space="0" w:color="auto"/>
            </w:tcBorders>
            <w:shd w:val="clear" w:color="auto" w:fill="auto"/>
            <w:noWrap/>
            <w:vAlign w:val="center"/>
          </w:tcPr>
          <w:p w14:paraId="6AD3AC07" w14:textId="77777777" w:rsidR="00D868AB" w:rsidRPr="00D868AB" w:rsidRDefault="00D868AB" w:rsidP="00D868AB">
            <w:pPr>
              <w:jc w:val="right"/>
              <w:rPr>
                <w:rFonts w:eastAsia="Times New Roman" w:cs="Arial"/>
                <w:b/>
                <w:bCs/>
                <w:sz w:val="20"/>
                <w:szCs w:val="20"/>
                <w:highlight w:val="yellow"/>
              </w:rPr>
            </w:pPr>
            <w:r w:rsidRPr="00D868AB">
              <w:rPr>
                <w:rFonts w:cs="Arial"/>
                <w:b/>
                <w:bCs/>
                <w:color w:val="000000"/>
                <w:sz w:val="20"/>
                <w:szCs w:val="20"/>
              </w:rPr>
              <w:t>229,964,314</w:t>
            </w:r>
          </w:p>
        </w:tc>
        <w:tc>
          <w:tcPr>
            <w:tcW w:w="1276" w:type="dxa"/>
            <w:tcBorders>
              <w:top w:val="nil"/>
              <w:left w:val="nil"/>
              <w:bottom w:val="single" w:sz="4" w:space="0" w:color="auto"/>
              <w:right w:val="single" w:sz="4" w:space="0" w:color="auto"/>
            </w:tcBorders>
            <w:shd w:val="clear" w:color="auto" w:fill="auto"/>
            <w:noWrap/>
            <w:vAlign w:val="center"/>
          </w:tcPr>
          <w:p w14:paraId="557B7317" w14:textId="77777777" w:rsidR="00D868AB" w:rsidRPr="00D868AB" w:rsidRDefault="00D868AB" w:rsidP="00D868AB">
            <w:pPr>
              <w:jc w:val="right"/>
              <w:rPr>
                <w:rFonts w:eastAsia="Times New Roman" w:cs="Arial"/>
                <w:b/>
                <w:bCs/>
                <w:sz w:val="20"/>
                <w:szCs w:val="20"/>
                <w:highlight w:val="yellow"/>
              </w:rPr>
            </w:pPr>
            <w:r w:rsidRPr="00D868AB">
              <w:rPr>
                <w:rFonts w:cs="Arial"/>
                <w:b/>
                <w:bCs/>
                <w:color w:val="000000"/>
                <w:sz w:val="20"/>
                <w:szCs w:val="20"/>
              </w:rPr>
              <w:t>307,253,610</w:t>
            </w:r>
          </w:p>
        </w:tc>
      </w:tr>
      <w:tr w:rsidR="00D868AB" w:rsidRPr="00D868AB" w14:paraId="3678365F" w14:textId="77777777" w:rsidTr="00A755A7">
        <w:trPr>
          <w:trHeight w:val="20"/>
          <w:jc w:val="center"/>
        </w:trPr>
        <w:tc>
          <w:tcPr>
            <w:tcW w:w="31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1232D"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Total</w:t>
            </w:r>
          </w:p>
        </w:tc>
        <w:tc>
          <w:tcPr>
            <w:tcW w:w="1407" w:type="dxa"/>
            <w:tcBorders>
              <w:top w:val="nil"/>
              <w:left w:val="nil"/>
              <w:bottom w:val="single" w:sz="4" w:space="0" w:color="auto"/>
              <w:right w:val="single" w:sz="4" w:space="0" w:color="auto"/>
            </w:tcBorders>
            <w:shd w:val="clear" w:color="auto" w:fill="auto"/>
            <w:noWrap/>
            <w:vAlign w:val="center"/>
          </w:tcPr>
          <w:p w14:paraId="513F68A9" w14:textId="77777777" w:rsidR="00D868AB" w:rsidRPr="00D868AB" w:rsidRDefault="00D868AB" w:rsidP="00D868AB">
            <w:pPr>
              <w:jc w:val="right"/>
              <w:rPr>
                <w:rFonts w:eastAsia="Times New Roman" w:cs="Arial"/>
                <w:b/>
                <w:bCs/>
                <w:sz w:val="20"/>
                <w:szCs w:val="20"/>
                <w:highlight w:val="yellow"/>
              </w:rPr>
            </w:pPr>
            <w:r w:rsidRPr="00D868AB">
              <w:rPr>
                <w:rFonts w:cs="Arial"/>
                <w:b/>
                <w:bCs/>
                <w:color w:val="000000"/>
                <w:sz w:val="20"/>
                <w:szCs w:val="20"/>
              </w:rPr>
              <w:t>144,043,580</w:t>
            </w:r>
          </w:p>
        </w:tc>
        <w:tc>
          <w:tcPr>
            <w:tcW w:w="1406" w:type="dxa"/>
            <w:tcBorders>
              <w:top w:val="nil"/>
              <w:left w:val="nil"/>
              <w:bottom w:val="single" w:sz="4" w:space="0" w:color="auto"/>
              <w:right w:val="single" w:sz="4" w:space="0" w:color="auto"/>
            </w:tcBorders>
            <w:shd w:val="clear" w:color="auto" w:fill="auto"/>
            <w:noWrap/>
            <w:vAlign w:val="center"/>
          </w:tcPr>
          <w:p w14:paraId="089F0A38" w14:textId="77777777" w:rsidR="00D868AB" w:rsidRPr="00D868AB" w:rsidRDefault="00D868AB" w:rsidP="00D868AB">
            <w:pPr>
              <w:jc w:val="right"/>
              <w:rPr>
                <w:rFonts w:eastAsia="Times New Roman" w:cs="Arial"/>
                <w:b/>
                <w:bCs/>
                <w:sz w:val="20"/>
                <w:szCs w:val="20"/>
                <w:highlight w:val="yellow"/>
              </w:rPr>
            </w:pPr>
            <w:r w:rsidRPr="00D868AB">
              <w:rPr>
                <w:rFonts w:cs="Arial"/>
                <w:b/>
                <w:bCs/>
                <w:color w:val="000000"/>
                <w:sz w:val="20"/>
                <w:szCs w:val="20"/>
              </w:rPr>
              <w:t>416,140,187</w:t>
            </w:r>
          </w:p>
        </w:tc>
        <w:tc>
          <w:tcPr>
            <w:tcW w:w="1276" w:type="dxa"/>
            <w:tcBorders>
              <w:top w:val="nil"/>
              <w:left w:val="nil"/>
              <w:bottom w:val="single" w:sz="4" w:space="0" w:color="auto"/>
              <w:right w:val="single" w:sz="4" w:space="0" w:color="auto"/>
            </w:tcBorders>
            <w:shd w:val="clear" w:color="auto" w:fill="auto"/>
            <w:noWrap/>
            <w:vAlign w:val="center"/>
          </w:tcPr>
          <w:p w14:paraId="5857AC42" w14:textId="77777777" w:rsidR="00D868AB" w:rsidRPr="00D868AB" w:rsidRDefault="00D868AB" w:rsidP="00D868AB">
            <w:pPr>
              <w:jc w:val="right"/>
              <w:rPr>
                <w:rFonts w:eastAsia="Times New Roman" w:cs="Arial"/>
                <w:b/>
                <w:bCs/>
                <w:sz w:val="20"/>
                <w:szCs w:val="20"/>
                <w:highlight w:val="yellow"/>
              </w:rPr>
            </w:pPr>
            <w:r w:rsidRPr="00D868AB">
              <w:rPr>
                <w:rFonts w:cs="Arial"/>
                <w:b/>
                <w:bCs/>
                <w:color w:val="000000"/>
                <w:sz w:val="20"/>
                <w:szCs w:val="20"/>
              </w:rPr>
              <w:t>560,183,767</w:t>
            </w:r>
          </w:p>
        </w:tc>
      </w:tr>
    </w:tbl>
    <w:p w14:paraId="3CCA9E8C" w14:textId="77777777" w:rsidR="00D868AB" w:rsidRPr="00D868AB" w:rsidRDefault="00D868AB" w:rsidP="00D868AB">
      <w:pPr>
        <w:ind w:left="709"/>
        <w:rPr>
          <w:rFonts w:cs="Arial"/>
          <w:sz w:val="16"/>
          <w:szCs w:val="20"/>
          <w:lang w:val="es-ES"/>
        </w:rPr>
      </w:pPr>
      <w:r w:rsidRPr="00D868AB">
        <w:rPr>
          <w:rFonts w:cs="Arial"/>
          <w:b/>
          <w:sz w:val="16"/>
          <w:szCs w:val="20"/>
          <w:lang w:val="es-ES"/>
        </w:rPr>
        <w:lastRenderedPageBreak/>
        <w:t>Nota</w:t>
      </w:r>
      <w:r w:rsidRPr="00D868AB">
        <w:rPr>
          <w:rFonts w:cs="Arial"/>
          <w:sz w:val="16"/>
          <w:szCs w:val="20"/>
          <w:lang w:val="es-ES"/>
        </w:rPr>
        <w:t>: La suma de los parciales puede no coincidir con el total debido al redondeo de cifras</w:t>
      </w:r>
    </w:p>
    <w:p w14:paraId="44313800" w14:textId="77777777" w:rsidR="00D868AB" w:rsidRPr="00D868AB" w:rsidRDefault="00D868AB" w:rsidP="00D868AB">
      <w:pPr>
        <w:rPr>
          <w:rFonts w:cs="Arial"/>
          <w:lang w:val="es-ES"/>
        </w:rPr>
      </w:pPr>
    </w:p>
    <w:p w14:paraId="0177E65B" w14:textId="77777777" w:rsidR="00D868AB" w:rsidRPr="00D868AB" w:rsidRDefault="00D868AB" w:rsidP="00D868AB">
      <w:pPr>
        <w:keepNext/>
        <w:keepLines/>
        <w:outlineLvl w:val="2"/>
        <w:rPr>
          <w:rFonts w:eastAsia="Times New Roman" w:cs="Arial"/>
          <w:b/>
          <w:szCs w:val="24"/>
          <w:lang w:val="es-ES" w:eastAsia="en-US"/>
        </w:rPr>
      </w:pP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9"/>
        <w:gridCol w:w="761"/>
        <w:gridCol w:w="850"/>
        <w:gridCol w:w="709"/>
        <w:gridCol w:w="992"/>
        <w:gridCol w:w="851"/>
        <w:gridCol w:w="1275"/>
        <w:gridCol w:w="851"/>
        <w:gridCol w:w="850"/>
        <w:gridCol w:w="851"/>
        <w:gridCol w:w="709"/>
        <w:gridCol w:w="111"/>
      </w:tblGrid>
      <w:tr w:rsidR="00D868AB" w:rsidRPr="00D868AB" w14:paraId="505363B3" w14:textId="77777777" w:rsidTr="00A755A7">
        <w:trPr>
          <w:gridAfter w:val="1"/>
          <w:wAfter w:w="111" w:type="dxa"/>
          <w:tblHeader/>
          <w:jc w:val="center"/>
        </w:trPr>
        <w:tc>
          <w:tcPr>
            <w:tcW w:w="9498" w:type="dxa"/>
            <w:gridSpan w:val="11"/>
            <w:tcBorders>
              <w:top w:val="nil"/>
              <w:left w:val="nil"/>
              <w:bottom w:val="nil"/>
              <w:right w:val="nil"/>
            </w:tcBorders>
            <w:shd w:val="clear" w:color="auto" w:fill="auto"/>
            <w:vAlign w:val="center"/>
          </w:tcPr>
          <w:p w14:paraId="6FCCF1CB" w14:textId="77777777" w:rsidR="00D868AB" w:rsidRPr="00D868AB" w:rsidRDefault="00D868AB" w:rsidP="00D868AB">
            <w:pPr>
              <w:jc w:val="center"/>
              <w:rPr>
                <w:rFonts w:eastAsia="Times New Roman" w:cs="Arial"/>
                <w:b/>
                <w:sz w:val="20"/>
                <w:lang w:val="es-ES"/>
              </w:rPr>
            </w:pPr>
            <w:r w:rsidRPr="00D868AB">
              <w:rPr>
                <w:rFonts w:eastAsia="Times New Roman" w:cs="Arial"/>
                <w:b/>
                <w:sz w:val="20"/>
                <w:lang w:val="es-ES"/>
              </w:rPr>
              <w:t>Tabla 39. Composición de la Deuda Pública (Directa) de Largo Plazo</w:t>
            </w:r>
          </w:p>
          <w:p w14:paraId="2464F68E" w14:textId="77777777" w:rsidR="00D868AB" w:rsidRPr="00D868AB" w:rsidRDefault="00D868AB" w:rsidP="00D868AB">
            <w:pPr>
              <w:jc w:val="center"/>
              <w:rPr>
                <w:rFonts w:cs="Arial"/>
                <w:b/>
                <w:sz w:val="20"/>
                <w:highlight w:val="yellow"/>
              </w:rPr>
            </w:pPr>
            <w:r w:rsidRPr="00D868AB">
              <w:rPr>
                <w:rFonts w:eastAsia="Times New Roman" w:cs="Arial"/>
                <w:b/>
                <w:sz w:val="20"/>
                <w:lang w:val="es-ES"/>
              </w:rPr>
              <w:t>(Criterio IMCO)</w:t>
            </w:r>
          </w:p>
        </w:tc>
      </w:tr>
      <w:tr w:rsidR="00D868AB" w:rsidRPr="00D868AB" w14:paraId="2E476CEC"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320"/>
          <w:jc w:val="center"/>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24BA1F" w14:textId="77777777" w:rsidR="00D868AB" w:rsidRPr="00D868AB" w:rsidRDefault="00D868AB" w:rsidP="00D868AB">
            <w:pPr>
              <w:jc w:val="center"/>
              <w:rPr>
                <w:rFonts w:eastAsia="Times New Roman" w:cs="Arial"/>
                <w:b/>
                <w:bCs/>
                <w:sz w:val="12"/>
                <w:szCs w:val="12"/>
              </w:rPr>
            </w:pPr>
            <w:r w:rsidRPr="00D868AB">
              <w:rPr>
                <w:rFonts w:eastAsia="Times New Roman" w:cs="Arial"/>
                <w:b/>
                <w:bCs/>
                <w:sz w:val="12"/>
                <w:szCs w:val="12"/>
              </w:rPr>
              <w:t>Número de Crédito</w:t>
            </w:r>
          </w:p>
        </w:tc>
        <w:tc>
          <w:tcPr>
            <w:tcW w:w="761" w:type="dxa"/>
            <w:tcBorders>
              <w:top w:val="single" w:sz="4" w:space="0" w:color="auto"/>
              <w:left w:val="nil"/>
              <w:bottom w:val="single" w:sz="4" w:space="0" w:color="auto"/>
              <w:right w:val="single" w:sz="4" w:space="0" w:color="auto"/>
            </w:tcBorders>
            <w:shd w:val="clear" w:color="auto" w:fill="auto"/>
            <w:vAlign w:val="center"/>
            <w:hideMark/>
          </w:tcPr>
          <w:p w14:paraId="5E0506E9" w14:textId="77777777" w:rsidR="00D868AB" w:rsidRPr="00D868AB" w:rsidRDefault="00D868AB" w:rsidP="00D868AB">
            <w:pPr>
              <w:jc w:val="center"/>
              <w:rPr>
                <w:rFonts w:eastAsia="Times New Roman" w:cs="Arial"/>
                <w:b/>
                <w:bCs/>
                <w:sz w:val="10"/>
                <w:szCs w:val="12"/>
              </w:rPr>
            </w:pPr>
            <w:r w:rsidRPr="00D868AB">
              <w:rPr>
                <w:rFonts w:eastAsia="Times New Roman" w:cs="Arial"/>
                <w:b/>
                <w:bCs/>
                <w:sz w:val="10"/>
                <w:szCs w:val="12"/>
              </w:rPr>
              <w:t>Fecha de Suscripción</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1E6F5B6" w14:textId="77777777" w:rsidR="00D868AB" w:rsidRPr="00D868AB" w:rsidRDefault="00D868AB" w:rsidP="00D868AB">
            <w:pPr>
              <w:jc w:val="center"/>
              <w:rPr>
                <w:rFonts w:eastAsia="Times New Roman" w:cs="Arial"/>
                <w:b/>
                <w:bCs/>
                <w:sz w:val="12"/>
                <w:szCs w:val="12"/>
              </w:rPr>
            </w:pPr>
            <w:r w:rsidRPr="00D868AB">
              <w:rPr>
                <w:rFonts w:eastAsia="Times New Roman" w:cs="Arial"/>
                <w:b/>
                <w:bCs/>
                <w:sz w:val="12"/>
                <w:szCs w:val="12"/>
              </w:rPr>
              <w:t>Tipo de Instrumento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46CEB29" w14:textId="77777777" w:rsidR="00D868AB" w:rsidRPr="00D868AB" w:rsidRDefault="00D868AB" w:rsidP="00D868AB">
            <w:pPr>
              <w:jc w:val="center"/>
              <w:rPr>
                <w:rFonts w:eastAsia="Times New Roman" w:cs="Arial"/>
                <w:b/>
                <w:bCs/>
                <w:sz w:val="10"/>
                <w:szCs w:val="12"/>
              </w:rPr>
            </w:pPr>
            <w:r w:rsidRPr="00D868AB">
              <w:rPr>
                <w:rFonts w:eastAsia="Times New Roman" w:cs="Arial"/>
                <w:b/>
                <w:bCs/>
                <w:sz w:val="10"/>
                <w:szCs w:val="12"/>
              </w:rPr>
              <w:t>Institución Bancaria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1864589" w14:textId="77777777" w:rsidR="00D868AB" w:rsidRPr="00D868AB" w:rsidRDefault="00D868AB" w:rsidP="00D868AB">
            <w:pPr>
              <w:jc w:val="center"/>
              <w:rPr>
                <w:rFonts w:eastAsia="Times New Roman" w:cs="Arial"/>
                <w:b/>
                <w:bCs/>
                <w:sz w:val="12"/>
                <w:szCs w:val="12"/>
              </w:rPr>
            </w:pPr>
            <w:r w:rsidRPr="00D868AB">
              <w:rPr>
                <w:rFonts w:eastAsia="Times New Roman" w:cs="Arial"/>
                <w:b/>
                <w:bCs/>
                <w:sz w:val="12"/>
                <w:szCs w:val="12"/>
              </w:rPr>
              <w:t>Fuente de Garantía de Pago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072667BF" w14:textId="77777777" w:rsidR="00D868AB" w:rsidRPr="00D868AB" w:rsidRDefault="00D868AB" w:rsidP="00D868AB">
            <w:pPr>
              <w:jc w:val="center"/>
              <w:rPr>
                <w:rFonts w:eastAsia="Times New Roman" w:cs="Arial"/>
                <w:b/>
                <w:bCs/>
                <w:sz w:val="10"/>
                <w:szCs w:val="12"/>
              </w:rPr>
            </w:pPr>
            <w:r w:rsidRPr="00D868AB">
              <w:rPr>
                <w:rFonts w:eastAsia="Times New Roman" w:cs="Arial"/>
                <w:b/>
                <w:bCs/>
                <w:sz w:val="10"/>
                <w:szCs w:val="12"/>
              </w:rPr>
              <w:t>Fecha de Vencimiento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66CF18" w14:textId="77777777" w:rsidR="00D868AB" w:rsidRPr="00D868AB" w:rsidRDefault="00D868AB" w:rsidP="00D868AB">
            <w:pPr>
              <w:jc w:val="center"/>
              <w:rPr>
                <w:rFonts w:eastAsia="Times New Roman" w:cs="Arial"/>
                <w:b/>
                <w:bCs/>
                <w:sz w:val="12"/>
                <w:szCs w:val="12"/>
              </w:rPr>
            </w:pPr>
            <w:r w:rsidRPr="00D868AB">
              <w:rPr>
                <w:rFonts w:eastAsia="Times New Roman" w:cs="Arial"/>
                <w:b/>
                <w:bCs/>
                <w:sz w:val="12"/>
                <w:szCs w:val="12"/>
              </w:rPr>
              <w:t>Destino</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E23BB36" w14:textId="77777777" w:rsidR="00D868AB" w:rsidRPr="00D868AB" w:rsidRDefault="00D868AB" w:rsidP="00D868AB">
            <w:pPr>
              <w:jc w:val="center"/>
              <w:rPr>
                <w:rFonts w:eastAsia="Times New Roman" w:cs="Arial"/>
                <w:b/>
                <w:bCs/>
                <w:sz w:val="12"/>
                <w:szCs w:val="12"/>
              </w:rPr>
            </w:pPr>
            <w:r w:rsidRPr="00D868AB">
              <w:rPr>
                <w:rFonts w:eastAsia="Times New Roman" w:cs="Arial"/>
                <w:b/>
                <w:bCs/>
                <w:sz w:val="12"/>
                <w:szCs w:val="12"/>
              </w:rPr>
              <w:t>Tasa de Interés Contratada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6BD1EB3E" w14:textId="77777777" w:rsidR="00D868AB" w:rsidRPr="00D868AB" w:rsidRDefault="00D868AB" w:rsidP="00D868AB">
            <w:pPr>
              <w:jc w:val="center"/>
              <w:rPr>
                <w:rFonts w:eastAsia="Times New Roman" w:cs="Arial"/>
                <w:b/>
                <w:bCs/>
                <w:color w:val="000000"/>
                <w:sz w:val="10"/>
                <w:szCs w:val="12"/>
              </w:rPr>
            </w:pPr>
            <w:r w:rsidRPr="00D868AB">
              <w:rPr>
                <w:rFonts w:eastAsia="Times New Roman" w:cs="Arial"/>
                <w:b/>
                <w:bCs/>
                <w:color w:val="000000"/>
                <w:sz w:val="10"/>
                <w:szCs w:val="12"/>
              </w:rPr>
              <w:t>Amortización</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F3AA7A0" w14:textId="77777777" w:rsidR="00D868AB" w:rsidRPr="00D868AB" w:rsidRDefault="00D868AB" w:rsidP="00D868AB">
            <w:pPr>
              <w:jc w:val="center"/>
              <w:rPr>
                <w:rFonts w:eastAsia="Times New Roman" w:cs="Arial"/>
                <w:b/>
                <w:bCs/>
                <w:color w:val="000000"/>
                <w:sz w:val="12"/>
                <w:szCs w:val="12"/>
              </w:rPr>
            </w:pPr>
            <w:r w:rsidRPr="00D868AB">
              <w:rPr>
                <w:rFonts w:eastAsia="Times New Roman" w:cs="Arial"/>
                <w:b/>
                <w:bCs/>
                <w:color w:val="000000"/>
                <w:sz w:val="12"/>
                <w:szCs w:val="12"/>
              </w:rPr>
              <w:t>Interés</w:t>
            </w:r>
          </w:p>
        </w:tc>
        <w:tc>
          <w:tcPr>
            <w:tcW w:w="820" w:type="dxa"/>
            <w:gridSpan w:val="2"/>
            <w:tcBorders>
              <w:top w:val="single" w:sz="4" w:space="0" w:color="auto"/>
              <w:left w:val="nil"/>
              <w:bottom w:val="single" w:sz="4" w:space="0" w:color="auto"/>
              <w:right w:val="single" w:sz="4" w:space="0" w:color="auto"/>
            </w:tcBorders>
            <w:shd w:val="clear" w:color="auto" w:fill="auto"/>
            <w:vAlign w:val="center"/>
            <w:hideMark/>
          </w:tcPr>
          <w:p w14:paraId="383D99F0" w14:textId="77777777" w:rsidR="00D868AB" w:rsidRPr="00D868AB" w:rsidRDefault="00D868AB" w:rsidP="00D868AB">
            <w:pPr>
              <w:jc w:val="center"/>
              <w:rPr>
                <w:rFonts w:eastAsia="Times New Roman" w:cs="Arial"/>
                <w:b/>
                <w:bCs/>
                <w:color w:val="000000"/>
                <w:sz w:val="12"/>
                <w:szCs w:val="12"/>
              </w:rPr>
            </w:pPr>
            <w:r w:rsidRPr="00D868AB">
              <w:rPr>
                <w:rFonts w:eastAsia="Times New Roman" w:cs="Arial"/>
                <w:b/>
                <w:bCs/>
                <w:color w:val="000000"/>
                <w:sz w:val="12"/>
                <w:szCs w:val="12"/>
              </w:rPr>
              <w:t>Total</w:t>
            </w:r>
          </w:p>
        </w:tc>
      </w:tr>
      <w:tr w:rsidR="00D868AB" w:rsidRPr="00D868AB" w14:paraId="67E8DE5E"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052A6052"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7225, 7226</w:t>
            </w:r>
          </w:p>
        </w:tc>
        <w:tc>
          <w:tcPr>
            <w:tcW w:w="761" w:type="dxa"/>
            <w:tcBorders>
              <w:top w:val="nil"/>
              <w:left w:val="nil"/>
              <w:bottom w:val="single" w:sz="4" w:space="0" w:color="auto"/>
              <w:right w:val="single" w:sz="4" w:space="0" w:color="auto"/>
            </w:tcBorders>
            <w:shd w:val="clear" w:color="auto" w:fill="auto"/>
            <w:noWrap/>
            <w:vAlign w:val="center"/>
          </w:tcPr>
          <w:p w14:paraId="45BDE150"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jun-08</w:t>
            </w:r>
          </w:p>
        </w:tc>
        <w:tc>
          <w:tcPr>
            <w:tcW w:w="850" w:type="dxa"/>
            <w:tcBorders>
              <w:top w:val="nil"/>
              <w:left w:val="nil"/>
              <w:bottom w:val="single" w:sz="4" w:space="0" w:color="auto"/>
              <w:right w:val="single" w:sz="4" w:space="0" w:color="auto"/>
            </w:tcBorders>
            <w:shd w:val="clear" w:color="auto" w:fill="auto"/>
            <w:noWrap/>
            <w:vAlign w:val="center"/>
          </w:tcPr>
          <w:p w14:paraId="2079846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70D8D15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tcPr>
          <w:p w14:paraId="48E498E1"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04C9BD4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jun-33</w:t>
            </w:r>
          </w:p>
        </w:tc>
        <w:tc>
          <w:tcPr>
            <w:tcW w:w="1275" w:type="dxa"/>
            <w:tcBorders>
              <w:top w:val="nil"/>
              <w:left w:val="nil"/>
              <w:bottom w:val="single" w:sz="4" w:space="0" w:color="auto"/>
              <w:right w:val="single" w:sz="4" w:space="0" w:color="auto"/>
            </w:tcBorders>
            <w:shd w:val="clear" w:color="auto" w:fill="auto"/>
            <w:noWrap/>
            <w:vAlign w:val="center"/>
          </w:tcPr>
          <w:p w14:paraId="4A6F99A6"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Refinanciamiento e Inversión Publica Productiva.</w:t>
            </w:r>
          </w:p>
        </w:tc>
        <w:tc>
          <w:tcPr>
            <w:tcW w:w="851" w:type="dxa"/>
            <w:tcBorders>
              <w:top w:val="nil"/>
              <w:left w:val="nil"/>
              <w:bottom w:val="single" w:sz="4" w:space="0" w:color="auto"/>
              <w:right w:val="single" w:sz="4" w:space="0" w:color="auto"/>
            </w:tcBorders>
            <w:shd w:val="clear" w:color="auto" w:fill="auto"/>
            <w:noWrap/>
            <w:vAlign w:val="center"/>
          </w:tcPr>
          <w:p w14:paraId="36664002"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TIIE+ 0.27%</w:t>
            </w:r>
          </w:p>
        </w:tc>
        <w:tc>
          <w:tcPr>
            <w:tcW w:w="850" w:type="dxa"/>
            <w:tcBorders>
              <w:top w:val="nil"/>
              <w:left w:val="nil"/>
              <w:bottom w:val="single" w:sz="4" w:space="0" w:color="auto"/>
              <w:right w:val="single" w:sz="4" w:space="0" w:color="auto"/>
            </w:tcBorders>
            <w:shd w:val="clear" w:color="auto" w:fill="auto"/>
            <w:noWrap/>
            <w:vAlign w:val="center"/>
          </w:tcPr>
          <w:p w14:paraId="0BB26A3E"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21,314,959</w:t>
            </w:r>
          </w:p>
        </w:tc>
        <w:tc>
          <w:tcPr>
            <w:tcW w:w="851" w:type="dxa"/>
            <w:tcBorders>
              <w:top w:val="nil"/>
              <w:left w:val="nil"/>
              <w:bottom w:val="single" w:sz="4" w:space="0" w:color="auto"/>
              <w:right w:val="single" w:sz="4" w:space="0" w:color="auto"/>
            </w:tcBorders>
            <w:shd w:val="clear" w:color="auto" w:fill="auto"/>
            <w:noWrap/>
            <w:vAlign w:val="center"/>
          </w:tcPr>
          <w:p w14:paraId="56A27402"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36,375,790</w:t>
            </w:r>
          </w:p>
        </w:tc>
        <w:tc>
          <w:tcPr>
            <w:tcW w:w="820" w:type="dxa"/>
            <w:gridSpan w:val="2"/>
            <w:tcBorders>
              <w:top w:val="nil"/>
              <w:left w:val="nil"/>
              <w:bottom w:val="single" w:sz="4" w:space="0" w:color="auto"/>
              <w:right w:val="single" w:sz="4" w:space="0" w:color="auto"/>
            </w:tcBorders>
            <w:shd w:val="clear" w:color="auto" w:fill="auto"/>
            <w:noWrap/>
            <w:vAlign w:val="center"/>
          </w:tcPr>
          <w:p w14:paraId="3149665D"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57,690,749</w:t>
            </w:r>
          </w:p>
        </w:tc>
      </w:tr>
      <w:tr w:rsidR="00D868AB" w:rsidRPr="00D868AB" w14:paraId="3739D92D"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6BA79B28"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7271, 7272</w:t>
            </w:r>
          </w:p>
        </w:tc>
        <w:tc>
          <w:tcPr>
            <w:tcW w:w="761" w:type="dxa"/>
            <w:tcBorders>
              <w:top w:val="nil"/>
              <w:left w:val="nil"/>
              <w:bottom w:val="single" w:sz="4" w:space="0" w:color="auto"/>
              <w:right w:val="single" w:sz="4" w:space="0" w:color="auto"/>
            </w:tcBorders>
            <w:shd w:val="clear" w:color="auto" w:fill="auto"/>
            <w:noWrap/>
            <w:vAlign w:val="center"/>
          </w:tcPr>
          <w:p w14:paraId="17F833A9"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jun-08</w:t>
            </w:r>
          </w:p>
        </w:tc>
        <w:tc>
          <w:tcPr>
            <w:tcW w:w="850" w:type="dxa"/>
            <w:tcBorders>
              <w:top w:val="nil"/>
              <w:left w:val="nil"/>
              <w:bottom w:val="single" w:sz="4" w:space="0" w:color="auto"/>
              <w:right w:val="single" w:sz="4" w:space="0" w:color="auto"/>
            </w:tcBorders>
            <w:shd w:val="clear" w:color="auto" w:fill="auto"/>
            <w:noWrap/>
            <w:vAlign w:val="center"/>
          </w:tcPr>
          <w:p w14:paraId="27E2A40D"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3CBC4F6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tcPr>
          <w:p w14:paraId="1F3F039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4F79F4F9"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jun-33</w:t>
            </w:r>
          </w:p>
        </w:tc>
        <w:tc>
          <w:tcPr>
            <w:tcW w:w="1275" w:type="dxa"/>
            <w:tcBorders>
              <w:top w:val="nil"/>
              <w:left w:val="nil"/>
              <w:bottom w:val="single" w:sz="4" w:space="0" w:color="auto"/>
              <w:right w:val="single" w:sz="4" w:space="0" w:color="auto"/>
            </w:tcBorders>
            <w:shd w:val="clear" w:color="auto" w:fill="auto"/>
            <w:noWrap/>
            <w:vAlign w:val="center"/>
          </w:tcPr>
          <w:p w14:paraId="14B7DFF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Refinanciamiento.</w:t>
            </w:r>
          </w:p>
        </w:tc>
        <w:tc>
          <w:tcPr>
            <w:tcW w:w="851" w:type="dxa"/>
            <w:tcBorders>
              <w:top w:val="nil"/>
              <w:left w:val="nil"/>
              <w:bottom w:val="single" w:sz="4" w:space="0" w:color="auto"/>
              <w:right w:val="single" w:sz="4" w:space="0" w:color="auto"/>
            </w:tcBorders>
            <w:shd w:val="clear" w:color="auto" w:fill="auto"/>
            <w:noWrap/>
            <w:vAlign w:val="center"/>
          </w:tcPr>
          <w:p w14:paraId="6D186CC2"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Fija 9.81%</w:t>
            </w:r>
          </w:p>
        </w:tc>
        <w:tc>
          <w:tcPr>
            <w:tcW w:w="850" w:type="dxa"/>
            <w:tcBorders>
              <w:top w:val="nil"/>
              <w:left w:val="nil"/>
              <w:bottom w:val="single" w:sz="4" w:space="0" w:color="auto"/>
              <w:right w:val="single" w:sz="4" w:space="0" w:color="auto"/>
            </w:tcBorders>
            <w:shd w:val="clear" w:color="auto" w:fill="auto"/>
            <w:noWrap/>
            <w:vAlign w:val="center"/>
          </w:tcPr>
          <w:p w14:paraId="5D1140BE"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9,514,495</w:t>
            </w:r>
          </w:p>
        </w:tc>
        <w:tc>
          <w:tcPr>
            <w:tcW w:w="851" w:type="dxa"/>
            <w:tcBorders>
              <w:top w:val="nil"/>
              <w:left w:val="nil"/>
              <w:bottom w:val="single" w:sz="4" w:space="0" w:color="auto"/>
              <w:right w:val="single" w:sz="4" w:space="0" w:color="auto"/>
            </w:tcBorders>
            <w:shd w:val="clear" w:color="auto" w:fill="auto"/>
            <w:noWrap/>
            <w:vAlign w:val="center"/>
          </w:tcPr>
          <w:p w14:paraId="79ED9302"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15,677,720</w:t>
            </w:r>
          </w:p>
        </w:tc>
        <w:tc>
          <w:tcPr>
            <w:tcW w:w="820" w:type="dxa"/>
            <w:gridSpan w:val="2"/>
            <w:tcBorders>
              <w:top w:val="nil"/>
              <w:left w:val="nil"/>
              <w:bottom w:val="single" w:sz="4" w:space="0" w:color="auto"/>
              <w:right w:val="single" w:sz="4" w:space="0" w:color="auto"/>
            </w:tcBorders>
            <w:shd w:val="clear" w:color="auto" w:fill="auto"/>
            <w:noWrap/>
            <w:vAlign w:val="center"/>
          </w:tcPr>
          <w:p w14:paraId="2A2DB9B3"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25,192,215</w:t>
            </w:r>
          </w:p>
        </w:tc>
      </w:tr>
      <w:tr w:rsidR="00D868AB" w:rsidRPr="00D868AB" w14:paraId="3FFD5C98"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414D6253"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10487</w:t>
            </w:r>
          </w:p>
        </w:tc>
        <w:tc>
          <w:tcPr>
            <w:tcW w:w="761" w:type="dxa"/>
            <w:tcBorders>
              <w:top w:val="nil"/>
              <w:left w:val="nil"/>
              <w:bottom w:val="single" w:sz="4" w:space="0" w:color="auto"/>
              <w:right w:val="single" w:sz="4" w:space="0" w:color="auto"/>
            </w:tcBorders>
            <w:shd w:val="clear" w:color="auto" w:fill="auto"/>
            <w:noWrap/>
            <w:vAlign w:val="center"/>
          </w:tcPr>
          <w:p w14:paraId="50C1CED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feb-12</w:t>
            </w:r>
          </w:p>
        </w:tc>
        <w:tc>
          <w:tcPr>
            <w:tcW w:w="850" w:type="dxa"/>
            <w:tcBorders>
              <w:top w:val="nil"/>
              <w:left w:val="nil"/>
              <w:bottom w:val="single" w:sz="4" w:space="0" w:color="auto"/>
              <w:right w:val="single" w:sz="4" w:space="0" w:color="auto"/>
            </w:tcBorders>
            <w:shd w:val="clear" w:color="auto" w:fill="auto"/>
            <w:noWrap/>
            <w:vAlign w:val="center"/>
          </w:tcPr>
          <w:p w14:paraId="3629BD6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7A547022"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tcPr>
          <w:p w14:paraId="145EC662"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12ED6529"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abr-32</w:t>
            </w:r>
          </w:p>
        </w:tc>
        <w:tc>
          <w:tcPr>
            <w:tcW w:w="1275" w:type="dxa"/>
            <w:tcBorders>
              <w:top w:val="nil"/>
              <w:left w:val="nil"/>
              <w:bottom w:val="single" w:sz="4" w:space="0" w:color="auto"/>
              <w:right w:val="single" w:sz="4" w:space="0" w:color="auto"/>
            </w:tcBorders>
            <w:shd w:val="clear" w:color="auto" w:fill="auto"/>
            <w:noWrap/>
            <w:vAlign w:val="center"/>
          </w:tcPr>
          <w:p w14:paraId="384E9B4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Inversión Publica Productiva.</w:t>
            </w:r>
          </w:p>
        </w:tc>
        <w:tc>
          <w:tcPr>
            <w:tcW w:w="851" w:type="dxa"/>
            <w:tcBorders>
              <w:top w:val="nil"/>
              <w:left w:val="nil"/>
              <w:bottom w:val="single" w:sz="4" w:space="0" w:color="auto"/>
              <w:right w:val="single" w:sz="4" w:space="0" w:color="auto"/>
            </w:tcBorders>
            <w:shd w:val="clear" w:color="auto" w:fill="auto"/>
            <w:noWrap/>
            <w:vAlign w:val="center"/>
          </w:tcPr>
          <w:p w14:paraId="3AA7D446"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Tasa base + 0.84%</w:t>
            </w:r>
          </w:p>
        </w:tc>
        <w:tc>
          <w:tcPr>
            <w:tcW w:w="850" w:type="dxa"/>
            <w:tcBorders>
              <w:top w:val="nil"/>
              <w:left w:val="nil"/>
              <w:bottom w:val="single" w:sz="4" w:space="0" w:color="auto"/>
              <w:right w:val="single" w:sz="4" w:space="0" w:color="auto"/>
            </w:tcBorders>
            <w:shd w:val="clear" w:color="auto" w:fill="auto"/>
            <w:noWrap/>
            <w:vAlign w:val="center"/>
          </w:tcPr>
          <w:p w14:paraId="53876755"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0C9402EC"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24,779,293</w:t>
            </w:r>
          </w:p>
        </w:tc>
        <w:tc>
          <w:tcPr>
            <w:tcW w:w="820" w:type="dxa"/>
            <w:gridSpan w:val="2"/>
            <w:tcBorders>
              <w:top w:val="nil"/>
              <w:left w:val="nil"/>
              <w:bottom w:val="single" w:sz="4" w:space="0" w:color="auto"/>
              <w:right w:val="single" w:sz="4" w:space="0" w:color="auto"/>
            </w:tcBorders>
            <w:shd w:val="clear" w:color="auto" w:fill="auto"/>
            <w:noWrap/>
            <w:vAlign w:val="center"/>
          </w:tcPr>
          <w:p w14:paraId="2540BF73"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24,779,293</w:t>
            </w:r>
          </w:p>
        </w:tc>
      </w:tr>
      <w:tr w:rsidR="00D868AB" w:rsidRPr="00D868AB" w14:paraId="79D4637A"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75D6076F"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11282, 11126</w:t>
            </w:r>
          </w:p>
        </w:tc>
        <w:tc>
          <w:tcPr>
            <w:tcW w:w="761" w:type="dxa"/>
            <w:tcBorders>
              <w:top w:val="nil"/>
              <w:left w:val="nil"/>
              <w:bottom w:val="single" w:sz="4" w:space="0" w:color="auto"/>
              <w:right w:val="single" w:sz="4" w:space="0" w:color="auto"/>
            </w:tcBorders>
            <w:shd w:val="clear" w:color="auto" w:fill="auto"/>
            <w:noWrap/>
            <w:vAlign w:val="center"/>
          </w:tcPr>
          <w:p w14:paraId="2EE833D2"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jul-13</w:t>
            </w:r>
          </w:p>
        </w:tc>
        <w:tc>
          <w:tcPr>
            <w:tcW w:w="850" w:type="dxa"/>
            <w:tcBorders>
              <w:top w:val="nil"/>
              <w:left w:val="nil"/>
              <w:bottom w:val="single" w:sz="4" w:space="0" w:color="auto"/>
              <w:right w:val="single" w:sz="4" w:space="0" w:color="auto"/>
            </w:tcBorders>
            <w:shd w:val="clear" w:color="auto" w:fill="auto"/>
            <w:noWrap/>
            <w:vAlign w:val="center"/>
          </w:tcPr>
          <w:p w14:paraId="1D18DAEE"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5D93958E"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tcPr>
          <w:p w14:paraId="01DD522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22A5C61D"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ago-33</w:t>
            </w:r>
          </w:p>
        </w:tc>
        <w:tc>
          <w:tcPr>
            <w:tcW w:w="1275" w:type="dxa"/>
            <w:tcBorders>
              <w:top w:val="nil"/>
              <w:left w:val="nil"/>
              <w:bottom w:val="single" w:sz="4" w:space="0" w:color="auto"/>
              <w:right w:val="single" w:sz="4" w:space="0" w:color="auto"/>
            </w:tcBorders>
            <w:shd w:val="clear" w:color="auto" w:fill="auto"/>
            <w:noWrap/>
            <w:vAlign w:val="center"/>
          </w:tcPr>
          <w:p w14:paraId="4CAE0A7F"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Inversión Publica Productiva.</w:t>
            </w:r>
          </w:p>
        </w:tc>
        <w:tc>
          <w:tcPr>
            <w:tcW w:w="851" w:type="dxa"/>
            <w:tcBorders>
              <w:top w:val="nil"/>
              <w:left w:val="nil"/>
              <w:bottom w:val="single" w:sz="4" w:space="0" w:color="auto"/>
              <w:right w:val="single" w:sz="4" w:space="0" w:color="auto"/>
            </w:tcBorders>
            <w:shd w:val="clear" w:color="auto" w:fill="auto"/>
            <w:noWrap/>
            <w:vAlign w:val="center"/>
          </w:tcPr>
          <w:p w14:paraId="4BD59150"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Tasa base + 1.13%</w:t>
            </w:r>
          </w:p>
        </w:tc>
        <w:tc>
          <w:tcPr>
            <w:tcW w:w="850" w:type="dxa"/>
            <w:tcBorders>
              <w:top w:val="nil"/>
              <w:left w:val="nil"/>
              <w:bottom w:val="single" w:sz="4" w:space="0" w:color="auto"/>
              <w:right w:val="single" w:sz="4" w:space="0" w:color="auto"/>
            </w:tcBorders>
            <w:shd w:val="clear" w:color="auto" w:fill="auto"/>
            <w:noWrap/>
            <w:vAlign w:val="center"/>
          </w:tcPr>
          <w:p w14:paraId="5B348879"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0</w:t>
            </w:r>
          </w:p>
        </w:tc>
        <w:tc>
          <w:tcPr>
            <w:tcW w:w="851" w:type="dxa"/>
            <w:tcBorders>
              <w:top w:val="nil"/>
              <w:left w:val="nil"/>
              <w:bottom w:val="single" w:sz="4" w:space="0" w:color="auto"/>
              <w:right w:val="single" w:sz="4" w:space="0" w:color="auto"/>
            </w:tcBorders>
            <w:shd w:val="clear" w:color="auto" w:fill="auto"/>
            <w:noWrap/>
            <w:vAlign w:val="center"/>
          </w:tcPr>
          <w:p w14:paraId="09645EB4"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14,699,677</w:t>
            </w:r>
          </w:p>
        </w:tc>
        <w:tc>
          <w:tcPr>
            <w:tcW w:w="820" w:type="dxa"/>
            <w:gridSpan w:val="2"/>
            <w:tcBorders>
              <w:top w:val="nil"/>
              <w:left w:val="nil"/>
              <w:bottom w:val="single" w:sz="4" w:space="0" w:color="auto"/>
              <w:right w:val="single" w:sz="4" w:space="0" w:color="auto"/>
            </w:tcBorders>
            <w:shd w:val="clear" w:color="auto" w:fill="auto"/>
            <w:noWrap/>
            <w:vAlign w:val="center"/>
          </w:tcPr>
          <w:p w14:paraId="6A91E393"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14,699,677</w:t>
            </w:r>
          </w:p>
        </w:tc>
      </w:tr>
      <w:tr w:rsidR="00D868AB" w:rsidRPr="00D868AB" w14:paraId="4C2855E9"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63F940C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11149</w:t>
            </w:r>
          </w:p>
        </w:tc>
        <w:tc>
          <w:tcPr>
            <w:tcW w:w="761" w:type="dxa"/>
            <w:tcBorders>
              <w:top w:val="nil"/>
              <w:left w:val="nil"/>
              <w:bottom w:val="single" w:sz="4" w:space="0" w:color="auto"/>
              <w:right w:val="single" w:sz="4" w:space="0" w:color="auto"/>
            </w:tcBorders>
            <w:shd w:val="clear" w:color="auto" w:fill="auto"/>
            <w:noWrap/>
            <w:vAlign w:val="center"/>
          </w:tcPr>
          <w:p w14:paraId="6C37A72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sep-13</w:t>
            </w:r>
          </w:p>
        </w:tc>
        <w:tc>
          <w:tcPr>
            <w:tcW w:w="850" w:type="dxa"/>
            <w:tcBorders>
              <w:top w:val="nil"/>
              <w:left w:val="nil"/>
              <w:bottom w:val="single" w:sz="4" w:space="0" w:color="auto"/>
              <w:right w:val="single" w:sz="4" w:space="0" w:color="auto"/>
            </w:tcBorders>
            <w:shd w:val="clear" w:color="auto" w:fill="auto"/>
            <w:noWrap/>
            <w:vAlign w:val="center"/>
          </w:tcPr>
          <w:p w14:paraId="2E14633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5F2F7CD0"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tcPr>
          <w:p w14:paraId="3BD4221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542D7140"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sep-38</w:t>
            </w:r>
          </w:p>
        </w:tc>
        <w:tc>
          <w:tcPr>
            <w:tcW w:w="1275" w:type="dxa"/>
            <w:tcBorders>
              <w:top w:val="nil"/>
              <w:left w:val="nil"/>
              <w:bottom w:val="single" w:sz="4" w:space="0" w:color="auto"/>
              <w:right w:val="single" w:sz="4" w:space="0" w:color="auto"/>
            </w:tcBorders>
            <w:shd w:val="clear" w:color="auto" w:fill="auto"/>
            <w:noWrap/>
            <w:vAlign w:val="center"/>
          </w:tcPr>
          <w:p w14:paraId="6E5E7F5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Refinanciamiento.</w:t>
            </w:r>
          </w:p>
        </w:tc>
        <w:tc>
          <w:tcPr>
            <w:tcW w:w="851" w:type="dxa"/>
            <w:tcBorders>
              <w:top w:val="nil"/>
              <w:left w:val="nil"/>
              <w:bottom w:val="single" w:sz="4" w:space="0" w:color="auto"/>
              <w:right w:val="single" w:sz="4" w:space="0" w:color="auto"/>
            </w:tcBorders>
            <w:shd w:val="clear" w:color="auto" w:fill="auto"/>
            <w:noWrap/>
            <w:vAlign w:val="center"/>
          </w:tcPr>
          <w:p w14:paraId="3A48E7D4"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TIIE+0.87%</w:t>
            </w:r>
          </w:p>
        </w:tc>
        <w:tc>
          <w:tcPr>
            <w:tcW w:w="850" w:type="dxa"/>
            <w:tcBorders>
              <w:top w:val="nil"/>
              <w:left w:val="nil"/>
              <w:bottom w:val="single" w:sz="4" w:space="0" w:color="auto"/>
              <w:right w:val="single" w:sz="4" w:space="0" w:color="auto"/>
            </w:tcBorders>
            <w:shd w:val="clear" w:color="auto" w:fill="auto"/>
            <w:noWrap/>
            <w:vAlign w:val="center"/>
          </w:tcPr>
          <w:p w14:paraId="19F29027"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27,529,167</w:t>
            </w:r>
          </w:p>
        </w:tc>
        <w:tc>
          <w:tcPr>
            <w:tcW w:w="851" w:type="dxa"/>
            <w:tcBorders>
              <w:top w:val="nil"/>
              <w:left w:val="nil"/>
              <w:bottom w:val="single" w:sz="4" w:space="0" w:color="auto"/>
              <w:right w:val="single" w:sz="4" w:space="0" w:color="auto"/>
            </w:tcBorders>
            <w:shd w:val="clear" w:color="auto" w:fill="auto"/>
            <w:noWrap/>
            <w:vAlign w:val="center"/>
          </w:tcPr>
          <w:p w14:paraId="0990DD5F"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50,617,135</w:t>
            </w:r>
          </w:p>
        </w:tc>
        <w:tc>
          <w:tcPr>
            <w:tcW w:w="820" w:type="dxa"/>
            <w:gridSpan w:val="2"/>
            <w:tcBorders>
              <w:top w:val="nil"/>
              <w:left w:val="nil"/>
              <w:bottom w:val="single" w:sz="4" w:space="0" w:color="auto"/>
              <w:right w:val="single" w:sz="4" w:space="0" w:color="auto"/>
            </w:tcBorders>
            <w:shd w:val="clear" w:color="auto" w:fill="auto"/>
            <w:noWrap/>
            <w:vAlign w:val="center"/>
          </w:tcPr>
          <w:p w14:paraId="158937A4" w14:textId="77777777" w:rsidR="00D868AB" w:rsidRPr="00D868AB" w:rsidRDefault="00D868AB" w:rsidP="00D868AB">
            <w:pPr>
              <w:jc w:val="right"/>
              <w:rPr>
                <w:rFonts w:eastAsia="Times New Roman" w:cs="Arial"/>
                <w:sz w:val="12"/>
                <w:szCs w:val="12"/>
                <w:highlight w:val="yellow"/>
              </w:rPr>
            </w:pPr>
            <w:r w:rsidRPr="00D868AB">
              <w:rPr>
                <w:rFonts w:cs="Arial"/>
                <w:color w:val="000000"/>
                <w:sz w:val="12"/>
                <w:szCs w:val="12"/>
              </w:rPr>
              <w:t>78,146,302</w:t>
            </w:r>
          </w:p>
        </w:tc>
      </w:tr>
      <w:tr w:rsidR="00D868AB" w:rsidRPr="00D868AB" w14:paraId="6C418DF0"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4274A27D"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84908305</w:t>
            </w:r>
          </w:p>
        </w:tc>
        <w:tc>
          <w:tcPr>
            <w:tcW w:w="761" w:type="dxa"/>
            <w:tcBorders>
              <w:top w:val="nil"/>
              <w:left w:val="nil"/>
              <w:bottom w:val="single" w:sz="4" w:space="0" w:color="auto"/>
              <w:right w:val="single" w:sz="4" w:space="0" w:color="auto"/>
            </w:tcBorders>
            <w:shd w:val="clear" w:color="auto" w:fill="auto"/>
            <w:noWrap/>
            <w:vAlign w:val="center"/>
          </w:tcPr>
          <w:p w14:paraId="0F8A5CE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abr-18</w:t>
            </w:r>
          </w:p>
        </w:tc>
        <w:tc>
          <w:tcPr>
            <w:tcW w:w="850" w:type="dxa"/>
            <w:tcBorders>
              <w:top w:val="nil"/>
              <w:left w:val="nil"/>
              <w:bottom w:val="single" w:sz="4" w:space="0" w:color="auto"/>
              <w:right w:val="single" w:sz="4" w:space="0" w:color="auto"/>
            </w:tcBorders>
            <w:shd w:val="clear" w:color="auto" w:fill="auto"/>
            <w:noWrap/>
            <w:vAlign w:val="center"/>
          </w:tcPr>
          <w:p w14:paraId="4A1A7B9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7504CEE9"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Banorte</w:t>
            </w:r>
          </w:p>
        </w:tc>
        <w:tc>
          <w:tcPr>
            <w:tcW w:w="992" w:type="dxa"/>
            <w:tcBorders>
              <w:top w:val="nil"/>
              <w:left w:val="nil"/>
              <w:bottom w:val="single" w:sz="4" w:space="0" w:color="auto"/>
              <w:right w:val="single" w:sz="4" w:space="0" w:color="auto"/>
            </w:tcBorders>
            <w:shd w:val="clear" w:color="auto" w:fill="auto"/>
            <w:noWrap/>
            <w:vAlign w:val="center"/>
          </w:tcPr>
          <w:p w14:paraId="5482A62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332DC49F"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dic-31</w:t>
            </w:r>
          </w:p>
        </w:tc>
        <w:tc>
          <w:tcPr>
            <w:tcW w:w="1275" w:type="dxa"/>
            <w:tcBorders>
              <w:top w:val="nil"/>
              <w:left w:val="nil"/>
              <w:bottom w:val="single" w:sz="4" w:space="0" w:color="auto"/>
              <w:right w:val="single" w:sz="4" w:space="0" w:color="auto"/>
            </w:tcBorders>
            <w:shd w:val="clear" w:color="auto" w:fill="auto"/>
            <w:noWrap/>
            <w:vAlign w:val="center"/>
          </w:tcPr>
          <w:p w14:paraId="7DDCCB0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Refinanciamiento.</w:t>
            </w:r>
          </w:p>
        </w:tc>
        <w:tc>
          <w:tcPr>
            <w:tcW w:w="851" w:type="dxa"/>
            <w:tcBorders>
              <w:top w:val="nil"/>
              <w:left w:val="nil"/>
              <w:bottom w:val="single" w:sz="4" w:space="0" w:color="auto"/>
              <w:right w:val="single" w:sz="4" w:space="0" w:color="auto"/>
            </w:tcBorders>
            <w:shd w:val="clear" w:color="auto" w:fill="auto"/>
            <w:noWrap/>
            <w:vAlign w:val="center"/>
          </w:tcPr>
          <w:p w14:paraId="1A66698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TIIE+0.69%</w:t>
            </w:r>
          </w:p>
        </w:tc>
        <w:tc>
          <w:tcPr>
            <w:tcW w:w="850" w:type="dxa"/>
            <w:tcBorders>
              <w:top w:val="nil"/>
              <w:left w:val="nil"/>
              <w:bottom w:val="single" w:sz="4" w:space="0" w:color="auto"/>
              <w:right w:val="single" w:sz="4" w:space="0" w:color="auto"/>
            </w:tcBorders>
            <w:shd w:val="clear" w:color="auto" w:fill="auto"/>
            <w:noWrap/>
            <w:vAlign w:val="center"/>
          </w:tcPr>
          <w:p w14:paraId="65EBDFC5" w14:textId="77777777" w:rsidR="00D868AB" w:rsidRPr="00D868AB" w:rsidRDefault="00D868AB" w:rsidP="00D868AB">
            <w:pPr>
              <w:jc w:val="right"/>
              <w:rPr>
                <w:rFonts w:cs="Arial"/>
                <w:sz w:val="12"/>
                <w:szCs w:val="12"/>
                <w:highlight w:val="yellow"/>
              </w:rPr>
            </w:pPr>
            <w:r w:rsidRPr="00D868AB">
              <w:rPr>
                <w:rFonts w:cs="Arial"/>
                <w:color w:val="000000"/>
                <w:sz w:val="12"/>
                <w:szCs w:val="12"/>
              </w:rPr>
              <w:t>46,533,521</w:t>
            </w:r>
          </w:p>
        </w:tc>
        <w:tc>
          <w:tcPr>
            <w:tcW w:w="851" w:type="dxa"/>
            <w:tcBorders>
              <w:top w:val="nil"/>
              <w:left w:val="nil"/>
              <w:bottom w:val="single" w:sz="4" w:space="0" w:color="auto"/>
              <w:right w:val="single" w:sz="4" w:space="0" w:color="auto"/>
            </w:tcBorders>
            <w:shd w:val="clear" w:color="auto" w:fill="auto"/>
            <w:noWrap/>
            <w:vAlign w:val="center"/>
          </w:tcPr>
          <w:p w14:paraId="24F48673" w14:textId="77777777" w:rsidR="00D868AB" w:rsidRPr="00D868AB" w:rsidRDefault="00D868AB" w:rsidP="00D868AB">
            <w:pPr>
              <w:jc w:val="right"/>
              <w:rPr>
                <w:rFonts w:cs="Arial"/>
                <w:sz w:val="12"/>
                <w:szCs w:val="12"/>
                <w:highlight w:val="yellow"/>
              </w:rPr>
            </w:pPr>
            <w:r w:rsidRPr="00D868AB">
              <w:rPr>
                <w:rFonts w:cs="Arial"/>
                <w:color w:val="000000"/>
                <w:sz w:val="12"/>
                <w:szCs w:val="12"/>
              </w:rPr>
              <w:t>72,558,116</w:t>
            </w:r>
          </w:p>
        </w:tc>
        <w:tc>
          <w:tcPr>
            <w:tcW w:w="820" w:type="dxa"/>
            <w:gridSpan w:val="2"/>
            <w:tcBorders>
              <w:top w:val="nil"/>
              <w:left w:val="nil"/>
              <w:bottom w:val="single" w:sz="4" w:space="0" w:color="auto"/>
              <w:right w:val="single" w:sz="4" w:space="0" w:color="auto"/>
            </w:tcBorders>
            <w:shd w:val="clear" w:color="auto" w:fill="auto"/>
            <w:noWrap/>
            <w:vAlign w:val="center"/>
          </w:tcPr>
          <w:p w14:paraId="53D6A33F" w14:textId="77777777" w:rsidR="00D868AB" w:rsidRPr="00D868AB" w:rsidRDefault="00D868AB" w:rsidP="00D868AB">
            <w:pPr>
              <w:jc w:val="right"/>
              <w:rPr>
                <w:rFonts w:cs="Arial"/>
                <w:sz w:val="12"/>
                <w:szCs w:val="12"/>
                <w:highlight w:val="yellow"/>
              </w:rPr>
            </w:pPr>
            <w:r w:rsidRPr="00D868AB">
              <w:rPr>
                <w:rFonts w:cs="Arial"/>
                <w:color w:val="000000"/>
                <w:sz w:val="12"/>
                <w:szCs w:val="12"/>
              </w:rPr>
              <w:t>119,091,637</w:t>
            </w:r>
          </w:p>
        </w:tc>
      </w:tr>
      <w:tr w:rsidR="00D868AB" w:rsidRPr="00D868AB" w14:paraId="0D0B5E76"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29EF192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13451</w:t>
            </w:r>
          </w:p>
        </w:tc>
        <w:tc>
          <w:tcPr>
            <w:tcW w:w="761" w:type="dxa"/>
            <w:tcBorders>
              <w:top w:val="nil"/>
              <w:left w:val="nil"/>
              <w:bottom w:val="single" w:sz="4" w:space="0" w:color="auto"/>
              <w:right w:val="single" w:sz="4" w:space="0" w:color="auto"/>
            </w:tcBorders>
            <w:shd w:val="clear" w:color="auto" w:fill="auto"/>
            <w:noWrap/>
            <w:vAlign w:val="center"/>
          </w:tcPr>
          <w:p w14:paraId="54A5262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nov-18</w:t>
            </w:r>
          </w:p>
        </w:tc>
        <w:tc>
          <w:tcPr>
            <w:tcW w:w="850" w:type="dxa"/>
            <w:tcBorders>
              <w:top w:val="nil"/>
              <w:left w:val="nil"/>
              <w:bottom w:val="single" w:sz="4" w:space="0" w:color="auto"/>
              <w:right w:val="single" w:sz="4" w:space="0" w:color="auto"/>
            </w:tcBorders>
            <w:shd w:val="clear" w:color="auto" w:fill="auto"/>
            <w:noWrap/>
            <w:vAlign w:val="center"/>
          </w:tcPr>
          <w:p w14:paraId="5EB6052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07F0989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Banobras</w:t>
            </w:r>
          </w:p>
        </w:tc>
        <w:tc>
          <w:tcPr>
            <w:tcW w:w="992" w:type="dxa"/>
            <w:tcBorders>
              <w:top w:val="nil"/>
              <w:left w:val="nil"/>
              <w:bottom w:val="single" w:sz="4" w:space="0" w:color="auto"/>
              <w:right w:val="single" w:sz="4" w:space="0" w:color="auto"/>
            </w:tcBorders>
            <w:shd w:val="clear" w:color="auto" w:fill="auto"/>
            <w:noWrap/>
            <w:vAlign w:val="center"/>
          </w:tcPr>
          <w:p w14:paraId="341A902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7A1903F4"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nov-38</w:t>
            </w:r>
          </w:p>
        </w:tc>
        <w:tc>
          <w:tcPr>
            <w:tcW w:w="1275" w:type="dxa"/>
            <w:tcBorders>
              <w:top w:val="nil"/>
              <w:left w:val="nil"/>
              <w:bottom w:val="single" w:sz="4" w:space="0" w:color="auto"/>
              <w:right w:val="single" w:sz="4" w:space="0" w:color="auto"/>
            </w:tcBorders>
            <w:shd w:val="clear" w:color="auto" w:fill="auto"/>
            <w:noWrap/>
            <w:vAlign w:val="center"/>
          </w:tcPr>
          <w:p w14:paraId="2CB9950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Inversión Publica Productiva.</w:t>
            </w:r>
          </w:p>
        </w:tc>
        <w:tc>
          <w:tcPr>
            <w:tcW w:w="851" w:type="dxa"/>
            <w:tcBorders>
              <w:top w:val="nil"/>
              <w:left w:val="nil"/>
              <w:bottom w:val="single" w:sz="4" w:space="0" w:color="auto"/>
              <w:right w:val="single" w:sz="4" w:space="0" w:color="auto"/>
            </w:tcBorders>
            <w:shd w:val="clear" w:color="auto" w:fill="auto"/>
            <w:noWrap/>
            <w:vAlign w:val="center"/>
          </w:tcPr>
          <w:p w14:paraId="66975B99"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TIIE+0.50%</w:t>
            </w:r>
          </w:p>
        </w:tc>
        <w:tc>
          <w:tcPr>
            <w:tcW w:w="850" w:type="dxa"/>
            <w:tcBorders>
              <w:top w:val="nil"/>
              <w:left w:val="nil"/>
              <w:bottom w:val="single" w:sz="4" w:space="0" w:color="auto"/>
              <w:right w:val="single" w:sz="4" w:space="0" w:color="auto"/>
            </w:tcBorders>
            <w:shd w:val="clear" w:color="auto" w:fill="auto"/>
            <w:noWrap/>
            <w:vAlign w:val="center"/>
          </w:tcPr>
          <w:p w14:paraId="57A1FAE9" w14:textId="77777777" w:rsidR="00D868AB" w:rsidRPr="00D868AB" w:rsidRDefault="00D868AB" w:rsidP="00D868AB">
            <w:pPr>
              <w:jc w:val="right"/>
              <w:rPr>
                <w:rFonts w:cs="Arial"/>
                <w:sz w:val="12"/>
                <w:szCs w:val="12"/>
                <w:highlight w:val="yellow"/>
              </w:rPr>
            </w:pPr>
            <w:r w:rsidRPr="00D868AB">
              <w:rPr>
                <w:rFonts w:cs="Arial"/>
                <w:color w:val="000000"/>
                <w:sz w:val="12"/>
                <w:szCs w:val="12"/>
              </w:rPr>
              <w:t>8,395,663</w:t>
            </w:r>
          </w:p>
        </w:tc>
        <w:tc>
          <w:tcPr>
            <w:tcW w:w="851" w:type="dxa"/>
            <w:tcBorders>
              <w:top w:val="nil"/>
              <w:left w:val="nil"/>
              <w:bottom w:val="single" w:sz="4" w:space="0" w:color="auto"/>
              <w:right w:val="single" w:sz="4" w:space="0" w:color="auto"/>
            </w:tcBorders>
            <w:shd w:val="clear" w:color="auto" w:fill="auto"/>
            <w:noWrap/>
            <w:vAlign w:val="center"/>
          </w:tcPr>
          <w:p w14:paraId="7C239FEC" w14:textId="77777777" w:rsidR="00D868AB" w:rsidRPr="00D868AB" w:rsidRDefault="00D868AB" w:rsidP="00D868AB">
            <w:pPr>
              <w:jc w:val="right"/>
              <w:rPr>
                <w:rFonts w:cs="Arial"/>
                <w:sz w:val="12"/>
                <w:szCs w:val="12"/>
                <w:highlight w:val="yellow"/>
              </w:rPr>
            </w:pPr>
            <w:r w:rsidRPr="00D868AB">
              <w:rPr>
                <w:rFonts w:cs="Arial"/>
                <w:color w:val="000000"/>
                <w:sz w:val="12"/>
                <w:szCs w:val="12"/>
              </w:rPr>
              <w:t>44,026,258</w:t>
            </w:r>
          </w:p>
        </w:tc>
        <w:tc>
          <w:tcPr>
            <w:tcW w:w="820" w:type="dxa"/>
            <w:gridSpan w:val="2"/>
            <w:tcBorders>
              <w:top w:val="nil"/>
              <w:left w:val="nil"/>
              <w:bottom w:val="single" w:sz="4" w:space="0" w:color="auto"/>
              <w:right w:val="single" w:sz="4" w:space="0" w:color="auto"/>
            </w:tcBorders>
            <w:shd w:val="clear" w:color="auto" w:fill="auto"/>
            <w:noWrap/>
            <w:vAlign w:val="center"/>
          </w:tcPr>
          <w:p w14:paraId="7DBB146C" w14:textId="77777777" w:rsidR="00D868AB" w:rsidRPr="00D868AB" w:rsidRDefault="00D868AB" w:rsidP="00D868AB">
            <w:pPr>
              <w:jc w:val="right"/>
              <w:rPr>
                <w:rFonts w:cs="Arial"/>
                <w:sz w:val="12"/>
                <w:szCs w:val="12"/>
                <w:highlight w:val="yellow"/>
              </w:rPr>
            </w:pPr>
            <w:r w:rsidRPr="00D868AB">
              <w:rPr>
                <w:rFonts w:cs="Arial"/>
                <w:color w:val="000000"/>
                <w:sz w:val="12"/>
                <w:szCs w:val="12"/>
              </w:rPr>
              <w:t>52,421,921</w:t>
            </w:r>
          </w:p>
        </w:tc>
      </w:tr>
      <w:tr w:rsidR="00D868AB" w:rsidRPr="00D868AB" w14:paraId="178E20BA"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083385A6"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9863672986</w:t>
            </w:r>
          </w:p>
        </w:tc>
        <w:tc>
          <w:tcPr>
            <w:tcW w:w="761" w:type="dxa"/>
            <w:tcBorders>
              <w:top w:val="nil"/>
              <w:left w:val="nil"/>
              <w:bottom w:val="single" w:sz="4" w:space="0" w:color="auto"/>
              <w:right w:val="single" w:sz="4" w:space="0" w:color="auto"/>
            </w:tcBorders>
            <w:shd w:val="clear" w:color="auto" w:fill="auto"/>
            <w:noWrap/>
            <w:vAlign w:val="center"/>
          </w:tcPr>
          <w:p w14:paraId="3B9AEE4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oct-19</w:t>
            </w:r>
          </w:p>
        </w:tc>
        <w:tc>
          <w:tcPr>
            <w:tcW w:w="850" w:type="dxa"/>
            <w:tcBorders>
              <w:top w:val="nil"/>
              <w:left w:val="nil"/>
              <w:bottom w:val="single" w:sz="4" w:space="0" w:color="auto"/>
              <w:right w:val="single" w:sz="4" w:space="0" w:color="auto"/>
            </w:tcBorders>
            <w:shd w:val="clear" w:color="auto" w:fill="auto"/>
            <w:noWrap/>
            <w:vAlign w:val="center"/>
          </w:tcPr>
          <w:p w14:paraId="41B4ADE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4B805E0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BBVA</w:t>
            </w:r>
          </w:p>
        </w:tc>
        <w:tc>
          <w:tcPr>
            <w:tcW w:w="992" w:type="dxa"/>
            <w:tcBorders>
              <w:top w:val="nil"/>
              <w:left w:val="nil"/>
              <w:bottom w:val="single" w:sz="4" w:space="0" w:color="auto"/>
              <w:right w:val="single" w:sz="4" w:space="0" w:color="auto"/>
            </w:tcBorders>
            <w:shd w:val="clear" w:color="auto" w:fill="auto"/>
            <w:noWrap/>
            <w:vAlign w:val="center"/>
          </w:tcPr>
          <w:p w14:paraId="16A3BD43"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22A065D8"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dic-35</w:t>
            </w:r>
          </w:p>
        </w:tc>
        <w:tc>
          <w:tcPr>
            <w:tcW w:w="1275" w:type="dxa"/>
            <w:tcBorders>
              <w:top w:val="nil"/>
              <w:left w:val="nil"/>
              <w:bottom w:val="single" w:sz="4" w:space="0" w:color="auto"/>
              <w:right w:val="single" w:sz="4" w:space="0" w:color="auto"/>
            </w:tcBorders>
            <w:shd w:val="clear" w:color="auto" w:fill="auto"/>
            <w:noWrap/>
            <w:vAlign w:val="center"/>
          </w:tcPr>
          <w:p w14:paraId="7E6FD346"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Refinanciamiento.</w:t>
            </w:r>
          </w:p>
        </w:tc>
        <w:tc>
          <w:tcPr>
            <w:tcW w:w="851" w:type="dxa"/>
            <w:tcBorders>
              <w:top w:val="nil"/>
              <w:left w:val="nil"/>
              <w:bottom w:val="single" w:sz="4" w:space="0" w:color="auto"/>
              <w:right w:val="single" w:sz="4" w:space="0" w:color="auto"/>
            </w:tcBorders>
            <w:shd w:val="clear" w:color="auto" w:fill="auto"/>
            <w:noWrap/>
            <w:vAlign w:val="center"/>
          </w:tcPr>
          <w:p w14:paraId="2309336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TIIE+0.60%</w:t>
            </w:r>
          </w:p>
        </w:tc>
        <w:tc>
          <w:tcPr>
            <w:tcW w:w="850" w:type="dxa"/>
            <w:tcBorders>
              <w:top w:val="nil"/>
              <w:left w:val="nil"/>
              <w:bottom w:val="single" w:sz="4" w:space="0" w:color="auto"/>
              <w:right w:val="single" w:sz="4" w:space="0" w:color="auto"/>
            </w:tcBorders>
            <w:shd w:val="clear" w:color="auto" w:fill="auto"/>
            <w:noWrap/>
            <w:vAlign w:val="center"/>
          </w:tcPr>
          <w:p w14:paraId="3305730C" w14:textId="77777777" w:rsidR="00D868AB" w:rsidRPr="00D868AB" w:rsidRDefault="00D868AB" w:rsidP="00D868AB">
            <w:pPr>
              <w:jc w:val="right"/>
              <w:rPr>
                <w:rFonts w:cs="Arial"/>
                <w:sz w:val="12"/>
                <w:szCs w:val="12"/>
                <w:highlight w:val="yellow"/>
              </w:rPr>
            </w:pPr>
            <w:r w:rsidRPr="00D868AB">
              <w:rPr>
                <w:rFonts w:cs="Arial"/>
                <w:color w:val="000000"/>
                <w:sz w:val="12"/>
                <w:szCs w:val="12"/>
              </w:rPr>
              <w:t>18,867,425</w:t>
            </w:r>
          </w:p>
        </w:tc>
        <w:tc>
          <w:tcPr>
            <w:tcW w:w="851" w:type="dxa"/>
            <w:tcBorders>
              <w:top w:val="nil"/>
              <w:left w:val="nil"/>
              <w:bottom w:val="single" w:sz="4" w:space="0" w:color="auto"/>
              <w:right w:val="single" w:sz="4" w:space="0" w:color="auto"/>
            </w:tcBorders>
            <w:shd w:val="clear" w:color="auto" w:fill="auto"/>
            <w:noWrap/>
            <w:vAlign w:val="center"/>
          </w:tcPr>
          <w:p w14:paraId="731B6687" w14:textId="77777777" w:rsidR="00D868AB" w:rsidRPr="00D868AB" w:rsidRDefault="00D868AB" w:rsidP="00D868AB">
            <w:pPr>
              <w:jc w:val="right"/>
              <w:rPr>
                <w:rFonts w:cs="Arial"/>
                <w:sz w:val="12"/>
                <w:szCs w:val="12"/>
                <w:highlight w:val="yellow"/>
              </w:rPr>
            </w:pPr>
            <w:r w:rsidRPr="00D868AB">
              <w:rPr>
                <w:rFonts w:cs="Arial"/>
                <w:color w:val="000000"/>
                <w:sz w:val="12"/>
                <w:szCs w:val="12"/>
              </w:rPr>
              <w:t>64,195,909</w:t>
            </w:r>
          </w:p>
        </w:tc>
        <w:tc>
          <w:tcPr>
            <w:tcW w:w="820" w:type="dxa"/>
            <w:gridSpan w:val="2"/>
            <w:tcBorders>
              <w:top w:val="nil"/>
              <w:left w:val="nil"/>
              <w:bottom w:val="single" w:sz="4" w:space="0" w:color="auto"/>
              <w:right w:val="single" w:sz="4" w:space="0" w:color="auto"/>
            </w:tcBorders>
            <w:shd w:val="clear" w:color="auto" w:fill="auto"/>
            <w:noWrap/>
            <w:vAlign w:val="center"/>
          </w:tcPr>
          <w:p w14:paraId="7D393AB5" w14:textId="77777777" w:rsidR="00D868AB" w:rsidRPr="00D868AB" w:rsidRDefault="00D868AB" w:rsidP="00D868AB">
            <w:pPr>
              <w:jc w:val="right"/>
              <w:rPr>
                <w:rFonts w:cs="Arial"/>
                <w:sz w:val="12"/>
                <w:szCs w:val="12"/>
                <w:highlight w:val="yellow"/>
              </w:rPr>
            </w:pPr>
            <w:r w:rsidRPr="00D868AB">
              <w:rPr>
                <w:rFonts w:cs="Arial"/>
                <w:color w:val="000000"/>
                <w:sz w:val="12"/>
                <w:szCs w:val="12"/>
              </w:rPr>
              <w:t>83,063,334</w:t>
            </w:r>
          </w:p>
        </w:tc>
      </w:tr>
      <w:tr w:rsidR="00D868AB" w:rsidRPr="00D868AB" w14:paraId="362F6065"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428A337F"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111000315037</w:t>
            </w:r>
          </w:p>
        </w:tc>
        <w:tc>
          <w:tcPr>
            <w:tcW w:w="761" w:type="dxa"/>
            <w:tcBorders>
              <w:top w:val="nil"/>
              <w:left w:val="nil"/>
              <w:bottom w:val="single" w:sz="4" w:space="0" w:color="auto"/>
              <w:right w:val="single" w:sz="4" w:space="0" w:color="auto"/>
            </w:tcBorders>
            <w:shd w:val="clear" w:color="auto" w:fill="auto"/>
            <w:noWrap/>
            <w:vAlign w:val="center"/>
          </w:tcPr>
          <w:p w14:paraId="4AE66441"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dic-20</w:t>
            </w:r>
          </w:p>
        </w:tc>
        <w:tc>
          <w:tcPr>
            <w:tcW w:w="850" w:type="dxa"/>
            <w:tcBorders>
              <w:top w:val="nil"/>
              <w:left w:val="nil"/>
              <w:bottom w:val="single" w:sz="4" w:space="0" w:color="auto"/>
              <w:right w:val="single" w:sz="4" w:space="0" w:color="auto"/>
            </w:tcBorders>
            <w:shd w:val="clear" w:color="auto" w:fill="auto"/>
            <w:noWrap/>
            <w:vAlign w:val="center"/>
          </w:tcPr>
          <w:p w14:paraId="03A0F8A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516F7C0D"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BANSI</w:t>
            </w:r>
          </w:p>
        </w:tc>
        <w:tc>
          <w:tcPr>
            <w:tcW w:w="992" w:type="dxa"/>
            <w:tcBorders>
              <w:top w:val="nil"/>
              <w:left w:val="nil"/>
              <w:bottom w:val="single" w:sz="4" w:space="0" w:color="auto"/>
              <w:right w:val="single" w:sz="4" w:space="0" w:color="auto"/>
            </w:tcBorders>
            <w:shd w:val="clear" w:color="auto" w:fill="auto"/>
            <w:noWrap/>
            <w:vAlign w:val="center"/>
          </w:tcPr>
          <w:p w14:paraId="3CF6DBB6"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6557988D"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mar-41</w:t>
            </w:r>
          </w:p>
        </w:tc>
        <w:tc>
          <w:tcPr>
            <w:tcW w:w="1275" w:type="dxa"/>
            <w:tcBorders>
              <w:top w:val="nil"/>
              <w:left w:val="nil"/>
              <w:bottom w:val="single" w:sz="4" w:space="0" w:color="auto"/>
              <w:right w:val="single" w:sz="4" w:space="0" w:color="auto"/>
            </w:tcBorders>
            <w:shd w:val="clear" w:color="auto" w:fill="auto"/>
            <w:noWrap/>
            <w:vAlign w:val="center"/>
          </w:tcPr>
          <w:p w14:paraId="6C844557"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Inversión Publica Productiva.</w:t>
            </w:r>
          </w:p>
        </w:tc>
        <w:tc>
          <w:tcPr>
            <w:tcW w:w="851" w:type="dxa"/>
            <w:tcBorders>
              <w:top w:val="nil"/>
              <w:left w:val="nil"/>
              <w:bottom w:val="single" w:sz="4" w:space="0" w:color="auto"/>
              <w:right w:val="single" w:sz="4" w:space="0" w:color="auto"/>
            </w:tcBorders>
            <w:shd w:val="clear" w:color="auto" w:fill="auto"/>
            <w:noWrap/>
            <w:vAlign w:val="center"/>
          </w:tcPr>
          <w:p w14:paraId="29651EEE"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 + 2.00%</w:t>
            </w:r>
          </w:p>
        </w:tc>
        <w:tc>
          <w:tcPr>
            <w:tcW w:w="850" w:type="dxa"/>
            <w:tcBorders>
              <w:top w:val="nil"/>
              <w:left w:val="nil"/>
              <w:bottom w:val="single" w:sz="4" w:space="0" w:color="auto"/>
              <w:right w:val="single" w:sz="4" w:space="0" w:color="auto"/>
            </w:tcBorders>
            <w:shd w:val="clear" w:color="auto" w:fill="auto"/>
            <w:noWrap/>
            <w:vAlign w:val="center"/>
          </w:tcPr>
          <w:p w14:paraId="276061E9" w14:textId="77777777" w:rsidR="00D868AB" w:rsidRPr="00D868AB" w:rsidRDefault="00D868AB" w:rsidP="00D868AB">
            <w:pPr>
              <w:jc w:val="right"/>
              <w:rPr>
                <w:rFonts w:cs="Arial"/>
                <w:sz w:val="12"/>
                <w:szCs w:val="12"/>
                <w:highlight w:val="yellow"/>
              </w:rPr>
            </w:pPr>
            <w:r w:rsidRPr="00D868AB">
              <w:rPr>
                <w:rFonts w:cs="Arial"/>
                <w:color w:val="000000"/>
                <w:sz w:val="12"/>
                <w:szCs w:val="12"/>
              </w:rPr>
              <w:t>3,829,800</w:t>
            </w:r>
          </w:p>
        </w:tc>
        <w:tc>
          <w:tcPr>
            <w:tcW w:w="851" w:type="dxa"/>
            <w:tcBorders>
              <w:top w:val="nil"/>
              <w:left w:val="nil"/>
              <w:bottom w:val="single" w:sz="4" w:space="0" w:color="auto"/>
              <w:right w:val="single" w:sz="4" w:space="0" w:color="auto"/>
            </w:tcBorders>
            <w:shd w:val="clear" w:color="auto" w:fill="auto"/>
            <w:noWrap/>
            <w:vAlign w:val="center"/>
          </w:tcPr>
          <w:p w14:paraId="3798EC21" w14:textId="77777777" w:rsidR="00D868AB" w:rsidRPr="00D868AB" w:rsidRDefault="00D868AB" w:rsidP="00D868AB">
            <w:pPr>
              <w:jc w:val="right"/>
              <w:rPr>
                <w:rFonts w:cs="Arial"/>
                <w:sz w:val="12"/>
                <w:szCs w:val="12"/>
                <w:highlight w:val="yellow"/>
              </w:rPr>
            </w:pPr>
            <w:r w:rsidRPr="00D868AB">
              <w:rPr>
                <w:rFonts w:cs="Arial"/>
                <w:color w:val="000000"/>
                <w:sz w:val="12"/>
                <w:szCs w:val="12"/>
              </w:rPr>
              <w:t>30,760,519</w:t>
            </w:r>
          </w:p>
        </w:tc>
        <w:tc>
          <w:tcPr>
            <w:tcW w:w="820" w:type="dxa"/>
            <w:gridSpan w:val="2"/>
            <w:tcBorders>
              <w:top w:val="nil"/>
              <w:left w:val="nil"/>
              <w:bottom w:val="single" w:sz="4" w:space="0" w:color="auto"/>
              <w:right w:val="single" w:sz="4" w:space="0" w:color="auto"/>
            </w:tcBorders>
            <w:shd w:val="clear" w:color="auto" w:fill="auto"/>
            <w:noWrap/>
            <w:vAlign w:val="center"/>
          </w:tcPr>
          <w:p w14:paraId="00A78895" w14:textId="77777777" w:rsidR="00D868AB" w:rsidRPr="00D868AB" w:rsidRDefault="00D868AB" w:rsidP="00D868AB">
            <w:pPr>
              <w:jc w:val="right"/>
              <w:rPr>
                <w:rFonts w:cs="Arial"/>
                <w:sz w:val="12"/>
                <w:szCs w:val="12"/>
                <w:highlight w:val="yellow"/>
              </w:rPr>
            </w:pPr>
            <w:r w:rsidRPr="00D868AB">
              <w:rPr>
                <w:rFonts w:cs="Arial"/>
                <w:color w:val="000000"/>
                <w:sz w:val="12"/>
                <w:szCs w:val="12"/>
              </w:rPr>
              <w:t>34,590,319</w:t>
            </w:r>
          </w:p>
        </w:tc>
      </w:tr>
      <w:tr w:rsidR="00D868AB" w:rsidRPr="00D868AB" w14:paraId="225082FD" w14:textId="77777777" w:rsidTr="00A755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90"/>
          <w:jc w:val="center"/>
        </w:trPr>
        <w:tc>
          <w:tcPr>
            <w:tcW w:w="799" w:type="dxa"/>
            <w:tcBorders>
              <w:top w:val="nil"/>
              <w:left w:val="single" w:sz="4" w:space="0" w:color="auto"/>
              <w:bottom w:val="single" w:sz="4" w:space="0" w:color="auto"/>
              <w:right w:val="single" w:sz="4" w:space="0" w:color="auto"/>
            </w:tcBorders>
            <w:shd w:val="clear" w:color="auto" w:fill="auto"/>
            <w:noWrap/>
            <w:vAlign w:val="center"/>
          </w:tcPr>
          <w:p w14:paraId="5291D93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84108927</w:t>
            </w:r>
          </w:p>
        </w:tc>
        <w:tc>
          <w:tcPr>
            <w:tcW w:w="761" w:type="dxa"/>
            <w:tcBorders>
              <w:top w:val="nil"/>
              <w:left w:val="nil"/>
              <w:bottom w:val="single" w:sz="4" w:space="0" w:color="auto"/>
              <w:right w:val="single" w:sz="4" w:space="0" w:color="auto"/>
            </w:tcBorders>
            <w:shd w:val="clear" w:color="auto" w:fill="auto"/>
            <w:noWrap/>
            <w:vAlign w:val="center"/>
          </w:tcPr>
          <w:p w14:paraId="4047B03C"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dic-20</w:t>
            </w:r>
          </w:p>
        </w:tc>
        <w:tc>
          <w:tcPr>
            <w:tcW w:w="850" w:type="dxa"/>
            <w:tcBorders>
              <w:top w:val="nil"/>
              <w:left w:val="nil"/>
              <w:bottom w:val="single" w:sz="4" w:space="0" w:color="auto"/>
              <w:right w:val="single" w:sz="4" w:space="0" w:color="auto"/>
            </w:tcBorders>
            <w:shd w:val="clear" w:color="auto" w:fill="auto"/>
            <w:noWrap/>
            <w:vAlign w:val="center"/>
          </w:tcPr>
          <w:p w14:paraId="1940B4AF"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Simple</w:t>
            </w:r>
          </w:p>
        </w:tc>
        <w:tc>
          <w:tcPr>
            <w:tcW w:w="709" w:type="dxa"/>
            <w:tcBorders>
              <w:top w:val="nil"/>
              <w:left w:val="nil"/>
              <w:bottom w:val="single" w:sz="4" w:space="0" w:color="auto"/>
              <w:right w:val="single" w:sz="4" w:space="0" w:color="auto"/>
            </w:tcBorders>
            <w:shd w:val="clear" w:color="auto" w:fill="auto"/>
            <w:noWrap/>
            <w:vAlign w:val="center"/>
          </w:tcPr>
          <w:p w14:paraId="62604A9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HSBC</w:t>
            </w:r>
          </w:p>
        </w:tc>
        <w:tc>
          <w:tcPr>
            <w:tcW w:w="992" w:type="dxa"/>
            <w:tcBorders>
              <w:top w:val="nil"/>
              <w:left w:val="nil"/>
              <w:bottom w:val="single" w:sz="4" w:space="0" w:color="auto"/>
              <w:right w:val="single" w:sz="4" w:space="0" w:color="auto"/>
            </w:tcBorders>
            <w:shd w:val="clear" w:color="auto" w:fill="auto"/>
            <w:noWrap/>
            <w:vAlign w:val="center"/>
          </w:tcPr>
          <w:p w14:paraId="231AFC85"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Participaciones</w:t>
            </w:r>
          </w:p>
        </w:tc>
        <w:tc>
          <w:tcPr>
            <w:tcW w:w="851" w:type="dxa"/>
            <w:tcBorders>
              <w:top w:val="nil"/>
              <w:left w:val="nil"/>
              <w:bottom w:val="single" w:sz="4" w:space="0" w:color="auto"/>
              <w:right w:val="single" w:sz="4" w:space="0" w:color="auto"/>
            </w:tcBorders>
            <w:shd w:val="clear" w:color="auto" w:fill="auto"/>
            <w:noWrap/>
            <w:vAlign w:val="center"/>
          </w:tcPr>
          <w:p w14:paraId="5D56367B"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mar-41</w:t>
            </w:r>
          </w:p>
        </w:tc>
        <w:tc>
          <w:tcPr>
            <w:tcW w:w="1275" w:type="dxa"/>
            <w:tcBorders>
              <w:top w:val="nil"/>
              <w:left w:val="nil"/>
              <w:bottom w:val="single" w:sz="4" w:space="0" w:color="auto"/>
              <w:right w:val="single" w:sz="4" w:space="0" w:color="auto"/>
            </w:tcBorders>
            <w:shd w:val="clear" w:color="auto" w:fill="auto"/>
            <w:noWrap/>
            <w:vAlign w:val="center"/>
          </w:tcPr>
          <w:p w14:paraId="4F75076A"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Inversión Publica Productiva.</w:t>
            </w:r>
          </w:p>
        </w:tc>
        <w:tc>
          <w:tcPr>
            <w:tcW w:w="851" w:type="dxa"/>
            <w:tcBorders>
              <w:top w:val="nil"/>
              <w:left w:val="nil"/>
              <w:bottom w:val="single" w:sz="4" w:space="0" w:color="auto"/>
              <w:right w:val="single" w:sz="4" w:space="0" w:color="auto"/>
            </w:tcBorders>
            <w:shd w:val="clear" w:color="auto" w:fill="auto"/>
            <w:noWrap/>
            <w:vAlign w:val="center"/>
          </w:tcPr>
          <w:p w14:paraId="57AA5B94" w14:textId="77777777" w:rsidR="00D868AB" w:rsidRPr="00D868AB" w:rsidRDefault="00D868AB" w:rsidP="00D868AB">
            <w:pPr>
              <w:jc w:val="center"/>
              <w:rPr>
                <w:rFonts w:eastAsia="Times New Roman" w:cs="Arial"/>
                <w:sz w:val="12"/>
                <w:szCs w:val="12"/>
              </w:rPr>
            </w:pPr>
            <w:r w:rsidRPr="00D868AB">
              <w:rPr>
                <w:rFonts w:eastAsia="Times New Roman" w:cs="Arial"/>
                <w:sz w:val="12"/>
                <w:szCs w:val="12"/>
              </w:rPr>
              <w:t>TIIE + 1.53%</w:t>
            </w:r>
          </w:p>
        </w:tc>
        <w:tc>
          <w:tcPr>
            <w:tcW w:w="850" w:type="dxa"/>
            <w:tcBorders>
              <w:top w:val="nil"/>
              <w:left w:val="nil"/>
              <w:bottom w:val="single" w:sz="4" w:space="0" w:color="auto"/>
              <w:right w:val="single" w:sz="4" w:space="0" w:color="auto"/>
            </w:tcBorders>
            <w:shd w:val="clear" w:color="auto" w:fill="auto"/>
            <w:noWrap/>
            <w:vAlign w:val="center"/>
          </w:tcPr>
          <w:p w14:paraId="3D881016" w14:textId="77777777" w:rsidR="00D868AB" w:rsidRPr="00D868AB" w:rsidRDefault="00D868AB" w:rsidP="00D868AB">
            <w:pPr>
              <w:jc w:val="right"/>
              <w:rPr>
                <w:rFonts w:cs="Arial"/>
                <w:sz w:val="12"/>
                <w:szCs w:val="12"/>
                <w:highlight w:val="yellow"/>
              </w:rPr>
            </w:pPr>
            <w:r w:rsidRPr="00D868AB">
              <w:rPr>
                <w:rFonts w:cs="Arial"/>
                <w:color w:val="000000"/>
                <w:sz w:val="12"/>
                <w:szCs w:val="12"/>
              </w:rPr>
              <w:t>8,058,550</w:t>
            </w:r>
          </w:p>
        </w:tc>
        <w:tc>
          <w:tcPr>
            <w:tcW w:w="851" w:type="dxa"/>
            <w:tcBorders>
              <w:top w:val="nil"/>
              <w:left w:val="nil"/>
              <w:bottom w:val="single" w:sz="4" w:space="0" w:color="auto"/>
              <w:right w:val="single" w:sz="4" w:space="0" w:color="auto"/>
            </w:tcBorders>
            <w:shd w:val="clear" w:color="auto" w:fill="auto"/>
            <w:noWrap/>
            <w:vAlign w:val="center"/>
          </w:tcPr>
          <w:p w14:paraId="27DDF53C" w14:textId="77777777" w:rsidR="00D868AB" w:rsidRPr="00D868AB" w:rsidRDefault="00D868AB" w:rsidP="00D868AB">
            <w:pPr>
              <w:jc w:val="right"/>
              <w:rPr>
                <w:rFonts w:cs="Arial"/>
                <w:sz w:val="12"/>
                <w:szCs w:val="12"/>
                <w:highlight w:val="yellow"/>
              </w:rPr>
            </w:pPr>
            <w:r w:rsidRPr="00D868AB">
              <w:rPr>
                <w:rFonts w:cs="Arial"/>
                <w:color w:val="000000"/>
                <w:sz w:val="12"/>
                <w:szCs w:val="12"/>
              </w:rPr>
              <w:t>62,449,770</w:t>
            </w:r>
          </w:p>
        </w:tc>
        <w:tc>
          <w:tcPr>
            <w:tcW w:w="820" w:type="dxa"/>
            <w:gridSpan w:val="2"/>
            <w:tcBorders>
              <w:top w:val="nil"/>
              <w:left w:val="nil"/>
              <w:bottom w:val="single" w:sz="4" w:space="0" w:color="auto"/>
              <w:right w:val="single" w:sz="4" w:space="0" w:color="auto"/>
            </w:tcBorders>
            <w:shd w:val="clear" w:color="auto" w:fill="auto"/>
            <w:noWrap/>
            <w:vAlign w:val="center"/>
          </w:tcPr>
          <w:p w14:paraId="0915BF17" w14:textId="77777777" w:rsidR="00D868AB" w:rsidRPr="00D868AB" w:rsidRDefault="00D868AB" w:rsidP="00D868AB">
            <w:pPr>
              <w:jc w:val="right"/>
              <w:rPr>
                <w:rFonts w:cs="Arial"/>
                <w:sz w:val="12"/>
                <w:szCs w:val="12"/>
                <w:highlight w:val="yellow"/>
              </w:rPr>
            </w:pPr>
            <w:r w:rsidRPr="00D868AB">
              <w:rPr>
                <w:rFonts w:cs="Arial"/>
                <w:color w:val="000000"/>
                <w:sz w:val="12"/>
                <w:szCs w:val="12"/>
              </w:rPr>
              <w:t>70,508,320</w:t>
            </w:r>
          </w:p>
        </w:tc>
      </w:tr>
    </w:tbl>
    <w:p w14:paraId="05BDEF24" w14:textId="77777777" w:rsidR="00D868AB" w:rsidRPr="00D868AB" w:rsidRDefault="00D868AB" w:rsidP="00D868AB">
      <w:pPr>
        <w:jc w:val="left"/>
        <w:rPr>
          <w:rFonts w:eastAsia="Times New Roman" w:cs="Arial"/>
          <w:lang w:val="es-ES" w:eastAsia="es-ES"/>
        </w:rPr>
      </w:pPr>
    </w:p>
    <w:p w14:paraId="628BF9A3" w14:textId="77777777" w:rsidR="00D868AB" w:rsidRPr="00D868AB" w:rsidRDefault="00D868AB" w:rsidP="00D868AB">
      <w:pPr>
        <w:tabs>
          <w:tab w:val="left" w:pos="567"/>
        </w:tabs>
        <w:rPr>
          <w:rFonts w:eastAsia="Times New Roman" w:cs="Arial"/>
          <w:lang w:val="es-ES" w:eastAsia="es-ES"/>
        </w:rPr>
      </w:pPr>
      <w:r w:rsidRPr="00D868AB">
        <w:rPr>
          <w:rFonts w:eastAsia="Times New Roman" w:cs="Arial"/>
          <w:lang w:val="es-ES" w:eastAsia="es-ES"/>
        </w:rPr>
        <w:t>III.</w:t>
      </w:r>
      <w:r w:rsidRPr="00D868AB">
        <w:rPr>
          <w:rFonts w:eastAsia="Times New Roman" w:cs="Arial"/>
          <w:lang w:val="es-ES" w:eastAsia="es-ES"/>
        </w:rPr>
        <w:tab/>
        <w:t>El destino de los créditos de largo plazo es el siguiente:</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7"/>
        <w:gridCol w:w="1834"/>
        <w:gridCol w:w="1559"/>
        <w:gridCol w:w="1701"/>
      </w:tblGrid>
      <w:tr w:rsidR="00D868AB" w:rsidRPr="00D868AB" w14:paraId="4D04AB7E" w14:textId="77777777" w:rsidTr="00A755A7">
        <w:trPr>
          <w:trHeight w:val="300"/>
          <w:tblHeader/>
          <w:jc w:val="center"/>
        </w:trPr>
        <w:tc>
          <w:tcPr>
            <w:tcW w:w="8931" w:type="dxa"/>
            <w:gridSpan w:val="4"/>
            <w:tcBorders>
              <w:top w:val="nil"/>
              <w:left w:val="nil"/>
              <w:bottom w:val="single" w:sz="4" w:space="0" w:color="auto"/>
              <w:right w:val="nil"/>
            </w:tcBorders>
            <w:shd w:val="clear" w:color="auto" w:fill="auto"/>
            <w:noWrap/>
            <w:vAlign w:val="center"/>
          </w:tcPr>
          <w:p w14:paraId="034018D1" w14:textId="77777777" w:rsidR="00D868AB" w:rsidRPr="00D868AB" w:rsidRDefault="00D868AB" w:rsidP="00D868AB">
            <w:pPr>
              <w:jc w:val="center"/>
              <w:rPr>
                <w:rFonts w:eastAsia="Times New Roman" w:cs="Arial"/>
                <w:b/>
                <w:bCs/>
                <w:sz w:val="18"/>
                <w:szCs w:val="18"/>
                <w:lang w:eastAsia="es-ES"/>
              </w:rPr>
            </w:pPr>
            <w:bookmarkStart w:id="187" w:name="_Toc522869282"/>
            <w:bookmarkStart w:id="188" w:name="_Toc526757499"/>
            <w:bookmarkStart w:id="189" w:name="_Toc22021951"/>
            <w:bookmarkStart w:id="190" w:name="_Toc22983204"/>
            <w:r w:rsidRPr="00D868AB">
              <w:rPr>
                <w:rFonts w:eastAsia="Times New Roman" w:cs="Arial"/>
                <w:b/>
                <w:sz w:val="20"/>
                <w:lang w:val="es-ES"/>
              </w:rPr>
              <w:t>Tabla 40. Destino de los Créditos de Largo Plazo Vigentes</w:t>
            </w:r>
            <w:bookmarkEnd w:id="187"/>
            <w:bookmarkEnd w:id="188"/>
            <w:bookmarkEnd w:id="189"/>
            <w:bookmarkEnd w:id="190"/>
          </w:p>
        </w:tc>
      </w:tr>
      <w:tr w:rsidR="00D868AB" w:rsidRPr="00D868AB" w14:paraId="65E4A8F8" w14:textId="77777777" w:rsidTr="00A755A7">
        <w:trPr>
          <w:trHeight w:val="300"/>
          <w:jc w:val="center"/>
        </w:trPr>
        <w:tc>
          <w:tcPr>
            <w:tcW w:w="3837" w:type="dxa"/>
            <w:tcBorders>
              <w:top w:val="single" w:sz="4" w:space="0" w:color="auto"/>
            </w:tcBorders>
            <w:shd w:val="clear" w:color="auto" w:fill="auto"/>
            <w:noWrap/>
            <w:vAlign w:val="center"/>
            <w:hideMark/>
          </w:tcPr>
          <w:p w14:paraId="4733E900" w14:textId="77777777" w:rsidR="00D868AB" w:rsidRPr="00D868AB" w:rsidRDefault="00D868AB" w:rsidP="00D868AB">
            <w:pPr>
              <w:jc w:val="center"/>
              <w:rPr>
                <w:rFonts w:eastAsia="Times New Roman" w:cs="Arial"/>
                <w:b/>
                <w:bCs/>
                <w:sz w:val="18"/>
                <w:szCs w:val="18"/>
                <w:lang w:val="es-ES" w:eastAsia="es-ES"/>
              </w:rPr>
            </w:pPr>
            <w:r w:rsidRPr="00D868AB">
              <w:rPr>
                <w:rFonts w:eastAsia="Times New Roman" w:cs="Arial"/>
                <w:b/>
                <w:bCs/>
                <w:sz w:val="18"/>
                <w:szCs w:val="18"/>
                <w:lang w:val="es-ES" w:eastAsia="es-ES"/>
              </w:rPr>
              <w:t>Decreto Aprobatorio</w:t>
            </w:r>
          </w:p>
        </w:tc>
        <w:tc>
          <w:tcPr>
            <w:tcW w:w="1834" w:type="dxa"/>
            <w:tcBorders>
              <w:top w:val="single" w:sz="4" w:space="0" w:color="auto"/>
            </w:tcBorders>
            <w:shd w:val="clear" w:color="auto" w:fill="auto"/>
            <w:noWrap/>
            <w:vAlign w:val="center"/>
            <w:hideMark/>
          </w:tcPr>
          <w:p w14:paraId="2D7E88E2" w14:textId="77777777" w:rsidR="00D868AB" w:rsidRPr="00D868AB" w:rsidRDefault="00D868AB" w:rsidP="00D868AB">
            <w:pPr>
              <w:jc w:val="center"/>
              <w:rPr>
                <w:rFonts w:eastAsia="Times New Roman" w:cs="Arial"/>
                <w:b/>
                <w:bCs/>
                <w:sz w:val="18"/>
                <w:szCs w:val="18"/>
                <w:lang w:val="es-ES" w:eastAsia="es-ES"/>
              </w:rPr>
            </w:pPr>
            <w:r w:rsidRPr="00D868AB">
              <w:rPr>
                <w:rFonts w:eastAsia="Times New Roman" w:cs="Arial"/>
                <w:b/>
                <w:bCs/>
                <w:sz w:val="18"/>
                <w:szCs w:val="18"/>
                <w:lang w:eastAsia="es-ES"/>
              </w:rPr>
              <w:t>Crédito</w:t>
            </w:r>
          </w:p>
        </w:tc>
        <w:tc>
          <w:tcPr>
            <w:tcW w:w="1559" w:type="dxa"/>
            <w:tcBorders>
              <w:top w:val="single" w:sz="4" w:space="0" w:color="auto"/>
            </w:tcBorders>
            <w:vAlign w:val="center"/>
          </w:tcPr>
          <w:p w14:paraId="6A55FE72" w14:textId="77777777" w:rsidR="00D868AB" w:rsidRPr="00D868AB" w:rsidRDefault="00D868AB" w:rsidP="00D868AB">
            <w:pPr>
              <w:jc w:val="center"/>
              <w:rPr>
                <w:rFonts w:eastAsia="Times New Roman" w:cs="Arial"/>
                <w:b/>
                <w:bCs/>
                <w:sz w:val="18"/>
                <w:szCs w:val="18"/>
                <w:lang w:eastAsia="es-ES"/>
              </w:rPr>
            </w:pPr>
            <w:r w:rsidRPr="00D868AB">
              <w:rPr>
                <w:rFonts w:eastAsia="Times New Roman" w:cs="Arial"/>
                <w:b/>
                <w:bCs/>
                <w:sz w:val="18"/>
                <w:szCs w:val="18"/>
                <w:lang w:eastAsia="es-ES"/>
              </w:rPr>
              <w:t>Inscripción  RPU</w:t>
            </w:r>
          </w:p>
        </w:tc>
        <w:tc>
          <w:tcPr>
            <w:tcW w:w="1701" w:type="dxa"/>
            <w:tcBorders>
              <w:top w:val="single" w:sz="4" w:space="0" w:color="auto"/>
            </w:tcBorders>
            <w:shd w:val="clear" w:color="auto" w:fill="auto"/>
            <w:noWrap/>
            <w:vAlign w:val="center"/>
            <w:hideMark/>
          </w:tcPr>
          <w:p w14:paraId="000F4C09" w14:textId="77777777" w:rsidR="00D868AB" w:rsidRPr="00D868AB" w:rsidRDefault="00D868AB" w:rsidP="00D868AB">
            <w:pPr>
              <w:jc w:val="center"/>
              <w:rPr>
                <w:rFonts w:eastAsia="Times New Roman" w:cs="Arial"/>
                <w:b/>
                <w:bCs/>
                <w:sz w:val="18"/>
                <w:szCs w:val="18"/>
                <w:lang w:val="es-ES" w:eastAsia="es-ES"/>
              </w:rPr>
            </w:pPr>
            <w:r w:rsidRPr="00D868AB">
              <w:rPr>
                <w:rFonts w:eastAsia="Times New Roman" w:cs="Arial"/>
                <w:b/>
                <w:bCs/>
                <w:sz w:val="18"/>
                <w:szCs w:val="18"/>
                <w:lang w:eastAsia="es-ES"/>
              </w:rPr>
              <w:t>Destino</w:t>
            </w:r>
          </w:p>
        </w:tc>
      </w:tr>
      <w:tr w:rsidR="00D868AB" w:rsidRPr="00D868AB" w14:paraId="003E3F75" w14:textId="77777777" w:rsidTr="00A755A7">
        <w:trPr>
          <w:trHeight w:val="300"/>
          <w:jc w:val="center"/>
        </w:trPr>
        <w:tc>
          <w:tcPr>
            <w:tcW w:w="3837" w:type="dxa"/>
            <w:shd w:val="clear" w:color="auto" w:fill="auto"/>
            <w:noWrap/>
            <w:vAlign w:val="center"/>
            <w:hideMark/>
          </w:tcPr>
          <w:p w14:paraId="103318AD" w14:textId="77777777" w:rsidR="00D868AB" w:rsidRPr="00D868AB" w:rsidRDefault="00D868AB" w:rsidP="00D868AB">
            <w:pPr>
              <w:rPr>
                <w:rFonts w:eastAsia="Times New Roman" w:cs="Arial"/>
                <w:sz w:val="18"/>
                <w:szCs w:val="18"/>
                <w:lang w:val="es-ES" w:eastAsia="es-ES"/>
              </w:rPr>
            </w:pPr>
            <w:r w:rsidRPr="00D868AB">
              <w:rPr>
                <w:rFonts w:eastAsia="Times New Roman" w:cs="Arial"/>
                <w:sz w:val="18"/>
                <w:szCs w:val="18"/>
                <w:lang w:val="es-ES" w:eastAsia="es-ES"/>
              </w:rPr>
              <w:t>Decreto No. 229 de fecha 22 marzo 2008.</w:t>
            </w:r>
          </w:p>
        </w:tc>
        <w:tc>
          <w:tcPr>
            <w:tcW w:w="1834" w:type="dxa"/>
            <w:shd w:val="clear" w:color="auto" w:fill="auto"/>
            <w:noWrap/>
            <w:vAlign w:val="center"/>
            <w:hideMark/>
          </w:tcPr>
          <w:p w14:paraId="13465927"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Crédito Banobras 7225 y 7226</w:t>
            </w:r>
          </w:p>
        </w:tc>
        <w:tc>
          <w:tcPr>
            <w:tcW w:w="1559" w:type="dxa"/>
            <w:vAlign w:val="center"/>
          </w:tcPr>
          <w:p w14:paraId="0CD6D868" w14:textId="77777777" w:rsidR="00D868AB" w:rsidRPr="00D868AB" w:rsidRDefault="00D868AB" w:rsidP="00D868AB">
            <w:pPr>
              <w:jc w:val="center"/>
              <w:rPr>
                <w:rFonts w:eastAsia="Times New Roman" w:cs="Arial"/>
                <w:sz w:val="18"/>
                <w:szCs w:val="18"/>
                <w:lang w:eastAsia="es-ES"/>
              </w:rPr>
            </w:pPr>
            <w:r w:rsidRPr="00D868AB">
              <w:rPr>
                <w:rFonts w:eastAsia="Times New Roman" w:cs="Arial"/>
                <w:sz w:val="18"/>
                <w:szCs w:val="18"/>
                <w:lang w:eastAsia="es-ES"/>
              </w:rPr>
              <w:t>116/2008</w:t>
            </w:r>
          </w:p>
        </w:tc>
        <w:tc>
          <w:tcPr>
            <w:tcW w:w="1701" w:type="dxa"/>
            <w:shd w:val="clear" w:color="auto" w:fill="auto"/>
            <w:noWrap/>
            <w:vAlign w:val="center"/>
            <w:hideMark/>
          </w:tcPr>
          <w:p w14:paraId="2938B9D7"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Refinanciamiento e Inversión Pública</w:t>
            </w:r>
          </w:p>
        </w:tc>
      </w:tr>
      <w:tr w:rsidR="00D868AB" w:rsidRPr="00D868AB" w14:paraId="58BD0D4C" w14:textId="77777777" w:rsidTr="00A755A7">
        <w:trPr>
          <w:trHeight w:val="300"/>
          <w:jc w:val="center"/>
        </w:trPr>
        <w:tc>
          <w:tcPr>
            <w:tcW w:w="3837" w:type="dxa"/>
            <w:shd w:val="clear" w:color="auto" w:fill="auto"/>
            <w:noWrap/>
            <w:vAlign w:val="center"/>
            <w:hideMark/>
          </w:tcPr>
          <w:p w14:paraId="6F151084" w14:textId="77777777" w:rsidR="00D868AB" w:rsidRPr="00D868AB" w:rsidRDefault="00D868AB" w:rsidP="00D868AB">
            <w:pPr>
              <w:rPr>
                <w:rFonts w:eastAsia="Times New Roman" w:cs="Arial"/>
                <w:sz w:val="18"/>
                <w:szCs w:val="18"/>
                <w:lang w:val="es-ES" w:eastAsia="es-ES"/>
              </w:rPr>
            </w:pPr>
            <w:r w:rsidRPr="00D868AB">
              <w:rPr>
                <w:rFonts w:eastAsia="Times New Roman" w:cs="Arial"/>
                <w:sz w:val="18"/>
                <w:szCs w:val="18"/>
                <w:lang w:val="es-ES" w:eastAsia="es-ES"/>
              </w:rPr>
              <w:t>Decreto No. 229 de fecha 22 marzo 2008.</w:t>
            </w:r>
          </w:p>
        </w:tc>
        <w:tc>
          <w:tcPr>
            <w:tcW w:w="1834" w:type="dxa"/>
            <w:shd w:val="clear" w:color="auto" w:fill="auto"/>
            <w:noWrap/>
            <w:vAlign w:val="center"/>
            <w:hideMark/>
          </w:tcPr>
          <w:p w14:paraId="16278DD2"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Crédito Banobras 7271 y 7272</w:t>
            </w:r>
          </w:p>
        </w:tc>
        <w:tc>
          <w:tcPr>
            <w:tcW w:w="1559" w:type="dxa"/>
            <w:vAlign w:val="center"/>
          </w:tcPr>
          <w:p w14:paraId="06786884" w14:textId="77777777" w:rsidR="00D868AB" w:rsidRPr="00D868AB" w:rsidRDefault="00D868AB" w:rsidP="00D868AB">
            <w:pPr>
              <w:jc w:val="center"/>
              <w:rPr>
                <w:rFonts w:eastAsia="Times New Roman" w:cs="Arial"/>
                <w:sz w:val="18"/>
                <w:szCs w:val="18"/>
                <w:lang w:eastAsia="es-ES"/>
              </w:rPr>
            </w:pPr>
            <w:r w:rsidRPr="00D868AB">
              <w:rPr>
                <w:rFonts w:eastAsia="Times New Roman" w:cs="Arial"/>
                <w:sz w:val="18"/>
                <w:szCs w:val="18"/>
                <w:lang w:eastAsia="es-ES"/>
              </w:rPr>
              <w:t>117/2008</w:t>
            </w:r>
          </w:p>
        </w:tc>
        <w:tc>
          <w:tcPr>
            <w:tcW w:w="1701" w:type="dxa"/>
            <w:shd w:val="clear" w:color="auto" w:fill="auto"/>
            <w:noWrap/>
            <w:vAlign w:val="center"/>
            <w:hideMark/>
          </w:tcPr>
          <w:p w14:paraId="544E3E68"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Refinanciamiento</w:t>
            </w:r>
          </w:p>
        </w:tc>
      </w:tr>
      <w:tr w:rsidR="00D868AB" w:rsidRPr="00D868AB" w14:paraId="77F8B3A3" w14:textId="77777777" w:rsidTr="00A755A7">
        <w:trPr>
          <w:trHeight w:val="300"/>
          <w:jc w:val="center"/>
        </w:trPr>
        <w:tc>
          <w:tcPr>
            <w:tcW w:w="3837" w:type="dxa"/>
            <w:shd w:val="clear" w:color="auto" w:fill="auto"/>
            <w:noWrap/>
            <w:vAlign w:val="bottom"/>
          </w:tcPr>
          <w:p w14:paraId="67B3FD91" w14:textId="77777777" w:rsidR="00D868AB" w:rsidRPr="00D868AB" w:rsidRDefault="00D868AB" w:rsidP="00D868AB">
            <w:pPr>
              <w:rPr>
                <w:rFonts w:eastAsia="Times New Roman" w:cs="Arial"/>
                <w:sz w:val="18"/>
                <w:szCs w:val="18"/>
                <w:lang w:val="es-ES" w:eastAsia="es-ES"/>
              </w:rPr>
            </w:pPr>
            <w:r w:rsidRPr="00D868AB">
              <w:rPr>
                <w:rFonts w:eastAsia="Times New Roman" w:cs="Arial"/>
                <w:sz w:val="18"/>
                <w:szCs w:val="18"/>
                <w:lang w:val="es-ES" w:eastAsia="es-ES"/>
              </w:rPr>
              <w:t>Decreto No. 427 de fecha 02 de diciembre de 2017.</w:t>
            </w:r>
          </w:p>
        </w:tc>
        <w:tc>
          <w:tcPr>
            <w:tcW w:w="1834" w:type="dxa"/>
            <w:shd w:val="clear" w:color="auto" w:fill="auto"/>
            <w:noWrap/>
            <w:vAlign w:val="center"/>
          </w:tcPr>
          <w:p w14:paraId="7F137F29"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val="es-ES" w:eastAsia="es-ES"/>
              </w:rPr>
              <w:t>Crédito Banorte 84908305</w:t>
            </w:r>
          </w:p>
        </w:tc>
        <w:tc>
          <w:tcPr>
            <w:tcW w:w="1559" w:type="dxa"/>
            <w:vAlign w:val="center"/>
          </w:tcPr>
          <w:p w14:paraId="2A023FC8" w14:textId="77777777" w:rsidR="00D868AB" w:rsidRPr="00D868AB" w:rsidRDefault="00D868AB" w:rsidP="00D868AB">
            <w:pPr>
              <w:jc w:val="center"/>
              <w:rPr>
                <w:rFonts w:eastAsia="Times New Roman" w:cs="Arial"/>
                <w:sz w:val="18"/>
                <w:szCs w:val="18"/>
                <w:lang w:eastAsia="es-ES"/>
              </w:rPr>
            </w:pPr>
            <w:r w:rsidRPr="00D868AB">
              <w:rPr>
                <w:rFonts w:eastAsia="Times New Roman" w:cs="Arial"/>
                <w:sz w:val="18"/>
                <w:szCs w:val="18"/>
                <w:lang w:eastAsia="es-ES"/>
              </w:rPr>
              <w:t>P06-0518038</w:t>
            </w:r>
          </w:p>
        </w:tc>
        <w:tc>
          <w:tcPr>
            <w:tcW w:w="1701" w:type="dxa"/>
            <w:shd w:val="clear" w:color="auto" w:fill="auto"/>
            <w:noWrap/>
            <w:vAlign w:val="center"/>
          </w:tcPr>
          <w:p w14:paraId="3355A71C"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val="es-ES" w:eastAsia="es-ES"/>
              </w:rPr>
              <w:t>Refinanciamiento</w:t>
            </w:r>
          </w:p>
        </w:tc>
      </w:tr>
      <w:tr w:rsidR="00D868AB" w:rsidRPr="00D868AB" w14:paraId="05602433" w14:textId="77777777" w:rsidTr="00A755A7">
        <w:trPr>
          <w:trHeight w:val="300"/>
          <w:jc w:val="center"/>
        </w:trPr>
        <w:tc>
          <w:tcPr>
            <w:tcW w:w="3837" w:type="dxa"/>
            <w:shd w:val="clear" w:color="auto" w:fill="auto"/>
            <w:noWrap/>
            <w:vAlign w:val="center"/>
            <w:hideMark/>
          </w:tcPr>
          <w:p w14:paraId="1B106595" w14:textId="77777777" w:rsidR="00D868AB" w:rsidRPr="00D868AB" w:rsidRDefault="00D868AB" w:rsidP="00D868AB">
            <w:pPr>
              <w:rPr>
                <w:rFonts w:eastAsia="Times New Roman" w:cs="Arial"/>
                <w:sz w:val="18"/>
                <w:szCs w:val="18"/>
                <w:lang w:val="es-ES" w:eastAsia="es-ES"/>
              </w:rPr>
            </w:pPr>
            <w:r w:rsidRPr="00D868AB">
              <w:rPr>
                <w:rFonts w:eastAsia="Times New Roman" w:cs="Arial"/>
                <w:sz w:val="18"/>
                <w:szCs w:val="18"/>
                <w:lang w:val="es-ES" w:eastAsia="es-ES"/>
              </w:rPr>
              <w:t>Decreto No. 410 de fecha 26 noviembre de 2011.</w:t>
            </w:r>
          </w:p>
        </w:tc>
        <w:tc>
          <w:tcPr>
            <w:tcW w:w="1834" w:type="dxa"/>
            <w:shd w:val="clear" w:color="auto" w:fill="auto"/>
            <w:noWrap/>
            <w:vAlign w:val="center"/>
            <w:hideMark/>
          </w:tcPr>
          <w:p w14:paraId="5F15D839"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Intereses Banobras 10487</w:t>
            </w:r>
          </w:p>
        </w:tc>
        <w:tc>
          <w:tcPr>
            <w:tcW w:w="1559" w:type="dxa"/>
            <w:vAlign w:val="center"/>
          </w:tcPr>
          <w:p w14:paraId="6414ED67" w14:textId="77777777" w:rsidR="00D868AB" w:rsidRPr="00D868AB" w:rsidRDefault="00D868AB" w:rsidP="00D868AB">
            <w:pPr>
              <w:jc w:val="center"/>
              <w:rPr>
                <w:rFonts w:eastAsia="Times New Roman" w:cs="Arial"/>
                <w:sz w:val="18"/>
                <w:szCs w:val="18"/>
                <w:lang w:eastAsia="es-ES"/>
              </w:rPr>
            </w:pPr>
            <w:r w:rsidRPr="00D868AB">
              <w:rPr>
                <w:rFonts w:eastAsia="Times New Roman" w:cs="Arial"/>
                <w:sz w:val="18"/>
                <w:szCs w:val="18"/>
                <w:lang w:eastAsia="es-ES"/>
              </w:rPr>
              <w:t>P06-0312031</w:t>
            </w:r>
          </w:p>
        </w:tc>
        <w:tc>
          <w:tcPr>
            <w:tcW w:w="1701" w:type="dxa"/>
            <w:shd w:val="clear" w:color="auto" w:fill="auto"/>
            <w:noWrap/>
            <w:vAlign w:val="center"/>
            <w:hideMark/>
          </w:tcPr>
          <w:p w14:paraId="11E47B70"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Inversión Pública Productiva</w:t>
            </w:r>
          </w:p>
        </w:tc>
      </w:tr>
      <w:tr w:rsidR="00D868AB" w:rsidRPr="00D868AB" w14:paraId="2A7C74BD" w14:textId="77777777" w:rsidTr="00A755A7">
        <w:trPr>
          <w:trHeight w:val="300"/>
          <w:jc w:val="center"/>
        </w:trPr>
        <w:tc>
          <w:tcPr>
            <w:tcW w:w="3837" w:type="dxa"/>
            <w:shd w:val="clear" w:color="auto" w:fill="auto"/>
            <w:noWrap/>
            <w:vAlign w:val="center"/>
            <w:hideMark/>
          </w:tcPr>
          <w:p w14:paraId="545967F5" w14:textId="77777777" w:rsidR="00D868AB" w:rsidRPr="00D868AB" w:rsidRDefault="00D868AB" w:rsidP="00D868AB">
            <w:pPr>
              <w:rPr>
                <w:rFonts w:eastAsia="Times New Roman" w:cs="Arial"/>
                <w:sz w:val="18"/>
                <w:szCs w:val="18"/>
                <w:lang w:val="es-ES" w:eastAsia="es-ES"/>
              </w:rPr>
            </w:pPr>
            <w:r w:rsidRPr="00D868AB">
              <w:rPr>
                <w:rFonts w:eastAsia="Times New Roman" w:cs="Arial"/>
                <w:sz w:val="18"/>
                <w:szCs w:val="18"/>
                <w:lang w:val="es-ES" w:eastAsia="es-ES"/>
              </w:rPr>
              <w:t>Decreto No. 120 de fecha 26 junio 2013.</w:t>
            </w:r>
          </w:p>
        </w:tc>
        <w:tc>
          <w:tcPr>
            <w:tcW w:w="1834" w:type="dxa"/>
            <w:shd w:val="clear" w:color="auto" w:fill="auto"/>
            <w:noWrap/>
            <w:vAlign w:val="center"/>
            <w:hideMark/>
          </w:tcPr>
          <w:p w14:paraId="04F5FB06"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Intereses Banobras 11126 y 111282</w:t>
            </w:r>
          </w:p>
        </w:tc>
        <w:tc>
          <w:tcPr>
            <w:tcW w:w="1559" w:type="dxa"/>
            <w:vAlign w:val="center"/>
          </w:tcPr>
          <w:p w14:paraId="6BABC090" w14:textId="77777777" w:rsidR="00D868AB" w:rsidRPr="00D868AB" w:rsidRDefault="00D868AB" w:rsidP="00D868AB">
            <w:pPr>
              <w:jc w:val="center"/>
              <w:rPr>
                <w:rFonts w:eastAsia="Times New Roman" w:cs="Arial"/>
                <w:sz w:val="18"/>
                <w:szCs w:val="18"/>
                <w:lang w:eastAsia="es-ES"/>
              </w:rPr>
            </w:pPr>
            <w:r w:rsidRPr="00D868AB">
              <w:rPr>
                <w:rFonts w:eastAsia="Times New Roman" w:cs="Arial"/>
                <w:sz w:val="18"/>
                <w:szCs w:val="18"/>
                <w:lang w:eastAsia="es-ES"/>
              </w:rPr>
              <w:t>P06-0813095</w:t>
            </w:r>
          </w:p>
        </w:tc>
        <w:tc>
          <w:tcPr>
            <w:tcW w:w="1701" w:type="dxa"/>
            <w:shd w:val="clear" w:color="auto" w:fill="auto"/>
            <w:noWrap/>
            <w:vAlign w:val="center"/>
            <w:hideMark/>
          </w:tcPr>
          <w:p w14:paraId="370734AC"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Inversión Pública Productiva</w:t>
            </w:r>
          </w:p>
        </w:tc>
      </w:tr>
      <w:tr w:rsidR="00D868AB" w:rsidRPr="00D868AB" w14:paraId="54230D4E" w14:textId="77777777" w:rsidTr="00A755A7">
        <w:trPr>
          <w:trHeight w:val="300"/>
          <w:jc w:val="center"/>
        </w:trPr>
        <w:tc>
          <w:tcPr>
            <w:tcW w:w="3837" w:type="dxa"/>
            <w:shd w:val="clear" w:color="auto" w:fill="auto"/>
            <w:noWrap/>
            <w:vAlign w:val="center"/>
            <w:hideMark/>
          </w:tcPr>
          <w:p w14:paraId="039750BA" w14:textId="77777777" w:rsidR="00D868AB" w:rsidRPr="00D868AB" w:rsidRDefault="00D868AB" w:rsidP="00D868AB">
            <w:pPr>
              <w:rPr>
                <w:rFonts w:eastAsia="Times New Roman" w:cs="Arial"/>
                <w:sz w:val="18"/>
                <w:szCs w:val="18"/>
                <w:lang w:val="es-ES" w:eastAsia="es-ES"/>
              </w:rPr>
            </w:pPr>
            <w:r w:rsidRPr="00D868AB">
              <w:rPr>
                <w:rFonts w:eastAsia="Times New Roman" w:cs="Arial"/>
                <w:sz w:val="18"/>
                <w:szCs w:val="18"/>
                <w:lang w:val="es-ES" w:eastAsia="es-ES"/>
              </w:rPr>
              <w:t>Decreto No. 121 de fecha 26 junio 2013.</w:t>
            </w:r>
          </w:p>
        </w:tc>
        <w:tc>
          <w:tcPr>
            <w:tcW w:w="1834" w:type="dxa"/>
            <w:shd w:val="clear" w:color="auto" w:fill="auto"/>
            <w:noWrap/>
            <w:vAlign w:val="center"/>
            <w:hideMark/>
          </w:tcPr>
          <w:p w14:paraId="5F00AFC8"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Crédito Banobras 11149</w:t>
            </w:r>
          </w:p>
        </w:tc>
        <w:tc>
          <w:tcPr>
            <w:tcW w:w="1559" w:type="dxa"/>
            <w:vAlign w:val="center"/>
          </w:tcPr>
          <w:p w14:paraId="38647F0C" w14:textId="77777777" w:rsidR="00D868AB" w:rsidRPr="00D868AB" w:rsidRDefault="00D868AB" w:rsidP="00D868AB">
            <w:pPr>
              <w:jc w:val="center"/>
              <w:rPr>
                <w:rFonts w:eastAsia="Times New Roman" w:cs="Arial"/>
                <w:sz w:val="18"/>
                <w:szCs w:val="18"/>
                <w:lang w:eastAsia="es-ES"/>
              </w:rPr>
            </w:pPr>
            <w:r w:rsidRPr="00D868AB">
              <w:rPr>
                <w:rFonts w:eastAsia="Times New Roman" w:cs="Arial"/>
                <w:sz w:val="18"/>
                <w:szCs w:val="18"/>
                <w:lang w:eastAsia="es-ES"/>
              </w:rPr>
              <w:t>P06-0913111</w:t>
            </w:r>
          </w:p>
        </w:tc>
        <w:tc>
          <w:tcPr>
            <w:tcW w:w="1701" w:type="dxa"/>
            <w:shd w:val="clear" w:color="auto" w:fill="auto"/>
            <w:noWrap/>
            <w:vAlign w:val="center"/>
            <w:hideMark/>
          </w:tcPr>
          <w:p w14:paraId="026ABEB6"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Refinanciamiento</w:t>
            </w:r>
          </w:p>
        </w:tc>
      </w:tr>
      <w:tr w:rsidR="00D868AB" w:rsidRPr="00D868AB" w14:paraId="7C6436EC" w14:textId="77777777" w:rsidTr="00A755A7">
        <w:trPr>
          <w:trHeight w:val="300"/>
          <w:jc w:val="center"/>
        </w:trPr>
        <w:tc>
          <w:tcPr>
            <w:tcW w:w="3837" w:type="dxa"/>
            <w:shd w:val="clear" w:color="auto" w:fill="auto"/>
            <w:noWrap/>
            <w:vAlign w:val="bottom"/>
          </w:tcPr>
          <w:p w14:paraId="5FC2443A" w14:textId="77777777" w:rsidR="00D868AB" w:rsidRPr="00D868AB" w:rsidRDefault="00D868AB" w:rsidP="00D868AB">
            <w:pPr>
              <w:rPr>
                <w:rFonts w:eastAsia="Times New Roman" w:cs="Arial"/>
                <w:sz w:val="18"/>
                <w:szCs w:val="18"/>
                <w:lang w:val="es-ES" w:eastAsia="es-ES"/>
              </w:rPr>
            </w:pPr>
            <w:r w:rsidRPr="00D868AB">
              <w:rPr>
                <w:rFonts w:eastAsia="Times New Roman" w:cs="Arial"/>
                <w:sz w:val="18"/>
                <w:szCs w:val="18"/>
                <w:lang w:val="es-ES" w:eastAsia="es-ES"/>
              </w:rPr>
              <w:t>Decreto No. 427 de fecha 02 de diciembre de 2017.</w:t>
            </w:r>
          </w:p>
        </w:tc>
        <w:tc>
          <w:tcPr>
            <w:tcW w:w="1834" w:type="dxa"/>
            <w:shd w:val="clear" w:color="auto" w:fill="auto"/>
            <w:noWrap/>
            <w:vAlign w:val="center"/>
          </w:tcPr>
          <w:p w14:paraId="3AC03C36"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val="es-ES" w:eastAsia="es-ES"/>
              </w:rPr>
              <w:t>Crédito Banorte 466531</w:t>
            </w:r>
          </w:p>
        </w:tc>
        <w:tc>
          <w:tcPr>
            <w:tcW w:w="1559" w:type="dxa"/>
            <w:vAlign w:val="center"/>
          </w:tcPr>
          <w:p w14:paraId="7BD2C6F8" w14:textId="77777777" w:rsidR="00D868AB" w:rsidRPr="00D868AB" w:rsidRDefault="00D868AB" w:rsidP="00D868AB">
            <w:pPr>
              <w:jc w:val="center"/>
              <w:rPr>
                <w:rFonts w:eastAsia="Times New Roman" w:cs="Arial"/>
                <w:sz w:val="18"/>
                <w:szCs w:val="18"/>
                <w:lang w:eastAsia="es-ES"/>
              </w:rPr>
            </w:pPr>
            <w:r w:rsidRPr="00D868AB">
              <w:rPr>
                <w:rFonts w:eastAsia="Times New Roman" w:cs="Arial"/>
                <w:sz w:val="18"/>
                <w:szCs w:val="18"/>
                <w:lang w:eastAsia="es-ES"/>
              </w:rPr>
              <w:t>P06-0518039</w:t>
            </w:r>
          </w:p>
        </w:tc>
        <w:tc>
          <w:tcPr>
            <w:tcW w:w="1701" w:type="dxa"/>
            <w:shd w:val="clear" w:color="auto" w:fill="auto"/>
            <w:noWrap/>
            <w:vAlign w:val="center"/>
          </w:tcPr>
          <w:p w14:paraId="602812C0" w14:textId="77777777" w:rsidR="00D868AB" w:rsidRPr="00D868AB" w:rsidRDefault="00D868AB" w:rsidP="00D868AB">
            <w:pPr>
              <w:jc w:val="center"/>
              <w:rPr>
                <w:rFonts w:eastAsia="Times New Roman" w:cs="Arial"/>
                <w:sz w:val="18"/>
                <w:szCs w:val="18"/>
                <w:lang w:eastAsia="es-ES"/>
              </w:rPr>
            </w:pPr>
            <w:r w:rsidRPr="00D868AB">
              <w:rPr>
                <w:rFonts w:eastAsia="Times New Roman" w:cs="Arial"/>
                <w:sz w:val="18"/>
                <w:szCs w:val="18"/>
                <w:lang w:eastAsia="es-ES"/>
              </w:rPr>
              <w:t>Refinanciamiento</w:t>
            </w:r>
          </w:p>
        </w:tc>
      </w:tr>
      <w:tr w:rsidR="00D868AB" w:rsidRPr="00D868AB" w14:paraId="075DDF26" w14:textId="77777777" w:rsidTr="00A755A7">
        <w:trPr>
          <w:trHeight w:val="300"/>
          <w:jc w:val="center"/>
        </w:trPr>
        <w:tc>
          <w:tcPr>
            <w:tcW w:w="3837" w:type="dxa"/>
            <w:shd w:val="clear" w:color="auto" w:fill="auto"/>
            <w:noWrap/>
            <w:vAlign w:val="center"/>
          </w:tcPr>
          <w:p w14:paraId="2B9C0082" w14:textId="77777777" w:rsidR="00D868AB" w:rsidRPr="00D868AB" w:rsidRDefault="00D868AB" w:rsidP="00D868AB">
            <w:pPr>
              <w:rPr>
                <w:rFonts w:eastAsia="Times New Roman" w:cs="Arial"/>
                <w:sz w:val="18"/>
                <w:szCs w:val="18"/>
                <w:lang w:val="es-ES" w:eastAsia="es-ES"/>
              </w:rPr>
            </w:pPr>
            <w:r w:rsidRPr="00D868AB">
              <w:rPr>
                <w:rFonts w:eastAsia="Times New Roman" w:cs="Arial"/>
                <w:sz w:val="18"/>
                <w:szCs w:val="18"/>
                <w:lang w:val="es-ES" w:eastAsia="es-ES"/>
              </w:rPr>
              <w:t>Decreto No. 617 de fecha 28 de septiembre de 2018.</w:t>
            </w:r>
          </w:p>
        </w:tc>
        <w:tc>
          <w:tcPr>
            <w:tcW w:w="1834" w:type="dxa"/>
            <w:shd w:val="clear" w:color="auto" w:fill="auto"/>
            <w:noWrap/>
            <w:vAlign w:val="center"/>
          </w:tcPr>
          <w:p w14:paraId="1ACC4FF9"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val="es-ES" w:eastAsia="es-ES"/>
              </w:rPr>
              <w:t>Crédito Banobras 13451</w:t>
            </w:r>
          </w:p>
        </w:tc>
        <w:tc>
          <w:tcPr>
            <w:tcW w:w="1559" w:type="dxa"/>
            <w:shd w:val="clear" w:color="auto" w:fill="auto"/>
            <w:vAlign w:val="center"/>
          </w:tcPr>
          <w:p w14:paraId="2B24C7A5"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eastAsia="es-ES"/>
              </w:rPr>
              <w:t>P06-1218129</w:t>
            </w:r>
          </w:p>
        </w:tc>
        <w:tc>
          <w:tcPr>
            <w:tcW w:w="1701" w:type="dxa"/>
            <w:shd w:val="clear" w:color="auto" w:fill="auto"/>
            <w:noWrap/>
            <w:vAlign w:val="center"/>
          </w:tcPr>
          <w:p w14:paraId="3D0BC3A8" w14:textId="77777777" w:rsidR="00D868AB" w:rsidRPr="00D868AB" w:rsidRDefault="00D868AB" w:rsidP="00D868AB">
            <w:pPr>
              <w:jc w:val="center"/>
              <w:rPr>
                <w:rFonts w:eastAsia="Times New Roman" w:cs="Arial"/>
                <w:sz w:val="18"/>
                <w:szCs w:val="18"/>
                <w:lang w:eastAsia="es-ES"/>
              </w:rPr>
            </w:pPr>
            <w:r w:rsidRPr="00D868AB">
              <w:rPr>
                <w:rFonts w:eastAsia="Times New Roman" w:cs="Arial"/>
                <w:sz w:val="18"/>
                <w:szCs w:val="18"/>
                <w:lang w:eastAsia="es-ES"/>
              </w:rPr>
              <w:t>Inversión Pública Productiva</w:t>
            </w:r>
          </w:p>
        </w:tc>
      </w:tr>
      <w:tr w:rsidR="00D868AB" w:rsidRPr="00D868AB" w14:paraId="4D7EA5B9" w14:textId="77777777" w:rsidTr="00A755A7">
        <w:trPr>
          <w:trHeight w:val="300"/>
          <w:jc w:val="center"/>
        </w:trPr>
        <w:tc>
          <w:tcPr>
            <w:tcW w:w="3837" w:type="dxa"/>
            <w:shd w:val="clear" w:color="auto" w:fill="auto"/>
            <w:noWrap/>
            <w:vAlign w:val="center"/>
          </w:tcPr>
          <w:p w14:paraId="3746637C" w14:textId="77777777" w:rsidR="00D868AB" w:rsidRPr="00D868AB" w:rsidRDefault="00D868AB" w:rsidP="00D868AB">
            <w:pPr>
              <w:rPr>
                <w:rFonts w:eastAsia="Times New Roman" w:cs="Arial"/>
                <w:sz w:val="18"/>
                <w:szCs w:val="18"/>
                <w:lang w:val="es-ES" w:eastAsia="es-ES"/>
              </w:rPr>
            </w:pPr>
            <w:r w:rsidRPr="00D868AB">
              <w:rPr>
                <w:rFonts w:eastAsia="Times New Roman" w:cs="Arial"/>
                <w:sz w:val="18"/>
                <w:szCs w:val="18"/>
                <w:lang w:val="es-ES" w:eastAsia="es-ES"/>
              </w:rPr>
              <w:t>Decreto No. 286 de fecha 09 de julio de 2020.</w:t>
            </w:r>
          </w:p>
        </w:tc>
        <w:tc>
          <w:tcPr>
            <w:tcW w:w="1834" w:type="dxa"/>
            <w:shd w:val="clear" w:color="auto" w:fill="auto"/>
            <w:noWrap/>
            <w:vAlign w:val="center"/>
          </w:tcPr>
          <w:p w14:paraId="22636C1B"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val="es-ES" w:eastAsia="es-ES"/>
              </w:rPr>
              <w:t>Crédito HSBC (84108927);</w:t>
            </w:r>
          </w:p>
          <w:p w14:paraId="5B371C67" w14:textId="77777777" w:rsidR="00D868AB" w:rsidRPr="00D868AB" w:rsidRDefault="00D868AB" w:rsidP="00D868AB">
            <w:pPr>
              <w:jc w:val="center"/>
              <w:rPr>
                <w:rFonts w:eastAsia="Times New Roman" w:cs="Arial"/>
                <w:sz w:val="18"/>
                <w:szCs w:val="18"/>
                <w:lang w:val="es-ES" w:eastAsia="es-ES"/>
              </w:rPr>
            </w:pPr>
            <w:r w:rsidRPr="00D868AB">
              <w:rPr>
                <w:rFonts w:eastAsia="Times New Roman" w:cs="Arial"/>
                <w:sz w:val="18"/>
                <w:szCs w:val="18"/>
                <w:lang w:val="es-ES" w:eastAsia="es-ES"/>
              </w:rPr>
              <w:t xml:space="preserve">Crédito BANSI (111000315037) </w:t>
            </w:r>
          </w:p>
        </w:tc>
        <w:tc>
          <w:tcPr>
            <w:tcW w:w="1559" w:type="dxa"/>
            <w:shd w:val="clear" w:color="auto" w:fill="auto"/>
            <w:vAlign w:val="center"/>
          </w:tcPr>
          <w:p w14:paraId="6C497807" w14:textId="77777777" w:rsidR="00D868AB" w:rsidRPr="00D868AB" w:rsidRDefault="00D868AB" w:rsidP="00D868AB">
            <w:pPr>
              <w:jc w:val="center"/>
              <w:rPr>
                <w:rFonts w:eastAsia="Times New Roman" w:cs="Arial"/>
                <w:sz w:val="18"/>
                <w:szCs w:val="18"/>
                <w:lang w:eastAsia="es-ES"/>
              </w:rPr>
            </w:pPr>
            <w:r w:rsidRPr="00D868AB">
              <w:rPr>
                <w:rFonts w:eastAsiaTheme="minorHAnsi" w:cs="Arial"/>
                <w:sz w:val="18"/>
                <w:szCs w:val="18"/>
              </w:rPr>
              <w:t>P06-0121006</w:t>
            </w:r>
            <w:r w:rsidRPr="00D868AB">
              <w:rPr>
                <w:rFonts w:eastAsia="Times New Roman" w:cs="Arial"/>
                <w:sz w:val="18"/>
                <w:szCs w:val="18"/>
                <w:lang w:eastAsia="es-ES"/>
              </w:rPr>
              <w:t xml:space="preserve">  y P06-0121007 </w:t>
            </w:r>
          </w:p>
        </w:tc>
        <w:tc>
          <w:tcPr>
            <w:tcW w:w="1701" w:type="dxa"/>
            <w:shd w:val="clear" w:color="auto" w:fill="auto"/>
            <w:noWrap/>
            <w:vAlign w:val="center"/>
          </w:tcPr>
          <w:p w14:paraId="598E91DD" w14:textId="77777777" w:rsidR="00D868AB" w:rsidRPr="00D868AB" w:rsidRDefault="00D868AB" w:rsidP="00D868AB">
            <w:pPr>
              <w:jc w:val="center"/>
              <w:rPr>
                <w:rFonts w:eastAsia="Times New Roman" w:cs="Arial"/>
                <w:sz w:val="18"/>
                <w:szCs w:val="18"/>
                <w:lang w:eastAsia="es-ES"/>
              </w:rPr>
            </w:pPr>
            <w:r w:rsidRPr="00D868AB">
              <w:rPr>
                <w:rFonts w:eastAsia="Times New Roman" w:cs="Arial"/>
                <w:sz w:val="18"/>
                <w:szCs w:val="18"/>
                <w:lang w:eastAsia="es-ES"/>
              </w:rPr>
              <w:t>Inversión Pública Productiva</w:t>
            </w:r>
          </w:p>
        </w:tc>
      </w:tr>
    </w:tbl>
    <w:p w14:paraId="0EA88D44" w14:textId="77777777" w:rsidR="00D868AB" w:rsidRPr="00D868AB" w:rsidRDefault="00D868AB" w:rsidP="00D868AB">
      <w:pPr>
        <w:ind w:left="567" w:hanging="567"/>
        <w:rPr>
          <w:rFonts w:eastAsia="Times New Roman" w:cs="Arial"/>
          <w:lang w:val="es-ES" w:eastAsia="es-ES"/>
        </w:rPr>
      </w:pPr>
    </w:p>
    <w:p w14:paraId="7340221F" w14:textId="77777777" w:rsidR="00D868AB" w:rsidRPr="00D868AB" w:rsidRDefault="00D868AB" w:rsidP="00D868AB">
      <w:pPr>
        <w:ind w:left="567" w:hanging="567"/>
        <w:rPr>
          <w:rFonts w:eastAsia="Times New Roman" w:cs="Arial"/>
          <w:lang w:val="es-ES" w:eastAsia="es-ES"/>
        </w:rPr>
      </w:pPr>
      <w:r w:rsidRPr="00D868AB">
        <w:rPr>
          <w:rFonts w:eastAsia="Times New Roman" w:cs="Arial"/>
          <w:lang w:val="es-ES" w:eastAsia="es-ES"/>
        </w:rPr>
        <w:t xml:space="preserve">IV. </w:t>
      </w:r>
      <w:r w:rsidRPr="00D868AB">
        <w:rPr>
          <w:rFonts w:eastAsia="Times New Roman" w:cs="Arial"/>
          <w:lang w:val="es-ES" w:eastAsia="es-ES"/>
        </w:rPr>
        <w:tab/>
        <w:t xml:space="preserve">El saldo insoluto de la Deuda Pública a Corto Plazo del Gobierno del Estado de Colima al 30 de septiembre de 2022, es de un total de </w:t>
      </w:r>
      <w:r w:rsidRPr="00D868AB">
        <w:rPr>
          <w:rFonts w:eastAsia="Times New Roman" w:cs="Arial"/>
          <w:b/>
          <w:bCs/>
          <w:lang w:val="es-ES" w:eastAsia="es-ES"/>
        </w:rPr>
        <w:t>$285,993,336.00</w:t>
      </w:r>
      <w:r w:rsidRPr="00D868AB">
        <w:rPr>
          <w:rFonts w:eastAsia="Times New Roman" w:cs="Arial"/>
          <w:lang w:val="es-ES" w:eastAsia="es-ES"/>
        </w:rPr>
        <w:t xml:space="preserve"> (Doscientos ochenta y cinco millones novecientos noventa y tres mil trescientos treinta y seis pesos). Se detalla.</w:t>
      </w:r>
    </w:p>
    <w:p w14:paraId="7E69F6D8" w14:textId="77777777" w:rsidR="00D868AB" w:rsidRPr="00D868AB" w:rsidRDefault="00D868AB" w:rsidP="00D868AB">
      <w:pPr>
        <w:jc w:val="center"/>
        <w:rPr>
          <w:rFonts w:eastAsia="Times New Roman" w:cs="Arial"/>
          <w:b/>
          <w:bCs/>
          <w:sz w:val="20"/>
          <w:szCs w:val="20"/>
        </w:rPr>
      </w:pPr>
    </w:p>
    <w:p w14:paraId="422FB8C6"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Tabla 41. Obligaciones Bancarias de Corto Plazo</w:t>
      </w:r>
    </w:p>
    <w:p w14:paraId="3BD06AF5" w14:textId="77777777" w:rsidR="00D868AB" w:rsidRPr="00D868AB" w:rsidRDefault="00D868AB" w:rsidP="00D868AB">
      <w:pPr>
        <w:jc w:val="center"/>
        <w:rPr>
          <w:rFonts w:eastAsia="Times New Roman" w:cs="Arial"/>
          <w:bCs/>
          <w:sz w:val="18"/>
          <w:szCs w:val="20"/>
        </w:rPr>
      </w:pPr>
      <w:r w:rsidRPr="00D868AB">
        <w:rPr>
          <w:rFonts w:eastAsia="Times New Roman" w:cs="Arial"/>
          <w:bCs/>
          <w:sz w:val="18"/>
          <w:szCs w:val="20"/>
        </w:rPr>
        <w:t>Saldos Insolutos al 30 de septiembre de 2022</w:t>
      </w:r>
    </w:p>
    <w:tbl>
      <w:tblPr>
        <w:tblW w:w="9743" w:type="dxa"/>
        <w:jc w:val="center"/>
        <w:tblLayout w:type="fixed"/>
        <w:tblCellMar>
          <w:left w:w="70" w:type="dxa"/>
          <w:right w:w="70" w:type="dxa"/>
        </w:tblCellMar>
        <w:tblLook w:val="04A0" w:firstRow="1" w:lastRow="0" w:firstColumn="1" w:lastColumn="0" w:noHBand="0" w:noVBand="1"/>
      </w:tblPr>
      <w:tblGrid>
        <w:gridCol w:w="755"/>
        <w:gridCol w:w="941"/>
        <w:gridCol w:w="1043"/>
        <w:gridCol w:w="1030"/>
        <w:gridCol w:w="904"/>
        <w:gridCol w:w="709"/>
        <w:gridCol w:w="850"/>
        <w:gridCol w:w="973"/>
        <w:gridCol w:w="958"/>
        <w:gridCol w:w="630"/>
        <w:gridCol w:w="950"/>
      </w:tblGrid>
      <w:tr w:rsidR="00D868AB" w:rsidRPr="00D868AB" w14:paraId="4493ABB9" w14:textId="77777777" w:rsidTr="00A755A7">
        <w:trPr>
          <w:trHeight w:val="20"/>
          <w:jc w:val="center"/>
        </w:trPr>
        <w:tc>
          <w:tcPr>
            <w:tcW w:w="7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4097A" w14:textId="77777777" w:rsidR="00D868AB" w:rsidRPr="00D868AB" w:rsidRDefault="00D868AB" w:rsidP="00D868AB">
            <w:pPr>
              <w:jc w:val="center"/>
              <w:rPr>
                <w:rFonts w:eastAsia="Times New Roman" w:cs="Arial"/>
                <w:b/>
                <w:sz w:val="14"/>
                <w:szCs w:val="16"/>
              </w:rPr>
            </w:pPr>
            <w:r w:rsidRPr="00D868AB">
              <w:rPr>
                <w:rFonts w:eastAsia="Times New Roman" w:cs="Arial"/>
                <w:b/>
                <w:sz w:val="14"/>
                <w:szCs w:val="16"/>
              </w:rPr>
              <w:t xml:space="preserve">Acreedor </w:t>
            </w:r>
          </w:p>
        </w:tc>
        <w:tc>
          <w:tcPr>
            <w:tcW w:w="941" w:type="dxa"/>
            <w:tcBorders>
              <w:top w:val="single" w:sz="4" w:space="0" w:color="auto"/>
              <w:left w:val="nil"/>
              <w:bottom w:val="single" w:sz="4" w:space="0" w:color="auto"/>
              <w:right w:val="single" w:sz="4" w:space="0" w:color="auto"/>
            </w:tcBorders>
            <w:shd w:val="clear" w:color="auto" w:fill="auto"/>
            <w:vAlign w:val="center"/>
            <w:hideMark/>
          </w:tcPr>
          <w:p w14:paraId="410C6A4E" w14:textId="77777777" w:rsidR="00D868AB" w:rsidRPr="00D868AB" w:rsidRDefault="00D868AB" w:rsidP="00D868AB">
            <w:pPr>
              <w:jc w:val="center"/>
              <w:rPr>
                <w:rFonts w:eastAsia="Times New Roman" w:cs="Arial"/>
                <w:b/>
                <w:sz w:val="14"/>
                <w:szCs w:val="16"/>
              </w:rPr>
            </w:pPr>
            <w:r w:rsidRPr="00D868AB">
              <w:rPr>
                <w:rFonts w:eastAsia="Times New Roman" w:cs="Arial"/>
                <w:b/>
                <w:sz w:val="14"/>
                <w:szCs w:val="16"/>
              </w:rPr>
              <w:t>No. de Crédito</w:t>
            </w:r>
          </w:p>
        </w:tc>
        <w:tc>
          <w:tcPr>
            <w:tcW w:w="1043" w:type="dxa"/>
            <w:tcBorders>
              <w:top w:val="single" w:sz="4" w:space="0" w:color="auto"/>
              <w:left w:val="nil"/>
              <w:bottom w:val="single" w:sz="4" w:space="0" w:color="auto"/>
              <w:right w:val="single" w:sz="4" w:space="0" w:color="auto"/>
            </w:tcBorders>
            <w:shd w:val="clear" w:color="auto" w:fill="auto"/>
            <w:vAlign w:val="center"/>
            <w:hideMark/>
          </w:tcPr>
          <w:p w14:paraId="14571C23" w14:textId="77777777" w:rsidR="00D868AB" w:rsidRPr="00D868AB" w:rsidRDefault="00D868AB" w:rsidP="00D868AB">
            <w:pPr>
              <w:jc w:val="center"/>
              <w:rPr>
                <w:rFonts w:eastAsia="Times New Roman" w:cs="Arial"/>
                <w:b/>
                <w:sz w:val="14"/>
                <w:szCs w:val="16"/>
              </w:rPr>
            </w:pPr>
            <w:r w:rsidRPr="00D868AB">
              <w:rPr>
                <w:rFonts w:eastAsia="Times New Roman" w:cs="Arial"/>
                <w:b/>
                <w:sz w:val="14"/>
                <w:szCs w:val="16"/>
              </w:rPr>
              <w:t xml:space="preserve">Monto Contratado </w:t>
            </w:r>
          </w:p>
        </w:tc>
        <w:tc>
          <w:tcPr>
            <w:tcW w:w="1030" w:type="dxa"/>
            <w:tcBorders>
              <w:top w:val="single" w:sz="4" w:space="0" w:color="auto"/>
              <w:left w:val="nil"/>
              <w:bottom w:val="single" w:sz="4" w:space="0" w:color="auto"/>
              <w:right w:val="single" w:sz="4" w:space="0" w:color="auto"/>
            </w:tcBorders>
            <w:shd w:val="clear" w:color="auto" w:fill="auto"/>
            <w:vAlign w:val="center"/>
            <w:hideMark/>
          </w:tcPr>
          <w:p w14:paraId="6CDF3078" w14:textId="77777777" w:rsidR="00D868AB" w:rsidRPr="00D868AB" w:rsidRDefault="00D868AB" w:rsidP="00D868AB">
            <w:pPr>
              <w:jc w:val="center"/>
              <w:rPr>
                <w:rFonts w:eastAsia="Times New Roman" w:cs="Arial"/>
                <w:b/>
                <w:sz w:val="14"/>
                <w:szCs w:val="16"/>
              </w:rPr>
            </w:pPr>
            <w:r w:rsidRPr="00D868AB">
              <w:rPr>
                <w:rFonts w:eastAsia="Times New Roman" w:cs="Arial"/>
                <w:b/>
                <w:sz w:val="14"/>
                <w:szCs w:val="16"/>
              </w:rPr>
              <w:t>Saldo Insoluto</w:t>
            </w:r>
          </w:p>
        </w:tc>
        <w:tc>
          <w:tcPr>
            <w:tcW w:w="904" w:type="dxa"/>
            <w:tcBorders>
              <w:top w:val="single" w:sz="4" w:space="0" w:color="auto"/>
              <w:left w:val="nil"/>
              <w:bottom w:val="single" w:sz="4" w:space="0" w:color="auto"/>
              <w:right w:val="single" w:sz="4" w:space="0" w:color="auto"/>
            </w:tcBorders>
            <w:shd w:val="clear" w:color="auto" w:fill="auto"/>
            <w:vAlign w:val="center"/>
            <w:hideMark/>
          </w:tcPr>
          <w:p w14:paraId="49536FEB" w14:textId="77777777" w:rsidR="00D868AB" w:rsidRPr="00D868AB" w:rsidRDefault="00D868AB" w:rsidP="00D868AB">
            <w:pPr>
              <w:jc w:val="center"/>
              <w:rPr>
                <w:rFonts w:eastAsia="Times New Roman" w:cs="Arial"/>
                <w:b/>
                <w:sz w:val="14"/>
                <w:szCs w:val="16"/>
              </w:rPr>
            </w:pPr>
            <w:r w:rsidRPr="00D868AB">
              <w:rPr>
                <w:rFonts w:eastAsia="Times New Roman" w:cs="Arial"/>
                <w:b/>
                <w:sz w:val="14"/>
                <w:szCs w:val="16"/>
              </w:rPr>
              <w:t>Tasa de Interés Contratada</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0F95BD2" w14:textId="77777777" w:rsidR="00D868AB" w:rsidRPr="00D868AB" w:rsidRDefault="00D868AB" w:rsidP="00D868AB">
            <w:pPr>
              <w:jc w:val="center"/>
              <w:rPr>
                <w:rFonts w:eastAsia="Times New Roman" w:cs="Arial"/>
                <w:b/>
                <w:sz w:val="14"/>
                <w:szCs w:val="16"/>
              </w:rPr>
            </w:pPr>
            <w:r w:rsidRPr="00D868AB">
              <w:rPr>
                <w:rFonts w:eastAsia="Times New Roman" w:cs="Arial"/>
                <w:b/>
                <w:sz w:val="14"/>
                <w:szCs w:val="16"/>
              </w:rPr>
              <w:t>Tasa Efectiva</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9444BC7" w14:textId="77777777" w:rsidR="00D868AB" w:rsidRPr="00D868AB" w:rsidRDefault="00D868AB" w:rsidP="00D868AB">
            <w:pPr>
              <w:jc w:val="center"/>
              <w:rPr>
                <w:rFonts w:eastAsia="Times New Roman" w:cs="Arial"/>
                <w:b/>
                <w:sz w:val="12"/>
                <w:szCs w:val="16"/>
              </w:rPr>
            </w:pPr>
            <w:r w:rsidRPr="00D868AB">
              <w:rPr>
                <w:rFonts w:eastAsia="Times New Roman" w:cs="Arial"/>
                <w:b/>
                <w:sz w:val="12"/>
                <w:szCs w:val="16"/>
              </w:rPr>
              <w:t>Fecha de Suscripción</w:t>
            </w:r>
          </w:p>
        </w:tc>
        <w:tc>
          <w:tcPr>
            <w:tcW w:w="973" w:type="dxa"/>
            <w:tcBorders>
              <w:top w:val="single" w:sz="4" w:space="0" w:color="auto"/>
              <w:left w:val="nil"/>
              <w:bottom w:val="single" w:sz="4" w:space="0" w:color="auto"/>
              <w:right w:val="single" w:sz="4" w:space="0" w:color="auto"/>
            </w:tcBorders>
            <w:shd w:val="clear" w:color="auto" w:fill="auto"/>
            <w:vAlign w:val="center"/>
            <w:hideMark/>
          </w:tcPr>
          <w:p w14:paraId="6C1BC584" w14:textId="77777777" w:rsidR="00D868AB" w:rsidRPr="00D868AB" w:rsidRDefault="00D868AB" w:rsidP="00D868AB">
            <w:pPr>
              <w:jc w:val="center"/>
              <w:rPr>
                <w:rFonts w:eastAsia="Times New Roman" w:cs="Arial"/>
                <w:b/>
                <w:sz w:val="12"/>
                <w:szCs w:val="16"/>
              </w:rPr>
            </w:pPr>
            <w:r w:rsidRPr="00D868AB">
              <w:rPr>
                <w:rFonts w:eastAsia="Times New Roman" w:cs="Arial"/>
                <w:b/>
                <w:sz w:val="12"/>
                <w:szCs w:val="16"/>
              </w:rPr>
              <w:t>Fecha de Vencimiento</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007549F3" w14:textId="77777777" w:rsidR="00D868AB" w:rsidRPr="00D868AB" w:rsidRDefault="00D868AB" w:rsidP="00D868AB">
            <w:pPr>
              <w:jc w:val="center"/>
              <w:rPr>
                <w:rFonts w:eastAsia="Times New Roman" w:cs="Arial"/>
                <w:b/>
                <w:sz w:val="14"/>
                <w:szCs w:val="16"/>
              </w:rPr>
            </w:pPr>
            <w:r w:rsidRPr="00D868AB">
              <w:rPr>
                <w:rFonts w:eastAsia="Times New Roman" w:cs="Arial"/>
                <w:b/>
                <w:sz w:val="14"/>
                <w:szCs w:val="16"/>
              </w:rPr>
              <w:t>Garantía y/o Fuente de Pago</w:t>
            </w:r>
          </w:p>
        </w:tc>
        <w:tc>
          <w:tcPr>
            <w:tcW w:w="630" w:type="dxa"/>
            <w:tcBorders>
              <w:top w:val="single" w:sz="4" w:space="0" w:color="auto"/>
              <w:left w:val="nil"/>
              <w:bottom w:val="single" w:sz="4" w:space="0" w:color="auto"/>
              <w:right w:val="single" w:sz="4" w:space="0" w:color="auto"/>
            </w:tcBorders>
            <w:shd w:val="clear" w:color="auto" w:fill="auto"/>
            <w:vAlign w:val="center"/>
            <w:hideMark/>
          </w:tcPr>
          <w:p w14:paraId="2EA29F75" w14:textId="77777777" w:rsidR="00D868AB" w:rsidRPr="00D868AB" w:rsidRDefault="00D868AB" w:rsidP="00D868AB">
            <w:pPr>
              <w:jc w:val="center"/>
              <w:rPr>
                <w:rFonts w:eastAsia="Times New Roman" w:cs="Arial"/>
                <w:b/>
                <w:sz w:val="14"/>
                <w:szCs w:val="16"/>
              </w:rPr>
            </w:pPr>
            <w:r w:rsidRPr="00D868AB">
              <w:rPr>
                <w:rFonts w:eastAsia="Times New Roman" w:cs="Arial"/>
                <w:b/>
                <w:sz w:val="14"/>
                <w:szCs w:val="16"/>
              </w:rPr>
              <w:t>Tipo de Crédito</w:t>
            </w:r>
          </w:p>
        </w:tc>
        <w:tc>
          <w:tcPr>
            <w:tcW w:w="950" w:type="dxa"/>
            <w:tcBorders>
              <w:top w:val="single" w:sz="4" w:space="0" w:color="auto"/>
              <w:left w:val="nil"/>
              <w:bottom w:val="single" w:sz="4" w:space="0" w:color="auto"/>
              <w:right w:val="single" w:sz="4" w:space="0" w:color="auto"/>
            </w:tcBorders>
            <w:shd w:val="clear" w:color="auto" w:fill="auto"/>
            <w:vAlign w:val="center"/>
            <w:hideMark/>
          </w:tcPr>
          <w:p w14:paraId="2FCC1D7A" w14:textId="77777777" w:rsidR="00D868AB" w:rsidRPr="00D868AB" w:rsidRDefault="00D868AB" w:rsidP="00D868AB">
            <w:pPr>
              <w:jc w:val="center"/>
              <w:rPr>
                <w:rFonts w:eastAsia="Times New Roman" w:cs="Arial"/>
                <w:b/>
                <w:sz w:val="14"/>
                <w:szCs w:val="16"/>
              </w:rPr>
            </w:pPr>
            <w:r w:rsidRPr="00D868AB">
              <w:rPr>
                <w:rFonts w:eastAsia="Times New Roman" w:cs="Arial"/>
                <w:b/>
                <w:sz w:val="14"/>
                <w:szCs w:val="16"/>
              </w:rPr>
              <w:t>Destino</w:t>
            </w:r>
          </w:p>
        </w:tc>
      </w:tr>
      <w:tr w:rsidR="00D868AB" w:rsidRPr="00D868AB" w14:paraId="013587EF" w14:textId="77777777" w:rsidTr="00A755A7">
        <w:trPr>
          <w:trHeight w:val="20"/>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02FA498"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HSBC</w:t>
            </w:r>
          </w:p>
        </w:tc>
        <w:tc>
          <w:tcPr>
            <w:tcW w:w="941" w:type="dxa"/>
            <w:tcBorders>
              <w:top w:val="nil"/>
              <w:left w:val="nil"/>
              <w:bottom w:val="single" w:sz="4" w:space="0" w:color="auto"/>
              <w:right w:val="single" w:sz="4" w:space="0" w:color="auto"/>
            </w:tcBorders>
            <w:shd w:val="clear" w:color="auto" w:fill="auto"/>
            <w:noWrap/>
            <w:vAlign w:val="center"/>
            <w:hideMark/>
          </w:tcPr>
          <w:p w14:paraId="6ECA4F35"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84747142</w:t>
            </w:r>
          </w:p>
        </w:tc>
        <w:tc>
          <w:tcPr>
            <w:tcW w:w="1043" w:type="dxa"/>
            <w:tcBorders>
              <w:top w:val="nil"/>
              <w:left w:val="nil"/>
              <w:bottom w:val="single" w:sz="4" w:space="0" w:color="auto"/>
              <w:right w:val="single" w:sz="4" w:space="0" w:color="auto"/>
            </w:tcBorders>
            <w:shd w:val="clear" w:color="auto" w:fill="auto"/>
            <w:noWrap/>
            <w:vAlign w:val="center"/>
            <w:hideMark/>
          </w:tcPr>
          <w:p w14:paraId="624D84FC" w14:textId="77777777" w:rsidR="00D868AB" w:rsidRPr="00D868AB" w:rsidRDefault="00D868AB" w:rsidP="00D868AB">
            <w:pPr>
              <w:jc w:val="right"/>
              <w:rPr>
                <w:rFonts w:eastAsia="Times New Roman" w:cs="Arial"/>
                <w:sz w:val="16"/>
                <w:szCs w:val="16"/>
              </w:rPr>
            </w:pPr>
            <w:r w:rsidRPr="00D868AB">
              <w:rPr>
                <w:rFonts w:eastAsia="Times New Roman" w:cs="Arial"/>
                <w:sz w:val="16"/>
                <w:szCs w:val="16"/>
              </w:rPr>
              <w:t xml:space="preserve">200,000,000 </w:t>
            </w:r>
          </w:p>
        </w:tc>
        <w:tc>
          <w:tcPr>
            <w:tcW w:w="1030" w:type="dxa"/>
            <w:tcBorders>
              <w:top w:val="nil"/>
              <w:left w:val="nil"/>
              <w:bottom w:val="single" w:sz="4" w:space="0" w:color="auto"/>
              <w:right w:val="single" w:sz="4" w:space="0" w:color="auto"/>
            </w:tcBorders>
            <w:shd w:val="clear" w:color="auto" w:fill="auto"/>
            <w:noWrap/>
            <w:vAlign w:val="center"/>
            <w:hideMark/>
          </w:tcPr>
          <w:p w14:paraId="52F3A491" w14:textId="77777777" w:rsidR="00D868AB" w:rsidRPr="00D868AB" w:rsidRDefault="00D868AB" w:rsidP="00D868AB">
            <w:pPr>
              <w:jc w:val="right"/>
              <w:rPr>
                <w:rFonts w:eastAsia="Times New Roman" w:cs="Arial"/>
                <w:sz w:val="16"/>
                <w:szCs w:val="16"/>
              </w:rPr>
            </w:pPr>
            <w:r w:rsidRPr="00D868AB">
              <w:rPr>
                <w:rFonts w:eastAsia="Times New Roman" w:cs="Arial"/>
                <w:sz w:val="16"/>
                <w:szCs w:val="16"/>
              </w:rPr>
              <w:t xml:space="preserve">32,000,000 </w:t>
            </w:r>
          </w:p>
        </w:tc>
        <w:tc>
          <w:tcPr>
            <w:tcW w:w="904" w:type="dxa"/>
            <w:tcBorders>
              <w:top w:val="nil"/>
              <w:left w:val="nil"/>
              <w:bottom w:val="single" w:sz="4" w:space="0" w:color="auto"/>
              <w:right w:val="single" w:sz="4" w:space="0" w:color="auto"/>
            </w:tcBorders>
            <w:shd w:val="clear" w:color="auto" w:fill="auto"/>
            <w:noWrap/>
            <w:vAlign w:val="center"/>
            <w:hideMark/>
          </w:tcPr>
          <w:p w14:paraId="67FD3387"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TIIE+1.50%</w:t>
            </w:r>
          </w:p>
        </w:tc>
        <w:tc>
          <w:tcPr>
            <w:tcW w:w="709" w:type="dxa"/>
            <w:tcBorders>
              <w:top w:val="nil"/>
              <w:left w:val="nil"/>
              <w:bottom w:val="single" w:sz="4" w:space="0" w:color="auto"/>
              <w:right w:val="single" w:sz="4" w:space="0" w:color="auto"/>
            </w:tcBorders>
            <w:shd w:val="clear" w:color="auto" w:fill="auto"/>
            <w:noWrap/>
            <w:vAlign w:val="center"/>
            <w:hideMark/>
          </w:tcPr>
          <w:p w14:paraId="77AEAE9C"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8.17%</w:t>
            </w:r>
          </w:p>
        </w:tc>
        <w:tc>
          <w:tcPr>
            <w:tcW w:w="850" w:type="dxa"/>
            <w:tcBorders>
              <w:top w:val="nil"/>
              <w:left w:val="nil"/>
              <w:bottom w:val="single" w:sz="4" w:space="0" w:color="auto"/>
              <w:right w:val="single" w:sz="4" w:space="0" w:color="auto"/>
            </w:tcBorders>
            <w:shd w:val="clear" w:color="auto" w:fill="auto"/>
            <w:noWrap/>
            <w:vAlign w:val="center"/>
            <w:hideMark/>
          </w:tcPr>
          <w:p w14:paraId="036D9E72"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nov-21</w:t>
            </w:r>
          </w:p>
        </w:tc>
        <w:tc>
          <w:tcPr>
            <w:tcW w:w="973" w:type="dxa"/>
            <w:tcBorders>
              <w:top w:val="nil"/>
              <w:left w:val="nil"/>
              <w:bottom w:val="single" w:sz="4" w:space="0" w:color="auto"/>
              <w:right w:val="single" w:sz="4" w:space="0" w:color="auto"/>
            </w:tcBorders>
            <w:shd w:val="clear" w:color="auto" w:fill="auto"/>
            <w:noWrap/>
            <w:vAlign w:val="center"/>
            <w:hideMark/>
          </w:tcPr>
          <w:p w14:paraId="1F6433FD"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nov-22</w:t>
            </w:r>
          </w:p>
        </w:tc>
        <w:tc>
          <w:tcPr>
            <w:tcW w:w="958" w:type="dxa"/>
            <w:tcBorders>
              <w:top w:val="nil"/>
              <w:left w:val="nil"/>
              <w:bottom w:val="single" w:sz="4" w:space="0" w:color="auto"/>
              <w:right w:val="single" w:sz="4" w:space="0" w:color="auto"/>
            </w:tcBorders>
            <w:shd w:val="clear" w:color="auto" w:fill="auto"/>
            <w:noWrap/>
            <w:vAlign w:val="center"/>
            <w:hideMark/>
          </w:tcPr>
          <w:p w14:paraId="622B29B4"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Quirografario</w:t>
            </w:r>
          </w:p>
        </w:tc>
        <w:tc>
          <w:tcPr>
            <w:tcW w:w="630" w:type="dxa"/>
            <w:tcBorders>
              <w:top w:val="nil"/>
              <w:left w:val="nil"/>
              <w:bottom w:val="single" w:sz="4" w:space="0" w:color="auto"/>
              <w:right w:val="single" w:sz="4" w:space="0" w:color="auto"/>
            </w:tcBorders>
            <w:shd w:val="clear" w:color="auto" w:fill="auto"/>
            <w:vAlign w:val="center"/>
            <w:hideMark/>
          </w:tcPr>
          <w:p w14:paraId="2CEBD275"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Simple</w:t>
            </w:r>
          </w:p>
        </w:tc>
        <w:tc>
          <w:tcPr>
            <w:tcW w:w="950" w:type="dxa"/>
            <w:tcBorders>
              <w:top w:val="nil"/>
              <w:left w:val="nil"/>
              <w:bottom w:val="single" w:sz="4" w:space="0" w:color="auto"/>
              <w:right w:val="single" w:sz="4" w:space="0" w:color="auto"/>
            </w:tcBorders>
            <w:shd w:val="clear" w:color="auto" w:fill="auto"/>
            <w:vAlign w:val="center"/>
            <w:hideMark/>
          </w:tcPr>
          <w:p w14:paraId="6DF593D7"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Necesidades de corto plazo</w:t>
            </w:r>
          </w:p>
        </w:tc>
      </w:tr>
      <w:tr w:rsidR="00D868AB" w:rsidRPr="00D868AB" w14:paraId="56CA80BA" w14:textId="77777777" w:rsidTr="00A755A7">
        <w:trPr>
          <w:trHeight w:val="20"/>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DAC93CB"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Banorte</w:t>
            </w:r>
          </w:p>
        </w:tc>
        <w:tc>
          <w:tcPr>
            <w:tcW w:w="941" w:type="dxa"/>
            <w:tcBorders>
              <w:top w:val="nil"/>
              <w:left w:val="nil"/>
              <w:bottom w:val="single" w:sz="4" w:space="0" w:color="auto"/>
              <w:right w:val="single" w:sz="4" w:space="0" w:color="auto"/>
            </w:tcBorders>
            <w:shd w:val="clear" w:color="auto" w:fill="auto"/>
            <w:noWrap/>
            <w:vAlign w:val="center"/>
            <w:hideMark/>
          </w:tcPr>
          <w:p w14:paraId="60AEC6E2"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86711560</w:t>
            </w:r>
          </w:p>
        </w:tc>
        <w:tc>
          <w:tcPr>
            <w:tcW w:w="1043" w:type="dxa"/>
            <w:tcBorders>
              <w:top w:val="nil"/>
              <w:left w:val="nil"/>
              <w:bottom w:val="single" w:sz="4" w:space="0" w:color="auto"/>
              <w:right w:val="single" w:sz="4" w:space="0" w:color="auto"/>
            </w:tcBorders>
            <w:shd w:val="clear" w:color="auto" w:fill="auto"/>
            <w:noWrap/>
            <w:vAlign w:val="center"/>
            <w:hideMark/>
          </w:tcPr>
          <w:p w14:paraId="2C10C650" w14:textId="77777777" w:rsidR="00D868AB" w:rsidRPr="00D868AB" w:rsidRDefault="00D868AB" w:rsidP="00D868AB">
            <w:pPr>
              <w:jc w:val="right"/>
              <w:rPr>
                <w:rFonts w:eastAsia="Times New Roman" w:cs="Arial"/>
                <w:sz w:val="16"/>
                <w:szCs w:val="16"/>
              </w:rPr>
            </w:pPr>
            <w:r w:rsidRPr="00D868AB">
              <w:rPr>
                <w:rFonts w:eastAsia="Times New Roman" w:cs="Arial"/>
                <w:sz w:val="16"/>
                <w:szCs w:val="16"/>
              </w:rPr>
              <w:t xml:space="preserve">300,000,000 </w:t>
            </w:r>
          </w:p>
        </w:tc>
        <w:tc>
          <w:tcPr>
            <w:tcW w:w="1030" w:type="dxa"/>
            <w:tcBorders>
              <w:top w:val="nil"/>
              <w:left w:val="nil"/>
              <w:bottom w:val="single" w:sz="4" w:space="0" w:color="auto"/>
              <w:right w:val="single" w:sz="4" w:space="0" w:color="auto"/>
            </w:tcBorders>
            <w:shd w:val="clear" w:color="auto" w:fill="auto"/>
            <w:noWrap/>
            <w:vAlign w:val="center"/>
            <w:hideMark/>
          </w:tcPr>
          <w:p w14:paraId="1A94A85B" w14:textId="77777777" w:rsidR="00D868AB" w:rsidRPr="00D868AB" w:rsidRDefault="00D868AB" w:rsidP="00D868AB">
            <w:pPr>
              <w:jc w:val="right"/>
              <w:rPr>
                <w:rFonts w:eastAsia="Times New Roman" w:cs="Arial"/>
                <w:sz w:val="16"/>
                <w:szCs w:val="16"/>
              </w:rPr>
            </w:pPr>
            <w:r w:rsidRPr="00D868AB">
              <w:rPr>
                <w:rFonts w:eastAsia="Times New Roman" w:cs="Arial"/>
                <w:sz w:val="16"/>
                <w:szCs w:val="16"/>
              </w:rPr>
              <w:t xml:space="preserve">50,000,000 </w:t>
            </w:r>
          </w:p>
        </w:tc>
        <w:tc>
          <w:tcPr>
            <w:tcW w:w="904" w:type="dxa"/>
            <w:tcBorders>
              <w:top w:val="nil"/>
              <w:left w:val="nil"/>
              <w:bottom w:val="single" w:sz="4" w:space="0" w:color="auto"/>
              <w:right w:val="single" w:sz="4" w:space="0" w:color="auto"/>
            </w:tcBorders>
            <w:shd w:val="clear" w:color="auto" w:fill="auto"/>
            <w:noWrap/>
            <w:vAlign w:val="center"/>
            <w:hideMark/>
          </w:tcPr>
          <w:p w14:paraId="540B74DD"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TIIE+1.05%</w:t>
            </w:r>
          </w:p>
        </w:tc>
        <w:tc>
          <w:tcPr>
            <w:tcW w:w="709" w:type="dxa"/>
            <w:tcBorders>
              <w:top w:val="nil"/>
              <w:left w:val="nil"/>
              <w:bottom w:val="single" w:sz="4" w:space="0" w:color="auto"/>
              <w:right w:val="single" w:sz="4" w:space="0" w:color="auto"/>
            </w:tcBorders>
            <w:shd w:val="clear" w:color="auto" w:fill="auto"/>
            <w:noWrap/>
            <w:vAlign w:val="center"/>
            <w:hideMark/>
          </w:tcPr>
          <w:p w14:paraId="568F18E7"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7.58%</w:t>
            </w:r>
          </w:p>
        </w:tc>
        <w:tc>
          <w:tcPr>
            <w:tcW w:w="850" w:type="dxa"/>
            <w:tcBorders>
              <w:top w:val="nil"/>
              <w:left w:val="nil"/>
              <w:bottom w:val="single" w:sz="4" w:space="0" w:color="auto"/>
              <w:right w:val="single" w:sz="4" w:space="0" w:color="auto"/>
            </w:tcBorders>
            <w:shd w:val="clear" w:color="auto" w:fill="auto"/>
            <w:noWrap/>
            <w:vAlign w:val="center"/>
            <w:hideMark/>
          </w:tcPr>
          <w:p w14:paraId="4ABB2EDC"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dic-21</w:t>
            </w:r>
          </w:p>
        </w:tc>
        <w:tc>
          <w:tcPr>
            <w:tcW w:w="973" w:type="dxa"/>
            <w:tcBorders>
              <w:top w:val="nil"/>
              <w:left w:val="nil"/>
              <w:bottom w:val="single" w:sz="4" w:space="0" w:color="auto"/>
              <w:right w:val="single" w:sz="4" w:space="0" w:color="auto"/>
            </w:tcBorders>
            <w:shd w:val="clear" w:color="auto" w:fill="auto"/>
            <w:noWrap/>
            <w:vAlign w:val="center"/>
            <w:hideMark/>
          </w:tcPr>
          <w:p w14:paraId="0A0178B4"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dic-22</w:t>
            </w:r>
          </w:p>
        </w:tc>
        <w:tc>
          <w:tcPr>
            <w:tcW w:w="958" w:type="dxa"/>
            <w:tcBorders>
              <w:top w:val="nil"/>
              <w:left w:val="nil"/>
              <w:bottom w:val="single" w:sz="4" w:space="0" w:color="auto"/>
              <w:right w:val="single" w:sz="4" w:space="0" w:color="auto"/>
            </w:tcBorders>
            <w:shd w:val="clear" w:color="auto" w:fill="auto"/>
            <w:noWrap/>
            <w:vAlign w:val="center"/>
            <w:hideMark/>
          </w:tcPr>
          <w:p w14:paraId="75804F81"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Quirografario</w:t>
            </w:r>
          </w:p>
        </w:tc>
        <w:tc>
          <w:tcPr>
            <w:tcW w:w="630" w:type="dxa"/>
            <w:tcBorders>
              <w:top w:val="nil"/>
              <w:left w:val="nil"/>
              <w:bottom w:val="single" w:sz="4" w:space="0" w:color="auto"/>
              <w:right w:val="single" w:sz="4" w:space="0" w:color="auto"/>
            </w:tcBorders>
            <w:shd w:val="clear" w:color="auto" w:fill="auto"/>
            <w:vAlign w:val="center"/>
            <w:hideMark/>
          </w:tcPr>
          <w:p w14:paraId="5676F7F4"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Simple</w:t>
            </w:r>
          </w:p>
        </w:tc>
        <w:tc>
          <w:tcPr>
            <w:tcW w:w="950" w:type="dxa"/>
            <w:tcBorders>
              <w:top w:val="nil"/>
              <w:left w:val="nil"/>
              <w:bottom w:val="single" w:sz="4" w:space="0" w:color="auto"/>
              <w:right w:val="single" w:sz="4" w:space="0" w:color="auto"/>
            </w:tcBorders>
            <w:shd w:val="clear" w:color="auto" w:fill="auto"/>
            <w:vAlign w:val="center"/>
            <w:hideMark/>
          </w:tcPr>
          <w:p w14:paraId="2D1341A7"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Necesidades de corto plazo</w:t>
            </w:r>
          </w:p>
        </w:tc>
      </w:tr>
      <w:tr w:rsidR="00D868AB" w:rsidRPr="00D868AB" w14:paraId="1CC60D9D" w14:textId="77777777" w:rsidTr="00A755A7">
        <w:trPr>
          <w:trHeight w:val="20"/>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31B95057"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Afirme</w:t>
            </w:r>
          </w:p>
        </w:tc>
        <w:tc>
          <w:tcPr>
            <w:tcW w:w="941" w:type="dxa"/>
            <w:tcBorders>
              <w:top w:val="nil"/>
              <w:left w:val="nil"/>
              <w:bottom w:val="single" w:sz="4" w:space="0" w:color="auto"/>
              <w:right w:val="single" w:sz="4" w:space="0" w:color="auto"/>
            </w:tcBorders>
            <w:shd w:val="clear" w:color="auto" w:fill="auto"/>
            <w:noWrap/>
            <w:vAlign w:val="center"/>
            <w:hideMark/>
          </w:tcPr>
          <w:p w14:paraId="2D4BDB3E"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307586488</w:t>
            </w:r>
          </w:p>
        </w:tc>
        <w:tc>
          <w:tcPr>
            <w:tcW w:w="1043" w:type="dxa"/>
            <w:tcBorders>
              <w:top w:val="nil"/>
              <w:left w:val="nil"/>
              <w:bottom w:val="single" w:sz="4" w:space="0" w:color="auto"/>
              <w:right w:val="single" w:sz="4" w:space="0" w:color="auto"/>
            </w:tcBorders>
            <w:shd w:val="clear" w:color="auto" w:fill="auto"/>
            <w:noWrap/>
            <w:vAlign w:val="center"/>
            <w:hideMark/>
          </w:tcPr>
          <w:p w14:paraId="5226B7DB" w14:textId="77777777" w:rsidR="00D868AB" w:rsidRPr="00D868AB" w:rsidRDefault="00D868AB" w:rsidP="00D868AB">
            <w:pPr>
              <w:jc w:val="right"/>
              <w:rPr>
                <w:rFonts w:eastAsia="Times New Roman" w:cs="Arial"/>
                <w:sz w:val="16"/>
                <w:szCs w:val="16"/>
              </w:rPr>
            </w:pPr>
            <w:r w:rsidRPr="00D868AB">
              <w:rPr>
                <w:rFonts w:eastAsia="Times New Roman" w:cs="Arial"/>
                <w:sz w:val="16"/>
                <w:szCs w:val="16"/>
              </w:rPr>
              <w:t xml:space="preserve">100,000,000 </w:t>
            </w:r>
          </w:p>
        </w:tc>
        <w:tc>
          <w:tcPr>
            <w:tcW w:w="1030" w:type="dxa"/>
            <w:tcBorders>
              <w:top w:val="nil"/>
              <w:left w:val="nil"/>
              <w:bottom w:val="single" w:sz="4" w:space="0" w:color="auto"/>
              <w:right w:val="single" w:sz="4" w:space="0" w:color="auto"/>
            </w:tcBorders>
            <w:shd w:val="clear" w:color="auto" w:fill="auto"/>
            <w:noWrap/>
            <w:vAlign w:val="center"/>
            <w:hideMark/>
          </w:tcPr>
          <w:p w14:paraId="326840B3" w14:textId="77777777" w:rsidR="00D868AB" w:rsidRPr="00D868AB" w:rsidRDefault="00D868AB" w:rsidP="00D868AB">
            <w:pPr>
              <w:jc w:val="right"/>
              <w:rPr>
                <w:rFonts w:eastAsia="Times New Roman" w:cs="Arial"/>
                <w:sz w:val="16"/>
                <w:szCs w:val="16"/>
              </w:rPr>
            </w:pPr>
            <w:r w:rsidRPr="00D868AB">
              <w:rPr>
                <w:rFonts w:eastAsia="Times New Roman" w:cs="Arial"/>
                <w:sz w:val="16"/>
                <w:szCs w:val="16"/>
              </w:rPr>
              <w:t xml:space="preserve">33,333,336 </w:t>
            </w:r>
          </w:p>
        </w:tc>
        <w:tc>
          <w:tcPr>
            <w:tcW w:w="904" w:type="dxa"/>
            <w:tcBorders>
              <w:top w:val="nil"/>
              <w:left w:val="nil"/>
              <w:bottom w:val="single" w:sz="4" w:space="0" w:color="auto"/>
              <w:right w:val="single" w:sz="4" w:space="0" w:color="auto"/>
            </w:tcBorders>
            <w:shd w:val="clear" w:color="auto" w:fill="auto"/>
            <w:noWrap/>
            <w:vAlign w:val="center"/>
            <w:hideMark/>
          </w:tcPr>
          <w:p w14:paraId="6486DB55"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TIIE+1.00%</w:t>
            </w:r>
          </w:p>
        </w:tc>
        <w:tc>
          <w:tcPr>
            <w:tcW w:w="709" w:type="dxa"/>
            <w:tcBorders>
              <w:top w:val="nil"/>
              <w:left w:val="nil"/>
              <w:bottom w:val="single" w:sz="4" w:space="0" w:color="auto"/>
              <w:right w:val="single" w:sz="4" w:space="0" w:color="auto"/>
            </w:tcBorders>
            <w:shd w:val="clear" w:color="auto" w:fill="auto"/>
            <w:noWrap/>
            <w:vAlign w:val="center"/>
            <w:hideMark/>
          </w:tcPr>
          <w:p w14:paraId="24993096"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7.40%</w:t>
            </w:r>
          </w:p>
        </w:tc>
        <w:tc>
          <w:tcPr>
            <w:tcW w:w="850" w:type="dxa"/>
            <w:tcBorders>
              <w:top w:val="nil"/>
              <w:left w:val="nil"/>
              <w:bottom w:val="single" w:sz="4" w:space="0" w:color="auto"/>
              <w:right w:val="single" w:sz="4" w:space="0" w:color="auto"/>
            </w:tcBorders>
            <w:shd w:val="clear" w:color="auto" w:fill="auto"/>
            <w:noWrap/>
            <w:vAlign w:val="center"/>
            <w:hideMark/>
          </w:tcPr>
          <w:p w14:paraId="23E9A2C4"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ene-22</w:t>
            </w:r>
          </w:p>
        </w:tc>
        <w:tc>
          <w:tcPr>
            <w:tcW w:w="973" w:type="dxa"/>
            <w:tcBorders>
              <w:top w:val="nil"/>
              <w:left w:val="nil"/>
              <w:bottom w:val="single" w:sz="4" w:space="0" w:color="auto"/>
              <w:right w:val="single" w:sz="4" w:space="0" w:color="auto"/>
            </w:tcBorders>
            <w:shd w:val="clear" w:color="auto" w:fill="auto"/>
            <w:noWrap/>
            <w:vAlign w:val="center"/>
            <w:hideMark/>
          </w:tcPr>
          <w:p w14:paraId="5515FC7D"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ene-23</w:t>
            </w:r>
          </w:p>
        </w:tc>
        <w:tc>
          <w:tcPr>
            <w:tcW w:w="958" w:type="dxa"/>
            <w:tcBorders>
              <w:top w:val="nil"/>
              <w:left w:val="nil"/>
              <w:bottom w:val="single" w:sz="4" w:space="0" w:color="auto"/>
              <w:right w:val="single" w:sz="4" w:space="0" w:color="auto"/>
            </w:tcBorders>
            <w:shd w:val="clear" w:color="auto" w:fill="auto"/>
            <w:noWrap/>
            <w:vAlign w:val="center"/>
            <w:hideMark/>
          </w:tcPr>
          <w:p w14:paraId="47842598"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Quirografario</w:t>
            </w:r>
          </w:p>
        </w:tc>
        <w:tc>
          <w:tcPr>
            <w:tcW w:w="630" w:type="dxa"/>
            <w:tcBorders>
              <w:top w:val="nil"/>
              <w:left w:val="nil"/>
              <w:bottom w:val="single" w:sz="4" w:space="0" w:color="auto"/>
              <w:right w:val="single" w:sz="4" w:space="0" w:color="auto"/>
            </w:tcBorders>
            <w:shd w:val="clear" w:color="auto" w:fill="auto"/>
            <w:vAlign w:val="center"/>
            <w:hideMark/>
          </w:tcPr>
          <w:p w14:paraId="33A31E6C"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Simple</w:t>
            </w:r>
          </w:p>
        </w:tc>
        <w:tc>
          <w:tcPr>
            <w:tcW w:w="950" w:type="dxa"/>
            <w:tcBorders>
              <w:top w:val="nil"/>
              <w:left w:val="nil"/>
              <w:bottom w:val="single" w:sz="4" w:space="0" w:color="auto"/>
              <w:right w:val="single" w:sz="4" w:space="0" w:color="auto"/>
            </w:tcBorders>
            <w:shd w:val="clear" w:color="auto" w:fill="auto"/>
            <w:vAlign w:val="center"/>
            <w:hideMark/>
          </w:tcPr>
          <w:p w14:paraId="13D2E5C9"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Necesidades de corto plazo</w:t>
            </w:r>
          </w:p>
        </w:tc>
      </w:tr>
      <w:tr w:rsidR="00D868AB" w:rsidRPr="00D868AB" w14:paraId="527ADED1" w14:textId="77777777" w:rsidTr="00A755A7">
        <w:trPr>
          <w:trHeight w:val="20"/>
          <w:jc w:val="center"/>
        </w:trPr>
        <w:tc>
          <w:tcPr>
            <w:tcW w:w="755" w:type="dxa"/>
            <w:tcBorders>
              <w:top w:val="nil"/>
              <w:left w:val="single" w:sz="4" w:space="0" w:color="auto"/>
              <w:bottom w:val="single" w:sz="4" w:space="0" w:color="auto"/>
              <w:right w:val="single" w:sz="4" w:space="0" w:color="auto"/>
            </w:tcBorders>
            <w:shd w:val="clear" w:color="auto" w:fill="auto"/>
            <w:noWrap/>
            <w:vAlign w:val="center"/>
            <w:hideMark/>
          </w:tcPr>
          <w:p w14:paraId="7504FF59"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Banorte</w:t>
            </w:r>
          </w:p>
        </w:tc>
        <w:tc>
          <w:tcPr>
            <w:tcW w:w="941" w:type="dxa"/>
            <w:tcBorders>
              <w:top w:val="nil"/>
              <w:left w:val="nil"/>
              <w:bottom w:val="single" w:sz="4" w:space="0" w:color="auto"/>
              <w:right w:val="single" w:sz="4" w:space="0" w:color="auto"/>
            </w:tcBorders>
            <w:shd w:val="clear" w:color="auto" w:fill="auto"/>
            <w:noWrap/>
            <w:vAlign w:val="center"/>
            <w:hideMark/>
          </w:tcPr>
          <w:p w14:paraId="5BC4E5D4"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87149899</w:t>
            </w:r>
          </w:p>
        </w:tc>
        <w:tc>
          <w:tcPr>
            <w:tcW w:w="1043" w:type="dxa"/>
            <w:tcBorders>
              <w:top w:val="nil"/>
              <w:left w:val="nil"/>
              <w:bottom w:val="single" w:sz="4" w:space="0" w:color="auto"/>
              <w:right w:val="single" w:sz="4" w:space="0" w:color="auto"/>
            </w:tcBorders>
            <w:shd w:val="clear" w:color="auto" w:fill="auto"/>
            <w:noWrap/>
            <w:vAlign w:val="center"/>
            <w:hideMark/>
          </w:tcPr>
          <w:p w14:paraId="2BB1D075" w14:textId="77777777" w:rsidR="00D868AB" w:rsidRPr="00D868AB" w:rsidRDefault="00D868AB" w:rsidP="00D868AB">
            <w:pPr>
              <w:jc w:val="right"/>
              <w:rPr>
                <w:rFonts w:eastAsia="Times New Roman" w:cs="Arial"/>
                <w:sz w:val="16"/>
                <w:szCs w:val="16"/>
              </w:rPr>
            </w:pPr>
            <w:r w:rsidRPr="00D868AB">
              <w:rPr>
                <w:rFonts w:eastAsia="Times New Roman" w:cs="Arial"/>
                <w:sz w:val="16"/>
                <w:szCs w:val="16"/>
              </w:rPr>
              <w:t xml:space="preserve">250,000,000 </w:t>
            </w:r>
          </w:p>
        </w:tc>
        <w:tc>
          <w:tcPr>
            <w:tcW w:w="1030" w:type="dxa"/>
            <w:tcBorders>
              <w:top w:val="nil"/>
              <w:left w:val="nil"/>
              <w:bottom w:val="single" w:sz="4" w:space="0" w:color="auto"/>
              <w:right w:val="single" w:sz="4" w:space="0" w:color="auto"/>
            </w:tcBorders>
            <w:shd w:val="clear" w:color="auto" w:fill="auto"/>
            <w:noWrap/>
            <w:vAlign w:val="center"/>
            <w:hideMark/>
          </w:tcPr>
          <w:p w14:paraId="5F96D532" w14:textId="77777777" w:rsidR="00D868AB" w:rsidRPr="00D868AB" w:rsidRDefault="00D868AB" w:rsidP="00D868AB">
            <w:pPr>
              <w:jc w:val="right"/>
              <w:rPr>
                <w:rFonts w:eastAsia="Times New Roman" w:cs="Arial"/>
                <w:sz w:val="16"/>
                <w:szCs w:val="16"/>
              </w:rPr>
            </w:pPr>
            <w:r w:rsidRPr="00D868AB">
              <w:rPr>
                <w:rFonts w:eastAsia="Times New Roman" w:cs="Arial"/>
                <w:sz w:val="16"/>
                <w:szCs w:val="16"/>
              </w:rPr>
              <w:t xml:space="preserve">170,660,000 </w:t>
            </w:r>
          </w:p>
        </w:tc>
        <w:tc>
          <w:tcPr>
            <w:tcW w:w="904" w:type="dxa"/>
            <w:tcBorders>
              <w:top w:val="nil"/>
              <w:left w:val="nil"/>
              <w:bottom w:val="single" w:sz="4" w:space="0" w:color="auto"/>
              <w:right w:val="single" w:sz="4" w:space="0" w:color="auto"/>
            </w:tcBorders>
            <w:shd w:val="clear" w:color="auto" w:fill="auto"/>
            <w:noWrap/>
            <w:vAlign w:val="center"/>
            <w:hideMark/>
          </w:tcPr>
          <w:p w14:paraId="387DBDF3"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TIIE+0.85%</w:t>
            </w:r>
          </w:p>
        </w:tc>
        <w:tc>
          <w:tcPr>
            <w:tcW w:w="709" w:type="dxa"/>
            <w:tcBorders>
              <w:top w:val="nil"/>
              <w:left w:val="nil"/>
              <w:bottom w:val="single" w:sz="4" w:space="0" w:color="auto"/>
              <w:right w:val="single" w:sz="4" w:space="0" w:color="auto"/>
            </w:tcBorders>
            <w:shd w:val="clear" w:color="auto" w:fill="auto"/>
            <w:noWrap/>
            <w:vAlign w:val="center"/>
            <w:hideMark/>
          </w:tcPr>
          <w:p w14:paraId="4AECE480"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9.96%</w:t>
            </w:r>
          </w:p>
        </w:tc>
        <w:tc>
          <w:tcPr>
            <w:tcW w:w="850" w:type="dxa"/>
            <w:tcBorders>
              <w:top w:val="nil"/>
              <w:left w:val="nil"/>
              <w:bottom w:val="single" w:sz="4" w:space="0" w:color="auto"/>
              <w:right w:val="single" w:sz="4" w:space="0" w:color="auto"/>
            </w:tcBorders>
            <w:shd w:val="clear" w:color="auto" w:fill="auto"/>
            <w:noWrap/>
            <w:vAlign w:val="center"/>
            <w:hideMark/>
          </w:tcPr>
          <w:p w14:paraId="7D06D870"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jul-22</w:t>
            </w:r>
          </w:p>
        </w:tc>
        <w:tc>
          <w:tcPr>
            <w:tcW w:w="973" w:type="dxa"/>
            <w:tcBorders>
              <w:top w:val="nil"/>
              <w:left w:val="nil"/>
              <w:bottom w:val="single" w:sz="4" w:space="0" w:color="auto"/>
              <w:right w:val="single" w:sz="4" w:space="0" w:color="auto"/>
            </w:tcBorders>
            <w:shd w:val="clear" w:color="auto" w:fill="auto"/>
            <w:noWrap/>
            <w:vAlign w:val="center"/>
            <w:hideMark/>
          </w:tcPr>
          <w:p w14:paraId="0AAA4E01"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jul-23</w:t>
            </w:r>
          </w:p>
        </w:tc>
        <w:tc>
          <w:tcPr>
            <w:tcW w:w="958" w:type="dxa"/>
            <w:tcBorders>
              <w:top w:val="nil"/>
              <w:left w:val="nil"/>
              <w:bottom w:val="single" w:sz="4" w:space="0" w:color="auto"/>
              <w:right w:val="single" w:sz="4" w:space="0" w:color="auto"/>
            </w:tcBorders>
            <w:shd w:val="clear" w:color="auto" w:fill="auto"/>
            <w:noWrap/>
            <w:vAlign w:val="center"/>
            <w:hideMark/>
          </w:tcPr>
          <w:p w14:paraId="427F4605"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Quirografario</w:t>
            </w:r>
          </w:p>
        </w:tc>
        <w:tc>
          <w:tcPr>
            <w:tcW w:w="630" w:type="dxa"/>
            <w:tcBorders>
              <w:top w:val="nil"/>
              <w:left w:val="nil"/>
              <w:bottom w:val="single" w:sz="4" w:space="0" w:color="auto"/>
              <w:right w:val="single" w:sz="4" w:space="0" w:color="auto"/>
            </w:tcBorders>
            <w:shd w:val="clear" w:color="auto" w:fill="auto"/>
            <w:vAlign w:val="center"/>
            <w:hideMark/>
          </w:tcPr>
          <w:p w14:paraId="27ADF680"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Simple</w:t>
            </w:r>
          </w:p>
        </w:tc>
        <w:tc>
          <w:tcPr>
            <w:tcW w:w="950" w:type="dxa"/>
            <w:tcBorders>
              <w:top w:val="nil"/>
              <w:left w:val="nil"/>
              <w:bottom w:val="single" w:sz="4" w:space="0" w:color="auto"/>
              <w:right w:val="single" w:sz="4" w:space="0" w:color="auto"/>
            </w:tcBorders>
            <w:shd w:val="clear" w:color="auto" w:fill="auto"/>
            <w:vAlign w:val="center"/>
            <w:hideMark/>
          </w:tcPr>
          <w:p w14:paraId="57D64751" w14:textId="77777777" w:rsidR="00D868AB" w:rsidRPr="00D868AB" w:rsidRDefault="00D868AB" w:rsidP="00D868AB">
            <w:pPr>
              <w:jc w:val="center"/>
              <w:rPr>
                <w:rFonts w:eastAsia="Times New Roman" w:cs="Arial"/>
                <w:sz w:val="14"/>
                <w:szCs w:val="16"/>
              </w:rPr>
            </w:pPr>
            <w:r w:rsidRPr="00D868AB">
              <w:rPr>
                <w:rFonts w:eastAsia="Times New Roman" w:cs="Arial"/>
                <w:sz w:val="14"/>
                <w:szCs w:val="16"/>
              </w:rPr>
              <w:t>Necesidades de corto plazo</w:t>
            </w:r>
          </w:p>
        </w:tc>
      </w:tr>
      <w:tr w:rsidR="00D868AB" w:rsidRPr="00D868AB" w14:paraId="3F461ECB" w14:textId="77777777" w:rsidTr="00A755A7">
        <w:trPr>
          <w:trHeight w:val="20"/>
          <w:jc w:val="center"/>
        </w:trPr>
        <w:tc>
          <w:tcPr>
            <w:tcW w:w="755" w:type="dxa"/>
            <w:tcBorders>
              <w:top w:val="nil"/>
              <w:left w:val="single" w:sz="4" w:space="0" w:color="auto"/>
              <w:bottom w:val="single" w:sz="4" w:space="0" w:color="auto"/>
              <w:right w:val="single" w:sz="4" w:space="0" w:color="auto"/>
            </w:tcBorders>
            <w:shd w:val="clear" w:color="auto" w:fill="auto"/>
            <w:vAlign w:val="center"/>
            <w:hideMark/>
          </w:tcPr>
          <w:p w14:paraId="4EC2E373"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Total</w:t>
            </w:r>
          </w:p>
        </w:tc>
        <w:tc>
          <w:tcPr>
            <w:tcW w:w="941" w:type="dxa"/>
            <w:tcBorders>
              <w:top w:val="nil"/>
              <w:left w:val="nil"/>
              <w:bottom w:val="single" w:sz="4" w:space="0" w:color="auto"/>
              <w:right w:val="single" w:sz="4" w:space="0" w:color="auto"/>
            </w:tcBorders>
            <w:shd w:val="clear" w:color="auto" w:fill="auto"/>
            <w:vAlign w:val="center"/>
            <w:hideMark/>
          </w:tcPr>
          <w:p w14:paraId="259C7F5B"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 </w:t>
            </w:r>
          </w:p>
        </w:tc>
        <w:tc>
          <w:tcPr>
            <w:tcW w:w="1043" w:type="dxa"/>
            <w:tcBorders>
              <w:top w:val="nil"/>
              <w:left w:val="nil"/>
              <w:bottom w:val="single" w:sz="4" w:space="0" w:color="auto"/>
              <w:right w:val="single" w:sz="4" w:space="0" w:color="auto"/>
            </w:tcBorders>
            <w:shd w:val="clear" w:color="auto" w:fill="auto"/>
            <w:vAlign w:val="center"/>
            <w:hideMark/>
          </w:tcPr>
          <w:p w14:paraId="7FCE91F5" w14:textId="77777777" w:rsidR="00D868AB" w:rsidRPr="00D868AB" w:rsidRDefault="00D868AB" w:rsidP="00D868AB">
            <w:pPr>
              <w:jc w:val="right"/>
              <w:rPr>
                <w:rFonts w:eastAsia="Times New Roman" w:cs="Arial"/>
                <w:b/>
                <w:sz w:val="16"/>
                <w:szCs w:val="16"/>
              </w:rPr>
            </w:pPr>
            <w:r w:rsidRPr="00D868AB">
              <w:rPr>
                <w:rFonts w:eastAsia="Times New Roman" w:cs="Arial"/>
                <w:b/>
                <w:sz w:val="16"/>
                <w:szCs w:val="16"/>
              </w:rPr>
              <w:t xml:space="preserve">850,000,000 </w:t>
            </w:r>
          </w:p>
        </w:tc>
        <w:tc>
          <w:tcPr>
            <w:tcW w:w="1030" w:type="dxa"/>
            <w:tcBorders>
              <w:top w:val="nil"/>
              <w:left w:val="nil"/>
              <w:bottom w:val="single" w:sz="4" w:space="0" w:color="auto"/>
              <w:right w:val="single" w:sz="4" w:space="0" w:color="auto"/>
            </w:tcBorders>
            <w:shd w:val="clear" w:color="auto" w:fill="auto"/>
            <w:vAlign w:val="center"/>
            <w:hideMark/>
          </w:tcPr>
          <w:p w14:paraId="32C26448" w14:textId="77777777" w:rsidR="00D868AB" w:rsidRPr="00D868AB" w:rsidRDefault="00D868AB" w:rsidP="00D868AB">
            <w:pPr>
              <w:jc w:val="right"/>
              <w:rPr>
                <w:rFonts w:eastAsia="Times New Roman" w:cs="Arial"/>
                <w:b/>
                <w:sz w:val="16"/>
                <w:szCs w:val="16"/>
              </w:rPr>
            </w:pPr>
            <w:r w:rsidRPr="00D868AB">
              <w:rPr>
                <w:rFonts w:eastAsia="Times New Roman" w:cs="Arial"/>
                <w:b/>
                <w:sz w:val="16"/>
                <w:szCs w:val="16"/>
              </w:rPr>
              <w:t xml:space="preserve">285,993,336 </w:t>
            </w:r>
          </w:p>
        </w:tc>
        <w:tc>
          <w:tcPr>
            <w:tcW w:w="904" w:type="dxa"/>
            <w:tcBorders>
              <w:top w:val="nil"/>
              <w:left w:val="nil"/>
              <w:bottom w:val="single" w:sz="4" w:space="0" w:color="auto"/>
              <w:right w:val="single" w:sz="4" w:space="0" w:color="auto"/>
            </w:tcBorders>
            <w:shd w:val="clear" w:color="auto" w:fill="auto"/>
            <w:vAlign w:val="center"/>
            <w:hideMark/>
          </w:tcPr>
          <w:p w14:paraId="668DF6CB"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14:paraId="6F41C560"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14:paraId="493DE8D6"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 </w:t>
            </w:r>
          </w:p>
        </w:tc>
        <w:tc>
          <w:tcPr>
            <w:tcW w:w="973" w:type="dxa"/>
            <w:tcBorders>
              <w:top w:val="nil"/>
              <w:left w:val="nil"/>
              <w:bottom w:val="single" w:sz="4" w:space="0" w:color="auto"/>
              <w:right w:val="single" w:sz="4" w:space="0" w:color="auto"/>
            </w:tcBorders>
            <w:shd w:val="clear" w:color="auto" w:fill="auto"/>
            <w:vAlign w:val="center"/>
            <w:hideMark/>
          </w:tcPr>
          <w:p w14:paraId="671A4869"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 </w:t>
            </w:r>
          </w:p>
        </w:tc>
        <w:tc>
          <w:tcPr>
            <w:tcW w:w="958" w:type="dxa"/>
            <w:tcBorders>
              <w:top w:val="nil"/>
              <w:left w:val="nil"/>
              <w:bottom w:val="single" w:sz="4" w:space="0" w:color="auto"/>
              <w:right w:val="single" w:sz="4" w:space="0" w:color="auto"/>
            </w:tcBorders>
            <w:shd w:val="clear" w:color="auto" w:fill="auto"/>
            <w:vAlign w:val="center"/>
            <w:hideMark/>
          </w:tcPr>
          <w:p w14:paraId="7658C8D8"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 </w:t>
            </w:r>
          </w:p>
        </w:tc>
        <w:tc>
          <w:tcPr>
            <w:tcW w:w="630" w:type="dxa"/>
            <w:tcBorders>
              <w:top w:val="nil"/>
              <w:left w:val="nil"/>
              <w:bottom w:val="single" w:sz="4" w:space="0" w:color="auto"/>
              <w:right w:val="single" w:sz="4" w:space="0" w:color="auto"/>
            </w:tcBorders>
            <w:shd w:val="clear" w:color="auto" w:fill="auto"/>
            <w:vAlign w:val="center"/>
            <w:hideMark/>
          </w:tcPr>
          <w:p w14:paraId="471E0B77"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 </w:t>
            </w:r>
          </w:p>
        </w:tc>
        <w:tc>
          <w:tcPr>
            <w:tcW w:w="950" w:type="dxa"/>
            <w:tcBorders>
              <w:top w:val="nil"/>
              <w:left w:val="nil"/>
              <w:bottom w:val="single" w:sz="4" w:space="0" w:color="auto"/>
              <w:right w:val="single" w:sz="4" w:space="0" w:color="auto"/>
            </w:tcBorders>
            <w:shd w:val="clear" w:color="auto" w:fill="auto"/>
            <w:vAlign w:val="center"/>
            <w:hideMark/>
          </w:tcPr>
          <w:p w14:paraId="66AABDF4" w14:textId="77777777" w:rsidR="00D868AB" w:rsidRPr="00D868AB" w:rsidRDefault="00D868AB" w:rsidP="00D868AB">
            <w:pPr>
              <w:jc w:val="left"/>
              <w:rPr>
                <w:rFonts w:eastAsia="Times New Roman" w:cs="Arial"/>
                <w:sz w:val="16"/>
                <w:szCs w:val="16"/>
              </w:rPr>
            </w:pPr>
            <w:r w:rsidRPr="00D868AB">
              <w:rPr>
                <w:rFonts w:eastAsia="Times New Roman" w:cs="Arial"/>
                <w:sz w:val="16"/>
                <w:szCs w:val="16"/>
              </w:rPr>
              <w:t> </w:t>
            </w:r>
          </w:p>
        </w:tc>
      </w:tr>
    </w:tbl>
    <w:p w14:paraId="001833D5" w14:textId="77777777" w:rsidR="00D868AB" w:rsidRPr="00D868AB" w:rsidRDefault="00D868AB" w:rsidP="00D868AB">
      <w:pPr>
        <w:tabs>
          <w:tab w:val="left" w:pos="567"/>
        </w:tabs>
        <w:rPr>
          <w:rFonts w:eastAsia="Times New Roman" w:cs="Arial"/>
          <w:lang w:val="es-ES" w:eastAsia="es-ES"/>
        </w:rPr>
      </w:pPr>
    </w:p>
    <w:p w14:paraId="162803A0" w14:textId="77777777" w:rsidR="00D868AB" w:rsidRPr="00D868AB" w:rsidRDefault="00D868AB" w:rsidP="00D868AB">
      <w:pPr>
        <w:ind w:left="567" w:hanging="567"/>
        <w:rPr>
          <w:rFonts w:eastAsia="Times New Roman" w:cs="Arial"/>
          <w:lang w:val="es-ES" w:eastAsia="es-ES"/>
        </w:rPr>
      </w:pPr>
      <w:r w:rsidRPr="00D868AB">
        <w:rPr>
          <w:rFonts w:eastAsia="Times New Roman" w:cs="Arial"/>
          <w:lang w:val="es-ES" w:eastAsia="es-ES"/>
        </w:rPr>
        <w:t xml:space="preserve">V. </w:t>
      </w:r>
      <w:r w:rsidRPr="00D868AB">
        <w:rPr>
          <w:rFonts w:eastAsia="Times New Roman" w:cs="Arial"/>
          <w:lang w:val="es-ES" w:eastAsia="es-ES"/>
        </w:rPr>
        <w:tab/>
        <w:t>Para el Ejercicio Fiscal 2023, la previsión de recursos para el pago del servicio de la deuda pública a corto plazo es la siguiente.</w:t>
      </w:r>
    </w:p>
    <w:p w14:paraId="181FC979" w14:textId="77777777" w:rsidR="00D868AB" w:rsidRPr="00D868AB" w:rsidRDefault="00D868AB" w:rsidP="00D868AB">
      <w:pPr>
        <w:keepNext/>
        <w:keepLines/>
        <w:outlineLvl w:val="2"/>
        <w:rPr>
          <w:rFonts w:eastAsia="Times New Roman" w:cs="Arial"/>
          <w:lang w:val="es-ES" w:eastAsia="es-ES"/>
        </w:rPr>
      </w:pPr>
    </w:p>
    <w:tbl>
      <w:tblPr>
        <w:tblW w:w="8075" w:type="dxa"/>
        <w:jc w:val="center"/>
        <w:tblCellMar>
          <w:left w:w="70" w:type="dxa"/>
          <w:right w:w="70" w:type="dxa"/>
        </w:tblCellMar>
        <w:tblLook w:val="04A0" w:firstRow="1" w:lastRow="0" w:firstColumn="1" w:lastColumn="0" w:noHBand="0" w:noVBand="1"/>
      </w:tblPr>
      <w:tblGrid>
        <w:gridCol w:w="2227"/>
        <w:gridCol w:w="1317"/>
        <w:gridCol w:w="1701"/>
        <w:gridCol w:w="1413"/>
        <w:gridCol w:w="1417"/>
      </w:tblGrid>
      <w:tr w:rsidR="00D868AB" w:rsidRPr="00D868AB" w14:paraId="6BB27EAE" w14:textId="77777777" w:rsidTr="00A755A7">
        <w:trPr>
          <w:trHeight w:val="300"/>
          <w:jc w:val="center"/>
        </w:trPr>
        <w:tc>
          <w:tcPr>
            <w:tcW w:w="8075" w:type="dxa"/>
            <w:gridSpan w:val="5"/>
            <w:tcBorders>
              <w:bottom w:val="single" w:sz="4" w:space="0" w:color="auto"/>
            </w:tcBorders>
            <w:shd w:val="clear" w:color="auto" w:fill="auto"/>
            <w:noWrap/>
            <w:vAlign w:val="center"/>
          </w:tcPr>
          <w:p w14:paraId="1680F137"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Tabla 41 BIS. Deuda Pública a Corto Plazo</w:t>
            </w:r>
          </w:p>
        </w:tc>
      </w:tr>
      <w:tr w:rsidR="00D868AB" w:rsidRPr="00D868AB" w14:paraId="1DA88982" w14:textId="77777777" w:rsidTr="00A755A7">
        <w:trPr>
          <w:trHeight w:val="300"/>
          <w:jc w:val="center"/>
        </w:trPr>
        <w:tc>
          <w:tcPr>
            <w:tcW w:w="222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B2BFCA"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Institución Bancaria</w:t>
            </w:r>
          </w:p>
        </w:tc>
        <w:tc>
          <w:tcPr>
            <w:tcW w:w="1317" w:type="dxa"/>
            <w:tcBorders>
              <w:top w:val="single" w:sz="4" w:space="0" w:color="auto"/>
              <w:left w:val="nil"/>
              <w:bottom w:val="single" w:sz="4" w:space="0" w:color="auto"/>
              <w:right w:val="single" w:sz="4" w:space="0" w:color="auto"/>
            </w:tcBorders>
            <w:shd w:val="clear" w:color="auto" w:fill="auto"/>
            <w:noWrap/>
            <w:vAlign w:val="center"/>
            <w:hideMark/>
          </w:tcPr>
          <w:p w14:paraId="1974757D"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Número de Crédito</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3CBEC5E"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Amortización de Capital</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14:paraId="61378F37"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Pago de Intereses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B7E0C3F" w14:textId="77777777" w:rsidR="00D868AB" w:rsidRPr="00D868AB" w:rsidRDefault="00D868AB" w:rsidP="00D868AB">
            <w:pPr>
              <w:jc w:val="center"/>
              <w:rPr>
                <w:rFonts w:eastAsia="Times New Roman" w:cs="Arial"/>
                <w:b/>
                <w:bCs/>
                <w:sz w:val="20"/>
                <w:szCs w:val="20"/>
              </w:rPr>
            </w:pPr>
            <w:r w:rsidRPr="00D868AB">
              <w:rPr>
                <w:rFonts w:eastAsia="Times New Roman" w:cs="Arial"/>
                <w:b/>
                <w:bCs/>
                <w:sz w:val="20"/>
                <w:szCs w:val="20"/>
              </w:rPr>
              <w:t xml:space="preserve">Subtotal </w:t>
            </w:r>
          </w:p>
        </w:tc>
      </w:tr>
      <w:tr w:rsidR="00D868AB" w:rsidRPr="00D868AB" w14:paraId="6DC7B42B" w14:textId="77777777" w:rsidTr="00A755A7">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65AFF1AD"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Crédito Afirme.</w:t>
            </w:r>
          </w:p>
        </w:tc>
        <w:tc>
          <w:tcPr>
            <w:tcW w:w="1317" w:type="dxa"/>
            <w:tcBorders>
              <w:top w:val="nil"/>
              <w:left w:val="nil"/>
              <w:bottom w:val="single" w:sz="4" w:space="0" w:color="auto"/>
              <w:right w:val="single" w:sz="4" w:space="0" w:color="auto"/>
            </w:tcBorders>
            <w:shd w:val="clear" w:color="auto" w:fill="auto"/>
            <w:noWrap/>
            <w:vAlign w:val="center"/>
            <w:hideMark/>
          </w:tcPr>
          <w:p w14:paraId="29D7758E"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307586488</w:t>
            </w:r>
          </w:p>
        </w:tc>
        <w:tc>
          <w:tcPr>
            <w:tcW w:w="1701" w:type="dxa"/>
            <w:tcBorders>
              <w:top w:val="nil"/>
              <w:left w:val="nil"/>
              <w:bottom w:val="single" w:sz="4" w:space="0" w:color="auto"/>
              <w:right w:val="single" w:sz="4" w:space="0" w:color="auto"/>
            </w:tcBorders>
            <w:shd w:val="clear" w:color="auto" w:fill="auto"/>
            <w:noWrap/>
            <w:vAlign w:val="center"/>
          </w:tcPr>
          <w:p w14:paraId="49C59E27" w14:textId="77777777" w:rsidR="00D868AB" w:rsidRPr="00D868AB" w:rsidRDefault="00D868AB" w:rsidP="00D868AB">
            <w:pPr>
              <w:jc w:val="right"/>
              <w:rPr>
                <w:rFonts w:eastAsia="Times New Roman" w:cs="Arial"/>
                <w:sz w:val="20"/>
                <w:szCs w:val="20"/>
              </w:rPr>
            </w:pPr>
            <w:r w:rsidRPr="00D868AB">
              <w:rPr>
                <w:rFonts w:cs="Arial"/>
                <w:color w:val="000000"/>
                <w:sz w:val="20"/>
                <w:szCs w:val="20"/>
              </w:rPr>
              <w:t>8,333,337</w:t>
            </w:r>
          </w:p>
        </w:tc>
        <w:tc>
          <w:tcPr>
            <w:tcW w:w="1413" w:type="dxa"/>
            <w:tcBorders>
              <w:top w:val="nil"/>
              <w:left w:val="nil"/>
              <w:bottom w:val="single" w:sz="4" w:space="0" w:color="auto"/>
              <w:right w:val="single" w:sz="4" w:space="0" w:color="auto"/>
            </w:tcBorders>
            <w:shd w:val="clear" w:color="auto" w:fill="auto"/>
            <w:noWrap/>
            <w:vAlign w:val="center"/>
          </w:tcPr>
          <w:p w14:paraId="3D5128A4" w14:textId="77777777" w:rsidR="00D868AB" w:rsidRPr="00D868AB" w:rsidRDefault="00D868AB" w:rsidP="00D868AB">
            <w:pPr>
              <w:jc w:val="right"/>
              <w:rPr>
                <w:rFonts w:eastAsia="Times New Roman" w:cs="Arial"/>
                <w:sz w:val="20"/>
                <w:szCs w:val="20"/>
              </w:rPr>
            </w:pPr>
            <w:r w:rsidRPr="00D868AB">
              <w:rPr>
                <w:rFonts w:cs="Arial"/>
                <w:color w:val="000000"/>
                <w:sz w:val="20"/>
                <w:szCs w:val="20"/>
              </w:rPr>
              <w:t>80,894</w:t>
            </w:r>
          </w:p>
        </w:tc>
        <w:tc>
          <w:tcPr>
            <w:tcW w:w="1417" w:type="dxa"/>
            <w:tcBorders>
              <w:top w:val="nil"/>
              <w:left w:val="nil"/>
              <w:bottom w:val="single" w:sz="4" w:space="0" w:color="auto"/>
              <w:right w:val="single" w:sz="4" w:space="0" w:color="auto"/>
            </w:tcBorders>
            <w:shd w:val="clear" w:color="auto" w:fill="auto"/>
            <w:noWrap/>
            <w:vAlign w:val="center"/>
          </w:tcPr>
          <w:p w14:paraId="6D90F9B0" w14:textId="77777777" w:rsidR="00D868AB" w:rsidRPr="00D868AB" w:rsidRDefault="00D868AB" w:rsidP="00D868AB">
            <w:pPr>
              <w:jc w:val="right"/>
              <w:rPr>
                <w:rFonts w:eastAsia="Times New Roman" w:cs="Arial"/>
                <w:sz w:val="20"/>
                <w:szCs w:val="20"/>
              </w:rPr>
            </w:pPr>
            <w:r w:rsidRPr="00D868AB">
              <w:rPr>
                <w:rFonts w:cs="Arial"/>
                <w:b/>
                <w:bCs/>
                <w:color w:val="000000"/>
                <w:sz w:val="20"/>
                <w:szCs w:val="20"/>
              </w:rPr>
              <w:t>8,414,231</w:t>
            </w:r>
          </w:p>
        </w:tc>
      </w:tr>
      <w:tr w:rsidR="00D868AB" w:rsidRPr="00D868AB" w14:paraId="7094EF13" w14:textId="77777777" w:rsidTr="00A755A7">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center"/>
            <w:hideMark/>
          </w:tcPr>
          <w:p w14:paraId="2157D0BB" w14:textId="77777777" w:rsidR="00D868AB" w:rsidRPr="00D868AB" w:rsidRDefault="00D868AB" w:rsidP="00D868AB">
            <w:pPr>
              <w:jc w:val="left"/>
              <w:rPr>
                <w:rFonts w:eastAsia="Times New Roman" w:cs="Arial"/>
                <w:sz w:val="20"/>
                <w:szCs w:val="20"/>
              </w:rPr>
            </w:pPr>
            <w:r w:rsidRPr="00D868AB">
              <w:rPr>
                <w:rFonts w:eastAsia="Times New Roman" w:cs="Arial"/>
                <w:sz w:val="20"/>
                <w:szCs w:val="20"/>
              </w:rPr>
              <w:t xml:space="preserve">Crédito Banorte. </w:t>
            </w:r>
          </w:p>
        </w:tc>
        <w:tc>
          <w:tcPr>
            <w:tcW w:w="1317" w:type="dxa"/>
            <w:tcBorders>
              <w:top w:val="nil"/>
              <w:left w:val="nil"/>
              <w:bottom w:val="single" w:sz="4" w:space="0" w:color="auto"/>
              <w:right w:val="single" w:sz="4" w:space="0" w:color="auto"/>
            </w:tcBorders>
            <w:shd w:val="clear" w:color="auto" w:fill="auto"/>
            <w:noWrap/>
            <w:vAlign w:val="center"/>
            <w:hideMark/>
          </w:tcPr>
          <w:p w14:paraId="40EF5A32" w14:textId="77777777" w:rsidR="00D868AB" w:rsidRPr="00D868AB" w:rsidRDefault="00D868AB" w:rsidP="00D868AB">
            <w:pPr>
              <w:jc w:val="center"/>
              <w:rPr>
                <w:rFonts w:eastAsia="Times New Roman" w:cs="Arial"/>
                <w:sz w:val="20"/>
                <w:szCs w:val="20"/>
              </w:rPr>
            </w:pPr>
            <w:r w:rsidRPr="00D868AB">
              <w:rPr>
                <w:rFonts w:eastAsia="Times New Roman" w:cs="Arial"/>
                <w:sz w:val="20"/>
                <w:szCs w:val="20"/>
              </w:rPr>
              <w:t>87149899</w:t>
            </w:r>
          </w:p>
        </w:tc>
        <w:tc>
          <w:tcPr>
            <w:tcW w:w="1701" w:type="dxa"/>
            <w:tcBorders>
              <w:top w:val="nil"/>
              <w:left w:val="nil"/>
              <w:bottom w:val="single" w:sz="4" w:space="0" w:color="auto"/>
              <w:right w:val="single" w:sz="4" w:space="0" w:color="auto"/>
            </w:tcBorders>
            <w:shd w:val="clear" w:color="auto" w:fill="auto"/>
            <w:noWrap/>
            <w:vAlign w:val="center"/>
          </w:tcPr>
          <w:p w14:paraId="3963F5D9" w14:textId="77777777" w:rsidR="00D868AB" w:rsidRPr="00D868AB" w:rsidRDefault="00D868AB" w:rsidP="00D868AB">
            <w:pPr>
              <w:jc w:val="right"/>
              <w:rPr>
                <w:rFonts w:eastAsia="Times New Roman" w:cs="Arial"/>
                <w:sz w:val="20"/>
                <w:szCs w:val="20"/>
              </w:rPr>
            </w:pPr>
            <w:r w:rsidRPr="00D868AB">
              <w:rPr>
                <w:rFonts w:cs="Arial"/>
                <w:color w:val="000000"/>
                <w:sz w:val="20"/>
                <w:szCs w:val="20"/>
              </w:rPr>
              <w:t>151,690,000</w:t>
            </w:r>
          </w:p>
        </w:tc>
        <w:tc>
          <w:tcPr>
            <w:tcW w:w="1413" w:type="dxa"/>
            <w:tcBorders>
              <w:top w:val="nil"/>
              <w:left w:val="nil"/>
              <w:bottom w:val="single" w:sz="4" w:space="0" w:color="auto"/>
              <w:right w:val="single" w:sz="4" w:space="0" w:color="auto"/>
            </w:tcBorders>
            <w:shd w:val="clear" w:color="auto" w:fill="auto"/>
            <w:noWrap/>
            <w:vAlign w:val="center"/>
          </w:tcPr>
          <w:p w14:paraId="4ADB5CD3" w14:textId="77777777" w:rsidR="00D868AB" w:rsidRPr="00D868AB" w:rsidRDefault="00D868AB" w:rsidP="00D868AB">
            <w:pPr>
              <w:jc w:val="right"/>
              <w:rPr>
                <w:rFonts w:eastAsia="Times New Roman" w:cs="Arial"/>
                <w:sz w:val="20"/>
                <w:szCs w:val="20"/>
              </w:rPr>
            </w:pPr>
            <w:r w:rsidRPr="00D868AB">
              <w:rPr>
                <w:rFonts w:cs="Arial"/>
                <w:color w:val="000000"/>
                <w:sz w:val="20"/>
                <w:szCs w:val="20"/>
              </w:rPr>
              <w:t>6,134,780</w:t>
            </w:r>
          </w:p>
        </w:tc>
        <w:tc>
          <w:tcPr>
            <w:tcW w:w="1417" w:type="dxa"/>
            <w:tcBorders>
              <w:top w:val="nil"/>
              <w:left w:val="nil"/>
              <w:bottom w:val="single" w:sz="4" w:space="0" w:color="auto"/>
              <w:right w:val="single" w:sz="4" w:space="0" w:color="auto"/>
            </w:tcBorders>
            <w:shd w:val="clear" w:color="auto" w:fill="auto"/>
            <w:noWrap/>
            <w:vAlign w:val="center"/>
          </w:tcPr>
          <w:p w14:paraId="5C84E012" w14:textId="77777777" w:rsidR="00D868AB" w:rsidRPr="00D868AB" w:rsidRDefault="00D868AB" w:rsidP="00D868AB">
            <w:pPr>
              <w:jc w:val="right"/>
              <w:rPr>
                <w:rFonts w:eastAsia="Times New Roman" w:cs="Arial"/>
                <w:sz w:val="20"/>
                <w:szCs w:val="20"/>
              </w:rPr>
            </w:pPr>
            <w:r w:rsidRPr="00D868AB">
              <w:rPr>
                <w:rFonts w:cs="Arial"/>
                <w:b/>
                <w:bCs/>
                <w:color w:val="000000"/>
                <w:sz w:val="20"/>
                <w:szCs w:val="20"/>
              </w:rPr>
              <w:t>157,824,780</w:t>
            </w:r>
          </w:p>
        </w:tc>
      </w:tr>
      <w:tr w:rsidR="00D868AB" w:rsidRPr="00D868AB" w14:paraId="7D8B75CB" w14:textId="77777777" w:rsidTr="00A755A7">
        <w:trPr>
          <w:trHeight w:val="300"/>
          <w:jc w:val="center"/>
        </w:trPr>
        <w:tc>
          <w:tcPr>
            <w:tcW w:w="2227" w:type="dxa"/>
            <w:tcBorders>
              <w:top w:val="nil"/>
              <w:left w:val="single" w:sz="4" w:space="0" w:color="auto"/>
              <w:bottom w:val="single" w:sz="4" w:space="0" w:color="auto"/>
              <w:right w:val="single" w:sz="4" w:space="0" w:color="auto"/>
            </w:tcBorders>
            <w:shd w:val="clear" w:color="auto" w:fill="auto"/>
            <w:noWrap/>
            <w:vAlign w:val="center"/>
          </w:tcPr>
          <w:p w14:paraId="1CA49242" w14:textId="77777777" w:rsidR="00D868AB" w:rsidRPr="00D868AB" w:rsidRDefault="00D868AB" w:rsidP="00D868AB">
            <w:pPr>
              <w:jc w:val="center"/>
              <w:rPr>
                <w:rFonts w:eastAsia="Times New Roman" w:cs="Arial"/>
                <w:sz w:val="20"/>
                <w:szCs w:val="20"/>
              </w:rPr>
            </w:pPr>
            <w:r w:rsidRPr="00D868AB">
              <w:rPr>
                <w:rFonts w:eastAsia="Times New Roman" w:cs="Arial"/>
                <w:b/>
                <w:bCs/>
                <w:sz w:val="20"/>
                <w:szCs w:val="20"/>
              </w:rPr>
              <w:t>Total</w:t>
            </w:r>
          </w:p>
        </w:tc>
        <w:tc>
          <w:tcPr>
            <w:tcW w:w="1317" w:type="dxa"/>
            <w:tcBorders>
              <w:top w:val="nil"/>
              <w:left w:val="nil"/>
              <w:bottom w:val="single" w:sz="4" w:space="0" w:color="auto"/>
              <w:right w:val="single" w:sz="4" w:space="0" w:color="auto"/>
            </w:tcBorders>
            <w:shd w:val="clear" w:color="auto" w:fill="auto"/>
            <w:noWrap/>
            <w:vAlign w:val="center"/>
          </w:tcPr>
          <w:p w14:paraId="708BA63F" w14:textId="77777777" w:rsidR="00D868AB" w:rsidRPr="00D868AB" w:rsidRDefault="00D868AB" w:rsidP="00D868AB">
            <w:pPr>
              <w:jc w:val="center"/>
              <w:rPr>
                <w:rFonts w:eastAsia="Times New Roman" w:cs="Arial"/>
                <w:sz w:val="20"/>
                <w:szCs w:val="20"/>
              </w:rPr>
            </w:pPr>
          </w:p>
        </w:tc>
        <w:tc>
          <w:tcPr>
            <w:tcW w:w="1701" w:type="dxa"/>
            <w:tcBorders>
              <w:top w:val="nil"/>
              <w:left w:val="nil"/>
              <w:bottom w:val="single" w:sz="4" w:space="0" w:color="auto"/>
              <w:right w:val="single" w:sz="4" w:space="0" w:color="auto"/>
            </w:tcBorders>
            <w:shd w:val="clear" w:color="auto" w:fill="auto"/>
            <w:noWrap/>
            <w:vAlign w:val="center"/>
          </w:tcPr>
          <w:p w14:paraId="3875A889" w14:textId="77777777" w:rsidR="00D868AB" w:rsidRPr="00D868AB" w:rsidRDefault="00D868AB" w:rsidP="00D868AB">
            <w:pPr>
              <w:jc w:val="right"/>
              <w:rPr>
                <w:rFonts w:eastAsia="Times New Roman" w:cs="Arial"/>
                <w:sz w:val="20"/>
                <w:szCs w:val="20"/>
              </w:rPr>
            </w:pPr>
            <w:r w:rsidRPr="00D868AB">
              <w:rPr>
                <w:rFonts w:cs="Arial"/>
                <w:b/>
                <w:bCs/>
                <w:color w:val="000000"/>
                <w:sz w:val="20"/>
                <w:szCs w:val="20"/>
              </w:rPr>
              <w:t>160,023,337</w:t>
            </w:r>
          </w:p>
        </w:tc>
        <w:tc>
          <w:tcPr>
            <w:tcW w:w="1413" w:type="dxa"/>
            <w:tcBorders>
              <w:top w:val="nil"/>
              <w:left w:val="nil"/>
              <w:bottom w:val="single" w:sz="4" w:space="0" w:color="auto"/>
              <w:right w:val="single" w:sz="4" w:space="0" w:color="auto"/>
            </w:tcBorders>
            <w:shd w:val="clear" w:color="auto" w:fill="auto"/>
            <w:noWrap/>
            <w:vAlign w:val="center"/>
          </w:tcPr>
          <w:p w14:paraId="14CF6E1B" w14:textId="77777777" w:rsidR="00D868AB" w:rsidRPr="00D868AB" w:rsidRDefault="00D868AB" w:rsidP="00D868AB">
            <w:pPr>
              <w:jc w:val="right"/>
              <w:rPr>
                <w:rFonts w:eastAsia="Times New Roman" w:cs="Arial"/>
                <w:sz w:val="20"/>
                <w:szCs w:val="20"/>
              </w:rPr>
            </w:pPr>
            <w:r w:rsidRPr="00D868AB">
              <w:rPr>
                <w:rFonts w:cs="Arial"/>
                <w:b/>
                <w:bCs/>
                <w:color w:val="000000"/>
                <w:sz w:val="20"/>
                <w:szCs w:val="20"/>
              </w:rPr>
              <w:t>6,215,674</w:t>
            </w:r>
          </w:p>
        </w:tc>
        <w:tc>
          <w:tcPr>
            <w:tcW w:w="1417" w:type="dxa"/>
            <w:tcBorders>
              <w:top w:val="nil"/>
              <w:left w:val="nil"/>
              <w:bottom w:val="single" w:sz="4" w:space="0" w:color="auto"/>
              <w:right w:val="single" w:sz="4" w:space="0" w:color="auto"/>
            </w:tcBorders>
            <w:shd w:val="clear" w:color="auto" w:fill="auto"/>
            <w:noWrap/>
            <w:vAlign w:val="center"/>
          </w:tcPr>
          <w:p w14:paraId="74BFCF95" w14:textId="77777777" w:rsidR="00D868AB" w:rsidRPr="00D868AB" w:rsidRDefault="00D868AB" w:rsidP="00D868AB">
            <w:pPr>
              <w:jc w:val="right"/>
              <w:rPr>
                <w:rFonts w:eastAsia="Times New Roman" w:cs="Arial"/>
                <w:sz w:val="20"/>
                <w:szCs w:val="20"/>
              </w:rPr>
            </w:pPr>
            <w:r w:rsidRPr="00D868AB">
              <w:rPr>
                <w:rFonts w:cs="Arial"/>
                <w:b/>
                <w:bCs/>
                <w:color w:val="000000"/>
                <w:sz w:val="20"/>
                <w:szCs w:val="20"/>
              </w:rPr>
              <w:t>166,239,011</w:t>
            </w:r>
          </w:p>
        </w:tc>
      </w:tr>
    </w:tbl>
    <w:p w14:paraId="6A32F7E3" w14:textId="77777777" w:rsidR="00D868AB" w:rsidRPr="00D868AB" w:rsidRDefault="00D868AB" w:rsidP="00D868AB">
      <w:pPr>
        <w:tabs>
          <w:tab w:val="left" w:pos="567"/>
        </w:tabs>
        <w:ind w:left="567" w:hanging="567"/>
        <w:rPr>
          <w:rFonts w:eastAsia="Times New Roman" w:cs="Arial"/>
          <w:lang w:val="es-ES" w:eastAsia="es-ES"/>
        </w:rPr>
      </w:pPr>
    </w:p>
    <w:p w14:paraId="405CA525" w14:textId="77777777" w:rsidR="00D868AB" w:rsidRPr="00D868AB" w:rsidRDefault="00D868AB" w:rsidP="00D868AB">
      <w:pPr>
        <w:tabs>
          <w:tab w:val="left" w:pos="567"/>
        </w:tabs>
        <w:ind w:left="567" w:hanging="567"/>
        <w:rPr>
          <w:rFonts w:eastAsia="Times New Roman" w:cs="Arial"/>
          <w:lang w:val="es-ES" w:eastAsia="es-ES"/>
        </w:rPr>
      </w:pPr>
    </w:p>
    <w:p w14:paraId="3D384293" w14:textId="77777777" w:rsidR="00D868AB" w:rsidRPr="00D868AB" w:rsidRDefault="00D868AB" w:rsidP="00D868AB">
      <w:pPr>
        <w:numPr>
          <w:ilvl w:val="0"/>
          <w:numId w:val="38"/>
        </w:numPr>
        <w:contextualSpacing/>
        <w:rPr>
          <w:rFonts w:eastAsia="Times New Roman" w:cs="Arial"/>
          <w:lang w:val="es-ES" w:eastAsia="es-ES"/>
        </w:rPr>
      </w:pPr>
      <w:r w:rsidRPr="00D868AB">
        <w:rPr>
          <w:rFonts w:eastAsia="Times New Roman" w:cs="Arial"/>
          <w:lang w:val="es-ES" w:eastAsia="es-ES"/>
        </w:rPr>
        <w:t>El monto estimado para el pago de honorarios por administración de Fideicomisos relacionados con la Deuda Pública es el siguiente:</w:t>
      </w:r>
    </w:p>
    <w:p w14:paraId="325EDBD8" w14:textId="77777777" w:rsidR="00D868AB" w:rsidRPr="00D868AB" w:rsidRDefault="00D868AB" w:rsidP="00D868AB">
      <w:pPr>
        <w:keepNext/>
        <w:keepLines/>
        <w:outlineLvl w:val="2"/>
        <w:rPr>
          <w:rFonts w:eastAsia="Times New Roman" w:cs="Arial"/>
          <w:b/>
          <w:szCs w:val="24"/>
          <w:lang w:val="es-ES" w:eastAsia="en-US"/>
        </w:rPr>
      </w:pPr>
    </w:p>
    <w:p w14:paraId="7C24AA28" w14:textId="77777777" w:rsidR="00D868AB" w:rsidRPr="00D868AB" w:rsidRDefault="00D868AB" w:rsidP="00D868AB">
      <w:pPr>
        <w:jc w:val="center"/>
        <w:rPr>
          <w:rFonts w:eastAsia="Times New Roman" w:cs="Arial"/>
          <w:b/>
          <w:sz w:val="20"/>
          <w:lang w:val="es-ES"/>
        </w:rPr>
      </w:pPr>
      <w:bookmarkStart w:id="191" w:name="_Toc522869283"/>
      <w:bookmarkStart w:id="192" w:name="_Toc526757500"/>
      <w:bookmarkStart w:id="193" w:name="_Toc22021954"/>
      <w:bookmarkStart w:id="194" w:name="_Toc22983207"/>
      <w:r w:rsidRPr="00D868AB">
        <w:rPr>
          <w:rFonts w:eastAsia="Times New Roman" w:cs="Arial"/>
          <w:b/>
          <w:sz w:val="20"/>
          <w:lang w:val="es-ES"/>
        </w:rPr>
        <w:t xml:space="preserve">Tabla 42. </w:t>
      </w:r>
      <w:bookmarkEnd w:id="191"/>
      <w:bookmarkEnd w:id="192"/>
      <w:r w:rsidRPr="00D868AB">
        <w:rPr>
          <w:rFonts w:eastAsia="Times New Roman" w:cs="Arial"/>
          <w:b/>
          <w:sz w:val="20"/>
          <w:lang w:val="es-ES"/>
        </w:rPr>
        <w:t>Presupuesto Fideicomisos de Administración y/o Fuente de Pago</w:t>
      </w:r>
      <w:bookmarkEnd w:id="193"/>
      <w:bookmarkEnd w:id="194"/>
    </w:p>
    <w:tbl>
      <w:tblPr>
        <w:tblW w:w="7938" w:type="dxa"/>
        <w:jc w:val="center"/>
        <w:tblCellMar>
          <w:left w:w="70" w:type="dxa"/>
          <w:right w:w="70" w:type="dxa"/>
        </w:tblCellMar>
        <w:tblLook w:val="04A0" w:firstRow="1" w:lastRow="0" w:firstColumn="1" w:lastColumn="0" w:noHBand="0" w:noVBand="1"/>
      </w:tblPr>
      <w:tblGrid>
        <w:gridCol w:w="3407"/>
        <w:gridCol w:w="2688"/>
        <w:gridCol w:w="1843"/>
      </w:tblGrid>
      <w:tr w:rsidR="00D868AB" w:rsidRPr="00D868AB" w14:paraId="1BCAF68C" w14:textId="77777777" w:rsidTr="00A755A7">
        <w:trPr>
          <w:trHeight w:val="20"/>
          <w:jc w:val="center"/>
        </w:trPr>
        <w:tc>
          <w:tcPr>
            <w:tcW w:w="34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0C5AE" w14:textId="77777777" w:rsidR="00D868AB" w:rsidRPr="00D868AB" w:rsidRDefault="00D868AB" w:rsidP="00D868AB">
            <w:pPr>
              <w:jc w:val="center"/>
              <w:rPr>
                <w:rFonts w:eastAsia="Times New Roman" w:cs="Arial"/>
                <w:b/>
                <w:sz w:val="20"/>
              </w:rPr>
            </w:pPr>
            <w:r w:rsidRPr="00D868AB">
              <w:rPr>
                <w:rFonts w:eastAsia="Times New Roman" w:cs="Arial"/>
                <w:b/>
                <w:sz w:val="20"/>
              </w:rPr>
              <w:t>Fid</w:t>
            </w:r>
            <w:r w:rsidRPr="00D868AB">
              <w:rPr>
                <w:rFonts w:eastAsia="Times New Roman" w:cs="Arial"/>
                <w:b/>
                <w:bCs/>
                <w:sz w:val="20"/>
              </w:rPr>
              <w:t>uciario</w:t>
            </w:r>
          </w:p>
        </w:tc>
        <w:tc>
          <w:tcPr>
            <w:tcW w:w="2688" w:type="dxa"/>
            <w:tcBorders>
              <w:top w:val="single" w:sz="4" w:space="0" w:color="auto"/>
              <w:left w:val="nil"/>
              <w:bottom w:val="single" w:sz="4" w:space="0" w:color="auto"/>
              <w:right w:val="single" w:sz="4" w:space="0" w:color="auto"/>
            </w:tcBorders>
            <w:shd w:val="clear" w:color="auto" w:fill="auto"/>
            <w:noWrap/>
            <w:vAlign w:val="center"/>
            <w:hideMark/>
          </w:tcPr>
          <w:p w14:paraId="23CC7583" w14:textId="77777777" w:rsidR="00D868AB" w:rsidRPr="00D868AB" w:rsidRDefault="00D868AB" w:rsidP="00D868AB">
            <w:pPr>
              <w:jc w:val="center"/>
              <w:rPr>
                <w:rFonts w:eastAsia="Times New Roman" w:cs="Arial"/>
                <w:b/>
                <w:sz w:val="20"/>
              </w:rPr>
            </w:pPr>
            <w:r w:rsidRPr="00D868AB">
              <w:rPr>
                <w:rFonts w:eastAsia="Times New Roman" w:cs="Arial"/>
                <w:b/>
                <w:sz w:val="20"/>
              </w:rPr>
              <w:t>Número de identificación</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75C4D922" w14:textId="77777777" w:rsidR="00D868AB" w:rsidRPr="00D868AB" w:rsidRDefault="00D868AB" w:rsidP="00D868AB">
            <w:pPr>
              <w:jc w:val="center"/>
              <w:rPr>
                <w:rFonts w:eastAsia="Times New Roman" w:cs="Arial"/>
                <w:b/>
                <w:sz w:val="20"/>
              </w:rPr>
            </w:pPr>
            <w:r w:rsidRPr="00D868AB">
              <w:rPr>
                <w:rFonts w:eastAsia="Times New Roman" w:cs="Arial"/>
                <w:b/>
                <w:sz w:val="20"/>
              </w:rPr>
              <w:t>Asignación Presupuestal</w:t>
            </w:r>
          </w:p>
        </w:tc>
      </w:tr>
      <w:tr w:rsidR="00D868AB" w:rsidRPr="00D868AB" w14:paraId="5E05A61C" w14:textId="77777777" w:rsidTr="00A755A7">
        <w:trPr>
          <w:trHeight w:val="20"/>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546122D0" w14:textId="77777777" w:rsidR="00D868AB" w:rsidRPr="00D868AB" w:rsidRDefault="00D868AB" w:rsidP="00D868AB">
            <w:pPr>
              <w:rPr>
                <w:rFonts w:eastAsia="Times New Roman" w:cs="Arial"/>
                <w:sz w:val="20"/>
              </w:rPr>
            </w:pPr>
            <w:r w:rsidRPr="00D868AB">
              <w:rPr>
                <w:rFonts w:cs="Arial"/>
                <w:sz w:val="20"/>
              </w:rPr>
              <w:t>Banco Santander México S.A.</w:t>
            </w:r>
          </w:p>
        </w:tc>
        <w:tc>
          <w:tcPr>
            <w:tcW w:w="2688" w:type="dxa"/>
            <w:tcBorders>
              <w:top w:val="nil"/>
              <w:left w:val="nil"/>
              <w:bottom w:val="single" w:sz="4" w:space="0" w:color="auto"/>
              <w:right w:val="single" w:sz="4" w:space="0" w:color="auto"/>
            </w:tcBorders>
            <w:shd w:val="clear" w:color="auto" w:fill="auto"/>
            <w:noWrap/>
            <w:vAlign w:val="center"/>
            <w:hideMark/>
          </w:tcPr>
          <w:p w14:paraId="2D816A1E" w14:textId="77777777" w:rsidR="00D868AB" w:rsidRPr="00D868AB" w:rsidRDefault="00D868AB" w:rsidP="00D868AB">
            <w:pPr>
              <w:jc w:val="center"/>
              <w:rPr>
                <w:rFonts w:eastAsia="Times New Roman" w:cs="Arial"/>
                <w:sz w:val="20"/>
              </w:rPr>
            </w:pPr>
            <w:r w:rsidRPr="00D868AB">
              <w:rPr>
                <w:rFonts w:cs="Arial"/>
                <w:sz w:val="20"/>
              </w:rPr>
              <w:t>F/2112337</w:t>
            </w:r>
          </w:p>
        </w:tc>
        <w:tc>
          <w:tcPr>
            <w:tcW w:w="1843" w:type="dxa"/>
            <w:tcBorders>
              <w:top w:val="nil"/>
              <w:left w:val="nil"/>
              <w:bottom w:val="single" w:sz="4" w:space="0" w:color="auto"/>
              <w:right w:val="single" w:sz="4" w:space="0" w:color="auto"/>
            </w:tcBorders>
            <w:shd w:val="clear" w:color="auto" w:fill="auto"/>
            <w:noWrap/>
            <w:vAlign w:val="center"/>
          </w:tcPr>
          <w:p w14:paraId="58D0D198" w14:textId="77777777" w:rsidR="00D868AB" w:rsidRPr="00D868AB" w:rsidRDefault="00D868AB" w:rsidP="00D868AB">
            <w:pPr>
              <w:jc w:val="right"/>
              <w:rPr>
                <w:rFonts w:eastAsia="Times New Roman" w:cs="Arial"/>
                <w:sz w:val="20"/>
                <w:szCs w:val="20"/>
              </w:rPr>
            </w:pPr>
            <w:r w:rsidRPr="00D868AB">
              <w:rPr>
                <w:rFonts w:cs="Arial"/>
                <w:sz w:val="20"/>
                <w:szCs w:val="20"/>
              </w:rPr>
              <w:t>1,071,840</w:t>
            </w:r>
          </w:p>
        </w:tc>
      </w:tr>
      <w:tr w:rsidR="00D868AB" w:rsidRPr="00D868AB" w14:paraId="20135F65" w14:textId="77777777" w:rsidTr="00A755A7">
        <w:trPr>
          <w:trHeight w:val="20"/>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19C25D9C" w14:textId="77777777" w:rsidR="00D868AB" w:rsidRPr="00D868AB" w:rsidRDefault="00D868AB" w:rsidP="00D868AB">
            <w:pPr>
              <w:rPr>
                <w:rFonts w:eastAsia="Times New Roman" w:cs="Arial"/>
                <w:sz w:val="20"/>
              </w:rPr>
            </w:pPr>
            <w:r w:rsidRPr="00D868AB">
              <w:rPr>
                <w:rFonts w:cs="Arial"/>
                <w:sz w:val="20"/>
              </w:rPr>
              <w:t>Banco Invex S.A.</w:t>
            </w:r>
          </w:p>
        </w:tc>
        <w:tc>
          <w:tcPr>
            <w:tcW w:w="2688" w:type="dxa"/>
            <w:tcBorders>
              <w:top w:val="nil"/>
              <w:left w:val="nil"/>
              <w:bottom w:val="single" w:sz="4" w:space="0" w:color="auto"/>
              <w:right w:val="single" w:sz="4" w:space="0" w:color="auto"/>
            </w:tcBorders>
            <w:shd w:val="clear" w:color="auto" w:fill="auto"/>
            <w:noWrap/>
            <w:vAlign w:val="center"/>
            <w:hideMark/>
          </w:tcPr>
          <w:p w14:paraId="508DF08E" w14:textId="77777777" w:rsidR="00D868AB" w:rsidRPr="00D868AB" w:rsidRDefault="00D868AB" w:rsidP="00D868AB">
            <w:pPr>
              <w:jc w:val="center"/>
              <w:rPr>
                <w:rFonts w:eastAsia="Times New Roman" w:cs="Arial"/>
                <w:sz w:val="20"/>
              </w:rPr>
            </w:pPr>
            <w:r w:rsidRPr="00D868AB">
              <w:rPr>
                <w:rFonts w:cs="Arial"/>
                <w:sz w:val="20"/>
              </w:rPr>
              <w:t>F/790</w:t>
            </w:r>
          </w:p>
        </w:tc>
        <w:tc>
          <w:tcPr>
            <w:tcW w:w="1843" w:type="dxa"/>
            <w:tcBorders>
              <w:top w:val="nil"/>
              <w:left w:val="nil"/>
              <w:bottom w:val="single" w:sz="4" w:space="0" w:color="auto"/>
              <w:right w:val="single" w:sz="4" w:space="0" w:color="auto"/>
            </w:tcBorders>
            <w:shd w:val="clear" w:color="auto" w:fill="auto"/>
            <w:noWrap/>
            <w:vAlign w:val="center"/>
          </w:tcPr>
          <w:p w14:paraId="70524AFA" w14:textId="77777777" w:rsidR="00D868AB" w:rsidRPr="00D868AB" w:rsidRDefault="00D868AB" w:rsidP="00D868AB">
            <w:pPr>
              <w:jc w:val="right"/>
              <w:rPr>
                <w:rFonts w:eastAsia="Times New Roman" w:cs="Arial"/>
                <w:sz w:val="20"/>
                <w:szCs w:val="20"/>
              </w:rPr>
            </w:pPr>
            <w:r w:rsidRPr="00D868AB">
              <w:rPr>
                <w:rFonts w:cs="Arial"/>
                <w:sz w:val="20"/>
                <w:szCs w:val="20"/>
              </w:rPr>
              <w:t>1,078,110</w:t>
            </w:r>
          </w:p>
        </w:tc>
      </w:tr>
      <w:tr w:rsidR="00D868AB" w:rsidRPr="00D868AB" w14:paraId="0018E90A" w14:textId="77777777" w:rsidTr="00A755A7">
        <w:trPr>
          <w:trHeight w:val="20"/>
          <w:jc w:val="center"/>
        </w:trPr>
        <w:tc>
          <w:tcPr>
            <w:tcW w:w="3407" w:type="dxa"/>
            <w:tcBorders>
              <w:top w:val="nil"/>
              <w:left w:val="single" w:sz="4" w:space="0" w:color="auto"/>
              <w:bottom w:val="single" w:sz="4" w:space="0" w:color="auto"/>
              <w:right w:val="single" w:sz="4" w:space="0" w:color="auto"/>
            </w:tcBorders>
            <w:shd w:val="clear" w:color="auto" w:fill="auto"/>
            <w:noWrap/>
            <w:vAlign w:val="center"/>
            <w:hideMark/>
          </w:tcPr>
          <w:p w14:paraId="223F61DC" w14:textId="77777777" w:rsidR="00D868AB" w:rsidRPr="00D868AB" w:rsidRDefault="00D868AB" w:rsidP="00D868AB">
            <w:pPr>
              <w:rPr>
                <w:rFonts w:eastAsia="Times New Roman" w:cs="Arial"/>
                <w:sz w:val="20"/>
              </w:rPr>
            </w:pPr>
            <w:r w:rsidRPr="00D868AB">
              <w:rPr>
                <w:rFonts w:cs="Arial"/>
                <w:sz w:val="20"/>
              </w:rPr>
              <w:t>Banco Invex S.A.</w:t>
            </w:r>
          </w:p>
        </w:tc>
        <w:tc>
          <w:tcPr>
            <w:tcW w:w="2688" w:type="dxa"/>
            <w:tcBorders>
              <w:top w:val="nil"/>
              <w:left w:val="nil"/>
              <w:bottom w:val="single" w:sz="4" w:space="0" w:color="auto"/>
              <w:right w:val="single" w:sz="4" w:space="0" w:color="auto"/>
            </w:tcBorders>
            <w:shd w:val="clear" w:color="auto" w:fill="auto"/>
            <w:noWrap/>
            <w:vAlign w:val="center"/>
            <w:hideMark/>
          </w:tcPr>
          <w:p w14:paraId="749A094A" w14:textId="77777777" w:rsidR="00D868AB" w:rsidRPr="00D868AB" w:rsidRDefault="00D868AB" w:rsidP="00D868AB">
            <w:pPr>
              <w:jc w:val="center"/>
              <w:rPr>
                <w:rFonts w:eastAsia="Times New Roman" w:cs="Arial"/>
                <w:sz w:val="20"/>
              </w:rPr>
            </w:pPr>
            <w:r w:rsidRPr="00D868AB">
              <w:rPr>
                <w:rFonts w:cs="Arial"/>
                <w:sz w:val="20"/>
              </w:rPr>
              <w:t>F/946</w:t>
            </w:r>
          </w:p>
        </w:tc>
        <w:tc>
          <w:tcPr>
            <w:tcW w:w="1843" w:type="dxa"/>
            <w:tcBorders>
              <w:top w:val="nil"/>
              <w:left w:val="nil"/>
              <w:bottom w:val="single" w:sz="4" w:space="0" w:color="auto"/>
              <w:right w:val="single" w:sz="4" w:space="0" w:color="auto"/>
            </w:tcBorders>
            <w:shd w:val="clear" w:color="auto" w:fill="auto"/>
            <w:noWrap/>
            <w:vAlign w:val="center"/>
          </w:tcPr>
          <w:p w14:paraId="546349F4" w14:textId="77777777" w:rsidR="00D868AB" w:rsidRPr="00D868AB" w:rsidRDefault="00D868AB" w:rsidP="00D868AB">
            <w:pPr>
              <w:jc w:val="right"/>
              <w:rPr>
                <w:rFonts w:eastAsia="Times New Roman" w:cs="Arial"/>
                <w:sz w:val="20"/>
                <w:szCs w:val="20"/>
              </w:rPr>
            </w:pPr>
            <w:r w:rsidRPr="00D868AB">
              <w:rPr>
                <w:rFonts w:cs="Arial"/>
                <w:sz w:val="20"/>
                <w:szCs w:val="20"/>
              </w:rPr>
              <w:t>255,200</w:t>
            </w:r>
          </w:p>
        </w:tc>
      </w:tr>
      <w:tr w:rsidR="00D868AB" w:rsidRPr="00D868AB" w14:paraId="5C801D33" w14:textId="77777777" w:rsidTr="00A755A7">
        <w:trPr>
          <w:trHeight w:val="20"/>
          <w:jc w:val="center"/>
        </w:trPr>
        <w:tc>
          <w:tcPr>
            <w:tcW w:w="6095"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B0DE7A" w14:textId="77777777" w:rsidR="00D868AB" w:rsidRPr="00D868AB" w:rsidRDefault="00D868AB" w:rsidP="00D868AB">
            <w:pPr>
              <w:jc w:val="center"/>
              <w:rPr>
                <w:rFonts w:eastAsia="Times New Roman" w:cs="Arial"/>
                <w:b/>
                <w:bCs/>
                <w:sz w:val="20"/>
              </w:rPr>
            </w:pPr>
            <w:r w:rsidRPr="00D868AB">
              <w:rPr>
                <w:rFonts w:cs="Arial"/>
                <w:b/>
                <w:bCs/>
                <w:sz w:val="20"/>
              </w:rPr>
              <w:t>Total</w:t>
            </w:r>
          </w:p>
        </w:tc>
        <w:tc>
          <w:tcPr>
            <w:tcW w:w="1843" w:type="dxa"/>
            <w:tcBorders>
              <w:top w:val="nil"/>
              <w:left w:val="nil"/>
              <w:bottom w:val="single" w:sz="4" w:space="0" w:color="auto"/>
              <w:right w:val="single" w:sz="4" w:space="0" w:color="auto"/>
            </w:tcBorders>
            <w:shd w:val="clear" w:color="auto" w:fill="auto"/>
            <w:noWrap/>
            <w:vAlign w:val="center"/>
          </w:tcPr>
          <w:p w14:paraId="5A53D0DA" w14:textId="77777777" w:rsidR="00D868AB" w:rsidRPr="00D868AB" w:rsidRDefault="00D868AB" w:rsidP="00D868AB">
            <w:pPr>
              <w:jc w:val="right"/>
              <w:rPr>
                <w:rFonts w:eastAsia="Times New Roman" w:cs="Arial"/>
                <w:b/>
                <w:bCs/>
                <w:sz w:val="20"/>
                <w:szCs w:val="20"/>
              </w:rPr>
            </w:pPr>
            <w:r w:rsidRPr="00D868AB">
              <w:rPr>
                <w:rFonts w:eastAsia="Times New Roman" w:cs="Arial"/>
                <w:b/>
                <w:bCs/>
                <w:sz w:val="20"/>
                <w:szCs w:val="20"/>
              </w:rPr>
              <w:t>2,405,150</w:t>
            </w:r>
          </w:p>
        </w:tc>
      </w:tr>
    </w:tbl>
    <w:p w14:paraId="39ED1DD8" w14:textId="77777777" w:rsidR="00D868AB" w:rsidRPr="00D868AB" w:rsidRDefault="00D868AB" w:rsidP="00D868AB">
      <w:pPr>
        <w:keepNext/>
        <w:keepLines/>
        <w:outlineLvl w:val="2"/>
        <w:rPr>
          <w:rFonts w:eastAsia="Times New Roman" w:cs="Arial"/>
          <w:b/>
          <w:szCs w:val="24"/>
          <w:lang w:val="es-ES" w:eastAsia="en-US"/>
        </w:rPr>
      </w:pPr>
    </w:p>
    <w:p w14:paraId="589ECC05" w14:textId="77777777" w:rsidR="00D868AB" w:rsidRPr="00D868AB" w:rsidRDefault="00D868AB" w:rsidP="00D868AB">
      <w:pPr>
        <w:jc w:val="center"/>
        <w:rPr>
          <w:rFonts w:eastAsia="Times New Roman" w:cs="Arial"/>
          <w:b/>
          <w:sz w:val="20"/>
          <w:lang w:val="es-ES"/>
        </w:rPr>
      </w:pPr>
      <w:bookmarkStart w:id="195" w:name="_Toc522869284"/>
      <w:bookmarkStart w:id="196" w:name="_Toc526757501"/>
      <w:bookmarkStart w:id="197" w:name="_Toc22021955"/>
      <w:bookmarkStart w:id="198" w:name="_Toc22983208"/>
      <w:r w:rsidRPr="00D868AB">
        <w:rPr>
          <w:rFonts w:eastAsia="Times New Roman" w:cs="Arial"/>
          <w:b/>
          <w:sz w:val="20"/>
          <w:lang w:val="es-ES"/>
        </w:rPr>
        <w:t xml:space="preserve">Tabla 43. </w:t>
      </w:r>
      <w:bookmarkEnd w:id="195"/>
      <w:bookmarkEnd w:id="196"/>
      <w:r w:rsidRPr="00D868AB">
        <w:rPr>
          <w:rFonts w:eastAsia="Times New Roman" w:cs="Arial"/>
          <w:b/>
          <w:sz w:val="20"/>
          <w:lang w:val="es-ES"/>
        </w:rPr>
        <w:t>Presupuesto Calificaciones Crediticias</w:t>
      </w:r>
      <w:bookmarkEnd w:id="197"/>
      <w:bookmarkEnd w:id="198"/>
    </w:p>
    <w:tbl>
      <w:tblPr>
        <w:tblW w:w="7933" w:type="dxa"/>
        <w:jc w:val="center"/>
        <w:tblCellMar>
          <w:left w:w="70" w:type="dxa"/>
          <w:right w:w="70" w:type="dxa"/>
        </w:tblCellMar>
        <w:tblLook w:val="04A0" w:firstRow="1" w:lastRow="0" w:firstColumn="1" w:lastColumn="0" w:noHBand="0" w:noVBand="1"/>
      </w:tblPr>
      <w:tblGrid>
        <w:gridCol w:w="2830"/>
        <w:gridCol w:w="3402"/>
        <w:gridCol w:w="1701"/>
      </w:tblGrid>
      <w:tr w:rsidR="00D868AB" w:rsidRPr="00D868AB" w14:paraId="46EF3709" w14:textId="77777777" w:rsidTr="00A755A7">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5D2E0" w14:textId="77777777" w:rsidR="00D868AB" w:rsidRPr="00D868AB" w:rsidRDefault="00D868AB" w:rsidP="00D868AB">
            <w:pPr>
              <w:jc w:val="center"/>
              <w:rPr>
                <w:rFonts w:eastAsia="Times New Roman" w:cs="Arial"/>
                <w:b/>
                <w:sz w:val="20"/>
              </w:rPr>
            </w:pPr>
            <w:r w:rsidRPr="00D868AB">
              <w:rPr>
                <w:rFonts w:eastAsia="Times New Roman" w:cs="Arial"/>
                <w:b/>
                <w:sz w:val="20"/>
              </w:rPr>
              <w:t>Tipo</w:t>
            </w:r>
          </w:p>
        </w:tc>
        <w:tc>
          <w:tcPr>
            <w:tcW w:w="3402" w:type="dxa"/>
            <w:tcBorders>
              <w:top w:val="single" w:sz="4" w:space="0" w:color="auto"/>
              <w:left w:val="nil"/>
              <w:bottom w:val="single" w:sz="4" w:space="0" w:color="auto"/>
              <w:right w:val="single" w:sz="4" w:space="0" w:color="auto"/>
            </w:tcBorders>
            <w:shd w:val="clear" w:color="auto" w:fill="auto"/>
            <w:noWrap/>
            <w:vAlign w:val="center"/>
          </w:tcPr>
          <w:p w14:paraId="7D77CD43" w14:textId="77777777" w:rsidR="00D868AB" w:rsidRPr="00D868AB" w:rsidRDefault="00D868AB" w:rsidP="00D868AB">
            <w:pPr>
              <w:jc w:val="center"/>
              <w:rPr>
                <w:rFonts w:eastAsia="Times New Roman" w:cs="Arial"/>
                <w:b/>
                <w:sz w:val="20"/>
              </w:rPr>
            </w:pPr>
            <w:r w:rsidRPr="00D868AB">
              <w:rPr>
                <w:rFonts w:eastAsia="Times New Roman" w:cs="Arial"/>
                <w:b/>
                <w:sz w:val="20"/>
              </w:rPr>
              <w:t>Calificadora</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780A8723" w14:textId="77777777" w:rsidR="00D868AB" w:rsidRPr="00D868AB" w:rsidRDefault="00D868AB" w:rsidP="00D868AB">
            <w:pPr>
              <w:jc w:val="center"/>
              <w:rPr>
                <w:rFonts w:eastAsia="Times New Roman" w:cs="Arial"/>
                <w:b/>
                <w:sz w:val="20"/>
              </w:rPr>
            </w:pPr>
            <w:r w:rsidRPr="00D868AB">
              <w:rPr>
                <w:rFonts w:eastAsia="Times New Roman" w:cs="Arial"/>
                <w:b/>
                <w:sz w:val="20"/>
              </w:rPr>
              <w:t>Asignación Presupuestal</w:t>
            </w:r>
          </w:p>
        </w:tc>
      </w:tr>
      <w:tr w:rsidR="00D868AB" w:rsidRPr="00D868AB" w14:paraId="084583C6" w14:textId="77777777" w:rsidTr="00A755A7">
        <w:trPr>
          <w:trHeight w:val="20"/>
          <w:jc w:val="center"/>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F2EB5" w14:textId="77777777" w:rsidR="00D868AB" w:rsidRPr="00D868AB" w:rsidRDefault="00D868AB" w:rsidP="00D868AB">
            <w:pPr>
              <w:jc w:val="center"/>
              <w:rPr>
                <w:rFonts w:eastAsia="Times New Roman" w:cs="Arial"/>
                <w:sz w:val="20"/>
              </w:rPr>
            </w:pPr>
            <w:bookmarkStart w:id="199" w:name="_Toc522869285"/>
            <w:bookmarkStart w:id="200" w:name="_Toc526757502"/>
            <w:bookmarkStart w:id="201" w:name="_Toc22021956"/>
            <w:bookmarkStart w:id="202" w:name="_Toc22983209"/>
            <w:r w:rsidRPr="00D868AB">
              <w:rPr>
                <w:rFonts w:cs="Arial"/>
                <w:sz w:val="20"/>
              </w:rPr>
              <w:t>Calificaciones Quirografarias.</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14:paraId="614FB8CF" w14:textId="77777777" w:rsidR="00D868AB" w:rsidRPr="00D868AB" w:rsidRDefault="00D868AB" w:rsidP="00D868AB">
            <w:pPr>
              <w:jc w:val="center"/>
              <w:rPr>
                <w:rFonts w:eastAsia="Times New Roman" w:cs="Arial"/>
                <w:sz w:val="20"/>
                <w:lang w:val="en-US"/>
              </w:rPr>
            </w:pPr>
            <w:r w:rsidRPr="00D868AB">
              <w:rPr>
                <w:rFonts w:cs="Arial"/>
                <w:sz w:val="20"/>
                <w:lang w:val="en-US"/>
              </w:rPr>
              <w:t>Fitch Ratings y HR Ratings</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4A71BBFC" w14:textId="77777777" w:rsidR="00D868AB" w:rsidRPr="00D868AB" w:rsidRDefault="00D868AB" w:rsidP="00D868AB">
            <w:pPr>
              <w:jc w:val="right"/>
              <w:rPr>
                <w:rFonts w:eastAsia="Times New Roman" w:cs="Arial"/>
                <w:sz w:val="20"/>
              </w:rPr>
            </w:pPr>
            <w:r w:rsidRPr="00D868AB">
              <w:rPr>
                <w:rFonts w:cs="Arial"/>
              </w:rPr>
              <w:t>582,892</w:t>
            </w:r>
          </w:p>
        </w:tc>
      </w:tr>
      <w:tr w:rsidR="00D868AB" w:rsidRPr="00D868AB" w14:paraId="683CC0D4" w14:textId="77777777" w:rsidTr="00A755A7">
        <w:trPr>
          <w:trHeight w:val="20"/>
          <w:jc w:val="center"/>
        </w:trPr>
        <w:tc>
          <w:tcPr>
            <w:tcW w:w="2830" w:type="dxa"/>
            <w:tcBorders>
              <w:top w:val="nil"/>
              <w:left w:val="single" w:sz="4" w:space="0" w:color="auto"/>
              <w:bottom w:val="single" w:sz="4" w:space="0" w:color="auto"/>
              <w:right w:val="single" w:sz="4" w:space="0" w:color="auto"/>
            </w:tcBorders>
            <w:shd w:val="clear" w:color="auto" w:fill="auto"/>
            <w:noWrap/>
            <w:vAlign w:val="center"/>
            <w:hideMark/>
          </w:tcPr>
          <w:p w14:paraId="6DDCF282" w14:textId="77777777" w:rsidR="00D868AB" w:rsidRPr="00D868AB" w:rsidRDefault="00D868AB" w:rsidP="00D868AB">
            <w:pPr>
              <w:jc w:val="center"/>
              <w:rPr>
                <w:rFonts w:eastAsia="Times New Roman" w:cs="Arial"/>
                <w:sz w:val="20"/>
              </w:rPr>
            </w:pPr>
            <w:r w:rsidRPr="00D868AB">
              <w:rPr>
                <w:rFonts w:cs="Arial"/>
                <w:sz w:val="20"/>
              </w:rPr>
              <w:t>Calificaciones Estructuradas.</w:t>
            </w:r>
          </w:p>
        </w:tc>
        <w:tc>
          <w:tcPr>
            <w:tcW w:w="3402" w:type="dxa"/>
            <w:tcBorders>
              <w:top w:val="nil"/>
              <w:left w:val="nil"/>
              <w:bottom w:val="single" w:sz="4" w:space="0" w:color="auto"/>
              <w:right w:val="single" w:sz="4" w:space="0" w:color="auto"/>
            </w:tcBorders>
            <w:shd w:val="clear" w:color="auto" w:fill="auto"/>
            <w:noWrap/>
            <w:vAlign w:val="center"/>
            <w:hideMark/>
          </w:tcPr>
          <w:p w14:paraId="50504C2D" w14:textId="77777777" w:rsidR="00D868AB" w:rsidRPr="00D868AB" w:rsidRDefault="00D868AB" w:rsidP="00D868AB">
            <w:pPr>
              <w:jc w:val="center"/>
              <w:rPr>
                <w:rFonts w:eastAsia="Times New Roman" w:cs="Arial"/>
                <w:sz w:val="20"/>
                <w:lang w:val="en-US"/>
              </w:rPr>
            </w:pPr>
            <w:r w:rsidRPr="00D868AB">
              <w:rPr>
                <w:rFonts w:cs="Arial"/>
                <w:sz w:val="20"/>
                <w:lang w:val="en-US"/>
              </w:rPr>
              <w:t>Fitch Ratings y HR Ratings</w:t>
            </w:r>
          </w:p>
        </w:tc>
        <w:tc>
          <w:tcPr>
            <w:tcW w:w="1701" w:type="dxa"/>
            <w:tcBorders>
              <w:top w:val="nil"/>
              <w:left w:val="nil"/>
              <w:bottom w:val="single" w:sz="4" w:space="0" w:color="auto"/>
              <w:right w:val="single" w:sz="4" w:space="0" w:color="auto"/>
            </w:tcBorders>
            <w:shd w:val="clear" w:color="auto" w:fill="auto"/>
            <w:noWrap/>
            <w:vAlign w:val="center"/>
          </w:tcPr>
          <w:p w14:paraId="33874A5E" w14:textId="77777777" w:rsidR="00D868AB" w:rsidRPr="00D868AB" w:rsidRDefault="00D868AB" w:rsidP="00D868AB">
            <w:pPr>
              <w:jc w:val="right"/>
              <w:rPr>
                <w:rFonts w:eastAsia="Times New Roman" w:cs="Arial"/>
                <w:sz w:val="20"/>
              </w:rPr>
            </w:pPr>
            <w:r w:rsidRPr="00D868AB">
              <w:rPr>
                <w:rFonts w:cs="Arial"/>
              </w:rPr>
              <w:t>2,880,620</w:t>
            </w:r>
          </w:p>
        </w:tc>
      </w:tr>
      <w:tr w:rsidR="00D868AB" w:rsidRPr="00D868AB" w14:paraId="5FAE3F1B" w14:textId="77777777" w:rsidTr="00A755A7">
        <w:trPr>
          <w:trHeight w:val="20"/>
          <w:jc w:val="center"/>
        </w:trPr>
        <w:tc>
          <w:tcPr>
            <w:tcW w:w="6232"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BE6632" w14:textId="77777777" w:rsidR="00D868AB" w:rsidRPr="00D868AB" w:rsidRDefault="00D868AB" w:rsidP="00D868AB">
            <w:pPr>
              <w:jc w:val="center"/>
              <w:rPr>
                <w:rFonts w:eastAsia="Times New Roman" w:cs="Arial"/>
                <w:b/>
                <w:bCs/>
                <w:sz w:val="20"/>
              </w:rPr>
            </w:pPr>
            <w:r w:rsidRPr="00D868AB">
              <w:rPr>
                <w:rFonts w:cs="Arial"/>
                <w:b/>
                <w:sz w:val="20"/>
              </w:rPr>
              <w:t>Total</w:t>
            </w:r>
          </w:p>
        </w:tc>
        <w:tc>
          <w:tcPr>
            <w:tcW w:w="1701" w:type="dxa"/>
            <w:tcBorders>
              <w:top w:val="nil"/>
              <w:left w:val="nil"/>
              <w:bottom w:val="single" w:sz="4" w:space="0" w:color="auto"/>
              <w:right w:val="single" w:sz="4" w:space="0" w:color="auto"/>
            </w:tcBorders>
            <w:shd w:val="clear" w:color="auto" w:fill="auto"/>
            <w:noWrap/>
            <w:vAlign w:val="center"/>
          </w:tcPr>
          <w:p w14:paraId="0C637C8F" w14:textId="77777777" w:rsidR="00D868AB" w:rsidRPr="00D868AB" w:rsidRDefault="00D868AB" w:rsidP="00D868AB">
            <w:pPr>
              <w:jc w:val="right"/>
              <w:rPr>
                <w:rFonts w:eastAsia="Times New Roman" w:cs="Arial"/>
                <w:b/>
                <w:bCs/>
                <w:sz w:val="20"/>
              </w:rPr>
            </w:pPr>
            <w:r w:rsidRPr="00D868AB">
              <w:rPr>
                <w:rFonts w:eastAsia="Times New Roman" w:cs="Arial"/>
                <w:b/>
                <w:bCs/>
                <w:sz w:val="20"/>
              </w:rPr>
              <w:t>3,463,512</w:t>
            </w:r>
          </w:p>
        </w:tc>
      </w:tr>
    </w:tbl>
    <w:p w14:paraId="3AB7E1C0" w14:textId="77777777" w:rsidR="00D868AB" w:rsidRPr="00D868AB" w:rsidRDefault="00D868AB" w:rsidP="00D868AB">
      <w:pPr>
        <w:rPr>
          <w:rFonts w:eastAsia="Times New Roman" w:cs="Arial"/>
          <w:lang w:val="es-ES"/>
        </w:rPr>
      </w:pPr>
    </w:p>
    <w:p w14:paraId="3B5C4EA7" w14:textId="77777777" w:rsidR="00D868AB" w:rsidRPr="00D868AB" w:rsidRDefault="00D868AB" w:rsidP="00D868AB">
      <w:pPr>
        <w:rPr>
          <w:rFonts w:eastAsia="Times New Roman" w:cs="Arial"/>
          <w:lang w:val="es-ES"/>
        </w:rPr>
      </w:pPr>
    </w:p>
    <w:bookmarkEnd w:id="199"/>
    <w:bookmarkEnd w:id="200"/>
    <w:bookmarkEnd w:id="201"/>
    <w:bookmarkEnd w:id="202"/>
    <w:p w14:paraId="5F423695" w14:textId="77777777" w:rsidR="00D868AB" w:rsidRPr="00D868AB" w:rsidRDefault="00D868AB" w:rsidP="00D868AB">
      <w:pPr>
        <w:tabs>
          <w:tab w:val="left" w:pos="567"/>
        </w:tabs>
        <w:ind w:left="567" w:hanging="567"/>
        <w:rPr>
          <w:rFonts w:eastAsia="Times New Roman" w:cs="Arial"/>
          <w:lang w:val="es-ES" w:eastAsia="es-ES"/>
        </w:rPr>
      </w:pPr>
      <w:r w:rsidRPr="00D868AB">
        <w:rPr>
          <w:rFonts w:eastAsia="Times New Roman" w:cs="Arial"/>
          <w:lang w:val="es-ES" w:eastAsia="es-ES"/>
        </w:rPr>
        <w:t>VII.</w:t>
      </w:r>
      <w:r w:rsidRPr="00D868AB">
        <w:rPr>
          <w:rFonts w:eastAsia="Times New Roman" w:cs="Arial"/>
          <w:lang w:val="es-ES" w:eastAsia="es-ES"/>
        </w:rPr>
        <w:tab/>
        <w:t xml:space="preserve">El desglose de la </w:t>
      </w:r>
      <w:r w:rsidRPr="00D868AB">
        <w:rPr>
          <w:rFonts w:eastAsia="Times New Roman" w:cs="Arial"/>
          <w:b/>
          <w:bCs/>
          <w:lang w:val="es-ES" w:eastAsia="es-ES"/>
        </w:rPr>
        <w:t>Deuda Pública Indirecta</w:t>
      </w:r>
      <w:r w:rsidRPr="00D868AB">
        <w:rPr>
          <w:rFonts w:eastAsia="Times New Roman" w:cs="Arial"/>
          <w:lang w:val="es-ES" w:eastAsia="es-ES"/>
        </w:rPr>
        <w:t xml:space="preserve"> por institución acreedora, monto contratado, monto dispuesto, saldo insoluto, número de crédito, tasa de interés anual, fechas de suscripción, de vencimiento y garantías es de la siguiente forma:</w:t>
      </w:r>
    </w:p>
    <w:p w14:paraId="0A34CAC6" w14:textId="77777777" w:rsidR="00D868AB" w:rsidRPr="00D868AB" w:rsidRDefault="00D868AB" w:rsidP="00D868AB">
      <w:pPr>
        <w:keepNext/>
        <w:keepLines/>
        <w:outlineLvl w:val="2"/>
        <w:rPr>
          <w:rFonts w:eastAsia="Times New Roman" w:cs="Arial"/>
          <w:b/>
          <w:szCs w:val="24"/>
          <w:lang w:val="es-ES" w:eastAsia="en-US"/>
        </w:rPr>
      </w:pPr>
    </w:p>
    <w:tbl>
      <w:tblPr>
        <w:tblW w:w="8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767"/>
        <w:gridCol w:w="808"/>
        <w:gridCol w:w="850"/>
        <w:gridCol w:w="808"/>
        <w:gridCol w:w="594"/>
        <w:gridCol w:w="851"/>
        <w:gridCol w:w="601"/>
        <w:gridCol w:w="827"/>
        <w:gridCol w:w="854"/>
        <w:gridCol w:w="1177"/>
      </w:tblGrid>
      <w:tr w:rsidR="00D868AB" w:rsidRPr="00D868AB" w14:paraId="5131F433" w14:textId="77777777" w:rsidTr="00A755A7">
        <w:trPr>
          <w:trHeight w:val="460"/>
          <w:tblHeader/>
          <w:jc w:val="center"/>
        </w:trPr>
        <w:tc>
          <w:tcPr>
            <w:tcW w:w="8841" w:type="dxa"/>
            <w:gridSpan w:val="11"/>
            <w:tcBorders>
              <w:top w:val="nil"/>
              <w:left w:val="nil"/>
              <w:bottom w:val="single" w:sz="4" w:space="0" w:color="auto"/>
              <w:right w:val="nil"/>
            </w:tcBorders>
            <w:shd w:val="clear" w:color="auto" w:fill="auto"/>
            <w:vAlign w:val="center"/>
          </w:tcPr>
          <w:p w14:paraId="2653BCD6" w14:textId="77777777" w:rsidR="00D868AB" w:rsidRPr="00D868AB" w:rsidRDefault="00D868AB" w:rsidP="00D868AB">
            <w:pPr>
              <w:jc w:val="center"/>
              <w:rPr>
                <w:rFonts w:eastAsia="Times New Roman" w:cs="Arial"/>
                <w:b/>
                <w:sz w:val="20"/>
                <w:lang w:val="es-ES"/>
              </w:rPr>
            </w:pPr>
            <w:r w:rsidRPr="00D868AB">
              <w:rPr>
                <w:rFonts w:eastAsia="Times New Roman" w:cs="Arial"/>
                <w:b/>
                <w:sz w:val="20"/>
                <w:lang w:val="es-ES"/>
              </w:rPr>
              <w:t>Tabla 44. Saldos de Deuda Pública Indirecta</w:t>
            </w:r>
          </w:p>
          <w:p w14:paraId="75802C57" w14:textId="77777777" w:rsidR="00D868AB" w:rsidRPr="00D868AB" w:rsidRDefault="00D868AB" w:rsidP="00D868AB">
            <w:pPr>
              <w:jc w:val="center"/>
              <w:rPr>
                <w:rFonts w:eastAsia="Times New Roman" w:cs="Arial"/>
                <w:bCs/>
                <w:sz w:val="20"/>
                <w:szCs w:val="16"/>
                <w:lang w:val="es-ES"/>
              </w:rPr>
            </w:pPr>
            <w:r w:rsidRPr="00D868AB">
              <w:rPr>
                <w:rFonts w:eastAsia="Times New Roman" w:cs="Arial"/>
                <w:sz w:val="18"/>
              </w:rPr>
              <w:t>Saldos Insolutos al 30 de septiembre de 2022</w:t>
            </w:r>
          </w:p>
        </w:tc>
      </w:tr>
      <w:tr w:rsidR="00D868AB" w:rsidRPr="00D868AB" w14:paraId="2BD32997" w14:textId="77777777" w:rsidTr="00A755A7">
        <w:trPr>
          <w:trHeight w:val="460"/>
          <w:jc w:val="center"/>
        </w:trPr>
        <w:tc>
          <w:tcPr>
            <w:tcW w:w="704" w:type="dxa"/>
            <w:tcBorders>
              <w:top w:val="single" w:sz="4" w:space="0" w:color="auto"/>
            </w:tcBorders>
            <w:shd w:val="clear" w:color="auto" w:fill="auto"/>
            <w:vAlign w:val="center"/>
            <w:hideMark/>
          </w:tcPr>
          <w:p w14:paraId="04722644"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Acreedor</w:t>
            </w:r>
          </w:p>
        </w:tc>
        <w:tc>
          <w:tcPr>
            <w:tcW w:w="767" w:type="dxa"/>
            <w:tcBorders>
              <w:top w:val="single" w:sz="4" w:space="0" w:color="auto"/>
            </w:tcBorders>
            <w:shd w:val="clear" w:color="auto" w:fill="auto"/>
            <w:vAlign w:val="center"/>
            <w:hideMark/>
          </w:tcPr>
          <w:p w14:paraId="2A32BB19"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 xml:space="preserve">Acreditado </w:t>
            </w:r>
          </w:p>
        </w:tc>
        <w:tc>
          <w:tcPr>
            <w:tcW w:w="808" w:type="dxa"/>
            <w:tcBorders>
              <w:top w:val="single" w:sz="4" w:space="0" w:color="auto"/>
            </w:tcBorders>
            <w:vAlign w:val="center"/>
          </w:tcPr>
          <w:p w14:paraId="774070FD"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Monto Contratado</w:t>
            </w:r>
          </w:p>
        </w:tc>
        <w:tc>
          <w:tcPr>
            <w:tcW w:w="850" w:type="dxa"/>
            <w:tcBorders>
              <w:top w:val="single" w:sz="4" w:space="0" w:color="auto"/>
            </w:tcBorders>
            <w:shd w:val="clear" w:color="auto" w:fill="auto"/>
            <w:vAlign w:val="center"/>
            <w:hideMark/>
          </w:tcPr>
          <w:p w14:paraId="7E3BA1FA"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Monto Dispuesto</w:t>
            </w:r>
          </w:p>
        </w:tc>
        <w:tc>
          <w:tcPr>
            <w:tcW w:w="808" w:type="dxa"/>
            <w:tcBorders>
              <w:top w:val="single" w:sz="4" w:space="0" w:color="auto"/>
            </w:tcBorders>
            <w:shd w:val="clear" w:color="auto" w:fill="auto"/>
            <w:vAlign w:val="center"/>
            <w:hideMark/>
          </w:tcPr>
          <w:p w14:paraId="50C1EEA1"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 xml:space="preserve">Saldo Insoluto </w:t>
            </w:r>
          </w:p>
        </w:tc>
        <w:tc>
          <w:tcPr>
            <w:tcW w:w="594" w:type="dxa"/>
            <w:tcBorders>
              <w:top w:val="single" w:sz="4" w:space="0" w:color="auto"/>
            </w:tcBorders>
            <w:shd w:val="clear" w:color="auto" w:fill="auto"/>
            <w:vAlign w:val="center"/>
            <w:hideMark/>
          </w:tcPr>
          <w:p w14:paraId="3AEC653D"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Número de Crédito</w:t>
            </w:r>
          </w:p>
        </w:tc>
        <w:tc>
          <w:tcPr>
            <w:tcW w:w="851" w:type="dxa"/>
            <w:tcBorders>
              <w:top w:val="single" w:sz="4" w:space="0" w:color="auto"/>
            </w:tcBorders>
            <w:shd w:val="clear" w:color="auto" w:fill="auto"/>
            <w:vAlign w:val="center"/>
            <w:hideMark/>
          </w:tcPr>
          <w:p w14:paraId="19F4AB55"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Tasa de Interés Contratada</w:t>
            </w:r>
          </w:p>
        </w:tc>
        <w:tc>
          <w:tcPr>
            <w:tcW w:w="601" w:type="dxa"/>
            <w:tcBorders>
              <w:top w:val="single" w:sz="4" w:space="0" w:color="auto"/>
            </w:tcBorders>
            <w:shd w:val="clear" w:color="auto" w:fill="auto"/>
            <w:vAlign w:val="center"/>
            <w:hideMark/>
          </w:tcPr>
          <w:p w14:paraId="5A5D8B02"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Tasa Efectiva</w:t>
            </w:r>
          </w:p>
        </w:tc>
        <w:tc>
          <w:tcPr>
            <w:tcW w:w="827" w:type="dxa"/>
            <w:tcBorders>
              <w:top w:val="single" w:sz="4" w:space="0" w:color="auto"/>
            </w:tcBorders>
            <w:shd w:val="clear" w:color="auto" w:fill="auto"/>
            <w:vAlign w:val="center"/>
            <w:hideMark/>
          </w:tcPr>
          <w:p w14:paraId="51AAAF3B"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Fecha de Suscripción</w:t>
            </w:r>
          </w:p>
        </w:tc>
        <w:tc>
          <w:tcPr>
            <w:tcW w:w="854" w:type="dxa"/>
            <w:tcBorders>
              <w:top w:val="single" w:sz="4" w:space="0" w:color="auto"/>
            </w:tcBorders>
            <w:shd w:val="clear" w:color="auto" w:fill="auto"/>
            <w:vAlign w:val="center"/>
            <w:hideMark/>
          </w:tcPr>
          <w:p w14:paraId="1C114CAB"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Fecha de Vencimiento</w:t>
            </w:r>
          </w:p>
        </w:tc>
        <w:tc>
          <w:tcPr>
            <w:tcW w:w="1177" w:type="dxa"/>
            <w:tcBorders>
              <w:top w:val="single" w:sz="4" w:space="0" w:color="auto"/>
            </w:tcBorders>
            <w:shd w:val="clear" w:color="auto" w:fill="auto"/>
            <w:vAlign w:val="center"/>
            <w:hideMark/>
          </w:tcPr>
          <w:p w14:paraId="5EB6F49E"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Garantía y/o Fuente de Pago</w:t>
            </w:r>
          </w:p>
        </w:tc>
      </w:tr>
      <w:tr w:rsidR="00D868AB" w:rsidRPr="00D868AB" w14:paraId="2B5B0122" w14:textId="77777777" w:rsidTr="00A755A7">
        <w:trPr>
          <w:trHeight w:val="290"/>
          <w:jc w:val="center"/>
        </w:trPr>
        <w:tc>
          <w:tcPr>
            <w:tcW w:w="704" w:type="dxa"/>
            <w:shd w:val="clear" w:color="auto" w:fill="auto"/>
            <w:noWrap/>
            <w:vAlign w:val="center"/>
            <w:hideMark/>
          </w:tcPr>
          <w:p w14:paraId="5EEF57AD" w14:textId="77777777" w:rsidR="00D868AB" w:rsidRPr="00D868AB" w:rsidRDefault="00D868AB" w:rsidP="00D868AB">
            <w:pPr>
              <w:jc w:val="left"/>
              <w:rPr>
                <w:rFonts w:eastAsia="Times New Roman" w:cs="Arial"/>
                <w:sz w:val="12"/>
                <w:szCs w:val="16"/>
              </w:rPr>
            </w:pPr>
            <w:r w:rsidRPr="00D868AB">
              <w:rPr>
                <w:rFonts w:eastAsia="Times New Roman" w:cs="Arial"/>
                <w:sz w:val="12"/>
                <w:szCs w:val="16"/>
              </w:rPr>
              <w:t>Banobras</w:t>
            </w:r>
          </w:p>
        </w:tc>
        <w:tc>
          <w:tcPr>
            <w:tcW w:w="767" w:type="dxa"/>
            <w:shd w:val="clear" w:color="auto" w:fill="auto"/>
            <w:noWrap/>
            <w:vAlign w:val="center"/>
            <w:hideMark/>
          </w:tcPr>
          <w:p w14:paraId="1F036F2D" w14:textId="77777777" w:rsidR="00D868AB" w:rsidRPr="00D868AB" w:rsidRDefault="00D868AB" w:rsidP="00D868AB">
            <w:pPr>
              <w:jc w:val="left"/>
              <w:rPr>
                <w:rFonts w:eastAsia="Times New Roman" w:cs="Arial"/>
                <w:sz w:val="12"/>
                <w:szCs w:val="16"/>
              </w:rPr>
            </w:pPr>
            <w:r w:rsidRPr="00D868AB">
              <w:rPr>
                <w:rFonts w:eastAsia="Times New Roman" w:cs="Arial"/>
                <w:sz w:val="12"/>
                <w:szCs w:val="16"/>
              </w:rPr>
              <w:t>INSUVI</w:t>
            </w:r>
          </w:p>
        </w:tc>
        <w:tc>
          <w:tcPr>
            <w:tcW w:w="808" w:type="dxa"/>
            <w:vAlign w:val="center"/>
          </w:tcPr>
          <w:p w14:paraId="61CCD754" w14:textId="77777777" w:rsidR="00D868AB" w:rsidRPr="00D868AB" w:rsidRDefault="00D868AB" w:rsidP="00D868AB">
            <w:pPr>
              <w:jc w:val="right"/>
              <w:rPr>
                <w:rFonts w:eastAsia="Times New Roman" w:cs="Arial"/>
                <w:sz w:val="12"/>
                <w:szCs w:val="16"/>
              </w:rPr>
            </w:pPr>
            <w:r w:rsidRPr="00D868AB">
              <w:rPr>
                <w:rFonts w:eastAsia="Times New Roman" w:cs="Arial"/>
                <w:sz w:val="12"/>
                <w:szCs w:val="16"/>
              </w:rPr>
              <w:t xml:space="preserve">150,466,713 </w:t>
            </w:r>
          </w:p>
        </w:tc>
        <w:tc>
          <w:tcPr>
            <w:tcW w:w="850" w:type="dxa"/>
            <w:shd w:val="clear" w:color="auto" w:fill="auto"/>
            <w:noWrap/>
            <w:vAlign w:val="center"/>
          </w:tcPr>
          <w:p w14:paraId="0A6DA462" w14:textId="77777777" w:rsidR="00D868AB" w:rsidRPr="00D868AB" w:rsidRDefault="00D868AB" w:rsidP="00D868AB">
            <w:pPr>
              <w:jc w:val="right"/>
              <w:rPr>
                <w:rFonts w:eastAsia="Times New Roman" w:cs="Arial"/>
                <w:sz w:val="12"/>
                <w:szCs w:val="16"/>
              </w:rPr>
            </w:pPr>
            <w:r w:rsidRPr="00D868AB">
              <w:rPr>
                <w:rFonts w:eastAsia="Times New Roman" w:cs="Arial"/>
                <w:sz w:val="12"/>
                <w:szCs w:val="16"/>
              </w:rPr>
              <w:t xml:space="preserve"> 150,025,211 </w:t>
            </w:r>
          </w:p>
        </w:tc>
        <w:tc>
          <w:tcPr>
            <w:tcW w:w="808" w:type="dxa"/>
            <w:shd w:val="clear" w:color="auto" w:fill="auto"/>
            <w:noWrap/>
            <w:vAlign w:val="center"/>
          </w:tcPr>
          <w:p w14:paraId="2B48088A" w14:textId="77777777" w:rsidR="00D868AB" w:rsidRPr="00D868AB" w:rsidRDefault="00D868AB" w:rsidP="00D868AB">
            <w:pPr>
              <w:jc w:val="right"/>
              <w:rPr>
                <w:rFonts w:eastAsia="Times New Roman" w:cs="Arial"/>
                <w:sz w:val="12"/>
                <w:szCs w:val="16"/>
              </w:rPr>
            </w:pPr>
            <w:r w:rsidRPr="00D868AB">
              <w:rPr>
                <w:rFonts w:eastAsia="Times New Roman" w:cs="Arial"/>
                <w:sz w:val="12"/>
                <w:szCs w:val="16"/>
              </w:rPr>
              <w:t xml:space="preserve">100,770,722 </w:t>
            </w:r>
          </w:p>
        </w:tc>
        <w:tc>
          <w:tcPr>
            <w:tcW w:w="594" w:type="dxa"/>
            <w:shd w:val="clear" w:color="auto" w:fill="auto"/>
            <w:noWrap/>
            <w:vAlign w:val="center"/>
            <w:hideMark/>
          </w:tcPr>
          <w:p w14:paraId="057C4DCF"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7304</w:t>
            </w:r>
          </w:p>
        </w:tc>
        <w:tc>
          <w:tcPr>
            <w:tcW w:w="851" w:type="dxa"/>
            <w:shd w:val="clear" w:color="auto" w:fill="auto"/>
            <w:noWrap/>
            <w:vAlign w:val="center"/>
            <w:hideMark/>
          </w:tcPr>
          <w:p w14:paraId="0CC1B01B"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TIIE + 0.86%</w:t>
            </w:r>
          </w:p>
        </w:tc>
        <w:tc>
          <w:tcPr>
            <w:tcW w:w="601" w:type="dxa"/>
            <w:shd w:val="clear" w:color="auto" w:fill="auto"/>
            <w:noWrap/>
            <w:vAlign w:val="center"/>
            <w:hideMark/>
          </w:tcPr>
          <w:p w14:paraId="7D8DAE3B"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n.a.</w:t>
            </w:r>
          </w:p>
        </w:tc>
        <w:tc>
          <w:tcPr>
            <w:tcW w:w="827" w:type="dxa"/>
            <w:shd w:val="clear" w:color="auto" w:fill="auto"/>
            <w:noWrap/>
            <w:vAlign w:val="center"/>
            <w:hideMark/>
          </w:tcPr>
          <w:p w14:paraId="3F621701"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jun-08</w:t>
            </w:r>
          </w:p>
        </w:tc>
        <w:tc>
          <w:tcPr>
            <w:tcW w:w="854" w:type="dxa"/>
            <w:shd w:val="clear" w:color="auto" w:fill="auto"/>
            <w:noWrap/>
            <w:vAlign w:val="center"/>
            <w:hideMark/>
          </w:tcPr>
          <w:p w14:paraId="311947B9"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ago-33</w:t>
            </w:r>
          </w:p>
        </w:tc>
        <w:tc>
          <w:tcPr>
            <w:tcW w:w="1177" w:type="dxa"/>
            <w:shd w:val="clear" w:color="auto" w:fill="auto"/>
            <w:noWrap/>
            <w:vAlign w:val="center"/>
            <w:hideMark/>
          </w:tcPr>
          <w:p w14:paraId="31E14D30"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Participaciones</w:t>
            </w:r>
          </w:p>
        </w:tc>
      </w:tr>
      <w:tr w:rsidR="00D868AB" w:rsidRPr="00D868AB" w14:paraId="1B02DF6E" w14:textId="77777777" w:rsidTr="00A755A7">
        <w:trPr>
          <w:trHeight w:val="290"/>
          <w:jc w:val="center"/>
        </w:trPr>
        <w:tc>
          <w:tcPr>
            <w:tcW w:w="704" w:type="dxa"/>
            <w:shd w:val="clear" w:color="auto" w:fill="auto"/>
            <w:noWrap/>
            <w:vAlign w:val="center"/>
            <w:hideMark/>
          </w:tcPr>
          <w:p w14:paraId="5D472EE5" w14:textId="77777777" w:rsidR="00D868AB" w:rsidRPr="00D868AB" w:rsidRDefault="00D868AB" w:rsidP="00D868AB">
            <w:pPr>
              <w:jc w:val="left"/>
              <w:rPr>
                <w:rFonts w:eastAsia="Times New Roman" w:cs="Arial"/>
                <w:sz w:val="12"/>
                <w:szCs w:val="16"/>
              </w:rPr>
            </w:pPr>
            <w:r w:rsidRPr="00D868AB">
              <w:rPr>
                <w:rFonts w:eastAsia="Times New Roman" w:cs="Arial"/>
                <w:sz w:val="12"/>
                <w:szCs w:val="16"/>
              </w:rPr>
              <w:t>Banorte</w:t>
            </w:r>
          </w:p>
        </w:tc>
        <w:tc>
          <w:tcPr>
            <w:tcW w:w="767" w:type="dxa"/>
            <w:shd w:val="clear" w:color="auto" w:fill="auto"/>
            <w:noWrap/>
            <w:vAlign w:val="center"/>
            <w:hideMark/>
          </w:tcPr>
          <w:p w14:paraId="0EDEF437" w14:textId="77777777" w:rsidR="00D868AB" w:rsidRPr="00D868AB" w:rsidRDefault="00D868AB" w:rsidP="00D868AB">
            <w:pPr>
              <w:jc w:val="left"/>
              <w:rPr>
                <w:rFonts w:eastAsia="Times New Roman" w:cs="Arial"/>
                <w:sz w:val="12"/>
                <w:szCs w:val="16"/>
              </w:rPr>
            </w:pPr>
            <w:r w:rsidRPr="00D868AB">
              <w:rPr>
                <w:rFonts w:eastAsia="Times New Roman" w:cs="Arial"/>
                <w:sz w:val="12"/>
                <w:szCs w:val="16"/>
              </w:rPr>
              <w:t>CIAPACOV</w:t>
            </w:r>
          </w:p>
        </w:tc>
        <w:tc>
          <w:tcPr>
            <w:tcW w:w="808" w:type="dxa"/>
            <w:vAlign w:val="center"/>
          </w:tcPr>
          <w:p w14:paraId="1A4BA079" w14:textId="77777777" w:rsidR="00D868AB" w:rsidRPr="00D868AB" w:rsidRDefault="00D868AB" w:rsidP="00D868AB">
            <w:pPr>
              <w:jc w:val="right"/>
              <w:rPr>
                <w:rFonts w:eastAsia="Times New Roman" w:cs="Arial"/>
                <w:sz w:val="12"/>
                <w:szCs w:val="16"/>
              </w:rPr>
            </w:pPr>
            <w:r w:rsidRPr="00D868AB">
              <w:rPr>
                <w:rFonts w:eastAsia="Times New Roman" w:cs="Arial"/>
                <w:sz w:val="12"/>
                <w:szCs w:val="16"/>
              </w:rPr>
              <w:t xml:space="preserve"> 31,274,751 </w:t>
            </w:r>
          </w:p>
        </w:tc>
        <w:tc>
          <w:tcPr>
            <w:tcW w:w="850" w:type="dxa"/>
            <w:shd w:val="clear" w:color="auto" w:fill="auto"/>
            <w:noWrap/>
            <w:vAlign w:val="center"/>
          </w:tcPr>
          <w:p w14:paraId="6258082A" w14:textId="77777777" w:rsidR="00D868AB" w:rsidRPr="00D868AB" w:rsidRDefault="00D868AB" w:rsidP="00D868AB">
            <w:pPr>
              <w:jc w:val="right"/>
              <w:rPr>
                <w:rFonts w:eastAsia="Times New Roman" w:cs="Arial"/>
                <w:sz w:val="12"/>
                <w:szCs w:val="16"/>
              </w:rPr>
            </w:pPr>
            <w:r w:rsidRPr="00D868AB">
              <w:rPr>
                <w:rFonts w:eastAsia="Times New Roman" w:cs="Arial"/>
                <w:sz w:val="12"/>
                <w:szCs w:val="16"/>
              </w:rPr>
              <w:t xml:space="preserve"> 10,476,626 </w:t>
            </w:r>
          </w:p>
        </w:tc>
        <w:tc>
          <w:tcPr>
            <w:tcW w:w="808" w:type="dxa"/>
            <w:shd w:val="clear" w:color="auto" w:fill="auto"/>
            <w:noWrap/>
            <w:vAlign w:val="center"/>
          </w:tcPr>
          <w:p w14:paraId="663E14AA" w14:textId="77777777" w:rsidR="00D868AB" w:rsidRPr="00D868AB" w:rsidRDefault="00D868AB" w:rsidP="00D868AB">
            <w:pPr>
              <w:jc w:val="right"/>
              <w:rPr>
                <w:rFonts w:eastAsia="Times New Roman" w:cs="Arial"/>
                <w:sz w:val="12"/>
                <w:szCs w:val="16"/>
              </w:rPr>
            </w:pPr>
            <w:r w:rsidRPr="00D868AB">
              <w:rPr>
                <w:rFonts w:eastAsia="Times New Roman" w:cs="Arial"/>
                <w:sz w:val="12"/>
                <w:szCs w:val="16"/>
              </w:rPr>
              <w:t xml:space="preserve"> 10,476,626 </w:t>
            </w:r>
          </w:p>
        </w:tc>
        <w:tc>
          <w:tcPr>
            <w:tcW w:w="594" w:type="dxa"/>
            <w:shd w:val="clear" w:color="auto" w:fill="auto"/>
            <w:noWrap/>
            <w:vAlign w:val="center"/>
            <w:hideMark/>
          </w:tcPr>
          <w:p w14:paraId="76AB9CB0"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31750</w:t>
            </w:r>
          </w:p>
        </w:tc>
        <w:tc>
          <w:tcPr>
            <w:tcW w:w="851" w:type="dxa"/>
            <w:shd w:val="clear" w:color="auto" w:fill="auto"/>
            <w:noWrap/>
            <w:vAlign w:val="center"/>
            <w:hideMark/>
          </w:tcPr>
          <w:p w14:paraId="30A71176"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TIIE + 1.3 %</w:t>
            </w:r>
          </w:p>
        </w:tc>
        <w:tc>
          <w:tcPr>
            <w:tcW w:w="601" w:type="dxa"/>
            <w:shd w:val="clear" w:color="auto" w:fill="auto"/>
            <w:noWrap/>
            <w:vAlign w:val="center"/>
            <w:hideMark/>
          </w:tcPr>
          <w:p w14:paraId="1455A9B8"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n.a.</w:t>
            </w:r>
          </w:p>
        </w:tc>
        <w:tc>
          <w:tcPr>
            <w:tcW w:w="827" w:type="dxa"/>
            <w:shd w:val="clear" w:color="auto" w:fill="auto"/>
            <w:noWrap/>
            <w:vAlign w:val="center"/>
            <w:hideMark/>
          </w:tcPr>
          <w:p w14:paraId="355CC71E"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ago-06</w:t>
            </w:r>
          </w:p>
        </w:tc>
        <w:tc>
          <w:tcPr>
            <w:tcW w:w="854" w:type="dxa"/>
            <w:shd w:val="clear" w:color="auto" w:fill="auto"/>
            <w:noWrap/>
            <w:vAlign w:val="center"/>
            <w:hideMark/>
          </w:tcPr>
          <w:p w14:paraId="434FAA7B"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ago-26</w:t>
            </w:r>
          </w:p>
        </w:tc>
        <w:tc>
          <w:tcPr>
            <w:tcW w:w="1177" w:type="dxa"/>
            <w:shd w:val="clear" w:color="auto" w:fill="auto"/>
            <w:noWrap/>
            <w:vAlign w:val="center"/>
            <w:hideMark/>
          </w:tcPr>
          <w:p w14:paraId="624C0FB1" w14:textId="77777777" w:rsidR="00D868AB" w:rsidRPr="00D868AB" w:rsidRDefault="00D868AB" w:rsidP="00D868AB">
            <w:pPr>
              <w:jc w:val="center"/>
              <w:rPr>
                <w:rFonts w:eastAsia="Times New Roman" w:cs="Arial"/>
                <w:sz w:val="12"/>
                <w:szCs w:val="16"/>
              </w:rPr>
            </w:pPr>
            <w:r w:rsidRPr="00D868AB">
              <w:rPr>
                <w:rFonts w:eastAsia="Times New Roman" w:cs="Arial"/>
                <w:sz w:val="12"/>
                <w:szCs w:val="16"/>
              </w:rPr>
              <w:t>Participaciones</w:t>
            </w:r>
          </w:p>
        </w:tc>
      </w:tr>
      <w:tr w:rsidR="00D868AB" w:rsidRPr="00D868AB" w14:paraId="40A24186" w14:textId="77777777" w:rsidTr="00A755A7">
        <w:trPr>
          <w:trHeight w:val="290"/>
          <w:jc w:val="center"/>
        </w:trPr>
        <w:tc>
          <w:tcPr>
            <w:tcW w:w="704" w:type="dxa"/>
            <w:shd w:val="clear" w:color="auto" w:fill="auto"/>
            <w:vAlign w:val="center"/>
            <w:hideMark/>
          </w:tcPr>
          <w:p w14:paraId="5842488A"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Total</w:t>
            </w:r>
          </w:p>
        </w:tc>
        <w:tc>
          <w:tcPr>
            <w:tcW w:w="767" w:type="dxa"/>
            <w:shd w:val="clear" w:color="auto" w:fill="auto"/>
            <w:vAlign w:val="center"/>
            <w:hideMark/>
          </w:tcPr>
          <w:p w14:paraId="01E5BE36" w14:textId="77777777" w:rsidR="00D868AB" w:rsidRPr="00D868AB" w:rsidRDefault="00D868AB" w:rsidP="00D868AB">
            <w:pPr>
              <w:jc w:val="center"/>
              <w:rPr>
                <w:rFonts w:eastAsia="Times New Roman" w:cs="Arial"/>
                <w:b/>
                <w:bCs/>
                <w:sz w:val="12"/>
                <w:szCs w:val="16"/>
              </w:rPr>
            </w:pPr>
            <w:r w:rsidRPr="00D868AB">
              <w:rPr>
                <w:rFonts w:eastAsia="Times New Roman" w:cs="Arial"/>
                <w:b/>
                <w:bCs/>
                <w:sz w:val="12"/>
                <w:szCs w:val="16"/>
              </w:rPr>
              <w:t> </w:t>
            </w:r>
          </w:p>
        </w:tc>
        <w:tc>
          <w:tcPr>
            <w:tcW w:w="808" w:type="dxa"/>
          </w:tcPr>
          <w:p w14:paraId="65BEDC8E" w14:textId="77777777" w:rsidR="00D868AB" w:rsidRPr="00D868AB" w:rsidRDefault="00D868AB" w:rsidP="00D868AB">
            <w:pPr>
              <w:jc w:val="center"/>
              <w:rPr>
                <w:rFonts w:eastAsia="Times New Roman" w:cs="Arial"/>
                <w:b/>
                <w:bCs/>
                <w:sz w:val="12"/>
                <w:szCs w:val="16"/>
              </w:rPr>
            </w:pPr>
          </w:p>
        </w:tc>
        <w:tc>
          <w:tcPr>
            <w:tcW w:w="850" w:type="dxa"/>
            <w:shd w:val="clear" w:color="auto" w:fill="auto"/>
            <w:vAlign w:val="center"/>
          </w:tcPr>
          <w:p w14:paraId="6620239B" w14:textId="77777777" w:rsidR="00D868AB" w:rsidRPr="00D868AB" w:rsidRDefault="00D868AB" w:rsidP="00D868AB">
            <w:pPr>
              <w:jc w:val="right"/>
              <w:rPr>
                <w:rFonts w:eastAsia="Times New Roman" w:cs="Arial"/>
                <w:b/>
                <w:sz w:val="12"/>
                <w:szCs w:val="16"/>
              </w:rPr>
            </w:pPr>
            <w:r w:rsidRPr="00D868AB">
              <w:rPr>
                <w:rFonts w:eastAsia="Times New Roman" w:cs="Arial"/>
                <w:b/>
                <w:sz w:val="12"/>
                <w:szCs w:val="16"/>
              </w:rPr>
              <w:t xml:space="preserve"> 160,501,837 </w:t>
            </w:r>
          </w:p>
        </w:tc>
        <w:tc>
          <w:tcPr>
            <w:tcW w:w="808" w:type="dxa"/>
            <w:shd w:val="clear" w:color="auto" w:fill="auto"/>
            <w:vAlign w:val="center"/>
          </w:tcPr>
          <w:p w14:paraId="7A02D0FD" w14:textId="77777777" w:rsidR="00D868AB" w:rsidRPr="00D868AB" w:rsidRDefault="00D868AB" w:rsidP="00D868AB">
            <w:pPr>
              <w:jc w:val="right"/>
              <w:rPr>
                <w:rFonts w:eastAsia="Times New Roman" w:cs="Arial"/>
                <w:b/>
                <w:sz w:val="12"/>
                <w:szCs w:val="16"/>
              </w:rPr>
            </w:pPr>
            <w:r w:rsidRPr="00D868AB">
              <w:rPr>
                <w:rFonts w:eastAsia="Times New Roman" w:cs="Arial"/>
                <w:b/>
                <w:sz w:val="12"/>
                <w:szCs w:val="16"/>
              </w:rPr>
              <w:t xml:space="preserve">111,247,348 </w:t>
            </w:r>
          </w:p>
        </w:tc>
        <w:tc>
          <w:tcPr>
            <w:tcW w:w="594" w:type="dxa"/>
            <w:shd w:val="clear" w:color="auto" w:fill="auto"/>
            <w:vAlign w:val="center"/>
            <w:hideMark/>
          </w:tcPr>
          <w:p w14:paraId="59187863" w14:textId="77777777" w:rsidR="00D868AB" w:rsidRPr="00D868AB" w:rsidRDefault="00D868AB" w:rsidP="00D868AB">
            <w:pPr>
              <w:rPr>
                <w:rFonts w:eastAsia="Times New Roman" w:cs="Arial"/>
                <w:sz w:val="12"/>
                <w:szCs w:val="16"/>
              </w:rPr>
            </w:pPr>
            <w:r w:rsidRPr="00D868AB">
              <w:rPr>
                <w:rFonts w:eastAsia="Times New Roman" w:cs="Arial"/>
                <w:sz w:val="12"/>
                <w:szCs w:val="16"/>
              </w:rPr>
              <w:t> </w:t>
            </w:r>
          </w:p>
        </w:tc>
        <w:tc>
          <w:tcPr>
            <w:tcW w:w="851" w:type="dxa"/>
            <w:shd w:val="clear" w:color="auto" w:fill="auto"/>
            <w:vAlign w:val="center"/>
            <w:hideMark/>
          </w:tcPr>
          <w:p w14:paraId="1ACF5F2F" w14:textId="77777777" w:rsidR="00D868AB" w:rsidRPr="00D868AB" w:rsidRDefault="00D868AB" w:rsidP="00D868AB">
            <w:pPr>
              <w:rPr>
                <w:rFonts w:eastAsia="Times New Roman" w:cs="Arial"/>
                <w:sz w:val="12"/>
                <w:szCs w:val="16"/>
              </w:rPr>
            </w:pPr>
            <w:r w:rsidRPr="00D868AB">
              <w:rPr>
                <w:rFonts w:eastAsia="Times New Roman" w:cs="Arial"/>
                <w:sz w:val="12"/>
                <w:szCs w:val="16"/>
              </w:rPr>
              <w:t> </w:t>
            </w:r>
          </w:p>
        </w:tc>
        <w:tc>
          <w:tcPr>
            <w:tcW w:w="601" w:type="dxa"/>
            <w:shd w:val="clear" w:color="auto" w:fill="auto"/>
            <w:vAlign w:val="center"/>
            <w:hideMark/>
          </w:tcPr>
          <w:p w14:paraId="20835329" w14:textId="77777777" w:rsidR="00D868AB" w:rsidRPr="00D868AB" w:rsidRDefault="00D868AB" w:rsidP="00D868AB">
            <w:pPr>
              <w:rPr>
                <w:rFonts w:eastAsia="Times New Roman" w:cs="Arial"/>
                <w:sz w:val="12"/>
                <w:szCs w:val="16"/>
              </w:rPr>
            </w:pPr>
            <w:r w:rsidRPr="00D868AB">
              <w:rPr>
                <w:rFonts w:eastAsia="Times New Roman" w:cs="Arial"/>
                <w:sz w:val="12"/>
                <w:szCs w:val="16"/>
              </w:rPr>
              <w:t> </w:t>
            </w:r>
          </w:p>
        </w:tc>
        <w:tc>
          <w:tcPr>
            <w:tcW w:w="827" w:type="dxa"/>
            <w:shd w:val="clear" w:color="auto" w:fill="auto"/>
            <w:vAlign w:val="center"/>
            <w:hideMark/>
          </w:tcPr>
          <w:p w14:paraId="691A1180" w14:textId="77777777" w:rsidR="00D868AB" w:rsidRPr="00D868AB" w:rsidRDefault="00D868AB" w:rsidP="00D868AB">
            <w:pPr>
              <w:rPr>
                <w:rFonts w:eastAsia="Times New Roman" w:cs="Arial"/>
                <w:sz w:val="12"/>
                <w:szCs w:val="16"/>
              </w:rPr>
            </w:pPr>
            <w:r w:rsidRPr="00D868AB">
              <w:rPr>
                <w:rFonts w:eastAsia="Times New Roman" w:cs="Arial"/>
                <w:sz w:val="12"/>
                <w:szCs w:val="16"/>
              </w:rPr>
              <w:t> </w:t>
            </w:r>
          </w:p>
        </w:tc>
        <w:tc>
          <w:tcPr>
            <w:tcW w:w="854" w:type="dxa"/>
            <w:shd w:val="clear" w:color="auto" w:fill="auto"/>
            <w:vAlign w:val="center"/>
            <w:hideMark/>
          </w:tcPr>
          <w:p w14:paraId="281E51E3" w14:textId="77777777" w:rsidR="00D868AB" w:rsidRPr="00D868AB" w:rsidRDefault="00D868AB" w:rsidP="00D868AB">
            <w:pPr>
              <w:rPr>
                <w:rFonts w:eastAsia="Times New Roman" w:cs="Arial"/>
                <w:sz w:val="12"/>
                <w:szCs w:val="16"/>
              </w:rPr>
            </w:pPr>
            <w:r w:rsidRPr="00D868AB">
              <w:rPr>
                <w:rFonts w:eastAsia="Times New Roman" w:cs="Arial"/>
                <w:sz w:val="12"/>
                <w:szCs w:val="16"/>
              </w:rPr>
              <w:t> </w:t>
            </w:r>
          </w:p>
        </w:tc>
        <w:tc>
          <w:tcPr>
            <w:tcW w:w="1177" w:type="dxa"/>
            <w:shd w:val="clear" w:color="auto" w:fill="auto"/>
            <w:vAlign w:val="center"/>
            <w:hideMark/>
          </w:tcPr>
          <w:p w14:paraId="2E384B01" w14:textId="77777777" w:rsidR="00D868AB" w:rsidRPr="00D868AB" w:rsidRDefault="00D868AB" w:rsidP="00D868AB">
            <w:pPr>
              <w:rPr>
                <w:rFonts w:eastAsia="Times New Roman" w:cs="Arial"/>
                <w:sz w:val="12"/>
                <w:szCs w:val="16"/>
              </w:rPr>
            </w:pPr>
            <w:r w:rsidRPr="00D868AB">
              <w:rPr>
                <w:rFonts w:eastAsia="Times New Roman" w:cs="Arial"/>
                <w:sz w:val="12"/>
                <w:szCs w:val="16"/>
              </w:rPr>
              <w:t> </w:t>
            </w:r>
          </w:p>
        </w:tc>
      </w:tr>
    </w:tbl>
    <w:p w14:paraId="2BB89B8E" w14:textId="77777777" w:rsidR="00D868AB" w:rsidRPr="00D868AB" w:rsidRDefault="00D868AB" w:rsidP="00D868AB">
      <w:pPr>
        <w:ind w:left="142" w:hanging="142"/>
        <w:rPr>
          <w:rFonts w:cs="Arial"/>
          <w:sz w:val="16"/>
          <w:lang w:val="es-ES"/>
        </w:rPr>
      </w:pPr>
      <w:bookmarkStart w:id="203" w:name="_Toc526757510"/>
      <w:bookmarkStart w:id="204" w:name="_Toc22021958"/>
      <w:bookmarkStart w:id="205" w:name="_Toc22983212"/>
      <w:r w:rsidRPr="00D868AB">
        <w:rPr>
          <w:rFonts w:cs="Arial"/>
          <w:sz w:val="16"/>
          <w:lang w:val="es-ES"/>
        </w:rPr>
        <w:t xml:space="preserve">1/ </w:t>
      </w:r>
      <w:r w:rsidRPr="00D868AB">
        <w:rPr>
          <w:rFonts w:cs="Arial"/>
          <w:b/>
          <w:sz w:val="16"/>
          <w:lang w:val="es-ES"/>
        </w:rPr>
        <w:t>INSUVI</w:t>
      </w:r>
      <w:r w:rsidRPr="00D868AB">
        <w:rPr>
          <w:rFonts w:cs="Arial"/>
          <w:sz w:val="16"/>
          <w:lang w:val="es-ES"/>
        </w:rPr>
        <w:t>. Instituto de Suelo Urbanización y Vivienda del Estado de Colima</w:t>
      </w:r>
    </w:p>
    <w:p w14:paraId="64346350" w14:textId="77777777" w:rsidR="00D868AB" w:rsidRPr="00D868AB" w:rsidRDefault="00D868AB" w:rsidP="00D868AB">
      <w:pPr>
        <w:ind w:left="142" w:hanging="142"/>
        <w:rPr>
          <w:rFonts w:cs="Arial"/>
          <w:sz w:val="16"/>
          <w:lang w:val="es-ES"/>
        </w:rPr>
      </w:pPr>
      <w:r w:rsidRPr="00D868AB">
        <w:rPr>
          <w:rFonts w:cs="Arial"/>
          <w:sz w:val="16"/>
          <w:lang w:val="es-ES"/>
        </w:rPr>
        <w:t xml:space="preserve">2/ </w:t>
      </w:r>
      <w:r w:rsidRPr="00D868AB">
        <w:rPr>
          <w:rFonts w:cs="Arial"/>
          <w:b/>
          <w:sz w:val="16"/>
          <w:lang w:val="es-ES"/>
        </w:rPr>
        <w:t>CIAPACOV</w:t>
      </w:r>
      <w:r w:rsidRPr="00D868AB">
        <w:rPr>
          <w:rFonts w:cs="Arial"/>
          <w:sz w:val="16"/>
          <w:lang w:val="es-ES"/>
        </w:rPr>
        <w:t>. Comisión Intermunicipal de Agua Potable y Alcantarillado de Colima- Villa de Álvarez</w:t>
      </w:r>
    </w:p>
    <w:p w14:paraId="48D2CDE7" w14:textId="77777777" w:rsidR="00D868AB" w:rsidRPr="00D868AB" w:rsidRDefault="00D868AB" w:rsidP="00D868AB">
      <w:pPr>
        <w:ind w:left="142" w:hanging="142"/>
        <w:rPr>
          <w:rFonts w:cs="Arial"/>
          <w:sz w:val="16"/>
          <w:lang w:val="es-ES"/>
        </w:rPr>
      </w:pPr>
      <w:r w:rsidRPr="00D868AB">
        <w:rPr>
          <w:rFonts w:cs="Arial"/>
          <w:sz w:val="16"/>
          <w:lang w:val="es-ES"/>
        </w:rPr>
        <w:t xml:space="preserve">3/ La línea de crédito disponible de CIAPACOV se actualiza anualmente en proporción al incremento del Índice Nacional de Precios al Consumidor. </w:t>
      </w:r>
    </w:p>
    <w:p w14:paraId="5A31E897" w14:textId="77777777" w:rsidR="00D868AB" w:rsidRPr="00D868AB" w:rsidRDefault="00D868AB" w:rsidP="00D868AB">
      <w:pPr>
        <w:keepNext/>
        <w:keepLines/>
        <w:outlineLvl w:val="2"/>
        <w:rPr>
          <w:rFonts w:eastAsia="Times New Roman" w:cs="Arial"/>
          <w:b/>
          <w:szCs w:val="24"/>
          <w:lang w:val="es-ES" w:eastAsia="en-U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34"/>
        <w:gridCol w:w="1271"/>
        <w:gridCol w:w="1276"/>
        <w:gridCol w:w="1276"/>
        <w:gridCol w:w="1842"/>
        <w:gridCol w:w="1701"/>
      </w:tblGrid>
      <w:tr w:rsidR="00D868AB" w:rsidRPr="00D868AB" w14:paraId="7C8CB91C" w14:textId="77777777" w:rsidTr="00A755A7">
        <w:trPr>
          <w:trHeight w:val="330"/>
          <w:tblHeader/>
          <w:jc w:val="center"/>
        </w:trPr>
        <w:tc>
          <w:tcPr>
            <w:tcW w:w="8500" w:type="dxa"/>
            <w:gridSpan w:val="6"/>
            <w:tcBorders>
              <w:top w:val="nil"/>
              <w:left w:val="nil"/>
              <w:bottom w:val="single" w:sz="4" w:space="0" w:color="auto"/>
              <w:right w:val="nil"/>
            </w:tcBorders>
            <w:shd w:val="clear" w:color="auto" w:fill="auto"/>
            <w:noWrap/>
            <w:vAlign w:val="center"/>
          </w:tcPr>
          <w:p w14:paraId="47B4C23F" w14:textId="77777777" w:rsidR="00D868AB" w:rsidRPr="00D868AB" w:rsidRDefault="00D868AB" w:rsidP="00D868AB">
            <w:pPr>
              <w:jc w:val="center"/>
              <w:rPr>
                <w:rFonts w:cs="Arial"/>
                <w:b/>
                <w:sz w:val="20"/>
                <w:lang w:val="es-ES"/>
              </w:rPr>
            </w:pPr>
            <w:r w:rsidRPr="00D868AB">
              <w:rPr>
                <w:rFonts w:eastAsia="Times New Roman" w:cs="Arial"/>
                <w:b/>
                <w:sz w:val="20"/>
                <w:lang w:val="es-ES"/>
              </w:rPr>
              <w:t>Tabla 45. Destino de la Deuda Pública Indirecta</w:t>
            </w:r>
            <w:bookmarkEnd w:id="203"/>
            <w:bookmarkEnd w:id="204"/>
            <w:bookmarkEnd w:id="205"/>
          </w:p>
        </w:tc>
      </w:tr>
      <w:tr w:rsidR="00D868AB" w:rsidRPr="00D868AB" w14:paraId="7F1A467C" w14:textId="77777777" w:rsidTr="00A755A7">
        <w:trPr>
          <w:trHeight w:val="4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6594A" w14:textId="77777777" w:rsidR="00D868AB" w:rsidRPr="00D868AB" w:rsidRDefault="00D868AB" w:rsidP="00D868AB">
            <w:pPr>
              <w:ind w:left="-142"/>
              <w:jc w:val="center"/>
              <w:rPr>
                <w:rFonts w:cs="Arial"/>
                <w:b/>
                <w:bCs/>
                <w:sz w:val="18"/>
                <w:lang w:val="es-ES"/>
              </w:rPr>
            </w:pPr>
            <w:r w:rsidRPr="00D868AB">
              <w:rPr>
                <w:rFonts w:cs="Arial"/>
                <w:b/>
                <w:bCs/>
                <w:sz w:val="18"/>
                <w:lang w:val="es-ES"/>
              </w:rPr>
              <w:t>Acreedor</w:t>
            </w:r>
          </w:p>
        </w:tc>
        <w:tc>
          <w:tcPr>
            <w:tcW w:w="12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BC37F0" w14:textId="77777777" w:rsidR="00D868AB" w:rsidRPr="00D868AB" w:rsidRDefault="00D868AB" w:rsidP="00D868AB">
            <w:pPr>
              <w:jc w:val="center"/>
              <w:rPr>
                <w:rFonts w:cs="Arial"/>
                <w:b/>
                <w:bCs/>
                <w:sz w:val="18"/>
                <w:lang w:val="es-ES"/>
              </w:rPr>
            </w:pPr>
            <w:r w:rsidRPr="00D868AB">
              <w:rPr>
                <w:rFonts w:cs="Arial"/>
                <w:b/>
                <w:bCs/>
                <w:sz w:val="18"/>
                <w:lang w:val="es-ES"/>
              </w:rPr>
              <w:t>Acreditado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AB3AD" w14:textId="77777777" w:rsidR="00D868AB" w:rsidRPr="00D868AB" w:rsidRDefault="00D868AB" w:rsidP="00D868AB">
            <w:pPr>
              <w:jc w:val="center"/>
              <w:rPr>
                <w:rFonts w:cs="Arial"/>
                <w:b/>
                <w:bCs/>
                <w:sz w:val="18"/>
                <w:lang w:val="es-ES"/>
              </w:rPr>
            </w:pPr>
            <w:r w:rsidRPr="00D868AB">
              <w:rPr>
                <w:rFonts w:cs="Arial"/>
                <w:b/>
                <w:bCs/>
                <w:sz w:val="18"/>
                <w:lang w:val="es-ES"/>
              </w:rPr>
              <w:t>Número de Crédito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8BC43F" w14:textId="77777777" w:rsidR="00D868AB" w:rsidRPr="00D868AB" w:rsidRDefault="00D868AB" w:rsidP="00D868AB">
            <w:pPr>
              <w:ind w:left="-56"/>
              <w:jc w:val="center"/>
              <w:rPr>
                <w:rFonts w:cs="Arial"/>
                <w:b/>
                <w:bCs/>
                <w:sz w:val="18"/>
                <w:lang w:val="es-ES"/>
              </w:rPr>
            </w:pPr>
            <w:r w:rsidRPr="00D868AB">
              <w:rPr>
                <w:rFonts w:cs="Arial"/>
                <w:b/>
                <w:bCs/>
                <w:sz w:val="18"/>
                <w:lang w:val="es-ES"/>
              </w:rPr>
              <w:t>Inscripción RPU</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29F47AE8" w14:textId="77777777" w:rsidR="00D868AB" w:rsidRPr="00D868AB" w:rsidRDefault="00D868AB" w:rsidP="00D868AB">
            <w:pPr>
              <w:ind w:left="-49"/>
              <w:jc w:val="center"/>
              <w:rPr>
                <w:rFonts w:cs="Arial"/>
                <w:b/>
                <w:bCs/>
                <w:sz w:val="18"/>
                <w:lang w:val="es-ES"/>
              </w:rPr>
            </w:pPr>
            <w:r w:rsidRPr="00D868AB">
              <w:rPr>
                <w:rFonts w:cs="Arial"/>
                <w:b/>
                <w:bCs/>
                <w:sz w:val="18"/>
                <w:lang w:val="es-ES"/>
              </w:rPr>
              <w:t>Destino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231BDDD7" w14:textId="77777777" w:rsidR="00D868AB" w:rsidRPr="00D868AB" w:rsidRDefault="00D868AB" w:rsidP="00D868AB">
            <w:pPr>
              <w:ind w:left="-44"/>
              <w:jc w:val="center"/>
              <w:rPr>
                <w:rFonts w:cs="Arial"/>
                <w:b/>
                <w:bCs/>
                <w:sz w:val="18"/>
                <w:lang w:val="es-ES"/>
              </w:rPr>
            </w:pPr>
            <w:r w:rsidRPr="00D868AB">
              <w:rPr>
                <w:rFonts w:cs="Arial"/>
                <w:b/>
                <w:bCs/>
                <w:sz w:val="18"/>
                <w:lang w:val="es-ES"/>
              </w:rPr>
              <w:t>Tipo de Crédito</w:t>
            </w:r>
          </w:p>
        </w:tc>
      </w:tr>
      <w:tr w:rsidR="00D868AB" w:rsidRPr="00D868AB" w14:paraId="60D92C3B" w14:textId="77777777" w:rsidTr="00A755A7">
        <w:trPr>
          <w:trHeight w:val="250"/>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F0AE5" w14:textId="77777777" w:rsidR="00D868AB" w:rsidRPr="00D868AB" w:rsidRDefault="00D868AB" w:rsidP="00D868AB">
            <w:pPr>
              <w:ind w:left="-9"/>
              <w:rPr>
                <w:rFonts w:cs="Arial"/>
                <w:sz w:val="18"/>
                <w:lang w:val="es-ES"/>
              </w:rPr>
            </w:pPr>
            <w:r w:rsidRPr="00D868AB">
              <w:rPr>
                <w:rFonts w:cs="Arial"/>
                <w:sz w:val="18"/>
                <w:lang w:val="es-ES"/>
              </w:rPr>
              <w:t>Banobras</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21B2CF" w14:textId="77777777" w:rsidR="00D868AB" w:rsidRPr="00D868AB" w:rsidRDefault="00D868AB" w:rsidP="00D868AB">
            <w:pPr>
              <w:jc w:val="center"/>
              <w:rPr>
                <w:rFonts w:cs="Arial"/>
                <w:sz w:val="18"/>
                <w:lang w:val="es-ES"/>
              </w:rPr>
            </w:pPr>
            <w:r w:rsidRPr="00D868AB">
              <w:rPr>
                <w:rFonts w:cs="Arial"/>
                <w:sz w:val="18"/>
                <w:lang w:val="es-ES"/>
              </w:rPr>
              <w:t>INSUVI</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56AD8" w14:textId="77777777" w:rsidR="00D868AB" w:rsidRPr="00D868AB" w:rsidRDefault="00D868AB" w:rsidP="00D868AB">
            <w:pPr>
              <w:jc w:val="center"/>
              <w:rPr>
                <w:rFonts w:cs="Arial"/>
                <w:sz w:val="18"/>
                <w:lang w:val="es-ES"/>
              </w:rPr>
            </w:pPr>
            <w:r w:rsidRPr="00D868AB">
              <w:rPr>
                <w:rFonts w:cs="Arial"/>
                <w:sz w:val="18"/>
                <w:lang w:val="es-ES"/>
              </w:rPr>
              <w:t>7304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0AA6C" w14:textId="77777777" w:rsidR="00D868AB" w:rsidRPr="00D868AB" w:rsidRDefault="00D868AB" w:rsidP="00D868AB">
            <w:pPr>
              <w:ind w:left="-35"/>
              <w:jc w:val="center"/>
              <w:rPr>
                <w:rFonts w:cs="Arial"/>
                <w:sz w:val="18"/>
                <w:lang w:val="es-ES"/>
              </w:rPr>
            </w:pPr>
            <w:r w:rsidRPr="00D868AB">
              <w:rPr>
                <w:rFonts w:cs="Arial"/>
                <w:sz w:val="18"/>
                <w:lang w:val="es-ES"/>
              </w:rPr>
              <w:t>121/2008</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6D5C9" w14:textId="77777777" w:rsidR="00D868AB" w:rsidRPr="00D868AB" w:rsidRDefault="00D868AB" w:rsidP="00D868AB">
            <w:pPr>
              <w:jc w:val="center"/>
              <w:rPr>
                <w:rFonts w:cs="Arial"/>
                <w:sz w:val="18"/>
                <w:lang w:val="es-ES"/>
              </w:rPr>
            </w:pPr>
            <w:r w:rsidRPr="00D868AB">
              <w:rPr>
                <w:rFonts w:cs="Arial"/>
                <w:sz w:val="18"/>
                <w:lang w:val="es-ES"/>
              </w:rPr>
              <w:t>Refinanciamiento</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847714" w14:textId="77777777" w:rsidR="00D868AB" w:rsidRPr="00D868AB" w:rsidRDefault="00D868AB" w:rsidP="00D868AB">
            <w:pPr>
              <w:ind w:left="-44"/>
              <w:jc w:val="center"/>
              <w:rPr>
                <w:rFonts w:cs="Arial"/>
                <w:sz w:val="18"/>
                <w:lang w:val="es-ES"/>
              </w:rPr>
            </w:pPr>
            <w:r w:rsidRPr="00D868AB">
              <w:rPr>
                <w:rFonts w:cs="Arial"/>
                <w:sz w:val="18"/>
                <w:lang w:val="es-ES"/>
              </w:rPr>
              <w:t>Simple</w:t>
            </w:r>
          </w:p>
        </w:tc>
      </w:tr>
      <w:tr w:rsidR="00D868AB" w:rsidRPr="00D868AB" w14:paraId="132AA9DD" w14:textId="77777777" w:rsidTr="00A755A7">
        <w:trPr>
          <w:trHeight w:val="281"/>
          <w:jc w:val="center"/>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82B7D7" w14:textId="77777777" w:rsidR="00D868AB" w:rsidRPr="00D868AB" w:rsidRDefault="00D868AB" w:rsidP="00D868AB">
            <w:pPr>
              <w:rPr>
                <w:rFonts w:cs="Arial"/>
                <w:sz w:val="18"/>
                <w:lang w:val="es-ES"/>
              </w:rPr>
            </w:pPr>
            <w:r w:rsidRPr="00D868AB">
              <w:rPr>
                <w:rFonts w:cs="Arial"/>
                <w:sz w:val="18"/>
                <w:lang w:val="es-ES"/>
              </w:rPr>
              <w:t>Banorte</w:t>
            </w:r>
          </w:p>
        </w:tc>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375DD" w14:textId="77777777" w:rsidR="00D868AB" w:rsidRPr="00D868AB" w:rsidRDefault="00D868AB" w:rsidP="00D868AB">
            <w:pPr>
              <w:jc w:val="center"/>
              <w:rPr>
                <w:rFonts w:cs="Arial"/>
                <w:sz w:val="18"/>
                <w:lang w:val="es-ES"/>
              </w:rPr>
            </w:pPr>
            <w:r w:rsidRPr="00D868AB">
              <w:rPr>
                <w:rFonts w:cs="Arial"/>
                <w:sz w:val="18"/>
                <w:lang w:val="es-ES"/>
              </w:rPr>
              <w:t>CIAPACOV</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5D996B" w14:textId="77777777" w:rsidR="00D868AB" w:rsidRPr="00D868AB" w:rsidRDefault="00D868AB" w:rsidP="00D868AB">
            <w:pPr>
              <w:jc w:val="center"/>
              <w:rPr>
                <w:rFonts w:cs="Arial"/>
                <w:sz w:val="18"/>
                <w:lang w:val="es-ES"/>
              </w:rPr>
            </w:pPr>
            <w:r w:rsidRPr="00D868AB">
              <w:rPr>
                <w:rFonts w:cs="Arial"/>
                <w:sz w:val="18"/>
                <w:lang w:val="es-ES"/>
              </w:rPr>
              <w:t>31750</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D37A8E" w14:textId="77777777" w:rsidR="00D868AB" w:rsidRPr="00D868AB" w:rsidRDefault="00D868AB" w:rsidP="00D868AB">
            <w:pPr>
              <w:ind w:left="-35"/>
              <w:jc w:val="center"/>
              <w:rPr>
                <w:rFonts w:cs="Arial"/>
                <w:sz w:val="18"/>
                <w:lang w:val="es-ES"/>
              </w:rPr>
            </w:pPr>
            <w:r w:rsidRPr="00D868AB">
              <w:rPr>
                <w:rFonts w:cs="Arial"/>
                <w:sz w:val="18"/>
                <w:lang w:val="es-ES"/>
              </w:rPr>
              <w:t>204/2006</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18DE1" w14:textId="77777777" w:rsidR="00D868AB" w:rsidRPr="00D868AB" w:rsidRDefault="00D868AB" w:rsidP="00D868AB">
            <w:pPr>
              <w:jc w:val="center"/>
              <w:rPr>
                <w:rFonts w:cs="Arial"/>
                <w:sz w:val="18"/>
                <w:lang w:val="es-ES"/>
              </w:rPr>
            </w:pPr>
            <w:r w:rsidRPr="00D868AB">
              <w:rPr>
                <w:rFonts w:cs="Arial"/>
                <w:sz w:val="18"/>
                <w:lang w:val="es-ES"/>
              </w:rPr>
              <w:t>Fuente Pago Alterna</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CA09E" w14:textId="77777777" w:rsidR="00D868AB" w:rsidRPr="00D868AB" w:rsidRDefault="00D868AB" w:rsidP="00D868AB">
            <w:pPr>
              <w:ind w:left="-44"/>
              <w:jc w:val="center"/>
              <w:rPr>
                <w:rFonts w:cs="Arial"/>
                <w:sz w:val="18"/>
                <w:lang w:val="es-ES"/>
              </w:rPr>
            </w:pPr>
            <w:r w:rsidRPr="00D868AB">
              <w:rPr>
                <w:rFonts w:cs="Arial"/>
                <w:sz w:val="18"/>
                <w:lang w:val="es-ES"/>
              </w:rPr>
              <w:t>Contingente</w:t>
            </w:r>
          </w:p>
        </w:tc>
      </w:tr>
    </w:tbl>
    <w:p w14:paraId="66C33C4E" w14:textId="77777777" w:rsidR="00D868AB" w:rsidRPr="00D868AB" w:rsidRDefault="00D868AB" w:rsidP="00D868AB">
      <w:pPr>
        <w:rPr>
          <w:rFonts w:cs="Arial"/>
          <w:lang w:val="es-ES"/>
        </w:rPr>
      </w:pPr>
    </w:p>
    <w:p w14:paraId="6AED5EF0" w14:textId="77777777" w:rsidR="00D868AB" w:rsidRPr="00D868AB" w:rsidRDefault="00D868AB" w:rsidP="00D868AB">
      <w:pPr>
        <w:rPr>
          <w:rFonts w:cs="Arial"/>
          <w:lang w:val="es-ES"/>
        </w:rPr>
      </w:pPr>
    </w:p>
    <w:p w14:paraId="2F601EE4" w14:textId="77777777" w:rsidR="00D868AB" w:rsidRPr="00D868AB" w:rsidRDefault="00D868AB" w:rsidP="00D868AB">
      <w:pPr>
        <w:ind w:left="567" w:hanging="567"/>
        <w:rPr>
          <w:rFonts w:eastAsia="Times New Roman" w:cs="Arial"/>
          <w:lang w:val="es-ES" w:eastAsia="es-ES"/>
        </w:rPr>
      </w:pPr>
      <w:r w:rsidRPr="00D868AB">
        <w:rPr>
          <w:rFonts w:eastAsia="Times New Roman" w:cs="Arial"/>
          <w:lang w:val="es-ES" w:eastAsia="es-ES"/>
        </w:rPr>
        <w:t>VIII.</w:t>
      </w:r>
      <w:r w:rsidRPr="00D868AB">
        <w:rPr>
          <w:rFonts w:eastAsia="Times New Roman" w:cs="Arial"/>
          <w:lang w:val="es-ES" w:eastAsia="es-ES"/>
        </w:rPr>
        <w:tab/>
        <w:t>Las erogaciones previstas para Deuda Pública, de acuerdo a la Clasificación por Objeto del Gasto, es la siguiente:</w:t>
      </w:r>
    </w:p>
    <w:p w14:paraId="158DD47E" w14:textId="77777777" w:rsidR="00D868AB" w:rsidRPr="00D868AB" w:rsidRDefault="00D868AB" w:rsidP="00D868AB">
      <w:pPr>
        <w:keepNext/>
        <w:keepLines/>
        <w:outlineLvl w:val="2"/>
        <w:rPr>
          <w:rFonts w:eastAsia="Times New Roman" w:cs="Times New Roman"/>
          <w:b/>
          <w:szCs w:val="24"/>
          <w:lang w:val="es-ES" w:eastAsia="en-US"/>
        </w:rPr>
      </w:pPr>
    </w:p>
    <w:tbl>
      <w:tblPr>
        <w:tblW w:w="9396" w:type="dxa"/>
        <w:jc w:val="center"/>
        <w:tblCellMar>
          <w:left w:w="70" w:type="dxa"/>
          <w:right w:w="70" w:type="dxa"/>
        </w:tblCellMar>
        <w:tblLook w:val="04A0" w:firstRow="1" w:lastRow="0" w:firstColumn="1" w:lastColumn="0" w:noHBand="0" w:noVBand="1"/>
      </w:tblPr>
      <w:tblGrid>
        <w:gridCol w:w="638"/>
        <w:gridCol w:w="3473"/>
        <w:gridCol w:w="1031"/>
        <w:gridCol w:w="1031"/>
        <w:gridCol w:w="1031"/>
        <w:gridCol w:w="1031"/>
        <w:gridCol w:w="1161"/>
      </w:tblGrid>
      <w:tr w:rsidR="00D868AB" w:rsidRPr="00D868AB" w14:paraId="73AC9C7F" w14:textId="77777777" w:rsidTr="00A755A7">
        <w:trPr>
          <w:trHeight w:val="20"/>
          <w:tblHeader/>
          <w:jc w:val="center"/>
        </w:trPr>
        <w:tc>
          <w:tcPr>
            <w:tcW w:w="9396" w:type="dxa"/>
            <w:gridSpan w:val="7"/>
            <w:tcBorders>
              <w:bottom w:val="single" w:sz="4" w:space="0" w:color="auto"/>
            </w:tcBorders>
            <w:shd w:val="clear" w:color="auto" w:fill="auto"/>
            <w:noWrap/>
            <w:vAlign w:val="center"/>
          </w:tcPr>
          <w:p w14:paraId="7D1D9A12"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sz w:val="20"/>
                <w:lang w:val="es-ES"/>
              </w:rPr>
              <w:t xml:space="preserve">Tabla 46. Erogaciones Previstas para Deuda Pública </w:t>
            </w:r>
            <w:r w:rsidRPr="00D868AB">
              <w:rPr>
                <w:rFonts w:eastAsia="Times New Roman" w:cs="Arial"/>
                <w:b/>
                <w:sz w:val="20"/>
                <w:lang w:val="es-ES"/>
              </w:rPr>
              <w:br/>
            </w:r>
            <w:r w:rsidRPr="00D868AB">
              <w:rPr>
                <w:rFonts w:eastAsia="Times New Roman" w:cs="Arial"/>
                <w:b/>
                <w:sz w:val="18"/>
                <w:lang w:val="es-ES"/>
              </w:rPr>
              <w:t>(Clasificación por Objeto del Gasto)</w:t>
            </w:r>
          </w:p>
        </w:tc>
      </w:tr>
      <w:tr w:rsidR="00D868AB" w:rsidRPr="00D868AB" w14:paraId="6EE65F3B" w14:textId="77777777" w:rsidTr="00A755A7">
        <w:trPr>
          <w:trHeight w:val="20"/>
          <w:tblHeader/>
          <w:jc w:val="center"/>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CACFF"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Clave</w:t>
            </w:r>
          </w:p>
        </w:tc>
        <w:tc>
          <w:tcPr>
            <w:tcW w:w="3473" w:type="dxa"/>
            <w:tcBorders>
              <w:top w:val="single" w:sz="4" w:space="0" w:color="auto"/>
              <w:left w:val="nil"/>
              <w:bottom w:val="single" w:sz="4" w:space="0" w:color="auto"/>
              <w:right w:val="single" w:sz="4" w:space="0" w:color="auto"/>
            </w:tcBorders>
            <w:shd w:val="clear" w:color="auto" w:fill="auto"/>
            <w:vAlign w:val="center"/>
            <w:hideMark/>
          </w:tcPr>
          <w:p w14:paraId="5B858C06"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Descripción</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D59B6C5"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Primer Trimestre</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5C56F51"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Segundo Trimestre</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624C68C4"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Tercer Trimestre</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285C0816"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Cuarto Trimestre</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6DAF0882"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Asignación Presupuestal</w:t>
            </w:r>
          </w:p>
        </w:tc>
      </w:tr>
      <w:tr w:rsidR="00D868AB" w:rsidRPr="00D868AB" w14:paraId="65E724DF"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6E04BF4"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90000</w:t>
            </w:r>
          </w:p>
        </w:tc>
        <w:tc>
          <w:tcPr>
            <w:tcW w:w="3473" w:type="dxa"/>
            <w:tcBorders>
              <w:top w:val="nil"/>
              <w:left w:val="nil"/>
              <w:bottom w:val="single" w:sz="4" w:space="0" w:color="auto"/>
              <w:right w:val="single" w:sz="4" w:space="0" w:color="auto"/>
            </w:tcBorders>
            <w:shd w:val="clear" w:color="auto" w:fill="auto"/>
            <w:noWrap/>
            <w:vAlign w:val="center"/>
            <w:hideMark/>
          </w:tcPr>
          <w:p w14:paraId="35CE8A4F" w14:textId="77777777" w:rsidR="00D868AB" w:rsidRPr="00D868AB" w:rsidRDefault="00D868AB" w:rsidP="00D868AB">
            <w:pPr>
              <w:jc w:val="left"/>
              <w:rPr>
                <w:rFonts w:eastAsia="Times New Roman" w:cs="Arial"/>
                <w:b/>
                <w:bCs/>
                <w:color w:val="000000"/>
                <w:sz w:val="16"/>
                <w:szCs w:val="16"/>
              </w:rPr>
            </w:pPr>
            <w:r w:rsidRPr="00D868AB">
              <w:rPr>
                <w:rFonts w:eastAsia="Times New Roman" w:cs="Arial"/>
                <w:b/>
                <w:bCs/>
                <w:color w:val="000000"/>
                <w:sz w:val="16"/>
                <w:szCs w:val="16"/>
              </w:rPr>
              <w:t>DEUDA PÚBLICA.</w:t>
            </w:r>
          </w:p>
        </w:tc>
        <w:tc>
          <w:tcPr>
            <w:tcW w:w="1031" w:type="dxa"/>
            <w:tcBorders>
              <w:top w:val="nil"/>
              <w:left w:val="nil"/>
              <w:bottom w:val="single" w:sz="4" w:space="0" w:color="auto"/>
              <w:right w:val="single" w:sz="4" w:space="0" w:color="auto"/>
            </w:tcBorders>
            <w:shd w:val="clear" w:color="auto" w:fill="auto"/>
            <w:noWrap/>
            <w:vAlign w:val="center"/>
            <w:hideMark/>
          </w:tcPr>
          <w:p w14:paraId="4F9CDB28"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253,362,821</w:t>
            </w:r>
          </w:p>
        </w:tc>
        <w:tc>
          <w:tcPr>
            <w:tcW w:w="1031" w:type="dxa"/>
            <w:tcBorders>
              <w:top w:val="nil"/>
              <w:left w:val="nil"/>
              <w:bottom w:val="single" w:sz="4" w:space="0" w:color="auto"/>
              <w:right w:val="single" w:sz="4" w:space="0" w:color="auto"/>
            </w:tcBorders>
            <w:shd w:val="clear" w:color="auto" w:fill="auto"/>
            <w:noWrap/>
            <w:vAlign w:val="center"/>
            <w:hideMark/>
          </w:tcPr>
          <w:p w14:paraId="4F905AEE"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250,050,021</w:t>
            </w:r>
          </w:p>
        </w:tc>
        <w:tc>
          <w:tcPr>
            <w:tcW w:w="1031" w:type="dxa"/>
            <w:tcBorders>
              <w:top w:val="nil"/>
              <w:left w:val="nil"/>
              <w:bottom w:val="single" w:sz="4" w:space="0" w:color="auto"/>
              <w:right w:val="single" w:sz="4" w:space="0" w:color="auto"/>
            </w:tcBorders>
            <w:shd w:val="clear" w:color="auto" w:fill="auto"/>
            <w:noWrap/>
            <w:vAlign w:val="center"/>
            <w:hideMark/>
          </w:tcPr>
          <w:p w14:paraId="6FFD4EA6"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203,510,098</w:t>
            </w:r>
          </w:p>
        </w:tc>
        <w:tc>
          <w:tcPr>
            <w:tcW w:w="1031" w:type="dxa"/>
            <w:tcBorders>
              <w:top w:val="nil"/>
              <w:left w:val="nil"/>
              <w:bottom w:val="single" w:sz="4" w:space="0" w:color="auto"/>
              <w:right w:val="single" w:sz="4" w:space="0" w:color="auto"/>
            </w:tcBorders>
            <w:shd w:val="clear" w:color="auto" w:fill="auto"/>
            <w:noWrap/>
            <w:vAlign w:val="center"/>
            <w:hideMark/>
          </w:tcPr>
          <w:p w14:paraId="63BF2F9D"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180,324,493</w:t>
            </w:r>
          </w:p>
        </w:tc>
        <w:tc>
          <w:tcPr>
            <w:tcW w:w="1161" w:type="dxa"/>
            <w:tcBorders>
              <w:top w:val="nil"/>
              <w:left w:val="nil"/>
              <w:bottom w:val="single" w:sz="4" w:space="0" w:color="auto"/>
              <w:right w:val="single" w:sz="4" w:space="0" w:color="auto"/>
            </w:tcBorders>
            <w:shd w:val="clear" w:color="auto" w:fill="auto"/>
            <w:noWrap/>
            <w:vAlign w:val="center"/>
            <w:hideMark/>
          </w:tcPr>
          <w:p w14:paraId="389276DF"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887,247,433</w:t>
            </w:r>
          </w:p>
        </w:tc>
      </w:tr>
      <w:tr w:rsidR="00D868AB" w:rsidRPr="00D868AB" w14:paraId="1F65DC12"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F7E735F"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91000</w:t>
            </w:r>
          </w:p>
        </w:tc>
        <w:tc>
          <w:tcPr>
            <w:tcW w:w="3473" w:type="dxa"/>
            <w:tcBorders>
              <w:top w:val="nil"/>
              <w:left w:val="nil"/>
              <w:bottom w:val="single" w:sz="4" w:space="0" w:color="auto"/>
              <w:right w:val="single" w:sz="4" w:space="0" w:color="auto"/>
            </w:tcBorders>
            <w:shd w:val="clear" w:color="auto" w:fill="auto"/>
            <w:noWrap/>
            <w:vAlign w:val="center"/>
            <w:hideMark/>
          </w:tcPr>
          <w:p w14:paraId="611D0716" w14:textId="77777777" w:rsidR="00D868AB" w:rsidRPr="00D868AB" w:rsidRDefault="00D868AB" w:rsidP="00D868AB">
            <w:pPr>
              <w:jc w:val="left"/>
              <w:rPr>
                <w:rFonts w:eastAsia="Times New Roman" w:cs="Arial"/>
                <w:b/>
                <w:bCs/>
                <w:color w:val="000000"/>
                <w:sz w:val="16"/>
                <w:szCs w:val="16"/>
              </w:rPr>
            </w:pPr>
            <w:r w:rsidRPr="00D868AB">
              <w:rPr>
                <w:rFonts w:eastAsia="Times New Roman" w:cs="Arial"/>
                <w:b/>
                <w:bCs/>
                <w:color w:val="000000"/>
                <w:sz w:val="16"/>
                <w:szCs w:val="16"/>
              </w:rPr>
              <w:t>AMORTIZACIÓN DE LA DEUDA PÚBLICA.</w:t>
            </w:r>
          </w:p>
        </w:tc>
        <w:tc>
          <w:tcPr>
            <w:tcW w:w="1031" w:type="dxa"/>
            <w:tcBorders>
              <w:top w:val="nil"/>
              <w:left w:val="nil"/>
              <w:bottom w:val="single" w:sz="4" w:space="0" w:color="auto"/>
              <w:right w:val="single" w:sz="4" w:space="0" w:color="auto"/>
            </w:tcBorders>
            <w:shd w:val="clear" w:color="auto" w:fill="auto"/>
            <w:noWrap/>
            <w:vAlign w:val="center"/>
            <w:hideMark/>
          </w:tcPr>
          <w:p w14:paraId="31A5AF55"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108,241,071</w:t>
            </w:r>
          </w:p>
        </w:tc>
        <w:tc>
          <w:tcPr>
            <w:tcW w:w="1031" w:type="dxa"/>
            <w:tcBorders>
              <w:top w:val="nil"/>
              <w:left w:val="nil"/>
              <w:bottom w:val="single" w:sz="4" w:space="0" w:color="auto"/>
              <w:right w:val="single" w:sz="4" w:space="0" w:color="auto"/>
            </w:tcBorders>
            <w:shd w:val="clear" w:color="auto" w:fill="auto"/>
            <w:noWrap/>
            <w:vAlign w:val="center"/>
            <w:hideMark/>
          </w:tcPr>
          <w:p w14:paraId="3C442FA3"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100,636,853</w:t>
            </w:r>
          </w:p>
        </w:tc>
        <w:tc>
          <w:tcPr>
            <w:tcW w:w="1031" w:type="dxa"/>
            <w:tcBorders>
              <w:top w:val="nil"/>
              <w:left w:val="nil"/>
              <w:bottom w:val="single" w:sz="4" w:space="0" w:color="auto"/>
              <w:right w:val="single" w:sz="4" w:space="0" w:color="auto"/>
            </w:tcBorders>
            <w:shd w:val="clear" w:color="auto" w:fill="auto"/>
            <w:noWrap/>
            <w:vAlign w:val="center"/>
            <w:hideMark/>
          </w:tcPr>
          <w:p w14:paraId="1EE45F4D"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58,045,339</w:t>
            </w:r>
          </w:p>
        </w:tc>
        <w:tc>
          <w:tcPr>
            <w:tcW w:w="1031" w:type="dxa"/>
            <w:tcBorders>
              <w:top w:val="nil"/>
              <w:left w:val="nil"/>
              <w:bottom w:val="single" w:sz="4" w:space="0" w:color="auto"/>
              <w:right w:val="single" w:sz="4" w:space="0" w:color="auto"/>
            </w:tcBorders>
            <w:shd w:val="clear" w:color="auto" w:fill="auto"/>
            <w:noWrap/>
            <w:vAlign w:val="center"/>
            <w:hideMark/>
          </w:tcPr>
          <w:p w14:paraId="3A28D3B5"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37,143,654</w:t>
            </w:r>
          </w:p>
        </w:tc>
        <w:tc>
          <w:tcPr>
            <w:tcW w:w="1161" w:type="dxa"/>
            <w:tcBorders>
              <w:top w:val="nil"/>
              <w:left w:val="nil"/>
              <w:bottom w:val="single" w:sz="4" w:space="0" w:color="auto"/>
              <w:right w:val="single" w:sz="4" w:space="0" w:color="auto"/>
            </w:tcBorders>
            <w:shd w:val="clear" w:color="auto" w:fill="auto"/>
            <w:noWrap/>
            <w:vAlign w:val="center"/>
            <w:hideMark/>
          </w:tcPr>
          <w:p w14:paraId="4B4E8C36"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304,066,917</w:t>
            </w:r>
          </w:p>
        </w:tc>
      </w:tr>
      <w:tr w:rsidR="00D868AB" w:rsidRPr="00D868AB" w14:paraId="39DBBD95"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1B859F6"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91100</w:t>
            </w:r>
          </w:p>
        </w:tc>
        <w:tc>
          <w:tcPr>
            <w:tcW w:w="3473" w:type="dxa"/>
            <w:tcBorders>
              <w:top w:val="nil"/>
              <w:left w:val="nil"/>
              <w:bottom w:val="single" w:sz="4" w:space="0" w:color="auto"/>
              <w:right w:val="single" w:sz="4" w:space="0" w:color="auto"/>
            </w:tcBorders>
            <w:shd w:val="clear" w:color="auto" w:fill="auto"/>
            <w:noWrap/>
            <w:vAlign w:val="center"/>
            <w:hideMark/>
          </w:tcPr>
          <w:p w14:paraId="385FE76B" w14:textId="77777777" w:rsidR="00D868AB" w:rsidRPr="00D868AB" w:rsidRDefault="00D868AB" w:rsidP="00D868AB">
            <w:pPr>
              <w:jc w:val="left"/>
              <w:rPr>
                <w:rFonts w:eastAsia="Times New Roman" w:cs="Arial"/>
                <w:b/>
                <w:bCs/>
                <w:color w:val="000000"/>
                <w:sz w:val="16"/>
                <w:szCs w:val="16"/>
              </w:rPr>
            </w:pPr>
            <w:r w:rsidRPr="00D868AB">
              <w:rPr>
                <w:rFonts w:eastAsia="Times New Roman" w:cs="Arial"/>
                <w:b/>
                <w:bCs/>
                <w:color w:val="000000"/>
                <w:sz w:val="16"/>
                <w:szCs w:val="16"/>
              </w:rPr>
              <w:t>Amortización de la deuda interna con instituciones de crédito.</w:t>
            </w:r>
          </w:p>
        </w:tc>
        <w:tc>
          <w:tcPr>
            <w:tcW w:w="1031" w:type="dxa"/>
            <w:tcBorders>
              <w:top w:val="nil"/>
              <w:left w:val="nil"/>
              <w:bottom w:val="single" w:sz="4" w:space="0" w:color="auto"/>
              <w:right w:val="single" w:sz="4" w:space="0" w:color="auto"/>
            </w:tcBorders>
            <w:shd w:val="clear" w:color="auto" w:fill="auto"/>
            <w:noWrap/>
            <w:vAlign w:val="center"/>
            <w:hideMark/>
          </w:tcPr>
          <w:p w14:paraId="523DBE6D"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108,241,071</w:t>
            </w:r>
          </w:p>
        </w:tc>
        <w:tc>
          <w:tcPr>
            <w:tcW w:w="1031" w:type="dxa"/>
            <w:tcBorders>
              <w:top w:val="nil"/>
              <w:left w:val="nil"/>
              <w:bottom w:val="single" w:sz="4" w:space="0" w:color="auto"/>
              <w:right w:val="single" w:sz="4" w:space="0" w:color="auto"/>
            </w:tcBorders>
            <w:shd w:val="clear" w:color="auto" w:fill="auto"/>
            <w:noWrap/>
            <w:vAlign w:val="center"/>
            <w:hideMark/>
          </w:tcPr>
          <w:p w14:paraId="25BF2B2C"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100,636,853</w:t>
            </w:r>
          </w:p>
        </w:tc>
        <w:tc>
          <w:tcPr>
            <w:tcW w:w="1031" w:type="dxa"/>
            <w:tcBorders>
              <w:top w:val="nil"/>
              <w:left w:val="nil"/>
              <w:bottom w:val="single" w:sz="4" w:space="0" w:color="auto"/>
              <w:right w:val="single" w:sz="4" w:space="0" w:color="auto"/>
            </w:tcBorders>
            <w:shd w:val="clear" w:color="auto" w:fill="auto"/>
            <w:noWrap/>
            <w:vAlign w:val="center"/>
            <w:hideMark/>
          </w:tcPr>
          <w:p w14:paraId="31E80D14"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58,045,339</w:t>
            </w:r>
          </w:p>
        </w:tc>
        <w:tc>
          <w:tcPr>
            <w:tcW w:w="1031" w:type="dxa"/>
            <w:tcBorders>
              <w:top w:val="nil"/>
              <w:left w:val="nil"/>
              <w:bottom w:val="single" w:sz="4" w:space="0" w:color="auto"/>
              <w:right w:val="single" w:sz="4" w:space="0" w:color="auto"/>
            </w:tcBorders>
            <w:shd w:val="clear" w:color="auto" w:fill="auto"/>
            <w:noWrap/>
            <w:vAlign w:val="center"/>
            <w:hideMark/>
          </w:tcPr>
          <w:p w14:paraId="2E4A86CB"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37,143,654</w:t>
            </w:r>
          </w:p>
        </w:tc>
        <w:tc>
          <w:tcPr>
            <w:tcW w:w="1161" w:type="dxa"/>
            <w:tcBorders>
              <w:top w:val="nil"/>
              <w:left w:val="nil"/>
              <w:bottom w:val="single" w:sz="4" w:space="0" w:color="auto"/>
              <w:right w:val="single" w:sz="4" w:space="0" w:color="auto"/>
            </w:tcBorders>
            <w:shd w:val="clear" w:color="auto" w:fill="auto"/>
            <w:noWrap/>
            <w:vAlign w:val="center"/>
            <w:hideMark/>
          </w:tcPr>
          <w:p w14:paraId="7C21DB01"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304,066,917</w:t>
            </w:r>
          </w:p>
        </w:tc>
      </w:tr>
      <w:tr w:rsidR="00D868AB" w:rsidRPr="00D868AB" w14:paraId="25C6B2D5"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E04DFA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91101</w:t>
            </w:r>
          </w:p>
        </w:tc>
        <w:tc>
          <w:tcPr>
            <w:tcW w:w="3473" w:type="dxa"/>
            <w:tcBorders>
              <w:top w:val="nil"/>
              <w:left w:val="nil"/>
              <w:bottom w:val="single" w:sz="4" w:space="0" w:color="auto"/>
              <w:right w:val="single" w:sz="4" w:space="0" w:color="auto"/>
            </w:tcBorders>
            <w:shd w:val="clear" w:color="auto" w:fill="auto"/>
            <w:noWrap/>
            <w:vAlign w:val="center"/>
            <w:hideMark/>
          </w:tcPr>
          <w:p w14:paraId="5C052AC3"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Financiamiento Banobras 7225,7226.</w:t>
            </w:r>
          </w:p>
        </w:tc>
        <w:tc>
          <w:tcPr>
            <w:tcW w:w="1031" w:type="dxa"/>
            <w:tcBorders>
              <w:top w:val="nil"/>
              <w:left w:val="nil"/>
              <w:bottom w:val="single" w:sz="4" w:space="0" w:color="auto"/>
              <w:right w:val="single" w:sz="4" w:space="0" w:color="auto"/>
            </w:tcBorders>
            <w:shd w:val="clear" w:color="auto" w:fill="auto"/>
            <w:noWrap/>
            <w:vAlign w:val="center"/>
            <w:hideMark/>
          </w:tcPr>
          <w:p w14:paraId="4D4668E9"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5,166,225</w:t>
            </w:r>
          </w:p>
        </w:tc>
        <w:tc>
          <w:tcPr>
            <w:tcW w:w="1031" w:type="dxa"/>
            <w:tcBorders>
              <w:top w:val="nil"/>
              <w:left w:val="nil"/>
              <w:bottom w:val="single" w:sz="4" w:space="0" w:color="auto"/>
              <w:right w:val="single" w:sz="4" w:space="0" w:color="auto"/>
            </w:tcBorders>
            <w:shd w:val="clear" w:color="auto" w:fill="auto"/>
            <w:noWrap/>
            <w:vAlign w:val="center"/>
            <w:hideMark/>
          </w:tcPr>
          <w:p w14:paraId="213385F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5,273,087</w:t>
            </w:r>
          </w:p>
        </w:tc>
        <w:tc>
          <w:tcPr>
            <w:tcW w:w="1031" w:type="dxa"/>
            <w:tcBorders>
              <w:top w:val="nil"/>
              <w:left w:val="nil"/>
              <w:bottom w:val="single" w:sz="4" w:space="0" w:color="auto"/>
              <w:right w:val="single" w:sz="4" w:space="0" w:color="auto"/>
            </w:tcBorders>
            <w:shd w:val="clear" w:color="auto" w:fill="auto"/>
            <w:noWrap/>
            <w:vAlign w:val="center"/>
            <w:hideMark/>
          </w:tcPr>
          <w:p w14:paraId="50A72DF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5,382,159</w:t>
            </w:r>
          </w:p>
        </w:tc>
        <w:tc>
          <w:tcPr>
            <w:tcW w:w="1031" w:type="dxa"/>
            <w:tcBorders>
              <w:top w:val="nil"/>
              <w:left w:val="nil"/>
              <w:bottom w:val="single" w:sz="4" w:space="0" w:color="auto"/>
              <w:right w:val="single" w:sz="4" w:space="0" w:color="auto"/>
            </w:tcBorders>
            <w:shd w:val="clear" w:color="auto" w:fill="auto"/>
            <w:noWrap/>
            <w:vAlign w:val="center"/>
            <w:hideMark/>
          </w:tcPr>
          <w:p w14:paraId="389B69B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5,493,488</w:t>
            </w:r>
          </w:p>
        </w:tc>
        <w:tc>
          <w:tcPr>
            <w:tcW w:w="1161" w:type="dxa"/>
            <w:tcBorders>
              <w:top w:val="nil"/>
              <w:left w:val="nil"/>
              <w:bottom w:val="single" w:sz="4" w:space="0" w:color="auto"/>
              <w:right w:val="single" w:sz="4" w:space="0" w:color="auto"/>
            </w:tcBorders>
            <w:shd w:val="clear" w:color="auto" w:fill="auto"/>
            <w:noWrap/>
            <w:vAlign w:val="center"/>
            <w:hideMark/>
          </w:tcPr>
          <w:p w14:paraId="3D349862"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21,314,959</w:t>
            </w:r>
          </w:p>
        </w:tc>
      </w:tr>
      <w:tr w:rsidR="00D868AB" w:rsidRPr="00D868AB" w14:paraId="43C7B9EA"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2C756F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91102</w:t>
            </w:r>
          </w:p>
        </w:tc>
        <w:tc>
          <w:tcPr>
            <w:tcW w:w="3473" w:type="dxa"/>
            <w:tcBorders>
              <w:top w:val="nil"/>
              <w:left w:val="nil"/>
              <w:bottom w:val="single" w:sz="4" w:space="0" w:color="auto"/>
              <w:right w:val="single" w:sz="4" w:space="0" w:color="auto"/>
            </w:tcBorders>
            <w:shd w:val="clear" w:color="auto" w:fill="auto"/>
            <w:noWrap/>
            <w:vAlign w:val="center"/>
            <w:hideMark/>
          </w:tcPr>
          <w:p w14:paraId="445F32EB"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Financiamiento Banobras 7271,7272.</w:t>
            </w:r>
          </w:p>
        </w:tc>
        <w:tc>
          <w:tcPr>
            <w:tcW w:w="1031" w:type="dxa"/>
            <w:tcBorders>
              <w:top w:val="nil"/>
              <w:left w:val="nil"/>
              <w:bottom w:val="single" w:sz="4" w:space="0" w:color="auto"/>
              <w:right w:val="single" w:sz="4" w:space="0" w:color="auto"/>
            </w:tcBorders>
            <w:shd w:val="clear" w:color="auto" w:fill="auto"/>
            <w:noWrap/>
            <w:vAlign w:val="center"/>
            <w:hideMark/>
          </w:tcPr>
          <w:p w14:paraId="1331334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2,292,198</w:t>
            </w:r>
          </w:p>
        </w:tc>
        <w:tc>
          <w:tcPr>
            <w:tcW w:w="1031" w:type="dxa"/>
            <w:tcBorders>
              <w:top w:val="nil"/>
              <w:left w:val="nil"/>
              <w:bottom w:val="single" w:sz="4" w:space="0" w:color="auto"/>
              <w:right w:val="single" w:sz="4" w:space="0" w:color="auto"/>
            </w:tcBorders>
            <w:shd w:val="clear" w:color="auto" w:fill="auto"/>
            <w:noWrap/>
            <w:vAlign w:val="center"/>
            <w:hideMark/>
          </w:tcPr>
          <w:p w14:paraId="6188A5F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2,348,875</w:t>
            </w:r>
          </w:p>
        </w:tc>
        <w:tc>
          <w:tcPr>
            <w:tcW w:w="1031" w:type="dxa"/>
            <w:tcBorders>
              <w:top w:val="nil"/>
              <w:left w:val="nil"/>
              <w:bottom w:val="single" w:sz="4" w:space="0" w:color="auto"/>
              <w:right w:val="single" w:sz="4" w:space="0" w:color="auto"/>
            </w:tcBorders>
            <w:shd w:val="clear" w:color="auto" w:fill="auto"/>
            <w:noWrap/>
            <w:vAlign w:val="center"/>
            <w:hideMark/>
          </w:tcPr>
          <w:p w14:paraId="52550FDC"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2,406,954</w:t>
            </w:r>
          </w:p>
        </w:tc>
        <w:tc>
          <w:tcPr>
            <w:tcW w:w="1031" w:type="dxa"/>
            <w:tcBorders>
              <w:top w:val="nil"/>
              <w:left w:val="nil"/>
              <w:bottom w:val="single" w:sz="4" w:space="0" w:color="auto"/>
              <w:right w:val="single" w:sz="4" w:space="0" w:color="auto"/>
            </w:tcBorders>
            <w:shd w:val="clear" w:color="auto" w:fill="auto"/>
            <w:noWrap/>
            <w:vAlign w:val="center"/>
            <w:hideMark/>
          </w:tcPr>
          <w:p w14:paraId="244E5E2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2,466,468</w:t>
            </w:r>
          </w:p>
        </w:tc>
        <w:tc>
          <w:tcPr>
            <w:tcW w:w="1161" w:type="dxa"/>
            <w:tcBorders>
              <w:top w:val="nil"/>
              <w:left w:val="nil"/>
              <w:bottom w:val="single" w:sz="4" w:space="0" w:color="auto"/>
              <w:right w:val="single" w:sz="4" w:space="0" w:color="auto"/>
            </w:tcBorders>
            <w:shd w:val="clear" w:color="auto" w:fill="auto"/>
            <w:noWrap/>
            <w:vAlign w:val="center"/>
            <w:hideMark/>
          </w:tcPr>
          <w:p w14:paraId="6D7F32AB"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9,514,495</w:t>
            </w:r>
          </w:p>
        </w:tc>
      </w:tr>
      <w:tr w:rsidR="00D868AB" w:rsidRPr="00D868AB" w14:paraId="2DCF34A4"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034202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91104</w:t>
            </w:r>
          </w:p>
        </w:tc>
        <w:tc>
          <w:tcPr>
            <w:tcW w:w="3473" w:type="dxa"/>
            <w:tcBorders>
              <w:top w:val="nil"/>
              <w:left w:val="nil"/>
              <w:bottom w:val="single" w:sz="4" w:space="0" w:color="auto"/>
              <w:right w:val="single" w:sz="4" w:space="0" w:color="auto"/>
            </w:tcBorders>
            <w:shd w:val="clear" w:color="auto" w:fill="auto"/>
            <w:noWrap/>
            <w:vAlign w:val="center"/>
            <w:hideMark/>
          </w:tcPr>
          <w:p w14:paraId="4AC218FC"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Financiamiento LP 84108927.</w:t>
            </w:r>
          </w:p>
        </w:tc>
        <w:tc>
          <w:tcPr>
            <w:tcW w:w="1031" w:type="dxa"/>
            <w:tcBorders>
              <w:top w:val="nil"/>
              <w:left w:val="nil"/>
              <w:bottom w:val="single" w:sz="4" w:space="0" w:color="auto"/>
              <w:right w:val="single" w:sz="4" w:space="0" w:color="auto"/>
            </w:tcBorders>
            <w:shd w:val="clear" w:color="auto" w:fill="auto"/>
            <w:noWrap/>
            <w:vAlign w:val="center"/>
            <w:hideMark/>
          </w:tcPr>
          <w:p w14:paraId="13456AD2"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1,925,350</w:t>
            </w:r>
          </w:p>
        </w:tc>
        <w:tc>
          <w:tcPr>
            <w:tcW w:w="1031" w:type="dxa"/>
            <w:tcBorders>
              <w:top w:val="nil"/>
              <w:left w:val="nil"/>
              <w:bottom w:val="single" w:sz="4" w:space="0" w:color="auto"/>
              <w:right w:val="single" w:sz="4" w:space="0" w:color="auto"/>
            </w:tcBorders>
            <w:shd w:val="clear" w:color="auto" w:fill="auto"/>
            <w:noWrap/>
            <w:vAlign w:val="center"/>
            <w:hideMark/>
          </w:tcPr>
          <w:p w14:paraId="691FA3A6"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1,983,650</w:t>
            </w:r>
          </w:p>
        </w:tc>
        <w:tc>
          <w:tcPr>
            <w:tcW w:w="1031" w:type="dxa"/>
            <w:tcBorders>
              <w:top w:val="nil"/>
              <w:left w:val="nil"/>
              <w:bottom w:val="single" w:sz="4" w:space="0" w:color="auto"/>
              <w:right w:val="single" w:sz="4" w:space="0" w:color="auto"/>
            </w:tcBorders>
            <w:shd w:val="clear" w:color="auto" w:fill="auto"/>
            <w:noWrap/>
            <w:vAlign w:val="center"/>
            <w:hideMark/>
          </w:tcPr>
          <w:p w14:paraId="7DD5FB5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2,043,800</w:t>
            </w:r>
          </w:p>
        </w:tc>
        <w:tc>
          <w:tcPr>
            <w:tcW w:w="1031" w:type="dxa"/>
            <w:tcBorders>
              <w:top w:val="nil"/>
              <w:left w:val="nil"/>
              <w:bottom w:val="single" w:sz="4" w:space="0" w:color="auto"/>
              <w:right w:val="single" w:sz="4" w:space="0" w:color="auto"/>
            </w:tcBorders>
            <w:shd w:val="clear" w:color="auto" w:fill="auto"/>
            <w:noWrap/>
            <w:vAlign w:val="center"/>
            <w:hideMark/>
          </w:tcPr>
          <w:p w14:paraId="1517D887"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2,105,750</w:t>
            </w:r>
          </w:p>
        </w:tc>
        <w:tc>
          <w:tcPr>
            <w:tcW w:w="1161" w:type="dxa"/>
            <w:tcBorders>
              <w:top w:val="nil"/>
              <w:left w:val="nil"/>
              <w:bottom w:val="single" w:sz="4" w:space="0" w:color="auto"/>
              <w:right w:val="single" w:sz="4" w:space="0" w:color="auto"/>
            </w:tcBorders>
            <w:shd w:val="clear" w:color="auto" w:fill="auto"/>
            <w:noWrap/>
            <w:vAlign w:val="center"/>
            <w:hideMark/>
          </w:tcPr>
          <w:p w14:paraId="4EDA7534"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8,058,550</w:t>
            </w:r>
          </w:p>
        </w:tc>
      </w:tr>
      <w:tr w:rsidR="00D868AB" w:rsidRPr="00D868AB" w14:paraId="31CDF075"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1234EE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91106</w:t>
            </w:r>
          </w:p>
        </w:tc>
        <w:tc>
          <w:tcPr>
            <w:tcW w:w="3473" w:type="dxa"/>
            <w:tcBorders>
              <w:top w:val="nil"/>
              <w:left w:val="nil"/>
              <w:bottom w:val="single" w:sz="4" w:space="0" w:color="auto"/>
              <w:right w:val="single" w:sz="4" w:space="0" w:color="auto"/>
            </w:tcBorders>
            <w:shd w:val="clear" w:color="auto" w:fill="auto"/>
            <w:noWrap/>
            <w:vAlign w:val="center"/>
            <w:hideMark/>
          </w:tcPr>
          <w:p w14:paraId="42958BF1"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Financiamiento LP 315037.</w:t>
            </w:r>
          </w:p>
        </w:tc>
        <w:tc>
          <w:tcPr>
            <w:tcW w:w="1031" w:type="dxa"/>
            <w:tcBorders>
              <w:top w:val="nil"/>
              <w:left w:val="nil"/>
              <w:bottom w:val="single" w:sz="4" w:space="0" w:color="auto"/>
              <w:right w:val="single" w:sz="4" w:space="0" w:color="auto"/>
            </w:tcBorders>
            <w:shd w:val="clear" w:color="auto" w:fill="auto"/>
            <w:noWrap/>
            <w:vAlign w:val="center"/>
            <w:hideMark/>
          </w:tcPr>
          <w:p w14:paraId="7E26689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915,000</w:t>
            </w:r>
          </w:p>
        </w:tc>
        <w:tc>
          <w:tcPr>
            <w:tcW w:w="1031" w:type="dxa"/>
            <w:tcBorders>
              <w:top w:val="nil"/>
              <w:left w:val="nil"/>
              <w:bottom w:val="single" w:sz="4" w:space="0" w:color="auto"/>
              <w:right w:val="single" w:sz="4" w:space="0" w:color="auto"/>
            </w:tcBorders>
            <w:shd w:val="clear" w:color="auto" w:fill="auto"/>
            <w:noWrap/>
            <w:vAlign w:val="center"/>
            <w:hideMark/>
          </w:tcPr>
          <w:p w14:paraId="2287CF43"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942,744</w:t>
            </w:r>
          </w:p>
        </w:tc>
        <w:tc>
          <w:tcPr>
            <w:tcW w:w="1031" w:type="dxa"/>
            <w:tcBorders>
              <w:top w:val="nil"/>
              <w:left w:val="nil"/>
              <w:bottom w:val="single" w:sz="4" w:space="0" w:color="auto"/>
              <w:right w:val="single" w:sz="4" w:space="0" w:color="auto"/>
            </w:tcBorders>
            <w:shd w:val="clear" w:color="auto" w:fill="auto"/>
            <w:noWrap/>
            <w:vAlign w:val="center"/>
            <w:hideMark/>
          </w:tcPr>
          <w:p w14:paraId="4F2705CB"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971,304</w:t>
            </w:r>
          </w:p>
        </w:tc>
        <w:tc>
          <w:tcPr>
            <w:tcW w:w="1031" w:type="dxa"/>
            <w:tcBorders>
              <w:top w:val="nil"/>
              <w:left w:val="nil"/>
              <w:bottom w:val="single" w:sz="4" w:space="0" w:color="auto"/>
              <w:right w:val="single" w:sz="4" w:space="0" w:color="auto"/>
            </w:tcBorders>
            <w:shd w:val="clear" w:color="auto" w:fill="auto"/>
            <w:noWrap/>
            <w:vAlign w:val="center"/>
            <w:hideMark/>
          </w:tcPr>
          <w:p w14:paraId="27162F63"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1,000,752</w:t>
            </w:r>
          </w:p>
        </w:tc>
        <w:tc>
          <w:tcPr>
            <w:tcW w:w="1161" w:type="dxa"/>
            <w:tcBorders>
              <w:top w:val="nil"/>
              <w:left w:val="nil"/>
              <w:bottom w:val="single" w:sz="4" w:space="0" w:color="auto"/>
              <w:right w:val="single" w:sz="4" w:space="0" w:color="auto"/>
            </w:tcBorders>
            <w:shd w:val="clear" w:color="auto" w:fill="auto"/>
            <w:noWrap/>
            <w:vAlign w:val="center"/>
            <w:hideMark/>
          </w:tcPr>
          <w:p w14:paraId="1924BF5C"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3,829,800</w:t>
            </w:r>
          </w:p>
        </w:tc>
      </w:tr>
      <w:tr w:rsidR="00D868AB" w:rsidRPr="00D868AB" w14:paraId="2E970565"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48E8FA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91107</w:t>
            </w:r>
          </w:p>
        </w:tc>
        <w:tc>
          <w:tcPr>
            <w:tcW w:w="3473" w:type="dxa"/>
            <w:tcBorders>
              <w:top w:val="nil"/>
              <w:left w:val="nil"/>
              <w:bottom w:val="single" w:sz="4" w:space="0" w:color="auto"/>
              <w:right w:val="single" w:sz="4" w:space="0" w:color="auto"/>
            </w:tcBorders>
            <w:shd w:val="clear" w:color="auto" w:fill="auto"/>
            <w:noWrap/>
            <w:vAlign w:val="center"/>
            <w:hideMark/>
          </w:tcPr>
          <w:p w14:paraId="2C29904C"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Financiamiento Banobras 11149.</w:t>
            </w:r>
          </w:p>
        </w:tc>
        <w:tc>
          <w:tcPr>
            <w:tcW w:w="1031" w:type="dxa"/>
            <w:tcBorders>
              <w:top w:val="nil"/>
              <w:left w:val="nil"/>
              <w:bottom w:val="single" w:sz="4" w:space="0" w:color="auto"/>
              <w:right w:val="single" w:sz="4" w:space="0" w:color="auto"/>
            </w:tcBorders>
            <w:shd w:val="clear" w:color="auto" w:fill="auto"/>
            <w:noWrap/>
            <w:vAlign w:val="center"/>
            <w:hideMark/>
          </w:tcPr>
          <w:p w14:paraId="519187E7"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6,882,294</w:t>
            </w:r>
          </w:p>
        </w:tc>
        <w:tc>
          <w:tcPr>
            <w:tcW w:w="1031" w:type="dxa"/>
            <w:tcBorders>
              <w:top w:val="nil"/>
              <w:left w:val="nil"/>
              <w:bottom w:val="single" w:sz="4" w:space="0" w:color="auto"/>
              <w:right w:val="single" w:sz="4" w:space="0" w:color="auto"/>
            </w:tcBorders>
            <w:shd w:val="clear" w:color="auto" w:fill="auto"/>
            <w:noWrap/>
            <w:vAlign w:val="center"/>
            <w:hideMark/>
          </w:tcPr>
          <w:p w14:paraId="5717900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6,882,291</w:t>
            </w:r>
          </w:p>
        </w:tc>
        <w:tc>
          <w:tcPr>
            <w:tcW w:w="1031" w:type="dxa"/>
            <w:tcBorders>
              <w:top w:val="nil"/>
              <w:left w:val="nil"/>
              <w:bottom w:val="single" w:sz="4" w:space="0" w:color="auto"/>
              <w:right w:val="single" w:sz="4" w:space="0" w:color="auto"/>
            </w:tcBorders>
            <w:shd w:val="clear" w:color="auto" w:fill="auto"/>
            <w:noWrap/>
            <w:vAlign w:val="center"/>
            <w:hideMark/>
          </w:tcPr>
          <w:p w14:paraId="3DFCE742"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6,882,291</w:t>
            </w:r>
          </w:p>
        </w:tc>
        <w:tc>
          <w:tcPr>
            <w:tcW w:w="1031" w:type="dxa"/>
            <w:tcBorders>
              <w:top w:val="nil"/>
              <w:left w:val="nil"/>
              <w:bottom w:val="single" w:sz="4" w:space="0" w:color="auto"/>
              <w:right w:val="single" w:sz="4" w:space="0" w:color="auto"/>
            </w:tcBorders>
            <w:shd w:val="clear" w:color="auto" w:fill="auto"/>
            <w:noWrap/>
            <w:vAlign w:val="center"/>
            <w:hideMark/>
          </w:tcPr>
          <w:p w14:paraId="2A40A7D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6,882,291</w:t>
            </w:r>
          </w:p>
        </w:tc>
        <w:tc>
          <w:tcPr>
            <w:tcW w:w="1161" w:type="dxa"/>
            <w:tcBorders>
              <w:top w:val="nil"/>
              <w:left w:val="nil"/>
              <w:bottom w:val="single" w:sz="4" w:space="0" w:color="auto"/>
              <w:right w:val="single" w:sz="4" w:space="0" w:color="auto"/>
            </w:tcBorders>
            <w:shd w:val="clear" w:color="auto" w:fill="auto"/>
            <w:noWrap/>
            <w:vAlign w:val="center"/>
            <w:hideMark/>
          </w:tcPr>
          <w:p w14:paraId="0D73CD4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27,529,167</w:t>
            </w:r>
          </w:p>
        </w:tc>
      </w:tr>
      <w:tr w:rsidR="00D868AB" w:rsidRPr="00D868AB" w14:paraId="47AFEC4B"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2B6BD0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91110</w:t>
            </w:r>
          </w:p>
        </w:tc>
        <w:tc>
          <w:tcPr>
            <w:tcW w:w="3473" w:type="dxa"/>
            <w:tcBorders>
              <w:top w:val="nil"/>
              <w:left w:val="nil"/>
              <w:bottom w:val="single" w:sz="4" w:space="0" w:color="auto"/>
              <w:right w:val="single" w:sz="4" w:space="0" w:color="auto"/>
            </w:tcBorders>
            <w:shd w:val="clear" w:color="auto" w:fill="auto"/>
            <w:noWrap/>
            <w:vAlign w:val="center"/>
            <w:hideMark/>
          </w:tcPr>
          <w:p w14:paraId="677F4887"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Financiamiento BBVA (9863672986).</w:t>
            </w:r>
          </w:p>
        </w:tc>
        <w:tc>
          <w:tcPr>
            <w:tcW w:w="1031" w:type="dxa"/>
            <w:tcBorders>
              <w:top w:val="nil"/>
              <w:left w:val="nil"/>
              <w:bottom w:val="single" w:sz="4" w:space="0" w:color="auto"/>
              <w:right w:val="single" w:sz="4" w:space="0" w:color="auto"/>
            </w:tcBorders>
            <w:shd w:val="clear" w:color="auto" w:fill="auto"/>
            <w:noWrap/>
            <w:vAlign w:val="center"/>
            <w:hideMark/>
          </w:tcPr>
          <w:p w14:paraId="190E54DD"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4,507,800</w:t>
            </w:r>
          </w:p>
        </w:tc>
        <w:tc>
          <w:tcPr>
            <w:tcW w:w="1031" w:type="dxa"/>
            <w:tcBorders>
              <w:top w:val="nil"/>
              <w:left w:val="nil"/>
              <w:bottom w:val="single" w:sz="4" w:space="0" w:color="auto"/>
              <w:right w:val="single" w:sz="4" w:space="0" w:color="auto"/>
            </w:tcBorders>
            <w:shd w:val="clear" w:color="auto" w:fill="auto"/>
            <w:noWrap/>
            <w:vAlign w:val="center"/>
            <w:hideMark/>
          </w:tcPr>
          <w:p w14:paraId="55DA5263"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4,644,391</w:t>
            </w:r>
          </w:p>
        </w:tc>
        <w:tc>
          <w:tcPr>
            <w:tcW w:w="1031" w:type="dxa"/>
            <w:tcBorders>
              <w:top w:val="nil"/>
              <w:left w:val="nil"/>
              <w:bottom w:val="single" w:sz="4" w:space="0" w:color="auto"/>
              <w:right w:val="single" w:sz="4" w:space="0" w:color="auto"/>
            </w:tcBorders>
            <w:shd w:val="clear" w:color="auto" w:fill="auto"/>
            <w:noWrap/>
            <w:vAlign w:val="center"/>
            <w:hideMark/>
          </w:tcPr>
          <w:p w14:paraId="3397915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4,785,120</w:t>
            </w:r>
          </w:p>
        </w:tc>
        <w:tc>
          <w:tcPr>
            <w:tcW w:w="1031" w:type="dxa"/>
            <w:tcBorders>
              <w:top w:val="nil"/>
              <w:left w:val="nil"/>
              <w:bottom w:val="single" w:sz="4" w:space="0" w:color="auto"/>
              <w:right w:val="single" w:sz="4" w:space="0" w:color="auto"/>
            </w:tcBorders>
            <w:shd w:val="clear" w:color="auto" w:fill="auto"/>
            <w:noWrap/>
            <w:vAlign w:val="center"/>
            <w:hideMark/>
          </w:tcPr>
          <w:p w14:paraId="58AF3CE6"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4,930,114</w:t>
            </w:r>
          </w:p>
        </w:tc>
        <w:tc>
          <w:tcPr>
            <w:tcW w:w="1161" w:type="dxa"/>
            <w:tcBorders>
              <w:top w:val="nil"/>
              <w:left w:val="nil"/>
              <w:bottom w:val="single" w:sz="4" w:space="0" w:color="auto"/>
              <w:right w:val="single" w:sz="4" w:space="0" w:color="auto"/>
            </w:tcBorders>
            <w:shd w:val="clear" w:color="auto" w:fill="auto"/>
            <w:noWrap/>
            <w:vAlign w:val="center"/>
            <w:hideMark/>
          </w:tcPr>
          <w:p w14:paraId="55C02749"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18,867,425</w:t>
            </w:r>
          </w:p>
        </w:tc>
      </w:tr>
      <w:tr w:rsidR="00D868AB" w:rsidRPr="00D868AB" w14:paraId="67CD15BF"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308CBB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91119</w:t>
            </w:r>
          </w:p>
        </w:tc>
        <w:tc>
          <w:tcPr>
            <w:tcW w:w="3473" w:type="dxa"/>
            <w:tcBorders>
              <w:top w:val="nil"/>
              <w:left w:val="nil"/>
              <w:bottom w:val="single" w:sz="4" w:space="0" w:color="auto"/>
              <w:right w:val="single" w:sz="4" w:space="0" w:color="auto"/>
            </w:tcBorders>
            <w:shd w:val="clear" w:color="auto" w:fill="auto"/>
            <w:noWrap/>
            <w:vAlign w:val="center"/>
            <w:hideMark/>
          </w:tcPr>
          <w:p w14:paraId="437D1157"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Financiamiento Banorte 84908305.</w:t>
            </w:r>
          </w:p>
        </w:tc>
        <w:tc>
          <w:tcPr>
            <w:tcW w:w="1031" w:type="dxa"/>
            <w:tcBorders>
              <w:top w:val="nil"/>
              <w:left w:val="nil"/>
              <w:bottom w:val="single" w:sz="4" w:space="0" w:color="auto"/>
              <w:right w:val="single" w:sz="4" w:space="0" w:color="auto"/>
            </w:tcBorders>
            <w:shd w:val="clear" w:color="auto" w:fill="auto"/>
            <w:noWrap/>
            <w:vAlign w:val="center"/>
            <w:hideMark/>
          </w:tcPr>
          <w:p w14:paraId="300EFDDD"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11,202,977</w:t>
            </w:r>
          </w:p>
        </w:tc>
        <w:tc>
          <w:tcPr>
            <w:tcW w:w="1031" w:type="dxa"/>
            <w:tcBorders>
              <w:top w:val="nil"/>
              <w:left w:val="nil"/>
              <w:bottom w:val="single" w:sz="4" w:space="0" w:color="auto"/>
              <w:right w:val="single" w:sz="4" w:space="0" w:color="auto"/>
            </w:tcBorders>
            <w:shd w:val="clear" w:color="auto" w:fill="auto"/>
            <w:noWrap/>
            <w:vAlign w:val="center"/>
            <w:hideMark/>
          </w:tcPr>
          <w:p w14:paraId="4A2DD729"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11,485,145</w:t>
            </w:r>
          </w:p>
        </w:tc>
        <w:tc>
          <w:tcPr>
            <w:tcW w:w="1031" w:type="dxa"/>
            <w:tcBorders>
              <w:top w:val="nil"/>
              <w:left w:val="nil"/>
              <w:bottom w:val="single" w:sz="4" w:space="0" w:color="auto"/>
              <w:right w:val="single" w:sz="4" w:space="0" w:color="auto"/>
            </w:tcBorders>
            <w:shd w:val="clear" w:color="auto" w:fill="auto"/>
            <w:noWrap/>
            <w:vAlign w:val="center"/>
            <w:hideMark/>
          </w:tcPr>
          <w:p w14:paraId="5BA40B7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11,774,419</w:t>
            </w:r>
          </w:p>
        </w:tc>
        <w:tc>
          <w:tcPr>
            <w:tcW w:w="1031" w:type="dxa"/>
            <w:tcBorders>
              <w:top w:val="nil"/>
              <w:left w:val="nil"/>
              <w:bottom w:val="single" w:sz="4" w:space="0" w:color="auto"/>
              <w:right w:val="single" w:sz="4" w:space="0" w:color="auto"/>
            </w:tcBorders>
            <w:shd w:val="clear" w:color="auto" w:fill="auto"/>
            <w:noWrap/>
            <w:vAlign w:val="center"/>
            <w:hideMark/>
          </w:tcPr>
          <w:p w14:paraId="3F59EB8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12,070,980</w:t>
            </w:r>
          </w:p>
        </w:tc>
        <w:tc>
          <w:tcPr>
            <w:tcW w:w="1161" w:type="dxa"/>
            <w:tcBorders>
              <w:top w:val="nil"/>
              <w:left w:val="nil"/>
              <w:bottom w:val="single" w:sz="4" w:space="0" w:color="auto"/>
              <w:right w:val="single" w:sz="4" w:space="0" w:color="auto"/>
            </w:tcBorders>
            <w:shd w:val="clear" w:color="auto" w:fill="auto"/>
            <w:noWrap/>
            <w:vAlign w:val="center"/>
            <w:hideMark/>
          </w:tcPr>
          <w:p w14:paraId="77ADF64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46,533,521</w:t>
            </w:r>
          </w:p>
        </w:tc>
      </w:tr>
      <w:tr w:rsidR="00D868AB" w:rsidRPr="00D868AB" w14:paraId="20E53F17"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1C81D3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91123</w:t>
            </w:r>
          </w:p>
        </w:tc>
        <w:tc>
          <w:tcPr>
            <w:tcW w:w="3473" w:type="dxa"/>
            <w:tcBorders>
              <w:top w:val="nil"/>
              <w:left w:val="nil"/>
              <w:bottom w:val="single" w:sz="4" w:space="0" w:color="auto"/>
              <w:right w:val="single" w:sz="4" w:space="0" w:color="auto"/>
            </w:tcBorders>
            <w:shd w:val="clear" w:color="auto" w:fill="auto"/>
            <w:noWrap/>
            <w:vAlign w:val="center"/>
            <w:hideMark/>
          </w:tcPr>
          <w:p w14:paraId="3515EF92"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Financiamiento Banobras 13451.</w:t>
            </w:r>
          </w:p>
        </w:tc>
        <w:tc>
          <w:tcPr>
            <w:tcW w:w="1031" w:type="dxa"/>
            <w:tcBorders>
              <w:top w:val="nil"/>
              <w:left w:val="nil"/>
              <w:bottom w:val="single" w:sz="4" w:space="0" w:color="auto"/>
              <w:right w:val="single" w:sz="4" w:space="0" w:color="auto"/>
            </w:tcBorders>
            <w:shd w:val="clear" w:color="auto" w:fill="auto"/>
            <w:noWrap/>
            <w:vAlign w:val="center"/>
            <w:hideMark/>
          </w:tcPr>
          <w:p w14:paraId="2594820B"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2,005,890</w:t>
            </w:r>
          </w:p>
        </w:tc>
        <w:tc>
          <w:tcPr>
            <w:tcW w:w="1031" w:type="dxa"/>
            <w:tcBorders>
              <w:top w:val="nil"/>
              <w:left w:val="nil"/>
              <w:bottom w:val="single" w:sz="4" w:space="0" w:color="auto"/>
              <w:right w:val="single" w:sz="4" w:space="0" w:color="auto"/>
            </w:tcBorders>
            <w:shd w:val="clear" w:color="auto" w:fill="auto"/>
            <w:noWrap/>
            <w:vAlign w:val="center"/>
            <w:hideMark/>
          </w:tcPr>
          <w:p w14:paraId="4D4D96D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2,066,670</w:t>
            </w:r>
          </w:p>
        </w:tc>
        <w:tc>
          <w:tcPr>
            <w:tcW w:w="1031" w:type="dxa"/>
            <w:tcBorders>
              <w:top w:val="nil"/>
              <w:left w:val="nil"/>
              <w:bottom w:val="single" w:sz="4" w:space="0" w:color="auto"/>
              <w:right w:val="single" w:sz="4" w:space="0" w:color="auto"/>
            </w:tcBorders>
            <w:shd w:val="clear" w:color="auto" w:fill="auto"/>
            <w:noWrap/>
            <w:vAlign w:val="center"/>
            <w:hideMark/>
          </w:tcPr>
          <w:p w14:paraId="34A0B4C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2,129,292</w:t>
            </w:r>
          </w:p>
        </w:tc>
        <w:tc>
          <w:tcPr>
            <w:tcW w:w="1031" w:type="dxa"/>
            <w:tcBorders>
              <w:top w:val="nil"/>
              <w:left w:val="nil"/>
              <w:bottom w:val="single" w:sz="4" w:space="0" w:color="auto"/>
              <w:right w:val="single" w:sz="4" w:space="0" w:color="auto"/>
            </w:tcBorders>
            <w:shd w:val="clear" w:color="auto" w:fill="auto"/>
            <w:noWrap/>
            <w:vAlign w:val="center"/>
            <w:hideMark/>
          </w:tcPr>
          <w:p w14:paraId="144548F6"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2,193,811</w:t>
            </w:r>
          </w:p>
        </w:tc>
        <w:tc>
          <w:tcPr>
            <w:tcW w:w="1161" w:type="dxa"/>
            <w:tcBorders>
              <w:top w:val="nil"/>
              <w:left w:val="nil"/>
              <w:bottom w:val="single" w:sz="4" w:space="0" w:color="auto"/>
              <w:right w:val="single" w:sz="4" w:space="0" w:color="auto"/>
            </w:tcBorders>
            <w:shd w:val="clear" w:color="auto" w:fill="auto"/>
            <w:noWrap/>
            <w:vAlign w:val="center"/>
            <w:hideMark/>
          </w:tcPr>
          <w:p w14:paraId="410CBE17"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8,395,663</w:t>
            </w:r>
          </w:p>
        </w:tc>
      </w:tr>
      <w:tr w:rsidR="00D868AB" w:rsidRPr="00D868AB" w14:paraId="0263E700"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5B21AD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91189</w:t>
            </w:r>
          </w:p>
        </w:tc>
        <w:tc>
          <w:tcPr>
            <w:tcW w:w="3473" w:type="dxa"/>
            <w:tcBorders>
              <w:top w:val="nil"/>
              <w:left w:val="nil"/>
              <w:bottom w:val="single" w:sz="4" w:space="0" w:color="auto"/>
              <w:right w:val="single" w:sz="4" w:space="0" w:color="auto"/>
            </w:tcBorders>
            <w:shd w:val="clear" w:color="auto" w:fill="auto"/>
            <w:noWrap/>
            <w:vAlign w:val="center"/>
            <w:hideMark/>
          </w:tcPr>
          <w:p w14:paraId="6CBB8603"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Financiamiento CP Afirme 307586488.</w:t>
            </w:r>
          </w:p>
        </w:tc>
        <w:tc>
          <w:tcPr>
            <w:tcW w:w="1031" w:type="dxa"/>
            <w:tcBorders>
              <w:top w:val="nil"/>
              <w:left w:val="nil"/>
              <w:bottom w:val="single" w:sz="4" w:space="0" w:color="auto"/>
              <w:right w:val="single" w:sz="4" w:space="0" w:color="auto"/>
            </w:tcBorders>
            <w:shd w:val="clear" w:color="auto" w:fill="auto"/>
            <w:noWrap/>
            <w:vAlign w:val="center"/>
            <w:hideMark/>
          </w:tcPr>
          <w:p w14:paraId="711102DE"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8,333,337</w:t>
            </w:r>
          </w:p>
        </w:tc>
        <w:tc>
          <w:tcPr>
            <w:tcW w:w="1031" w:type="dxa"/>
            <w:tcBorders>
              <w:top w:val="nil"/>
              <w:left w:val="nil"/>
              <w:bottom w:val="single" w:sz="4" w:space="0" w:color="auto"/>
              <w:right w:val="single" w:sz="4" w:space="0" w:color="auto"/>
            </w:tcBorders>
            <w:shd w:val="clear" w:color="auto" w:fill="auto"/>
            <w:noWrap/>
            <w:vAlign w:val="center"/>
            <w:hideMark/>
          </w:tcPr>
          <w:p w14:paraId="34A8008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2C280019"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15989182"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161" w:type="dxa"/>
            <w:tcBorders>
              <w:top w:val="nil"/>
              <w:left w:val="nil"/>
              <w:bottom w:val="single" w:sz="4" w:space="0" w:color="auto"/>
              <w:right w:val="single" w:sz="4" w:space="0" w:color="auto"/>
            </w:tcBorders>
            <w:shd w:val="clear" w:color="auto" w:fill="auto"/>
            <w:noWrap/>
            <w:vAlign w:val="center"/>
            <w:hideMark/>
          </w:tcPr>
          <w:p w14:paraId="1912D436"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8,333,337</w:t>
            </w:r>
          </w:p>
        </w:tc>
      </w:tr>
      <w:tr w:rsidR="00D868AB" w:rsidRPr="00D868AB" w14:paraId="3B48D84E"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DA1942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91190</w:t>
            </w:r>
          </w:p>
        </w:tc>
        <w:tc>
          <w:tcPr>
            <w:tcW w:w="3473" w:type="dxa"/>
            <w:tcBorders>
              <w:top w:val="nil"/>
              <w:left w:val="nil"/>
              <w:bottom w:val="single" w:sz="4" w:space="0" w:color="auto"/>
              <w:right w:val="single" w:sz="4" w:space="0" w:color="auto"/>
            </w:tcBorders>
            <w:shd w:val="clear" w:color="auto" w:fill="auto"/>
            <w:noWrap/>
            <w:vAlign w:val="center"/>
            <w:hideMark/>
          </w:tcPr>
          <w:p w14:paraId="4ABCD1D7"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Financiamiento CP Banorte 87149899.</w:t>
            </w:r>
          </w:p>
        </w:tc>
        <w:tc>
          <w:tcPr>
            <w:tcW w:w="1031" w:type="dxa"/>
            <w:tcBorders>
              <w:top w:val="nil"/>
              <w:left w:val="nil"/>
              <w:bottom w:val="single" w:sz="4" w:space="0" w:color="auto"/>
              <w:right w:val="single" w:sz="4" w:space="0" w:color="auto"/>
            </w:tcBorders>
            <w:shd w:val="clear" w:color="auto" w:fill="auto"/>
            <w:noWrap/>
            <w:vAlign w:val="center"/>
            <w:hideMark/>
          </w:tcPr>
          <w:p w14:paraId="48CB0EC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65,010,000</w:t>
            </w:r>
          </w:p>
        </w:tc>
        <w:tc>
          <w:tcPr>
            <w:tcW w:w="1031" w:type="dxa"/>
            <w:tcBorders>
              <w:top w:val="nil"/>
              <w:left w:val="nil"/>
              <w:bottom w:val="single" w:sz="4" w:space="0" w:color="auto"/>
              <w:right w:val="single" w:sz="4" w:space="0" w:color="auto"/>
            </w:tcBorders>
            <w:shd w:val="clear" w:color="auto" w:fill="auto"/>
            <w:noWrap/>
            <w:vAlign w:val="center"/>
            <w:hideMark/>
          </w:tcPr>
          <w:p w14:paraId="3101E04D"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65,010,000</w:t>
            </w:r>
          </w:p>
        </w:tc>
        <w:tc>
          <w:tcPr>
            <w:tcW w:w="1031" w:type="dxa"/>
            <w:tcBorders>
              <w:top w:val="nil"/>
              <w:left w:val="nil"/>
              <w:bottom w:val="single" w:sz="4" w:space="0" w:color="auto"/>
              <w:right w:val="single" w:sz="4" w:space="0" w:color="auto"/>
            </w:tcBorders>
            <w:shd w:val="clear" w:color="auto" w:fill="auto"/>
            <w:noWrap/>
            <w:vAlign w:val="center"/>
            <w:hideMark/>
          </w:tcPr>
          <w:p w14:paraId="3006A9D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21,670,000</w:t>
            </w:r>
          </w:p>
        </w:tc>
        <w:tc>
          <w:tcPr>
            <w:tcW w:w="1031" w:type="dxa"/>
            <w:tcBorders>
              <w:top w:val="nil"/>
              <w:left w:val="nil"/>
              <w:bottom w:val="single" w:sz="4" w:space="0" w:color="auto"/>
              <w:right w:val="single" w:sz="4" w:space="0" w:color="auto"/>
            </w:tcBorders>
            <w:shd w:val="clear" w:color="auto" w:fill="auto"/>
            <w:noWrap/>
            <w:vAlign w:val="center"/>
            <w:hideMark/>
          </w:tcPr>
          <w:p w14:paraId="0AAD611D"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161" w:type="dxa"/>
            <w:tcBorders>
              <w:top w:val="nil"/>
              <w:left w:val="nil"/>
              <w:bottom w:val="single" w:sz="4" w:space="0" w:color="auto"/>
              <w:right w:val="single" w:sz="4" w:space="0" w:color="auto"/>
            </w:tcBorders>
            <w:shd w:val="clear" w:color="auto" w:fill="auto"/>
            <w:noWrap/>
            <w:vAlign w:val="center"/>
            <w:hideMark/>
          </w:tcPr>
          <w:p w14:paraId="3873532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151,690,000</w:t>
            </w:r>
          </w:p>
        </w:tc>
      </w:tr>
      <w:tr w:rsidR="00D868AB" w:rsidRPr="00D868AB" w14:paraId="5B883A80"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49EEE7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91191</w:t>
            </w:r>
          </w:p>
        </w:tc>
        <w:tc>
          <w:tcPr>
            <w:tcW w:w="3473" w:type="dxa"/>
            <w:tcBorders>
              <w:top w:val="nil"/>
              <w:left w:val="nil"/>
              <w:bottom w:val="single" w:sz="4" w:space="0" w:color="auto"/>
              <w:right w:val="single" w:sz="4" w:space="0" w:color="auto"/>
            </w:tcBorders>
            <w:shd w:val="clear" w:color="auto" w:fill="auto"/>
            <w:noWrap/>
            <w:vAlign w:val="center"/>
            <w:hideMark/>
          </w:tcPr>
          <w:p w14:paraId="102F4C09"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Crédito Corto Plazo.</w:t>
            </w:r>
          </w:p>
        </w:tc>
        <w:tc>
          <w:tcPr>
            <w:tcW w:w="1031" w:type="dxa"/>
            <w:tcBorders>
              <w:top w:val="nil"/>
              <w:left w:val="nil"/>
              <w:bottom w:val="single" w:sz="4" w:space="0" w:color="auto"/>
              <w:right w:val="single" w:sz="4" w:space="0" w:color="auto"/>
            </w:tcBorders>
            <w:shd w:val="clear" w:color="auto" w:fill="auto"/>
            <w:noWrap/>
            <w:vAlign w:val="center"/>
            <w:hideMark/>
          </w:tcPr>
          <w:p w14:paraId="0184B20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5AAEE90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032E5849"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23FDA3F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161" w:type="dxa"/>
            <w:tcBorders>
              <w:top w:val="nil"/>
              <w:left w:val="nil"/>
              <w:bottom w:val="single" w:sz="4" w:space="0" w:color="auto"/>
              <w:right w:val="single" w:sz="4" w:space="0" w:color="auto"/>
            </w:tcBorders>
            <w:shd w:val="clear" w:color="auto" w:fill="auto"/>
            <w:noWrap/>
            <w:vAlign w:val="center"/>
            <w:hideMark/>
          </w:tcPr>
          <w:p w14:paraId="5487099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r>
      <w:tr w:rsidR="00D868AB" w:rsidRPr="00D868AB" w14:paraId="3C6E9961"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4392D6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92000</w:t>
            </w:r>
          </w:p>
        </w:tc>
        <w:tc>
          <w:tcPr>
            <w:tcW w:w="3473" w:type="dxa"/>
            <w:tcBorders>
              <w:top w:val="nil"/>
              <w:left w:val="nil"/>
              <w:bottom w:val="single" w:sz="4" w:space="0" w:color="auto"/>
              <w:right w:val="single" w:sz="4" w:space="0" w:color="auto"/>
            </w:tcBorders>
            <w:shd w:val="clear" w:color="auto" w:fill="auto"/>
            <w:noWrap/>
            <w:vAlign w:val="center"/>
            <w:hideMark/>
          </w:tcPr>
          <w:p w14:paraId="708E6C6D" w14:textId="77777777" w:rsidR="00D868AB" w:rsidRPr="00D868AB" w:rsidRDefault="00D868AB" w:rsidP="00D868AB">
            <w:pPr>
              <w:jc w:val="left"/>
              <w:rPr>
                <w:rFonts w:eastAsia="Times New Roman" w:cs="Arial"/>
                <w:b/>
                <w:bCs/>
                <w:color w:val="000000"/>
                <w:sz w:val="16"/>
                <w:szCs w:val="16"/>
              </w:rPr>
            </w:pPr>
            <w:r w:rsidRPr="00D868AB">
              <w:rPr>
                <w:rFonts w:eastAsia="Times New Roman" w:cs="Arial"/>
                <w:b/>
                <w:bCs/>
                <w:color w:val="000000"/>
                <w:sz w:val="16"/>
                <w:szCs w:val="16"/>
              </w:rPr>
              <w:t>INTERESES DE LA DEUDA PÚBLICA.</w:t>
            </w:r>
          </w:p>
        </w:tc>
        <w:tc>
          <w:tcPr>
            <w:tcW w:w="1031" w:type="dxa"/>
            <w:tcBorders>
              <w:top w:val="nil"/>
              <w:left w:val="nil"/>
              <w:bottom w:val="single" w:sz="4" w:space="0" w:color="auto"/>
              <w:right w:val="single" w:sz="4" w:space="0" w:color="auto"/>
            </w:tcBorders>
            <w:shd w:val="clear" w:color="auto" w:fill="auto"/>
            <w:noWrap/>
            <w:vAlign w:val="center"/>
            <w:hideMark/>
          </w:tcPr>
          <w:p w14:paraId="22E2866A"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106,357,564</w:t>
            </w:r>
          </w:p>
        </w:tc>
        <w:tc>
          <w:tcPr>
            <w:tcW w:w="1031" w:type="dxa"/>
            <w:tcBorders>
              <w:top w:val="nil"/>
              <w:left w:val="nil"/>
              <w:bottom w:val="single" w:sz="4" w:space="0" w:color="auto"/>
              <w:right w:val="single" w:sz="4" w:space="0" w:color="auto"/>
            </w:tcBorders>
            <w:shd w:val="clear" w:color="auto" w:fill="auto"/>
            <w:noWrap/>
            <w:vAlign w:val="center"/>
            <w:hideMark/>
          </w:tcPr>
          <w:p w14:paraId="674B4AE0"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105,297,057</w:t>
            </w:r>
          </w:p>
        </w:tc>
        <w:tc>
          <w:tcPr>
            <w:tcW w:w="1031" w:type="dxa"/>
            <w:tcBorders>
              <w:top w:val="nil"/>
              <w:left w:val="nil"/>
              <w:bottom w:val="single" w:sz="4" w:space="0" w:color="auto"/>
              <w:right w:val="single" w:sz="4" w:space="0" w:color="auto"/>
            </w:tcBorders>
            <w:shd w:val="clear" w:color="auto" w:fill="auto"/>
            <w:noWrap/>
            <w:vAlign w:val="center"/>
            <w:hideMark/>
          </w:tcPr>
          <w:p w14:paraId="4E846052"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105,709,127</w:t>
            </w:r>
          </w:p>
        </w:tc>
        <w:tc>
          <w:tcPr>
            <w:tcW w:w="1031" w:type="dxa"/>
            <w:tcBorders>
              <w:top w:val="nil"/>
              <w:left w:val="nil"/>
              <w:bottom w:val="single" w:sz="4" w:space="0" w:color="auto"/>
              <w:right w:val="single" w:sz="4" w:space="0" w:color="auto"/>
            </w:tcBorders>
            <w:shd w:val="clear" w:color="auto" w:fill="auto"/>
            <w:noWrap/>
            <w:vAlign w:val="center"/>
            <w:hideMark/>
          </w:tcPr>
          <w:p w14:paraId="477007AD"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104,992,113</w:t>
            </w:r>
          </w:p>
        </w:tc>
        <w:tc>
          <w:tcPr>
            <w:tcW w:w="1161" w:type="dxa"/>
            <w:tcBorders>
              <w:top w:val="nil"/>
              <w:left w:val="nil"/>
              <w:bottom w:val="single" w:sz="4" w:space="0" w:color="auto"/>
              <w:right w:val="single" w:sz="4" w:space="0" w:color="auto"/>
            </w:tcBorders>
            <w:shd w:val="clear" w:color="auto" w:fill="auto"/>
            <w:noWrap/>
            <w:vAlign w:val="center"/>
            <w:hideMark/>
          </w:tcPr>
          <w:p w14:paraId="2FE3422E"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422,355,861</w:t>
            </w:r>
          </w:p>
        </w:tc>
      </w:tr>
      <w:tr w:rsidR="00D868AB" w:rsidRPr="00D868AB" w14:paraId="48D9A41C"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9FF00B1"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92100</w:t>
            </w:r>
          </w:p>
        </w:tc>
        <w:tc>
          <w:tcPr>
            <w:tcW w:w="3473" w:type="dxa"/>
            <w:tcBorders>
              <w:top w:val="nil"/>
              <w:left w:val="nil"/>
              <w:bottom w:val="single" w:sz="4" w:space="0" w:color="auto"/>
              <w:right w:val="single" w:sz="4" w:space="0" w:color="auto"/>
            </w:tcBorders>
            <w:shd w:val="clear" w:color="auto" w:fill="auto"/>
            <w:noWrap/>
            <w:vAlign w:val="center"/>
            <w:hideMark/>
          </w:tcPr>
          <w:p w14:paraId="46CA7A11" w14:textId="77777777" w:rsidR="00D868AB" w:rsidRPr="00D868AB" w:rsidRDefault="00D868AB" w:rsidP="00D868AB">
            <w:pPr>
              <w:jc w:val="left"/>
              <w:rPr>
                <w:rFonts w:eastAsia="Times New Roman" w:cs="Arial"/>
                <w:b/>
                <w:bCs/>
                <w:color w:val="000000"/>
                <w:sz w:val="16"/>
                <w:szCs w:val="16"/>
              </w:rPr>
            </w:pPr>
            <w:r w:rsidRPr="00D868AB">
              <w:rPr>
                <w:rFonts w:eastAsia="Times New Roman" w:cs="Arial"/>
                <w:b/>
                <w:bCs/>
                <w:color w:val="000000"/>
                <w:sz w:val="16"/>
                <w:szCs w:val="16"/>
              </w:rPr>
              <w:t>Intereses de la deuda interna con instituciones de crédito.</w:t>
            </w:r>
          </w:p>
        </w:tc>
        <w:tc>
          <w:tcPr>
            <w:tcW w:w="1031" w:type="dxa"/>
            <w:tcBorders>
              <w:top w:val="nil"/>
              <w:left w:val="nil"/>
              <w:bottom w:val="single" w:sz="4" w:space="0" w:color="auto"/>
              <w:right w:val="single" w:sz="4" w:space="0" w:color="auto"/>
            </w:tcBorders>
            <w:shd w:val="clear" w:color="auto" w:fill="auto"/>
            <w:noWrap/>
            <w:vAlign w:val="center"/>
            <w:hideMark/>
          </w:tcPr>
          <w:p w14:paraId="60B9AA14"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106,357,564</w:t>
            </w:r>
          </w:p>
        </w:tc>
        <w:tc>
          <w:tcPr>
            <w:tcW w:w="1031" w:type="dxa"/>
            <w:tcBorders>
              <w:top w:val="nil"/>
              <w:left w:val="nil"/>
              <w:bottom w:val="single" w:sz="4" w:space="0" w:color="auto"/>
              <w:right w:val="single" w:sz="4" w:space="0" w:color="auto"/>
            </w:tcBorders>
            <w:shd w:val="clear" w:color="auto" w:fill="auto"/>
            <w:noWrap/>
            <w:vAlign w:val="center"/>
            <w:hideMark/>
          </w:tcPr>
          <w:p w14:paraId="4DBE9B2E"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105,297,057</w:t>
            </w:r>
          </w:p>
        </w:tc>
        <w:tc>
          <w:tcPr>
            <w:tcW w:w="1031" w:type="dxa"/>
            <w:tcBorders>
              <w:top w:val="nil"/>
              <w:left w:val="nil"/>
              <w:bottom w:val="single" w:sz="4" w:space="0" w:color="auto"/>
              <w:right w:val="single" w:sz="4" w:space="0" w:color="auto"/>
            </w:tcBorders>
            <w:shd w:val="clear" w:color="auto" w:fill="auto"/>
            <w:noWrap/>
            <w:vAlign w:val="center"/>
            <w:hideMark/>
          </w:tcPr>
          <w:p w14:paraId="24540C5A"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105,709,127</w:t>
            </w:r>
          </w:p>
        </w:tc>
        <w:tc>
          <w:tcPr>
            <w:tcW w:w="1031" w:type="dxa"/>
            <w:tcBorders>
              <w:top w:val="nil"/>
              <w:left w:val="nil"/>
              <w:bottom w:val="single" w:sz="4" w:space="0" w:color="auto"/>
              <w:right w:val="single" w:sz="4" w:space="0" w:color="auto"/>
            </w:tcBorders>
            <w:shd w:val="clear" w:color="auto" w:fill="auto"/>
            <w:noWrap/>
            <w:vAlign w:val="center"/>
            <w:hideMark/>
          </w:tcPr>
          <w:p w14:paraId="476AADF7"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104,992,113</w:t>
            </w:r>
          </w:p>
        </w:tc>
        <w:tc>
          <w:tcPr>
            <w:tcW w:w="1161" w:type="dxa"/>
            <w:tcBorders>
              <w:top w:val="nil"/>
              <w:left w:val="nil"/>
              <w:bottom w:val="single" w:sz="4" w:space="0" w:color="auto"/>
              <w:right w:val="single" w:sz="4" w:space="0" w:color="auto"/>
            </w:tcBorders>
            <w:shd w:val="clear" w:color="auto" w:fill="auto"/>
            <w:noWrap/>
            <w:vAlign w:val="center"/>
            <w:hideMark/>
          </w:tcPr>
          <w:p w14:paraId="62A0AB54"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422,355,861</w:t>
            </w:r>
          </w:p>
        </w:tc>
      </w:tr>
      <w:tr w:rsidR="00D868AB" w:rsidRPr="00D868AB" w14:paraId="7643A469"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079A3E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92102</w:t>
            </w:r>
          </w:p>
        </w:tc>
        <w:tc>
          <w:tcPr>
            <w:tcW w:w="3473" w:type="dxa"/>
            <w:tcBorders>
              <w:top w:val="nil"/>
              <w:left w:val="nil"/>
              <w:bottom w:val="single" w:sz="4" w:space="0" w:color="auto"/>
              <w:right w:val="single" w:sz="4" w:space="0" w:color="auto"/>
            </w:tcBorders>
            <w:shd w:val="clear" w:color="auto" w:fill="auto"/>
            <w:noWrap/>
            <w:vAlign w:val="center"/>
            <w:hideMark/>
          </w:tcPr>
          <w:p w14:paraId="3591DE0A"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Banobras 7225,7226.</w:t>
            </w:r>
          </w:p>
        </w:tc>
        <w:tc>
          <w:tcPr>
            <w:tcW w:w="1031" w:type="dxa"/>
            <w:tcBorders>
              <w:top w:val="nil"/>
              <w:left w:val="nil"/>
              <w:bottom w:val="single" w:sz="4" w:space="0" w:color="auto"/>
              <w:right w:val="single" w:sz="4" w:space="0" w:color="auto"/>
            </w:tcBorders>
            <w:shd w:val="clear" w:color="auto" w:fill="auto"/>
            <w:noWrap/>
            <w:vAlign w:val="center"/>
            <w:hideMark/>
          </w:tcPr>
          <w:p w14:paraId="37FFE88B"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8,852,992</w:t>
            </w:r>
          </w:p>
        </w:tc>
        <w:tc>
          <w:tcPr>
            <w:tcW w:w="1031" w:type="dxa"/>
            <w:tcBorders>
              <w:top w:val="nil"/>
              <w:left w:val="nil"/>
              <w:bottom w:val="single" w:sz="4" w:space="0" w:color="auto"/>
              <w:right w:val="single" w:sz="4" w:space="0" w:color="auto"/>
            </w:tcBorders>
            <w:shd w:val="clear" w:color="auto" w:fill="auto"/>
            <w:noWrap/>
            <w:vAlign w:val="center"/>
            <w:hideMark/>
          </w:tcPr>
          <w:p w14:paraId="6F88FE33"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9,103,800</w:t>
            </w:r>
          </w:p>
        </w:tc>
        <w:tc>
          <w:tcPr>
            <w:tcW w:w="1031" w:type="dxa"/>
            <w:tcBorders>
              <w:top w:val="nil"/>
              <w:left w:val="nil"/>
              <w:bottom w:val="single" w:sz="4" w:space="0" w:color="auto"/>
              <w:right w:val="single" w:sz="4" w:space="0" w:color="auto"/>
            </w:tcBorders>
            <w:shd w:val="clear" w:color="auto" w:fill="auto"/>
            <w:noWrap/>
            <w:vAlign w:val="center"/>
            <w:hideMark/>
          </w:tcPr>
          <w:p w14:paraId="758CE55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9,245,740</w:t>
            </w:r>
          </w:p>
        </w:tc>
        <w:tc>
          <w:tcPr>
            <w:tcW w:w="1031" w:type="dxa"/>
            <w:tcBorders>
              <w:top w:val="nil"/>
              <w:left w:val="nil"/>
              <w:bottom w:val="single" w:sz="4" w:space="0" w:color="auto"/>
              <w:right w:val="single" w:sz="4" w:space="0" w:color="auto"/>
            </w:tcBorders>
            <w:shd w:val="clear" w:color="auto" w:fill="auto"/>
            <w:noWrap/>
            <w:vAlign w:val="center"/>
            <w:hideMark/>
          </w:tcPr>
          <w:p w14:paraId="3946E2FE"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9,173,258</w:t>
            </w:r>
          </w:p>
        </w:tc>
        <w:tc>
          <w:tcPr>
            <w:tcW w:w="1161" w:type="dxa"/>
            <w:tcBorders>
              <w:top w:val="nil"/>
              <w:left w:val="nil"/>
              <w:bottom w:val="single" w:sz="4" w:space="0" w:color="auto"/>
              <w:right w:val="single" w:sz="4" w:space="0" w:color="auto"/>
            </w:tcBorders>
            <w:shd w:val="clear" w:color="auto" w:fill="auto"/>
            <w:noWrap/>
            <w:vAlign w:val="center"/>
            <w:hideMark/>
          </w:tcPr>
          <w:p w14:paraId="6F7F0083"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36,375,790</w:t>
            </w:r>
          </w:p>
        </w:tc>
      </w:tr>
      <w:tr w:rsidR="00D868AB" w:rsidRPr="00D868AB" w14:paraId="199431E4"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C07560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92103</w:t>
            </w:r>
          </w:p>
        </w:tc>
        <w:tc>
          <w:tcPr>
            <w:tcW w:w="3473" w:type="dxa"/>
            <w:tcBorders>
              <w:top w:val="nil"/>
              <w:left w:val="nil"/>
              <w:bottom w:val="single" w:sz="4" w:space="0" w:color="auto"/>
              <w:right w:val="single" w:sz="4" w:space="0" w:color="auto"/>
            </w:tcBorders>
            <w:shd w:val="clear" w:color="auto" w:fill="auto"/>
            <w:noWrap/>
            <w:vAlign w:val="center"/>
            <w:hideMark/>
          </w:tcPr>
          <w:p w14:paraId="607CAE40"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Banobras 7271,7272.</w:t>
            </w:r>
          </w:p>
        </w:tc>
        <w:tc>
          <w:tcPr>
            <w:tcW w:w="1031" w:type="dxa"/>
            <w:tcBorders>
              <w:top w:val="nil"/>
              <w:left w:val="nil"/>
              <w:bottom w:val="single" w:sz="4" w:space="0" w:color="auto"/>
              <w:right w:val="single" w:sz="4" w:space="0" w:color="auto"/>
            </w:tcBorders>
            <w:shd w:val="clear" w:color="auto" w:fill="auto"/>
            <w:noWrap/>
            <w:vAlign w:val="center"/>
            <w:hideMark/>
          </w:tcPr>
          <w:p w14:paraId="2A35A75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3,980,493</w:t>
            </w:r>
          </w:p>
        </w:tc>
        <w:tc>
          <w:tcPr>
            <w:tcW w:w="1031" w:type="dxa"/>
            <w:tcBorders>
              <w:top w:val="nil"/>
              <w:left w:val="nil"/>
              <w:bottom w:val="single" w:sz="4" w:space="0" w:color="auto"/>
              <w:right w:val="single" w:sz="4" w:space="0" w:color="auto"/>
            </w:tcBorders>
            <w:shd w:val="clear" w:color="auto" w:fill="auto"/>
            <w:noWrap/>
            <w:vAlign w:val="center"/>
            <w:hideMark/>
          </w:tcPr>
          <w:p w14:paraId="67608EA3"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3,930,010</w:t>
            </w:r>
          </w:p>
        </w:tc>
        <w:tc>
          <w:tcPr>
            <w:tcW w:w="1031" w:type="dxa"/>
            <w:tcBorders>
              <w:top w:val="nil"/>
              <w:left w:val="nil"/>
              <w:bottom w:val="single" w:sz="4" w:space="0" w:color="auto"/>
              <w:right w:val="single" w:sz="4" w:space="0" w:color="auto"/>
            </w:tcBorders>
            <w:shd w:val="clear" w:color="auto" w:fill="auto"/>
            <w:noWrap/>
            <w:vAlign w:val="center"/>
            <w:hideMark/>
          </w:tcPr>
          <w:p w14:paraId="7E4CF69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3,914,105</w:t>
            </w:r>
          </w:p>
        </w:tc>
        <w:tc>
          <w:tcPr>
            <w:tcW w:w="1031" w:type="dxa"/>
            <w:tcBorders>
              <w:top w:val="nil"/>
              <w:left w:val="nil"/>
              <w:bottom w:val="single" w:sz="4" w:space="0" w:color="auto"/>
              <w:right w:val="single" w:sz="4" w:space="0" w:color="auto"/>
            </w:tcBorders>
            <w:shd w:val="clear" w:color="auto" w:fill="auto"/>
            <w:noWrap/>
            <w:vAlign w:val="center"/>
            <w:hideMark/>
          </w:tcPr>
          <w:p w14:paraId="699D67A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3,853,112</w:t>
            </w:r>
          </w:p>
        </w:tc>
        <w:tc>
          <w:tcPr>
            <w:tcW w:w="1161" w:type="dxa"/>
            <w:tcBorders>
              <w:top w:val="nil"/>
              <w:left w:val="nil"/>
              <w:bottom w:val="single" w:sz="4" w:space="0" w:color="auto"/>
              <w:right w:val="single" w:sz="4" w:space="0" w:color="auto"/>
            </w:tcBorders>
            <w:shd w:val="clear" w:color="auto" w:fill="auto"/>
            <w:noWrap/>
            <w:vAlign w:val="center"/>
            <w:hideMark/>
          </w:tcPr>
          <w:p w14:paraId="569E7FA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15,677,720</w:t>
            </w:r>
          </w:p>
        </w:tc>
      </w:tr>
      <w:tr w:rsidR="00D868AB" w:rsidRPr="00D868AB" w14:paraId="3E1BDF80"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54AB3D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92104</w:t>
            </w:r>
          </w:p>
        </w:tc>
        <w:tc>
          <w:tcPr>
            <w:tcW w:w="3473" w:type="dxa"/>
            <w:tcBorders>
              <w:top w:val="nil"/>
              <w:left w:val="nil"/>
              <w:bottom w:val="single" w:sz="4" w:space="0" w:color="auto"/>
              <w:right w:val="single" w:sz="4" w:space="0" w:color="auto"/>
            </w:tcBorders>
            <w:shd w:val="clear" w:color="auto" w:fill="auto"/>
            <w:noWrap/>
            <w:vAlign w:val="center"/>
            <w:hideMark/>
          </w:tcPr>
          <w:p w14:paraId="7DE25243"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LP 84108927.</w:t>
            </w:r>
          </w:p>
        </w:tc>
        <w:tc>
          <w:tcPr>
            <w:tcW w:w="1031" w:type="dxa"/>
            <w:tcBorders>
              <w:top w:val="nil"/>
              <w:left w:val="nil"/>
              <w:bottom w:val="single" w:sz="4" w:space="0" w:color="auto"/>
              <w:right w:val="single" w:sz="4" w:space="0" w:color="auto"/>
            </w:tcBorders>
            <w:shd w:val="clear" w:color="auto" w:fill="auto"/>
            <w:noWrap/>
            <w:vAlign w:val="center"/>
            <w:hideMark/>
          </w:tcPr>
          <w:p w14:paraId="6E7ACAA6"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15,813,143</w:t>
            </w:r>
          </w:p>
        </w:tc>
        <w:tc>
          <w:tcPr>
            <w:tcW w:w="1031" w:type="dxa"/>
            <w:tcBorders>
              <w:top w:val="nil"/>
              <w:left w:val="nil"/>
              <w:bottom w:val="single" w:sz="4" w:space="0" w:color="auto"/>
              <w:right w:val="single" w:sz="4" w:space="0" w:color="auto"/>
            </w:tcBorders>
            <w:shd w:val="clear" w:color="auto" w:fill="auto"/>
            <w:noWrap/>
            <w:vAlign w:val="center"/>
            <w:hideMark/>
          </w:tcPr>
          <w:p w14:paraId="77BD3B5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15,256,382</w:t>
            </w:r>
          </w:p>
        </w:tc>
        <w:tc>
          <w:tcPr>
            <w:tcW w:w="1031" w:type="dxa"/>
            <w:tcBorders>
              <w:top w:val="nil"/>
              <w:left w:val="nil"/>
              <w:bottom w:val="single" w:sz="4" w:space="0" w:color="auto"/>
              <w:right w:val="single" w:sz="4" w:space="0" w:color="auto"/>
            </w:tcBorders>
            <w:shd w:val="clear" w:color="auto" w:fill="auto"/>
            <w:noWrap/>
            <w:vAlign w:val="center"/>
            <w:hideMark/>
          </w:tcPr>
          <w:p w14:paraId="31995364"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15,656,392</w:t>
            </w:r>
          </w:p>
        </w:tc>
        <w:tc>
          <w:tcPr>
            <w:tcW w:w="1031" w:type="dxa"/>
            <w:tcBorders>
              <w:top w:val="nil"/>
              <w:left w:val="nil"/>
              <w:bottom w:val="single" w:sz="4" w:space="0" w:color="auto"/>
              <w:right w:val="single" w:sz="4" w:space="0" w:color="auto"/>
            </w:tcBorders>
            <w:shd w:val="clear" w:color="auto" w:fill="auto"/>
            <w:noWrap/>
            <w:vAlign w:val="center"/>
            <w:hideMark/>
          </w:tcPr>
          <w:p w14:paraId="6220E962"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15,723,853</w:t>
            </w:r>
          </w:p>
        </w:tc>
        <w:tc>
          <w:tcPr>
            <w:tcW w:w="1161" w:type="dxa"/>
            <w:tcBorders>
              <w:top w:val="nil"/>
              <w:left w:val="nil"/>
              <w:bottom w:val="single" w:sz="4" w:space="0" w:color="auto"/>
              <w:right w:val="single" w:sz="4" w:space="0" w:color="auto"/>
            </w:tcBorders>
            <w:shd w:val="clear" w:color="auto" w:fill="auto"/>
            <w:noWrap/>
            <w:vAlign w:val="center"/>
            <w:hideMark/>
          </w:tcPr>
          <w:p w14:paraId="23A64E7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62,449,770</w:t>
            </w:r>
          </w:p>
        </w:tc>
      </w:tr>
      <w:tr w:rsidR="00D868AB" w:rsidRPr="00D868AB" w14:paraId="77DDAB85"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E5A0FE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92105</w:t>
            </w:r>
          </w:p>
        </w:tc>
        <w:tc>
          <w:tcPr>
            <w:tcW w:w="3473" w:type="dxa"/>
            <w:tcBorders>
              <w:top w:val="nil"/>
              <w:left w:val="nil"/>
              <w:bottom w:val="single" w:sz="4" w:space="0" w:color="auto"/>
              <w:right w:val="single" w:sz="4" w:space="0" w:color="auto"/>
            </w:tcBorders>
            <w:shd w:val="clear" w:color="auto" w:fill="auto"/>
            <w:noWrap/>
            <w:vAlign w:val="center"/>
            <w:hideMark/>
          </w:tcPr>
          <w:p w14:paraId="70213263"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Banobras 10487.</w:t>
            </w:r>
          </w:p>
        </w:tc>
        <w:tc>
          <w:tcPr>
            <w:tcW w:w="1031" w:type="dxa"/>
            <w:tcBorders>
              <w:top w:val="nil"/>
              <w:left w:val="nil"/>
              <w:bottom w:val="single" w:sz="4" w:space="0" w:color="auto"/>
              <w:right w:val="single" w:sz="4" w:space="0" w:color="auto"/>
            </w:tcBorders>
            <w:shd w:val="clear" w:color="auto" w:fill="auto"/>
            <w:noWrap/>
            <w:vAlign w:val="center"/>
            <w:hideMark/>
          </w:tcPr>
          <w:p w14:paraId="4496EA83"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6,258,132</w:t>
            </w:r>
          </w:p>
        </w:tc>
        <w:tc>
          <w:tcPr>
            <w:tcW w:w="1031" w:type="dxa"/>
            <w:tcBorders>
              <w:top w:val="nil"/>
              <w:left w:val="nil"/>
              <w:bottom w:val="single" w:sz="4" w:space="0" w:color="auto"/>
              <w:right w:val="single" w:sz="4" w:space="0" w:color="auto"/>
            </w:tcBorders>
            <w:shd w:val="clear" w:color="auto" w:fill="auto"/>
            <w:noWrap/>
            <w:vAlign w:val="center"/>
            <w:hideMark/>
          </w:tcPr>
          <w:p w14:paraId="6CAF88D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6,128,820</w:t>
            </w:r>
          </w:p>
        </w:tc>
        <w:tc>
          <w:tcPr>
            <w:tcW w:w="1031" w:type="dxa"/>
            <w:tcBorders>
              <w:top w:val="nil"/>
              <w:left w:val="nil"/>
              <w:bottom w:val="single" w:sz="4" w:space="0" w:color="auto"/>
              <w:right w:val="single" w:sz="4" w:space="0" w:color="auto"/>
            </w:tcBorders>
            <w:shd w:val="clear" w:color="auto" w:fill="auto"/>
            <w:noWrap/>
            <w:vAlign w:val="center"/>
            <w:hideMark/>
          </w:tcPr>
          <w:p w14:paraId="2520A2F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6,196,170</w:t>
            </w:r>
          </w:p>
        </w:tc>
        <w:tc>
          <w:tcPr>
            <w:tcW w:w="1031" w:type="dxa"/>
            <w:tcBorders>
              <w:top w:val="nil"/>
              <w:left w:val="nil"/>
              <w:bottom w:val="single" w:sz="4" w:space="0" w:color="auto"/>
              <w:right w:val="single" w:sz="4" w:space="0" w:color="auto"/>
            </w:tcBorders>
            <w:shd w:val="clear" w:color="auto" w:fill="auto"/>
            <w:noWrap/>
            <w:vAlign w:val="center"/>
            <w:hideMark/>
          </w:tcPr>
          <w:p w14:paraId="70191DC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6,196,171</w:t>
            </w:r>
          </w:p>
        </w:tc>
        <w:tc>
          <w:tcPr>
            <w:tcW w:w="1161" w:type="dxa"/>
            <w:tcBorders>
              <w:top w:val="nil"/>
              <w:left w:val="nil"/>
              <w:bottom w:val="single" w:sz="4" w:space="0" w:color="auto"/>
              <w:right w:val="single" w:sz="4" w:space="0" w:color="auto"/>
            </w:tcBorders>
            <w:shd w:val="clear" w:color="auto" w:fill="auto"/>
            <w:noWrap/>
            <w:vAlign w:val="center"/>
            <w:hideMark/>
          </w:tcPr>
          <w:p w14:paraId="0E97FD5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24,779,293</w:t>
            </w:r>
          </w:p>
        </w:tc>
      </w:tr>
      <w:tr w:rsidR="00D868AB" w:rsidRPr="00D868AB" w14:paraId="2E2FB401"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0E09F5C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92106</w:t>
            </w:r>
          </w:p>
        </w:tc>
        <w:tc>
          <w:tcPr>
            <w:tcW w:w="3473" w:type="dxa"/>
            <w:tcBorders>
              <w:top w:val="nil"/>
              <w:left w:val="nil"/>
              <w:bottom w:val="single" w:sz="4" w:space="0" w:color="auto"/>
              <w:right w:val="single" w:sz="4" w:space="0" w:color="auto"/>
            </w:tcBorders>
            <w:shd w:val="clear" w:color="auto" w:fill="auto"/>
            <w:noWrap/>
            <w:vAlign w:val="center"/>
            <w:hideMark/>
          </w:tcPr>
          <w:p w14:paraId="2F264223"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LP 315037.</w:t>
            </w:r>
          </w:p>
        </w:tc>
        <w:tc>
          <w:tcPr>
            <w:tcW w:w="1031" w:type="dxa"/>
            <w:tcBorders>
              <w:top w:val="nil"/>
              <w:left w:val="nil"/>
              <w:bottom w:val="single" w:sz="4" w:space="0" w:color="auto"/>
              <w:right w:val="single" w:sz="4" w:space="0" w:color="auto"/>
            </w:tcBorders>
            <w:shd w:val="clear" w:color="auto" w:fill="auto"/>
            <w:noWrap/>
            <w:vAlign w:val="center"/>
            <w:hideMark/>
          </w:tcPr>
          <w:p w14:paraId="69C3FBB3"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7,543,617</w:t>
            </w:r>
          </w:p>
        </w:tc>
        <w:tc>
          <w:tcPr>
            <w:tcW w:w="1031" w:type="dxa"/>
            <w:tcBorders>
              <w:top w:val="nil"/>
              <w:left w:val="nil"/>
              <w:bottom w:val="single" w:sz="4" w:space="0" w:color="auto"/>
              <w:right w:val="single" w:sz="4" w:space="0" w:color="auto"/>
            </w:tcBorders>
            <w:shd w:val="clear" w:color="auto" w:fill="auto"/>
            <w:noWrap/>
            <w:vAlign w:val="center"/>
            <w:hideMark/>
          </w:tcPr>
          <w:p w14:paraId="1E9BEAB4"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7,599,312</w:t>
            </w:r>
          </w:p>
        </w:tc>
        <w:tc>
          <w:tcPr>
            <w:tcW w:w="1031" w:type="dxa"/>
            <w:tcBorders>
              <w:top w:val="nil"/>
              <w:left w:val="nil"/>
              <w:bottom w:val="single" w:sz="4" w:space="0" w:color="auto"/>
              <w:right w:val="single" w:sz="4" w:space="0" w:color="auto"/>
            </w:tcBorders>
            <w:shd w:val="clear" w:color="auto" w:fill="auto"/>
            <w:noWrap/>
            <w:vAlign w:val="center"/>
            <w:hideMark/>
          </w:tcPr>
          <w:p w14:paraId="5E87CBB6"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7,793,202</w:t>
            </w:r>
          </w:p>
        </w:tc>
        <w:tc>
          <w:tcPr>
            <w:tcW w:w="1031" w:type="dxa"/>
            <w:tcBorders>
              <w:top w:val="nil"/>
              <w:left w:val="nil"/>
              <w:bottom w:val="single" w:sz="4" w:space="0" w:color="auto"/>
              <w:right w:val="single" w:sz="4" w:space="0" w:color="auto"/>
            </w:tcBorders>
            <w:shd w:val="clear" w:color="auto" w:fill="auto"/>
            <w:noWrap/>
            <w:vAlign w:val="center"/>
            <w:hideMark/>
          </w:tcPr>
          <w:p w14:paraId="1A9EFA8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7,824,388</w:t>
            </w:r>
          </w:p>
        </w:tc>
        <w:tc>
          <w:tcPr>
            <w:tcW w:w="1161" w:type="dxa"/>
            <w:tcBorders>
              <w:top w:val="nil"/>
              <w:left w:val="nil"/>
              <w:bottom w:val="single" w:sz="4" w:space="0" w:color="auto"/>
              <w:right w:val="single" w:sz="4" w:space="0" w:color="auto"/>
            </w:tcBorders>
            <w:shd w:val="clear" w:color="auto" w:fill="auto"/>
            <w:noWrap/>
            <w:vAlign w:val="center"/>
            <w:hideMark/>
          </w:tcPr>
          <w:p w14:paraId="5FFDFF1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30,760,519</w:t>
            </w:r>
          </w:p>
        </w:tc>
      </w:tr>
      <w:tr w:rsidR="00D868AB" w:rsidRPr="00D868AB" w14:paraId="2432CAC4"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719490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92107</w:t>
            </w:r>
          </w:p>
        </w:tc>
        <w:tc>
          <w:tcPr>
            <w:tcW w:w="3473" w:type="dxa"/>
            <w:tcBorders>
              <w:top w:val="nil"/>
              <w:left w:val="nil"/>
              <w:bottom w:val="single" w:sz="4" w:space="0" w:color="auto"/>
              <w:right w:val="single" w:sz="4" w:space="0" w:color="auto"/>
            </w:tcBorders>
            <w:shd w:val="clear" w:color="auto" w:fill="auto"/>
            <w:noWrap/>
            <w:vAlign w:val="center"/>
            <w:hideMark/>
          </w:tcPr>
          <w:p w14:paraId="20127F83"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Banobras 11126,11282.</w:t>
            </w:r>
          </w:p>
        </w:tc>
        <w:tc>
          <w:tcPr>
            <w:tcW w:w="1031" w:type="dxa"/>
            <w:tcBorders>
              <w:top w:val="nil"/>
              <w:left w:val="nil"/>
              <w:bottom w:val="single" w:sz="4" w:space="0" w:color="auto"/>
              <w:right w:val="single" w:sz="4" w:space="0" w:color="auto"/>
            </w:tcBorders>
            <w:shd w:val="clear" w:color="auto" w:fill="auto"/>
            <w:noWrap/>
            <w:vAlign w:val="center"/>
            <w:hideMark/>
          </w:tcPr>
          <w:p w14:paraId="00B2777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3,699,902</w:t>
            </w:r>
          </w:p>
        </w:tc>
        <w:tc>
          <w:tcPr>
            <w:tcW w:w="1031" w:type="dxa"/>
            <w:tcBorders>
              <w:top w:val="nil"/>
              <w:left w:val="nil"/>
              <w:bottom w:val="single" w:sz="4" w:space="0" w:color="auto"/>
              <w:right w:val="single" w:sz="4" w:space="0" w:color="auto"/>
            </w:tcBorders>
            <w:shd w:val="clear" w:color="auto" w:fill="auto"/>
            <w:noWrap/>
            <w:vAlign w:val="center"/>
            <w:hideMark/>
          </w:tcPr>
          <w:p w14:paraId="599DF6E2"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3,639,925</w:t>
            </w:r>
          </w:p>
        </w:tc>
        <w:tc>
          <w:tcPr>
            <w:tcW w:w="1031" w:type="dxa"/>
            <w:tcBorders>
              <w:top w:val="nil"/>
              <w:left w:val="nil"/>
              <w:bottom w:val="single" w:sz="4" w:space="0" w:color="auto"/>
              <w:right w:val="single" w:sz="4" w:space="0" w:color="auto"/>
            </w:tcBorders>
            <w:shd w:val="clear" w:color="auto" w:fill="auto"/>
            <w:noWrap/>
            <w:vAlign w:val="center"/>
            <w:hideMark/>
          </w:tcPr>
          <w:p w14:paraId="1C15101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3,679,925</w:t>
            </w:r>
          </w:p>
        </w:tc>
        <w:tc>
          <w:tcPr>
            <w:tcW w:w="1031" w:type="dxa"/>
            <w:tcBorders>
              <w:top w:val="nil"/>
              <w:left w:val="nil"/>
              <w:bottom w:val="single" w:sz="4" w:space="0" w:color="auto"/>
              <w:right w:val="single" w:sz="4" w:space="0" w:color="auto"/>
            </w:tcBorders>
            <w:shd w:val="clear" w:color="auto" w:fill="auto"/>
            <w:noWrap/>
            <w:vAlign w:val="center"/>
            <w:hideMark/>
          </w:tcPr>
          <w:p w14:paraId="6F1765C6"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3,679,925</w:t>
            </w:r>
          </w:p>
        </w:tc>
        <w:tc>
          <w:tcPr>
            <w:tcW w:w="1161" w:type="dxa"/>
            <w:tcBorders>
              <w:top w:val="nil"/>
              <w:left w:val="nil"/>
              <w:bottom w:val="single" w:sz="4" w:space="0" w:color="auto"/>
              <w:right w:val="single" w:sz="4" w:space="0" w:color="auto"/>
            </w:tcBorders>
            <w:shd w:val="clear" w:color="auto" w:fill="auto"/>
            <w:noWrap/>
            <w:vAlign w:val="center"/>
            <w:hideMark/>
          </w:tcPr>
          <w:p w14:paraId="6FA83CD6"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14,699,677</w:t>
            </w:r>
          </w:p>
        </w:tc>
      </w:tr>
      <w:tr w:rsidR="00D868AB" w:rsidRPr="00D868AB" w14:paraId="70DED430"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B997FC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92108</w:t>
            </w:r>
          </w:p>
        </w:tc>
        <w:tc>
          <w:tcPr>
            <w:tcW w:w="3473" w:type="dxa"/>
            <w:tcBorders>
              <w:top w:val="nil"/>
              <w:left w:val="nil"/>
              <w:bottom w:val="single" w:sz="4" w:space="0" w:color="auto"/>
              <w:right w:val="single" w:sz="4" w:space="0" w:color="auto"/>
            </w:tcBorders>
            <w:shd w:val="clear" w:color="auto" w:fill="auto"/>
            <w:noWrap/>
            <w:vAlign w:val="center"/>
            <w:hideMark/>
          </w:tcPr>
          <w:p w14:paraId="5AC775BE"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Banobras 11149.</w:t>
            </w:r>
          </w:p>
        </w:tc>
        <w:tc>
          <w:tcPr>
            <w:tcW w:w="1031" w:type="dxa"/>
            <w:tcBorders>
              <w:top w:val="nil"/>
              <w:left w:val="nil"/>
              <w:bottom w:val="single" w:sz="4" w:space="0" w:color="auto"/>
              <w:right w:val="single" w:sz="4" w:space="0" w:color="auto"/>
            </w:tcBorders>
            <w:shd w:val="clear" w:color="auto" w:fill="auto"/>
            <w:noWrap/>
            <w:vAlign w:val="center"/>
            <w:hideMark/>
          </w:tcPr>
          <w:p w14:paraId="30FCD74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12,490,846</w:t>
            </w:r>
          </w:p>
        </w:tc>
        <w:tc>
          <w:tcPr>
            <w:tcW w:w="1031" w:type="dxa"/>
            <w:tcBorders>
              <w:top w:val="nil"/>
              <w:left w:val="nil"/>
              <w:bottom w:val="single" w:sz="4" w:space="0" w:color="auto"/>
              <w:right w:val="single" w:sz="4" w:space="0" w:color="auto"/>
            </w:tcBorders>
            <w:shd w:val="clear" w:color="auto" w:fill="auto"/>
            <w:noWrap/>
            <w:vAlign w:val="center"/>
            <w:hideMark/>
          </w:tcPr>
          <w:p w14:paraId="6EDCD10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12,615,017</w:t>
            </w:r>
          </w:p>
        </w:tc>
        <w:tc>
          <w:tcPr>
            <w:tcW w:w="1031" w:type="dxa"/>
            <w:tcBorders>
              <w:top w:val="nil"/>
              <w:left w:val="nil"/>
              <w:bottom w:val="single" w:sz="4" w:space="0" w:color="auto"/>
              <w:right w:val="single" w:sz="4" w:space="0" w:color="auto"/>
            </w:tcBorders>
            <w:shd w:val="clear" w:color="auto" w:fill="auto"/>
            <w:noWrap/>
            <w:vAlign w:val="center"/>
            <w:hideMark/>
          </w:tcPr>
          <w:p w14:paraId="284B155E"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12,803,967</w:t>
            </w:r>
          </w:p>
        </w:tc>
        <w:tc>
          <w:tcPr>
            <w:tcW w:w="1031" w:type="dxa"/>
            <w:tcBorders>
              <w:top w:val="nil"/>
              <w:left w:val="nil"/>
              <w:bottom w:val="single" w:sz="4" w:space="0" w:color="auto"/>
              <w:right w:val="single" w:sz="4" w:space="0" w:color="auto"/>
            </w:tcBorders>
            <w:shd w:val="clear" w:color="auto" w:fill="auto"/>
            <w:noWrap/>
            <w:vAlign w:val="center"/>
            <w:hideMark/>
          </w:tcPr>
          <w:p w14:paraId="637F705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12,707,305</w:t>
            </w:r>
          </w:p>
        </w:tc>
        <w:tc>
          <w:tcPr>
            <w:tcW w:w="1161" w:type="dxa"/>
            <w:tcBorders>
              <w:top w:val="nil"/>
              <w:left w:val="nil"/>
              <w:bottom w:val="single" w:sz="4" w:space="0" w:color="auto"/>
              <w:right w:val="single" w:sz="4" w:space="0" w:color="auto"/>
            </w:tcBorders>
            <w:shd w:val="clear" w:color="auto" w:fill="auto"/>
            <w:noWrap/>
            <w:vAlign w:val="center"/>
            <w:hideMark/>
          </w:tcPr>
          <w:p w14:paraId="2B04C3F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50,617,135</w:t>
            </w:r>
          </w:p>
        </w:tc>
      </w:tr>
      <w:tr w:rsidR="00D868AB" w:rsidRPr="00D868AB" w14:paraId="705A52ED"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F7F202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92110</w:t>
            </w:r>
          </w:p>
        </w:tc>
        <w:tc>
          <w:tcPr>
            <w:tcW w:w="3473" w:type="dxa"/>
            <w:tcBorders>
              <w:top w:val="nil"/>
              <w:left w:val="nil"/>
              <w:bottom w:val="single" w:sz="4" w:space="0" w:color="auto"/>
              <w:right w:val="single" w:sz="4" w:space="0" w:color="auto"/>
            </w:tcBorders>
            <w:shd w:val="clear" w:color="auto" w:fill="auto"/>
            <w:noWrap/>
            <w:vAlign w:val="center"/>
            <w:hideMark/>
          </w:tcPr>
          <w:p w14:paraId="3B00AB5E"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BBVA (9863672986).</w:t>
            </w:r>
          </w:p>
        </w:tc>
        <w:tc>
          <w:tcPr>
            <w:tcW w:w="1031" w:type="dxa"/>
            <w:tcBorders>
              <w:top w:val="nil"/>
              <w:left w:val="nil"/>
              <w:bottom w:val="single" w:sz="4" w:space="0" w:color="auto"/>
              <w:right w:val="single" w:sz="4" w:space="0" w:color="auto"/>
            </w:tcBorders>
            <w:shd w:val="clear" w:color="auto" w:fill="auto"/>
            <w:noWrap/>
            <w:vAlign w:val="center"/>
            <w:hideMark/>
          </w:tcPr>
          <w:p w14:paraId="23BB080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15,566,043</w:t>
            </w:r>
          </w:p>
        </w:tc>
        <w:tc>
          <w:tcPr>
            <w:tcW w:w="1031" w:type="dxa"/>
            <w:tcBorders>
              <w:top w:val="nil"/>
              <w:left w:val="nil"/>
              <w:bottom w:val="single" w:sz="4" w:space="0" w:color="auto"/>
              <w:right w:val="single" w:sz="4" w:space="0" w:color="auto"/>
            </w:tcBorders>
            <w:shd w:val="clear" w:color="auto" w:fill="auto"/>
            <w:noWrap/>
            <w:vAlign w:val="center"/>
            <w:hideMark/>
          </w:tcPr>
          <w:p w14:paraId="592F7D9C"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15,961,022</w:t>
            </w:r>
          </w:p>
        </w:tc>
        <w:tc>
          <w:tcPr>
            <w:tcW w:w="1031" w:type="dxa"/>
            <w:tcBorders>
              <w:top w:val="nil"/>
              <w:left w:val="nil"/>
              <w:bottom w:val="single" w:sz="4" w:space="0" w:color="auto"/>
              <w:right w:val="single" w:sz="4" w:space="0" w:color="auto"/>
            </w:tcBorders>
            <w:shd w:val="clear" w:color="auto" w:fill="auto"/>
            <w:noWrap/>
            <w:vAlign w:val="center"/>
            <w:hideMark/>
          </w:tcPr>
          <w:p w14:paraId="0DF2A2B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16,331,915</w:t>
            </w:r>
          </w:p>
        </w:tc>
        <w:tc>
          <w:tcPr>
            <w:tcW w:w="1031" w:type="dxa"/>
            <w:tcBorders>
              <w:top w:val="nil"/>
              <w:left w:val="nil"/>
              <w:bottom w:val="single" w:sz="4" w:space="0" w:color="auto"/>
              <w:right w:val="single" w:sz="4" w:space="0" w:color="auto"/>
            </w:tcBorders>
            <w:shd w:val="clear" w:color="auto" w:fill="auto"/>
            <w:noWrap/>
            <w:vAlign w:val="center"/>
            <w:hideMark/>
          </w:tcPr>
          <w:p w14:paraId="30580BB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16,336,929</w:t>
            </w:r>
          </w:p>
        </w:tc>
        <w:tc>
          <w:tcPr>
            <w:tcW w:w="1161" w:type="dxa"/>
            <w:tcBorders>
              <w:top w:val="nil"/>
              <w:left w:val="nil"/>
              <w:bottom w:val="single" w:sz="4" w:space="0" w:color="auto"/>
              <w:right w:val="single" w:sz="4" w:space="0" w:color="auto"/>
            </w:tcBorders>
            <w:shd w:val="clear" w:color="auto" w:fill="auto"/>
            <w:noWrap/>
            <w:vAlign w:val="center"/>
            <w:hideMark/>
          </w:tcPr>
          <w:p w14:paraId="3CC518E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64,195,909</w:t>
            </w:r>
          </w:p>
        </w:tc>
      </w:tr>
      <w:tr w:rsidR="00D868AB" w:rsidRPr="00D868AB" w14:paraId="4107BFCB"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42C409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92119</w:t>
            </w:r>
          </w:p>
        </w:tc>
        <w:tc>
          <w:tcPr>
            <w:tcW w:w="3473" w:type="dxa"/>
            <w:tcBorders>
              <w:top w:val="nil"/>
              <w:left w:val="nil"/>
              <w:bottom w:val="single" w:sz="4" w:space="0" w:color="auto"/>
              <w:right w:val="single" w:sz="4" w:space="0" w:color="auto"/>
            </w:tcBorders>
            <w:shd w:val="clear" w:color="auto" w:fill="auto"/>
            <w:noWrap/>
            <w:vAlign w:val="center"/>
            <w:hideMark/>
          </w:tcPr>
          <w:p w14:paraId="40B6A950"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Banorte 84908305.</w:t>
            </w:r>
          </w:p>
        </w:tc>
        <w:tc>
          <w:tcPr>
            <w:tcW w:w="1031" w:type="dxa"/>
            <w:tcBorders>
              <w:top w:val="nil"/>
              <w:left w:val="nil"/>
              <w:bottom w:val="single" w:sz="4" w:space="0" w:color="auto"/>
              <w:right w:val="single" w:sz="4" w:space="0" w:color="auto"/>
            </w:tcBorders>
            <w:shd w:val="clear" w:color="auto" w:fill="auto"/>
            <w:noWrap/>
            <w:vAlign w:val="center"/>
            <w:hideMark/>
          </w:tcPr>
          <w:p w14:paraId="3A8A2E57"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17,630,159</w:t>
            </w:r>
          </w:p>
        </w:tc>
        <w:tc>
          <w:tcPr>
            <w:tcW w:w="1031" w:type="dxa"/>
            <w:tcBorders>
              <w:top w:val="nil"/>
              <w:left w:val="nil"/>
              <w:bottom w:val="single" w:sz="4" w:space="0" w:color="auto"/>
              <w:right w:val="single" w:sz="4" w:space="0" w:color="auto"/>
            </w:tcBorders>
            <w:shd w:val="clear" w:color="auto" w:fill="auto"/>
            <w:noWrap/>
            <w:vAlign w:val="center"/>
            <w:hideMark/>
          </w:tcPr>
          <w:p w14:paraId="622095F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18,219,569</w:t>
            </w:r>
          </w:p>
        </w:tc>
        <w:tc>
          <w:tcPr>
            <w:tcW w:w="1031" w:type="dxa"/>
            <w:tcBorders>
              <w:top w:val="nil"/>
              <w:left w:val="nil"/>
              <w:bottom w:val="single" w:sz="4" w:space="0" w:color="auto"/>
              <w:right w:val="single" w:sz="4" w:space="0" w:color="auto"/>
            </w:tcBorders>
            <w:shd w:val="clear" w:color="auto" w:fill="auto"/>
            <w:noWrap/>
            <w:vAlign w:val="center"/>
            <w:hideMark/>
          </w:tcPr>
          <w:p w14:paraId="1727420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18,451,070</w:t>
            </w:r>
          </w:p>
        </w:tc>
        <w:tc>
          <w:tcPr>
            <w:tcW w:w="1031" w:type="dxa"/>
            <w:tcBorders>
              <w:top w:val="nil"/>
              <w:left w:val="nil"/>
              <w:bottom w:val="single" w:sz="4" w:space="0" w:color="auto"/>
              <w:right w:val="single" w:sz="4" w:space="0" w:color="auto"/>
            </w:tcBorders>
            <w:shd w:val="clear" w:color="auto" w:fill="auto"/>
            <w:noWrap/>
            <w:vAlign w:val="center"/>
            <w:hideMark/>
          </w:tcPr>
          <w:p w14:paraId="581D2A69"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18,257,318</w:t>
            </w:r>
          </w:p>
        </w:tc>
        <w:tc>
          <w:tcPr>
            <w:tcW w:w="1161" w:type="dxa"/>
            <w:tcBorders>
              <w:top w:val="nil"/>
              <w:left w:val="nil"/>
              <w:bottom w:val="single" w:sz="4" w:space="0" w:color="auto"/>
              <w:right w:val="single" w:sz="4" w:space="0" w:color="auto"/>
            </w:tcBorders>
            <w:shd w:val="clear" w:color="auto" w:fill="auto"/>
            <w:noWrap/>
            <w:vAlign w:val="center"/>
            <w:hideMark/>
          </w:tcPr>
          <w:p w14:paraId="71F0E17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72,558,116</w:t>
            </w:r>
          </w:p>
        </w:tc>
      </w:tr>
      <w:tr w:rsidR="00D868AB" w:rsidRPr="00D868AB" w14:paraId="3529F1EA"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6155B5E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92123</w:t>
            </w:r>
          </w:p>
        </w:tc>
        <w:tc>
          <w:tcPr>
            <w:tcW w:w="3473" w:type="dxa"/>
            <w:tcBorders>
              <w:top w:val="nil"/>
              <w:left w:val="nil"/>
              <w:bottom w:val="single" w:sz="4" w:space="0" w:color="auto"/>
              <w:right w:val="single" w:sz="4" w:space="0" w:color="auto"/>
            </w:tcBorders>
            <w:shd w:val="clear" w:color="auto" w:fill="auto"/>
            <w:noWrap/>
            <w:vAlign w:val="center"/>
            <w:hideMark/>
          </w:tcPr>
          <w:p w14:paraId="3030FD25"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Banobras 13451.</w:t>
            </w:r>
          </w:p>
        </w:tc>
        <w:tc>
          <w:tcPr>
            <w:tcW w:w="1031" w:type="dxa"/>
            <w:tcBorders>
              <w:top w:val="nil"/>
              <w:left w:val="nil"/>
              <w:bottom w:val="single" w:sz="4" w:space="0" w:color="auto"/>
              <w:right w:val="single" w:sz="4" w:space="0" w:color="auto"/>
            </w:tcBorders>
            <w:shd w:val="clear" w:color="auto" w:fill="auto"/>
            <w:noWrap/>
            <w:vAlign w:val="center"/>
            <w:hideMark/>
          </w:tcPr>
          <w:p w14:paraId="626C492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10,675,040</w:t>
            </w:r>
          </w:p>
        </w:tc>
        <w:tc>
          <w:tcPr>
            <w:tcW w:w="1031" w:type="dxa"/>
            <w:tcBorders>
              <w:top w:val="nil"/>
              <w:left w:val="nil"/>
              <w:bottom w:val="single" w:sz="4" w:space="0" w:color="auto"/>
              <w:right w:val="single" w:sz="4" w:space="0" w:color="auto"/>
            </w:tcBorders>
            <w:shd w:val="clear" w:color="auto" w:fill="auto"/>
            <w:noWrap/>
            <w:vAlign w:val="center"/>
            <w:hideMark/>
          </w:tcPr>
          <w:p w14:paraId="6F407A9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10,911,204</w:t>
            </w:r>
          </w:p>
        </w:tc>
        <w:tc>
          <w:tcPr>
            <w:tcW w:w="1031" w:type="dxa"/>
            <w:tcBorders>
              <w:top w:val="nil"/>
              <w:left w:val="nil"/>
              <w:bottom w:val="single" w:sz="4" w:space="0" w:color="auto"/>
              <w:right w:val="single" w:sz="4" w:space="0" w:color="auto"/>
            </w:tcBorders>
            <w:shd w:val="clear" w:color="auto" w:fill="auto"/>
            <w:noWrap/>
            <w:vAlign w:val="center"/>
            <w:hideMark/>
          </w:tcPr>
          <w:p w14:paraId="17AD0AD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11,200,160</w:t>
            </w:r>
          </w:p>
        </w:tc>
        <w:tc>
          <w:tcPr>
            <w:tcW w:w="1031" w:type="dxa"/>
            <w:tcBorders>
              <w:top w:val="nil"/>
              <w:left w:val="nil"/>
              <w:bottom w:val="single" w:sz="4" w:space="0" w:color="auto"/>
              <w:right w:val="single" w:sz="4" w:space="0" w:color="auto"/>
            </w:tcBorders>
            <w:shd w:val="clear" w:color="auto" w:fill="auto"/>
            <w:noWrap/>
            <w:vAlign w:val="center"/>
            <w:hideMark/>
          </w:tcPr>
          <w:p w14:paraId="6485B54B"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11,239,854</w:t>
            </w:r>
          </w:p>
        </w:tc>
        <w:tc>
          <w:tcPr>
            <w:tcW w:w="1161" w:type="dxa"/>
            <w:tcBorders>
              <w:top w:val="nil"/>
              <w:left w:val="nil"/>
              <w:bottom w:val="single" w:sz="4" w:space="0" w:color="auto"/>
              <w:right w:val="single" w:sz="4" w:space="0" w:color="auto"/>
            </w:tcBorders>
            <w:shd w:val="clear" w:color="auto" w:fill="auto"/>
            <w:noWrap/>
            <w:vAlign w:val="center"/>
            <w:hideMark/>
          </w:tcPr>
          <w:p w14:paraId="7888DA4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44,026,258</w:t>
            </w:r>
          </w:p>
        </w:tc>
      </w:tr>
      <w:tr w:rsidR="00D868AB" w:rsidRPr="00D868AB" w14:paraId="63A4BE20"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532730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92189</w:t>
            </w:r>
          </w:p>
        </w:tc>
        <w:tc>
          <w:tcPr>
            <w:tcW w:w="3473" w:type="dxa"/>
            <w:tcBorders>
              <w:top w:val="nil"/>
              <w:left w:val="nil"/>
              <w:bottom w:val="single" w:sz="4" w:space="0" w:color="auto"/>
              <w:right w:val="single" w:sz="4" w:space="0" w:color="auto"/>
            </w:tcBorders>
            <w:shd w:val="clear" w:color="auto" w:fill="auto"/>
            <w:noWrap/>
            <w:vAlign w:val="center"/>
            <w:hideMark/>
          </w:tcPr>
          <w:p w14:paraId="1B7499C9"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CP Afirme 307586488.</w:t>
            </w:r>
          </w:p>
        </w:tc>
        <w:tc>
          <w:tcPr>
            <w:tcW w:w="1031" w:type="dxa"/>
            <w:tcBorders>
              <w:top w:val="nil"/>
              <w:left w:val="nil"/>
              <w:bottom w:val="single" w:sz="4" w:space="0" w:color="auto"/>
              <w:right w:val="single" w:sz="4" w:space="0" w:color="auto"/>
            </w:tcBorders>
            <w:shd w:val="clear" w:color="auto" w:fill="auto"/>
            <w:noWrap/>
            <w:vAlign w:val="center"/>
            <w:hideMark/>
          </w:tcPr>
          <w:p w14:paraId="633C624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80,894</w:t>
            </w:r>
          </w:p>
        </w:tc>
        <w:tc>
          <w:tcPr>
            <w:tcW w:w="1031" w:type="dxa"/>
            <w:tcBorders>
              <w:top w:val="nil"/>
              <w:left w:val="nil"/>
              <w:bottom w:val="single" w:sz="4" w:space="0" w:color="auto"/>
              <w:right w:val="single" w:sz="4" w:space="0" w:color="auto"/>
            </w:tcBorders>
            <w:shd w:val="clear" w:color="auto" w:fill="auto"/>
            <w:noWrap/>
            <w:vAlign w:val="center"/>
            <w:hideMark/>
          </w:tcPr>
          <w:p w14:paraId="1E920DDD"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642A9E3E"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52058AE3"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161" w:type="dxa"/>
            <w:tcBorders>
              <w:top w:val="nil"/>
              <w:left w:val="nil"/>
              <w:bottom w:val="single" w:sz="4" w:space="0" w:color="auto"/>
              <w:right w:val="single" w:sz="4" w:space="0" w:color="auto"/>
            </w:tcBorders>
            <w:shd w:val="clear" w:color="auto" w:fill="auto"/>
            <w:noWrap/>
            <w:vAlign w:val="center"/>
            <w:hideMark/>
          </w:tcPr>
          <w:p w14:paraId="39AE028D"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80,894</w:t>
            </w:r>
          </w:p>
        </w:tc>
      </w:tr>
      <w:tr w:rsidR="00D868AB" w:rsidRPr="00D868AB" w14:paraId="1718AF2E"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421EC8D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92190</w:t>
            </w:r>
          </w:p>
        </w:tc>
        <w:tc>
          <w:tcPr>
            <w:tcW w:w="3473" w:type="dxa"/>
            <w:tcBorders>
              <w:top w:val="nil"/>
              <w:left w:val="nil"/>
              <w:bottom w:val="single" w:sz="4" w:space="0" w:color="auto"/>
              <w:right w:val="single" w:sz="4" w:space="0" w:color="auto"/>
            </w:tcBorders>
            <w:shd w:val="clear" w:color="auto" w:fill="auto"/>
            <w:noWrap/>
            <w:vAlign w:val="center"/>
            <w:hideMark/>
          </w:tcPr>
          <w:p w14:paraId="320B9335"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CP Banorte 87149899.</w:t>
            </w:r>
          </w:p>
        </w:tc>
        <w:tc>
          <w:tcPr>
            <w:tcW w:w="1031" w:type="dxa"/>
            <w:tcBorders>
              <w:top w:val="nil"/>
              <w:left w:val="nil"/>
              <w:bottom w:val="single" w:sz="4" w:space="0" w:color="auto"/>
              <w:right w:val="single" w:sz="4" w:space="0" w:color="auto"/>
            </w:tcBorders>
            <w:shd w:val="clear" w:color="auto" w:fill="auto"/>
            <w:noWrap/>
            <w:vAlign w:val="center"/>
            <w:hideMark/>
          </w:tcPr>
          <w:p w14:paraId="011B2D74"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3,766,303</w:t>
            </w:r>
          </w:p>
        </w:tc>
        <w:tc>
          <w:tcPr>
            <w:tcW w:w="1031" w:type="dxa"/>
            <w:tcBorders>
              <w:top w:val="nil"/>
              <w:left w:val="nil"/>
              <w:bottom w:val="single" w:sz="4" w:space="0" w:color="auto"/>
              <w:right w:val="single" w:sz="4" w:space="0" w:color="auto"/>
            </w:tcBorders>
            <w:shd w:val="clear" w:color="auto" w:fill="auto"/>
            <w:noWrap/>
            <w:vAlign w:val="center"/>
            <w:hideMark/>
          </w:tcPr>
          <w:p w14:paraId="0AAB5C6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1,931,996</w:t>
            </w:r>
          </w:p>
        </w:tc>
        <w:tc>
          <w:tcPr>
            <w:tcW w:w="1031" w:type="dxa"/>
            <w:tcBorders>
              <w:top w:val="nil"/>
              <w:left w:val="nil"/>
              <w:bottom w:val="single" w:sz="4" w:space="0" w:color="auto"/>
              <w:right w:val="single" w:sz="4" w:space="0" w:color="auto"/>
            </w:tcBorders>
            <w:shd w:val="clear" w:color="auto" w:fill="auto"/>
            <w:noWrap/>
            <w:vAlign w:val="center"/>
            <w:hideMark/>
          </w:tcPr>
          <w:p w14:paraId="6B04F47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436,481</w:t>
            </w:r>
          </w:p>
        </w:tc>
        <w:tc>
          <w:tcPr>
            <w:tcW w:w="1031" w:type="dxa"/>
            <w:tcBorders>
              <w:top w:val="nil"/>
              <w:left w:val="nil"/>
              <w:bottom w:val="single" w:sz="4" w:space="0" w:color="auto"/>
              <w:right w:val="single" w:sz="4" w:space="0" w:color="auto"/>
            </w:tcBorders>
            <w:shd w:val="clear" w:color="auto" w:fill="auto"/>
            <w:noWrap/>
            <w:vAlign w:val="center"/>
            <w:hideMark/>
          </w:tcPr>
          <w:p w14:paraId="3824950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161" w:type="dxa"/>
            <w:tcBorders>
              <w:top w:val="nil"/>
              <w:left w:val="nil"/>
              <w:bottom w:val="single" w:sz="4" w:space="0" w:color="auto"/>
              <w:right w:val="single" w:sz="4" w:space="0" w:color="auto"/>
            </w:tcBorders>
            <w:shd w:val="clear" w:color="auto" w:fill="auto"/>
            <w:noWrap/>
            <w:vAlign w:val="center"/>
            <w:hideMark/>
          </w:tcPr>
          <w:p w14:paraId="6E74EF99"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6,134,780</w:t>
            </w:r>
          </w:p>
        </w:tc>
      </w:tr>
      <w:tr w:rsidR="00D868AB" w:rsidRPr="00D868AB" w14:paraId="56DFA858"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9052F1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92191</w:t>
            </w:r>
          </w:p>
        </w:tc>
        <w:tc>
          <w:tcPr>
            <w:tcW w:w="3473" w:type="dxa"/>
            <w:tcBorders>
              <w:top w:val="nil"/>
              <w:left w:val="nil"/>
              <w:bottom w:val="single" w:sz="4" w:space="0" w:color="auto"/>
              <w:right w:val="single" w:sz="4" w:space="0" w:color="auto"/>
            </w:tcBorders>
            <w:shd w:val="clear" w:color="auto" w:fill="auto"/>
            <w:noWrap/>
            <w:vAlign w:val="center"/>
            <w:hideMark/>
          </w:tcPr>
          <w:p w14:paraId="46EC1B62"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Interés Corto Plazo.</w:t>
            </w:r>
          </w:p>
        </w:tc>
        <w:tc>
          <w:tcPr>
            <w:tcW w:w="1031" w:type="dxa"/>
            <w:tcBorders>
              <w:top w:val="nil"/>
              <w:left w:val="nil"/>
              <w:bottom w:val="single" w:sz="4" w:space="0" w:color="auto"/>
              <w:right w:val="single" w:sz="4" w:space="0" w:color="auto"/>
            </w:tcBorders>
            <w:shd w:val="clear" w:color="auto" w:fill="auto"/>
            <w:noWrap/>
            <w:vAlign w:val="center"/>
            <w:hideMark/>
          </w:tcPr>
          <w:p w14:paraId="6AE367E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3114DE1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0898A014"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6241C793"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161" w:type="dxa"/>
            <w:tcBorders>
              <w:top w:val="nil"/>
              <w:left w:val="nil"/>
              <w:bottom w:val="single" w:sz="4" w:space="0" w:color="auto"/>
              <w:right w:val="single" w:sz="4" w:space="0" w:color="auto"/>
            </w:tcBorders>
            <w:shd w:val="clear" w:color="auto" w:fill="auto"/>
            <w:noWrap/>
            <w:vAlign w:val="center"/>
            <w:hideMark/>
          </w:tcPr>
          <w:p w14:paraId="109247F8"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r>
      <w:tr w:rsidR="00D868AB" w:rsidRPr="00D868AB" w14:paraId="030F5DDA"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D4A1B19"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94000</w:t>
            </w:r>
          </w:p>
        </w:tc>
        <w:tc>
          <w:tcPr>
            <w:tcW w:w="3473" w:type="dxa"/>
            <w:tcBorders>
              <w:top w:val="nil"/>
              <w:left w:val="nil"/>
              <w:bottom w:val="single" w:sz="4" w:space="0" w:color="auto"/>
              <w:right w:val="single" w:sz="4" w:space="0" w:color="auto"/>
            </w:tcBorders>
            <w:shd w:val="clear" w:color="auto" w:fill="auto"/>
            <w:noWrap/>
            <w:vAlign w:val="center"/>
            <w:hideMark/>
          </w:tcPr>
          <w:p w14:paraId="7EFE73D5" w14:textId="77777777" w:rsidR="00D868AB" w:rsidRPr="00D868AB" w:rsidRDefault="00D868AB" w:rsidP="00D868AB">
            <w:pPr>
              <w:jc w:val="left"/>
              <w:rPr>
                <w:rFonts w:eastAsia="Times New Roman" w:cs="Arial"/>
                <w:b/>
                <w:bCs/>
                <w:color w:val="000000"/>
                <w:sz w:val="16"/>
                <w:szCs w:val="16"/>
              </w:rPr>
            </w:pPr>
            <w:r w:rsidRPr="00D868AB">
              <w:rPr>
                <w:rFonts w:eastAsia="Times New Roman" w:cs="Arial"/>
                <w:b/>
                <w:bCs/>
                <w:color w:val="000000"/>
                <w:sz w:val="16"/>
                <w:szCs w:val="16"/>
              </w:rPr>
              <w:t>GASTOS DE LA DEUDA PÚBLICA.</w:t>
            </w:r>
          </w:p>
        </w:tc>
        <w:tc>
          <w:tcPr>
            <w:tcW w:w="1031" w:type="dxa"/>
            <w:tcBorders>
              <w:top w:val="nil"/>
              <w:left w:val="nil"/>
              <w:bottom w:val="single" w:sz="4" w:space="0" w:color="auto"/>
              <w:right w:val="single" w:sz="4" w:space="0" w:color="auto"/>
            </w:tcBorders>
            <w:shd w:val="clear" w:color="auto" w:fill="auto"/>
            <w:noWrap/>
            <w:vAlign w:val="center"/>
            <w:hideMark/>
          </w:tcPr>
          <w:p w14:paraId="02AEA5D9"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864,186</w:t>
            </w:r>
          </w:p>
        </w:tc>
        <w:tc>
          <w:tcPr>
            <w:tcW w:w="1031" w:type="dxa"/>
            <w:tcBorders>
              <w:top w:val="nil"/>
              <w:left w:val="nil"/>
              <w:bottom w:val="single" w:sz="4" w:space="0" w:color="auto"/>
              <w:right w:val="single" w:sz="4" w:space="0" w:color="auto"/>
            </w:tcBorders>
            <w:shd w:val="clear" w:color="auto" w:fill="auto"/>
            <w:noWrap/>
            <w:vAlign w:val="center"/>
            <w:hideMark/>
          </w:tcPr>
          <w:p w14:paraId="011D25DE"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1,155,632</w:t>
            </w:r>
          </w:p>
        </w:tc>
        <w:tc>
          <w:tcPr>
            <w:tcW w:w="1031" w:type="dxa"/>
            <w:tcBorders>
              <w:top w:val="nil"/>
              <w:left w:val="nil"/>
              <w:bottom w:val="single" w:sz="4" w:space="0" w:color="auto"/>
              <w:right w:val="single" w:sz="4" w:space="0" w:color="auto"/>
            </w:tcBorders>
            <w:shd w:val="clear" w:color="auto" w:fill="auto"/>
            <w:noWrap/>
            <w:vAlign w:val="center"/>
            <w:hideMark/>
          </w:tcPr>
          <w:p w14:paraId="56425352"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1,155,632</w:t>
            </w:r>
          </w:p>
        </w:tc>
        <w:tc>
          <w:tcPr>
            <w:tcW w:w="1031" w:type="dxa"/>
            <w:tcBorders>
              <w:top w:val="nil"/>
              <w:left w:val="nil"/>
              <w:bottom w:val="single" w:sz="4" w:space="0" w:color="auto"/>
              <w:right w:val="single" w:sz="4" w:space="0" w:color="auto"/>
            </w:tcBorders>
            <w:shd w:val="clear" w:color="auto" w:fill="auto"/>
            <w:noWrap/>
            <w:vAlign w:val="center"/>
            <w:hideMark/>
          </w:tcPr>
          <w:p w14:paraId="49835EED"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288,062</w:t>
            </w:r>
          </w:p>
        </w:tc>
        <w:tc>
          <w:tcPr>
            <w:tcW w:w="1161" w:type="dxa"/>
            <w:tcBorders>
              <w:top w:val="nil"/>
              <w:left w:val="nil"/>
              <w:bottom w:val="single" w:sz="4" w:space="0" w:color="auto"/>
              <w:right w:val="single" w:sz="4" w:space="0" w:color="auto"/>
            </w:tcBorders>
            <w:shd w:val="clear" w:color="auto" w:fill="auto"/>
            <w:noWrap/>
            <w:vAlign w:val="center"/>
            <w:hideMark/>
          </w:tcPr>
          <w:p w14:paraId="4FDD97A4"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3,463,512</w:t>
            </w:r>
          </w:p>
        </w:tc>
      </w:tr>
      <w:tr w:rsidR="00D868AB" w:rsidRPr="00D868AB" w14:paraId="5AA8D7EF"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F901D8D"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94100</w:t>
            </w:r>
          </w:p>
        </w:tc>
        <w:tc>
          <w:tcPr>
            <w:tcW w:w="3473" w:type="dxa"/>
            <w:tcBorders>
              <w:top w:val="nil"/>
              <w:left w:val="nil"/>
              <w:bottom w:val="single" w:sz="4" w:space="0" w:color="auto"/>
              <w:right w:val="single" w:sz="4" w:space="0" w:color="auto"/>
            </w:tcBorders>
            <w:shd w:val="clear" w:color="auto" w:fill="auto"/>
            <w:noWrap/>
            <w:vAlign w:val="center"/>
            <w:hideMark/>
          </w:tcPr>
          <w:p w14:paraId="56CAB49E" w14:textId="77777777" w:rsidR="00D868AB" w:rsidRPr="00D868AB" w:rsidRDefault="00D868AB" w:rsidP="00D868AB">
            <w:pPr>
              <w:jc w:val="left"/>
              <w:rPr>
                <w:rFonts w:eastAsia="Times New Roman" w:cs="Arial"/>
                <w:b/>
                <w:bCs/>
                <w:color w:val="000000"/>
                <w:sz w:val="16"/>
                <w:szCs w:val="16"/>
              </w:rPr>
            </w:pPr>
            <w:r w:rsidRPr="00D868AB">
              <w:rPr>
                <w:rFonts w:eastAsia="Times New Roman" w:cs="Arial"/>
                <w:b/>
                <w:bCs/>
                <w:color w:val="000000"/>
                <w:sz w:val="16"/>
                <w:szCs w:val="16"/>
              </w:rPr>
              <w:t>Gastos de la deuda pública interna.</w:t>
            </w:r>
          </w:p>
        </w:tc>
        <w:tc>
          <w:tcPr>
            <w:tcW w:w="1031" w:type="dxa"/>
            <w:tcBorders>
              <w:top w:val="nil"/>
              <w:left w:val="nil"/>
              <w:bottom w:val="single" w:sz="4" w:space="0" w:color="auto"/>
              <w:right w:val="single" w:sz="4" w:space="0" w:color="auto"/>
            </w:tcBorders>
            <w:shd w:val="clear" w:color="auto" w:fill="auto"/>
            <w:noWrap/>
            <w:vAlign w:val="center"/>
            <w:hideMark/>
          </w:tcPr>
          <w:p w14:paraId="397FEEAF"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864,186</w:t>
            </w:r>
          </w:p>
        </w:tc>
        <w:tc>
          <w:tcPr>
            <w:tcW w:w="1031" w:type="dxa"/>
            <w:tcBorders>
              <w:top w:val="nil"/>
              <w:left w:val="nil"/>
              <w:bottom w:val="single" w:sz="4" w:space="0" w:color="auto"/>
              <w:right w:val="single" w:sz="4" w:space="0" w:color="auto"/>
            </w:tcBorders>
            <w:shd w:val="clear" w:color="auto" w:fill="auto"/>
            <w:noWrap/>
            <w:vAlign w:val="center"/>
            <w:hideMark/>
          </w:tcPr>
          <w:p w14:paraId="7BF48EE1"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1,155,632</w:t>
            </w:r>
          </w:p>
        </w:tc>
        <w:tc>
          <w:tcPr>
            <w:tcW w:w="1031" w:type="dxa"/>
            <w:tcBorders>
              <w:top w:val="nil"/>
              <w:left w:val="nil"/>
              <w:bottom w:val="single" w:sz="4" w:space="0" w:color="auto"/>
              <w:right w:val="single" w:sz="4" w:space="0" w:color="auto"/>
            </w:tcBorders>
            <w:shd w:val="clear" w:color="auto" w:fill="auto"/>
            <w:noWrap/>
            <w:vAlign w:val="center"/>
            <w:hideMark/>
          </w:tcPr>
          <w:p w14:paraId="701A4FBC"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1,155,632</w:t>
            </w:r>
          </w:p>
        </w:tc>
        <w:tc>
          <w:tcPr>
            <w:tcW w:w="1031" w:type="dxa"/>
            <w:tcBorders>
              <w:top w:val="nil"/>
              <w:left w:val="nil"/>
              <w:bottom w:val="single" w:sz="4" w:space="0" w:color="auto"/>
              <w:right w:val="single" w:sz="4" w:space="0" w:color="auto"/>
            </w:tcBorders>
            <w:shd w:val="clear" w:color="auto" w:fill="auto"/>
            <w:noWrap/>
            <w:vAlign w:val="center"/>
            <w:hideMark/>
          </w:tcPr>
          <w:p w14:paraId="3C71E532"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288,062</w:t>
            </w:r>
          </w:p>
        </w:tc>
        <w:tc>
          <w:tcPr>
            <w:tcW w:w="1161" w:type="dxa"/>
            <w:tcBorders>
              <w:top w:val="nil"/>
              <w:left w:val="nil"/>
              <w:bottom w:val="single" w:sz="4" w:space="0" w:color="auto"/>
              <w:right w:val="single" w:sz="4" w:space="0" w:color="auto"/>
            </w:tcBorders>
            <w:shd w:val="clear" w:color="auto" w:fill="auto"/>
            <w:noWrap/>
            <w:vAlign w:val="center"/>
            <w:hideMark/>
          </w:tcPr>
          <w:p w14:paraId="7872796A"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3,463,512</w:t>
            </w:r>
          </w:p>
        </w:tc>
      </w:tr>
      <w:tr w:rsidR="00D868AB" w:rsidRPr="00D868AB" w14:paraId="5658E07E"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A70D28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94101</w:t>
            </w:r>
          </w:p>
        </w:tc>
        <w:tc>
          <w:tcPr>
            <w:tcW w:w="3473" w:type="dxa"/>
            <w:tcBorders>
              <w:top w:val="nil"/>
              <w:left w:val="nil"/>
              <w:bottom w:val="single" w:sz="4" w:space="0" w:color="auto"/>
              <w:right w:val="single" w:sz="4" w:space="0" w:color="auto"/>
            </w:tcBorders>
            <w:shd w:val="clear" w:color="auto" w:fill="auto"/>
            <w:noWrap/>
            <w:vAlign w:val="center"/>
            <w:hideMark/>
          </w:tcPr>
          <w:p w14:paraId="754A462F"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Servicios de Calificación Crediticia.</w:t>
            </w:r>
          </w:p>
        </w:tc>
        <w:tc>
          <w:tcPr>
            <w:tcW w:w="1031" w:type="dxa"/>
            <w:tcBorders>
              <w:top w:val="nil"/>
              <w:left w:val="nil"/>
              <w:bottom w:val="single" w:sz="4" w:space="0" w:color="auto"/>
              <w:right w:val="single" w:sz="4" w:space="0" w:color="auto"/>
            </w:tcBorders>
            <w:shd w:val="clear" w:color="auto" w:fill="auto"/>
            <w:noWrap/>
            <w:vAlign w:val="center"/>
            <w:hideMark/>
          </w:tcPr>
          <w:p w14:paraId="3D73668C"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864,186</w:t>
            </w:r>
          </w:p>
        </w:tc>
        <w:tc>
          <w:tcPr>
            <w:tcW w:w="1031" w:type="dxa"/>
            <w:tcBorders>
              <w:top w:val="nil"/>
              <w:left w:val="nil"/>
              <w:bottom w:val="single" w:sz="4" w:space="0" w:color="auto"/>
              <w:right w:val="single" w:sz="4" w:space="0" w:color="auto"/>
            </w:tcBorders>
            <w:shd w:val="clear" w:color="auto" w:fill="auto"/>
            <w:noWrap/>
            <w:vAlign w:val="center"/>
            <w:hideMark/>
          </w:tcPr>
          <w:p w14:paraId="0F31CAE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1,155,632</w:t>
            </w:r>
          </w:p>
        </w:tc>
        <w:tc>
          <w:tcPr>
            <w:tcW w:w="1031" w:type="dxa"/>
            <w:tcBorders>
              <w:top w:val="nil"/>
              <w:left w:val="nil"/>
              <w:bottom w:val="single" w:sz="4" w:space="0" w:color="auto"/>
              <w:right w:val="single" w:sz="4" w:space="0" w:color="auto"/>
            </w:tcBorders>
            <w:shd w:val="clear" w:color="auto" w:fill="auto"/>
            <w:noWrap/>
            <w:vAlign w:val="center"/>
            <w:hideMark/>
          </w:tcPr>
          <w:p w14:paraId="0440A7D4"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1,155,632</w:t>
            </w:r>
          </w:p>
        </w:tc>
        <w:tc>
          <w:tcPr>
            <w:tcW w:w="1031" w:type="dxa"/>
            <w:tcBorders>
              <w:top w:val="nil"/>
              <w:left w:val="nil"/>
              <w:bottom w:val="single" w:sz="4" w:space="0" w:color="auto"/>
              <w:right w:val="single" w:sz="4" w:space="0" w:color="auto"/>
            </w:tcBorders>
            <w:shd w:val="clear" w:color="auto" w:fill="auto"/>
            <w:noWrap/>
            <w:vAlign w:val="center"/>
            <w:hideMark/>
          </w:tcPr>
          <w:p w14:paraId="3F73293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288,062</w:t>
            </w:r>
          </w:p>
        </w:tc>
        <w:tc>
          <w:tcPr>
            <w:tcW w:w="1161" w:type="dxa"/>
            <w:tcBorders>
              <w:top w:val="nil"/>
              <w:left w:val="nil"/>
              <w:bottom w:val="single" w:sz="4" w:space="0" w:color="auto"/>
              <w:right w:val="single" w:sz="4" w:space="0" w:color="auto"/>
            </w:tcBorders>
            <w:shd w:val="clear" w:color="auto" w:fill="auto"/>
            <w:noWrap/>
            <w:vAlign w:val="center"/>
            <w:hideMark/>
          </w:tcPr>
          <w:p w14:paraId="3FFFE09E"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3,463,512</w:t>
            </w:r>
          </w:p>
        </w:tc>
      </w:tr>
      <w:tr w:rsidR="00D868AB" w:rsidRPr="00D868AB" w14:paraId="759BDFFB"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2AA92C79"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99000</w:t>
            </w:r>
          </w:p>
        </w:tc>
        <w:tc>
          <w:tcPr>
            <w:tcW w:w="3473" w:type="dxa"/>
            <w:tcBorders>
              <w:top w:val="nil"/>
              <w:left w:val="nil"/>
              <w:bottom w:val="single" w:sz="4" w:space="0" w:color="auto"/>
              <w:right w:val="single" w:sz="4" w:space="0" w:color="auto"/>
            </w:tcBorders>
            <w:shd w:val="clear" w:color="auto" w:fill="auto"/>
            <w:noWrap/>
            <w:vAlign w:val="center"/>
            <w:hideMark/>
          </w:tcPr>
          <w:p w14:paraId="371BEA9C" w14:textId="77777777" w:rsidR="00D868AB" w:rsidRPr="00D868AB" w:rsidRDefault="00D868AB" w:rsidP="00D868AB">
            <w:pPr>
              <w:jc w:val="left"/>
              <w:rPr>
                <w:rFonts w:eastAsia="Times New Roman" w:cs="Arial"/>
                <w:b/>
                <w:bCs/>
                <w:color w:val="000000"/>
                <w:sz w:val="16"/>
                <w:szCs w:val="16"/>
              </w:rPr>
            </w:pPr>
            <w:r w:rsidRPr="00D868AB">
              <w:rPr>
                <w:rFonts w:eastAsia="Times New Roman" w:cs="Arial"/>
                <w:b/>
                <w:bCs/>
                <w:color w:val="000000"/>
                <w:sz w:val="16"/>
                <w:szCs w:val="16"/>
              </w:rPr>
              <w:t>ADEUDOS DE EJERCICIOS FISCALES ANTERIORES (ADEFAS).</w:t>
            </w:r>
          </w:p>
        </w:tc>
        <w:tc>
          <w:tcPr>
            <w:tcW w:w="1031" w:type="dxa"/>
            <w:tcBorders>
              <w:top w:val="nil"/>
              <w:left w:val="nil"/>
              <w:bottom w:val="single" w:sz="4" w:space="0" w:color="auto"/>
              <w:right w:val="single" w:sz="4" w:space="0" w:color="auto"/>
            </w:tcBorders>
            <w:shd w:val="clear" w:color="auto" w:fill="auto"/>
            <w:noWrap/>
            <w:vAlign w:val="center"/>
            <w:hideMark/>
          </w:tcPr>
          <w:p w14:paraId="4504358B"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37,900,000</w:t>
            </w:r>
          </w:p>
        </w:tc>
        <w:tc>
          <w:tcPr>
            <w:tcW w:w="1031" w:type="dxa"/>
            <w:tcBorders>
              <w:top w:val="nil"/>
              <w:left w:val="nil"/>
              <w:bottom w:val="single" w:sz="4" w:space="0" w:color="auto"/>
              <w:right w:val="single" w:sz="4" w:space="0" w:color="auto"/>
            </w:tcBorders>
            <w:shd w:val="clear" w:color="auto" w:fill="auto"/>
            <w:noWrap/>
            <w:vAlign w:val="center"/>
            <w:hideMark/>
          </w:tcPr>
          <w:p w14:paraId="4D86EB4A"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42,960,479</w:t>
            </w:r>
          </w:p>
        </w:tc>
        <w:tc>
          <w:tcPr>
            <w:tcW w:w="1031" w:type="dxa"/>
            <w:tcBorders>
              <w:top w:val="nil"/>
              <w:left w:val="nil"/>
              <w:bottom w:val="single" w:sz="4" w:space="0" w:color="auto"/>
              <w:right w:val="single" w:sz="4" w:space="0" w:color="auto"/>
            </w:tcBorders>
            <w:shd w:val="clear" w:color="auto" w:fill="auto"/>
            <w:noWrap/>
            <w:vAlign w:val="center"/>
            <w:hideMark/>
          </w:tcPr>
          <w:p w14:paraId="4BFD4EE6"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38,600,000</w:t>
            </w:r>
          </w:p>
        </w:tc>
        <w:tc>
          <w:tcPr>
            <w:tcW w:w="1031" w:type="dxa"/>
            <w:tcBorders>
              <w:top w:val="nil"/>
              <w:left w:val="nil"/>
              <w:bottom w:val="single" w:sz="4" w:space="0" w:color="auto"/>
              <w:right w:val="single" w:sz="4" w:space="0" w:color="auto"/>
            </w:tcBorders>
            <w:shd w:val="clear" w:color="auto" w:fill="auto"/>
            <w:noWrap/>
            <w:vAlign w:val="center"/>
            <w:hideMark/>
          </w:tcPr>
          <w:p w14:paraId="4FC89F4D"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37,900,664</w:t>
            </w:r>
          </w:p>
        </w:tc>
        <w:tc>
          <w:tcPr>
            <w:tcW w:w="1161" w:type="dxa"/>
            <w:tcBorders>
              <w:top w:val="nil"/>
              <w:left w:val="nil"/>
              <w:bottom w:val="single" w:sz="4" w:space="0" w:color="auto"/>
              <w:right w:val="single" w:sz="4" w:space="0" w:color="auto"/>
            </w:tcBorders>
            <w:shd w:val="clear" w:color="auto" w:fill="auto"/>
            <w:noWrap/>
            <w:vAlign w:val="center"/>
            <w:hideMark/>
          </w:tcPr>
          <w:p w14:paraId="5E942D54"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157,361,143</w:t>
            </w:r>
          </w:p>
        </w:tc>
      </w:tr>
      <w:tr w:rsidR="00D868AB" w:rsidRPr="00D868AB" w14:paraId="6927E8A6"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77EC92AC"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99100</w:t>
            </w:r>
          </w:p>
        </w:tc>
        <w:tc>
          <w:tcPr>
            <w:tcW w:w="3473" w:type="dxa"/>
            <w:tcBorders>
              <w:top w:val="nil"/>
              <w:left w:val="nil"/>
              <w:bottom w:val="single" w:sz="4" w:space="0" w:color="auto"/>
              <w:right w:val="single" w:sz="4" w:space="0" w:color="auto"/>
            </w:tcBorders>
            <w:shd w:val="clear" w:color="auto" w:fill="auto"/>
            <w:noWrap/>
            <w:vAlign w:val="center"/>
            <w:hideMark/>
          </w:tcPr>
          <w:p w14:paraId="49C3BF4E" w14:textId="77777777" w:rsidR="00D868AB" w:rsidRPr="00D868AB" w:rsidRDefault="00D868AB" w:rsidP="00D868AB">
            <w:pPr>
              <w:jc w:val="left"/>
              <w:rPr>
                <w:rFonts w:eastAsia="Times New Roman" w:cs="Arial"/>
                <w:b/>
                <w:bCs/>
                <w:color w:val="000000"/>
                <w:sz w:val="16"/>
                <w:szCs w:val="16"/>
              </w:rPr>
            </w:pPr>
            <w:r w:rsidRPr="00D868AB">
              <w:rPr>
                <w:rFonts w:eastAsia="Times New Roman" w:cs="Arial"/>
                <w:b/>
                <w:bCs/>
                <w:color w:val="000000"/>
                <w:sz w:val="16"/>
                <w:szCs w:val="16"/>
              </w:rPr>
              <w:t>Adefas.</w:t>
            </w:r>
          </w:p>
        </w:tc>
        <w:tc>
          <w:tcPr>
            <w:tcW w:w="1031" w:type="dxa"/>
            <w:tcBorders>
              <w:top w:val="nil"/>
              <w:left w:val="nil"/>
              <w:bottom w:val="single" w:sz="4" w:space="0" w:color="auto"/>
              <w:right w:val="single" w:sz="4" w:space="0" w:color="auto"/>
            </w:tcBorders>
            <w:shd w:val="clear" w:color="auto" w:fill="auto"/>
            <w:noWrap/>
            <w:vAlign w:val="center"/>
            <w:hideMark/>
          </w:tcPr>
          <w:p w14:paraId="758EDFAF"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37,900,000</w:t>
            </w:r>
          </w:p>
        </w:tc>
        <w:tc>
          <w:tcPr>
            <w:tcW w:w="1031" w:type="dxa"/>
            <w:tcBorders>
              <w:top w:val="nil"/>
              <w:left w:val="nil"/>
              <w:bottom w:val="single" w:sz="4" w:space="0" w:color="auto"/>
              <w:right w:val="single" w:sz="4" w:space="0" w:color="auto"/>
            </w:tcBorders>
            <w:shd w:val="clear" w:color="auto" w:fill="auto"/>
            <w:noWrap/>
            <w:vAlign w:val="center"/>
            <w:hideMark/>
          </w:tcPr>
          <w:p w14:paraId="0528404D"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42,960,479</w:t>
            </w:r>
          </w:p>
        </w:tc>
        <w:tc>
          <w:tcPr>
            <w:tcW w:w="1031" w:type="dxa"/>
            <w:tcBorders>
              <w:top w:val="nil"/>
              <w:left w:val="nil"/>
              <w:bottom w:val="single" w:sz="4" w:space="0" w:color="auto"/>
              <w:right w:val="single" w:sz="4" w:space="0" w:color="auto"/>
            </w:tcBorders>
            <w:shd w:val="clear" w:color="auto" w:fill="auto"/>
            <w:noWrap/>
            <w:vAlign w:val="center"/>
            <w:hideMark/>
          </w:tcPr>
          <w:p w14:paraId="74378A09"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38,600,000</w:t>
            </w:r>
          </w:p>
        </w:tc>
        <w:tc>
          <w:tcPr>
            <w:tcW w:w="1031" w:type="dxa"/>
            <w:tcBorders>
              <w:top w:val="nil"/>
              <w:left w:val="nil"/>
              <w:bottom w:val="single" w:sz="4" w:space="0" w:color="auto"/>
              <w:right w:val="single" w:sz="4" w:space="0" w:color="auto"/>
            </w:tcBorders>
            <w:shd w:val="clear" w:color="auto" w:fill="auto"/>
            <w:noWrap/>
            <w:vAlign w:val="center"/>
            <w:hideMark/>
          </w:tcPr>
          <w:p w14:paraId="11B760BA"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37,900,664</w:t>
            </w:r>
          </w:p>
        </w:tc>
        <w:tc>
          <w:tcPr>
            <w:tcW w:w="1161" w:type="dxa"/>
            <w:tcBorders>
              <w:top w:val="nil"/>
              <w:left w:val="nil"/>
              <w:bottom w:val="single" w:sz="4" w:space="0" w:color="auto"/>
              <w:right w:val="single" w:sz="4" w:space="0" w:color="auto"/>
            </w:tcBorders>
            <w:shd w:val="clear" w:color="auto" w:fill="auto"/>
            <w:noWrap/>
            <w:vAlign w:val="center"/>
            <w:hideMark/>
          </w:tcPr>
          <w:p w14:paraId="430670F3" w14:textId="77777777" w:rsidR="00D868AB" w:rsidRPr="00D868AB" w:rsidRDefault="00D868AB" w:rsidP="00D868AB">
            <w:pPr>
              <w:jc w:val="right"/>
              <w:rPr>
                <w:rFonts w:eastAsia="Times New Roman" w:cs="Arial"/>
                <w:b/>
                <w:bCs/>
                <w:color w:val="000000"/>
                <w:sz w:val="16"/>
                <w:szCs w:val="16"/>
              </w:rPr>
            </w:pPr>
            <w:r w:rsidRPr="00D868AB">
              <w:rPr>
                <w:rFonts w:eastAsia="Times New Roman" w:cs="Arial"/>
                <w:b/>
                <w:bCs/>
                <w:color w:val="000000"/>
                <w:sz w:val="16"/>
                <w:szCs w:val="16"/>
              </w:rPr>
              <w:t>157,361,143</w:t>
            </w:r>
          </w:p>
        </w:tc>
      </w:tr>
      <w:tr w:rsidR="00D868AB" w:rsidRPr="00D868AB" w14:paraId="2553AE1E"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3B15285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99101</w:t>
            </w:r>
          </w:p>
        </w:tc>
        <w:tc>
          <w:tcPr>
            <w:tcW w:w="3473" w:type="dxa"/>
            <w:tcBorders>
              <w:top w:val="nil"/>
              <w:left w:val="nil"/>
              <w:bottom w:val="single" w:sz="4" w:space="0" w:color="auto"/>
              <w:right w:val="single" w:sz="4" w:space="0" w:color="auto"/>
            </w:tcBorders>
            <w:shd w:val="clear" w:color="auto" w:fill="auto"/>
            <w:noWrap/>
            <w:vAlign w:val="center"/>
            <w:hideMark/>
          </w:tcPr>
          <w:p w14:paraId="35BA1528"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Adeudos de ejercicios anteriores por concepto de servicios personales magisterio.</w:t>
            </w:r>
          </w:p>
        </w:tc>
        <w:tc>
          <w:tcPr>
            <w:tcW w:w="1031" w:type="dxa"/>
            <w:tcBorders>
              <w:top w:val="nil"/>
              <w:left w:val="nil"/>
              <w:bottom w:val="single" w:sz="4" w:space="0" w:color="auto"/>
              <w:right w:val="single" w:sz="4" w:space="0" w:color="auto"/>
            </w:tcBorders>
            <w:shd w:val="clear" w:color="auto" w:fill="auto"/>
            <w:noWrap/>
            <w:vAlign w:val="center"/>
            <w:hideMark/>
          </w:tcPr>
          <w:p w14:paraId="3ECA812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200,000</w:t>
            </w:r>
          </w:p>
        </w:tc>
        <w:tc>
          <w:tcPr>
            <w:tcW w:w="1031" w:type="dxa"/>
            <w:tcBorders>
              <w:top w:val="nil"/>
              <w:left w:val="nil"/>
              <w:bottom w:val="single" w:sz="4" w:space="0" w:color="auto"/>
              <w:right w:val="single" w:sz="4" w:space="0" w:color="auto"/>
            </w:tcBorders>
            <w:shd w:val="clear" w:color="auto" w:fill="auto"/>
            <w:noWrap/>
            <w:vAlign w:val="center"/>
            <w:hideMark/>
          </w:tcPr>
          <w:p w14:paraId="79C9F5BB"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300,000</w:t>
            </w:r>
          </w:p>
        </w:tc>
        <w:tc>
          <w:tcPr>
            <w:tcW w:w="1031" w:type="dxa"/>
            <w:tcBorders>
              <w:top w:val="nil"/>
              <w:left w:val="nil"/>
              <w:bottom w:val="single" w:sz="4" w:space="0" w:color="auto"/>
              <w:right w:val="single" w:sz="4" w:space="0" w:color="auto"/>
            </w:tcBorders>
            <w:shd w:val="clear" w:color="auto" w:fill="auto"/>
            <w:noWrap/>
            <w:vAlign w:val="center"/>
            <w:hideMark/>
          </w:tcPr>
          <w:p w14:paraId="53E50017"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300,000</w:t>
            </w:r>
          </w:p>
        </w:tc>
        <w:tc>
          <w:tcPr>
            <w:tcW w:w="1031" w:type="dxa"/>
            <w:tcBorders>
              <w:top w:val="nil"/>
              <w:left w:val="nil"/>
              <w:bottom w:val="single" w:sz="4" w:space="0" w:color="auto"/>
              <w:right w:val="single" w:sz="4" w:space="0" w:color="auto"/>
            </w:tcBorders>
            <w:shd w:val="clear" w:color="auto" w:fill="auto"/>
            <w:noWrap/>
            <w:vAlign w:val="center"/>
            <w:hideMark/>
          </w:tcPr>
          <w:p w14:paraId="1341679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200,000</w:t>
            </w:r>
          </w:p>
        </w:tc>
        <w:tc>
          <w:tcPr>
            <w:tcW w:w="1161" w:type="dxa"/>
            <w:tcBorders>
              <w:top w:val="nil"/>
              <w:left w:val="nil"/>
              <w:bottom w:val="single" w:sz="4" w:space="0" w:color="auto"/>
              <w:right w:val="single" w:sz="4" w:space="0" w:color="auto"/>
            </w:tcBorders>
            <w:shd w:val="clear" w:color="auto" w:fill="auto"/>
            <w:noWrap/>
            <w:vAlign w:val="center"/>
            <w:hideMark/>
          </w:tcPr>
          <w:p w14:paraId="4F30FC8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1,000,000</w:t>
            </w:r>
          </w:p>
        </w:tc>
      </w:tr>
      <w:tr w:rsidR="00D868AB" w:rsidRPr="00D868AB" w14:paraId="4691699F"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64B72C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99102</w:t>
            </w:r>
          </w:p>
        </w:tc>
        <w:tc>
          <w:tcPr>
            <w:tcW w:w="3473" w:type="dxa"/>
            <w:tcBorders>
              <w:top w:val="nil"/>
              <w:left w:val="nil"/>
              <w:bottom w:val="single" w:sz="4" w:space="0" w:color="auto"/>
              <w:right w:val="single" w:sz="4" w:space="0" w:color="auto"/>
            </w:tcBorders>
            <w:shd w:val="clear" w:color="auto" w:fill="auto"/>
            <w:noWrap/>
            <w:vAlign w:val="center"/>
            <w:hideMark/>
          </w:tcPr>
          <w:p w14:paraId="677F8A92"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Adeudos de ejercicios anteriores por concepto de servicios personales burocracia.</w:t>
            </w:r>
          </w:p>
        </w:tc>
        <w:tc>
          <w:tcPr>
            <w:tcW w:w="1031" w:type="dxa"/>
            <w:tcBorders>
              <w:top w:val="nil"/>
              <w:left w:val="nil"/>
              <w:bottom w:val="single" w:sz="4" w:space="0" w:color="auto"/>
              <w:right w:val="single" w:sz="4" w:space="0" w:color="auto"/>
            </w:tcBorders>
            <w:shd w:val="clear" w:color="auto" w:fill="auto"/>
            <w:noWrap/>
            <w:vAlign w:val="center"/>
            <w:hideMark/>
          </w:tcPr>
          <w:p w14:paraId="22F3DF0E"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200,000</w:t>
            </w:r>
          </w:p>
        </w:tc>
        <w:tc>
          <w:tcPr>
            <w:tcW w:w="1031" w:type="dxa"/>
            <w:tcBorders>
              <w:top w:val="nil"/>
              <w:left w:val="nil"/>
              <w:bottom w:val="single" w:sz="4" w:space="0" w:color="auto"/>
              <w:right w:val="single" w:sz="4" w:space="0" w:color="auto"/>
            </w:tcBorders>
            <w:shd w:val="clear" w:color="auto" w:fill="auto"/>
            <w:noWrap/>
            <w:vAlign w:val="center"/>
            <w:hideMark/>
          </w:tcPr>
          <w:p w14:paraId="00C0D1A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300,000</w:t>
            </w:r>
          </w:p>
        </w:tc>
        <w:tc>
          <w:tcPr>
            <w:tcW w:w="1031" w:type="dxa"/>
            <w:tcBorders>
              <w:top w:val="nil"/>
              <w:left w:val="nil"/>
              <w:bottom w:val="single" w:sz="4" w:space="0" w:color="auto"/>
              <w:right w:val="single" w:sz="4" w:space="0" w:color="auto"/>
            </w:tcBorders>
            <w:shd w:val="clear" w:color="auto" w:fill="auto"/>
            <w:noWrap/>
            <w:vAlign w:val="center"/>
            <w:hideMark/>
          </w:tcPr>
          <w:p w14:paraId="0038155E"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300,000</w:t>
            </w:r>
          </w:p>
        </w:tc>
        <w:tc>
          <w:tcPr>
            <w:tcW w:w="1031" w:type="dxa"/>
            <w:tcBorders>
              <w:top w:val="nil"/>
              <w:left w:val="nil"/>
              <w:bottom w:val="single" w:sz="4" w:space="0" w:color="auto"/>
              <w:right w:val="single" w:sz="4" w:space="0" w:color="auto"/>
            </w:tcBorders>
            <w:shd w:val="clear" w:color="auto" w:fill="auto"/>
            <w:noWrap/>
            <w:vAlign w:val="center"/>
            <w:hideMark/>
          </w:tcPr>
          <w:p w14:paraId="029869E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200,000</w:t>
            </w:r>
          </w:p>
        </w:tc>
        <w:tc>
          <w:tcPr>
            <w:tcW w:w="1161" w:type="dxa"/>
            <w:tcBorders>
              <w:top w:val="nil"/>
              <w:left w:val="nil"/>
              <w:bottom w:val="single" w:sz="4" w:space="0" w:color="auto"/>
              <w:right w:val="single" w:sz="4" w:space="0" w:color="auto"/>
            </w:tcBorders>
            <w:shd w:val="clear" w:color="auto" w:fill="auto"/>
            <w:noWrap/>
            <w:vAlign w:val="center"/>
            <w:hideMark/>
          </w:tcPr>
          <w:p w14:paraId="2C229A97"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1,000,000</w:t>
            </w:r>
          </w:p>
        </w:tc>
      </w:tr>
      <w:tr w:rsidR="00D868AB" w:rsidRPr="00D868AB" w14:paraId="743782A8"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538DDFA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99103</w:t>
            </w:r>
          </w:p>
        </w:tc>
        <w:tc>
          <w:tcPr>
            <w:tcW w:w="3473" w:type="dxa"/>
            <w:tcBorders>
              <w:top w:val="nil"/>
              <w:left w:val="nil"/>
              <w:bottom w:val="single" w:sz="4" w:space="0" w:color="auto"/>
              <w:right w:val="single" w:sz="4" w:space="0" w:color="auto"/>
            </w:tcBorders>
            <w:shd w:val="clear" w:color="auto" w:fill="auto"/>
            <w:noWrap/>
            <w:vAlign w:val="center"/>
            <w:hideMark/>
          </w:tcPr>
          <w:p w14:paraId="04C9591E"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Adeudos de ejercicios anteriores por conceptos distintos de servicios personales.</w:t>
            </w:r>
          </w:p>
        </w:tc>
        <w:tc>
          <w:tcPr>
            <w:tcW w:w="1031" w:type="dxa"/>
            <w:tcBorders>
              <w:top w:val="nil"/>
              <w:left w:val="nil"/>
              <w:bottom w:val="single" w:sz="4" w:space="0" w:color="auto"/>
              <w:right w:val="single" w:sz="4" w:space="0" w:color="auto"/>
            </w:tcBorders>
            <w:shd w:val="clear" w:color="auto" w:fill="auto"/>
            <w:noWrap/>
            <w:vAlign w:val="center"/>
            <w:hideMark/>
          </w:tcPr>
          <w:p w14:paraId="3B6C92C4"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37,500,000</w:t>
            </w:r>
          </w:p>
        </w:tc>
        <w:tc>
          <w:tcPr>
            <w:tcW w:w="1031" w:type="dxa"/>
            <w:tcBorders>
              <w:top w:val="nil"/>
              <w:left w:val="nil"/>
              <w:bottom w:val="single" w:sz="4" w:space="0" w:color="auto"/>
              <w:right w:val="single" w:sz="4" w:space="0" w:color="auto"/>
            </w:tcBorders>
            <w:shd w:val="clear" w:color="auto" w:fill="auto"/>
            <w:noWrap/>
            <w:vAlign w:val="center"/>
            <w:hideMark/>
          </w:tcPr>
          <w:p w14:paraId="4F472BE4"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42,360,479</w:t>
            </w:r>
          </w:p>
        </w:tc>
        <w:tc>
          <w:tcPr>
            <w:tcW w:w="1031" w:type="dxa"/>
            <w:tcBorders>
              <w:top w:val="nil"/>
              <w:left w:val="nil"/>
              <w:bottom w:val="single" w:sz="4" w:space="0" w:color="auto"/>
              <w:right w:val="single" w:sz="4" w:space="0" w:color="auto"/>
            </w:tcBorders>
            <w:shd w:val="clear" w:color="auto" w:fill="auto"/>
            <w:noWrap/>
            <w:vAlign w:val="center"/>
            <w:hideMark/>
          </w:tcPr>
          <w:p w14:paraId="786B96A0"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37,500,000</w:t>
            </w:r>
          </w:p>
        </w:tc>
        <w:tc>
          <w:tcPr>
            <w:tcW w:w="1031" w:type="dxa"/>
            <w:tcBorders>
              <w:top w:val="nil"/>
              <w:left w:val="nil"/>
              <w:bottom w:val="single" w:sz="4" w:space="0" w:color="auto"/>
              <w:right w:val="single" w:sz="4" w:space="0" w:color="auto"/>
            </w:tcBorders>
            <w:shd w:val="clear" w:color="auto" w:fill="auto"/>
            <w:noWrap/>
            <w:vAlign w:val="center"/>
            <w:hideMark/>
          </w:tcPr>
          <w:p w14:paraId="527E7F4B"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37,500,664</w:t>
            </w:r>
          </w:p>
        </w:tc>
        <w:tc>
          <w:tcPr>
            <w:tcW w:w="1161" w:type="dxa"/>
            <w:tcBorders>
              <w:top w:val="nil"/>
              <w:left w:val="nil"/>
              <w:bottom w:val="single" w:sz="4" w:space="0" w:color="auto"/>
              <w:right w:val="single" w:sz="4" w:space="0" w:color="auto"/>
            </w:tcBorders>
            <w:shd w:val="clear" w:color="auto" w:fill="auto"/>
            <w:noWrap/>
            <w:vAlign w:val="center"/>
            <w:hideMark/>
          </w:tcPr>
          <w:p w14:paraId="59E65429"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154,861,143</w:t>
            </w:r>
          </w:p>
        </w:tc>
      </w:tr>
      <w:tr w:rsidR="00D868AB" w:rsidRPr="00D868AB" w14:paraId="75567703" w14:textId="77777777" w:rsidTr="00A755A7">
        <w:trPr>
          <w:trHeight w:val="20"/>
          <w:jc w:val="center"/>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14:paraId="109C581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99104</w:t>
            </w:r>
          </w:p>
        </w:tc>
        <w:tc>
          <w:tcPr>
            <w:tcW w:w="3473" w:type="dxa"/>
            <w:tcBorders>
              <w:top w:val="nil"/>
              <w:left w:val="nil"/>
              <w:bottom w:val="single" w:sz="4" w:space="0" w:color="auto"/>
              <w:right w:val="single" w:sz="4" w:space="0" w:color="auto"/>
            </w:tcBorders>
            <w:shd w:val="clear" w:color="auto" w:fill="auto"/>
            <w:noWrap/>
            <w:vAlign w:val="center"/>
            <w:hideMark/>
          </w:tcPr>
          <w:p w14:paraId="58EC94AB" w14:textId="77777777" w:rsidR="00D868AB" w:rsidRPr="00D868AB" w:rsidRDefault="00D868AB" w:rsidP="00D868AB">
            <w:pPr>
              <w:jc w:val="left"/>
              <w:rPr>
                <w:rFonts w:eastAsia="Times New Roman" w:cs="Arial"/>
                <w:color w:val="000000"/>
                <w:sz w:val="16"/>
                <w:szCs w:val="16"/>
              </w:rPr>
            </w:pPr>
            <w:r w:rsidRPr="00D868AB">
              <w:rPr>
                <w:rFonts w:eastAsia="Times New Roman" w:cs="Arial"/>
                <w:color w:val="000000"/>
                <w:sz w:val="16"/>
                <w:szCs w:val="16"/>
              </w:rPr>
              <w:t>Devolución de ingresos percibidos indebidamente en ejercicios fiscales anteriores.</w:t>
            </w:r>
          </w:p>
        </w:tc>
        <w:tc>
          <w:tcPr>
            <w:tcW w:w="1031" w:type="dxa"/>
            <w:tcBorders>
              <w:top w:val="nil"/>
              <w:left w:val="nil"/>
              <w:bottom w:val="single" w:sz="4" w:space="0" w:color="auto"/>
              <w:right w:val="single" w:sz="4" w:space="0" w:color="auto"/>
            </w:tcBorders>
            <w:shd w:val="clear" w:color="auto" w:fill="auto"/>
            <w:noWrap/>
            <w:vAlign w:val="center"/>
            <w:hideMark/>
          </w:tcPr>
          <w:p w14:paraId="071038F2"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146540B5"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031" w:type="dxa"/>
            <w:tcBorders>
              <w:top w:val="nil"/>
              <w:left w:val="nil"/>
              <w:bottom w:val="single" w:sz="4" w:space="0" w:color="auto"/>
              <w:right w:val="single" w:sz="4" w:space="0" w:color="auto"/>
            </w:tcBorders>
            <w:shd w:val="clear" w:color="auto" w:fill="auto"/>
            <w:noWrap/>
            <w:vAlign w:val="center"/>
            <w:hideMark/>
          </w:tcPr>
          <w:p w14:paraId="0B701A5A"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500,000</w:t>
            </w:r>
          </w:p>
        </w:tc>
        <w:tc>
          <w:tcPr>
            <w:tcW w:w="1031" w:type="dxa"/>
            <w:tcBorders>
              <w:top w:val="nil"/>
              <w:left w:val="nil"/>
              <w:bottom w:val="single" w:sz="4" w:space="0" w:color="auto"/>
              <w:right w:val="single" w:sz="4" w:space="0" w:color="auto"/>
            </w:tcBorders>
            <w:shd w:val="clear" w:color="auto" w:fill="auto"/>
            <w:noWrap/>
            <w:vAlign w:val="center"/>
            <w:hideMark/>
          </w:tcPr>
          <w:p w14:paraId="66AFA3D1"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0</w:t>
            </w:r>
          </w:p>
        </w:tc>
        <w:tc>
          <w:tcPr>
            <w:tcW w:w="1161" w:type="dxa"/>
            <w:tcBorders>
              <w:top w:val="nil"/>
              <w:left w:val="nil"/>
              <w:bottom w:val="single" w:sz="4" w:space="0" w:color="auto"/>
              <w:right w:val="single" w:sz="4" w:space="0" w:color="auto"/>
            </w:tcBorders>
            <w:shd w:val="clear" w:color="auto" w:fill="auto"/>
            <w:noWrap/>
            <w:vAlign w:val="center"/>
            <w:hideMark/>
          </w:tcPr>
          <w:p w14:paraId="7B2C80CF" w14:textId="77777777" w:rsidR="00D868AB" w:rsidRPr="00D868AB" w:rsidRDefault="00D868AB" w:rsidP="00D868AB">
            <w:pPr>
              <w:jc w:val="right"/>
              <w:rPr>
                <w:rFonts w:eastAsia="Times New Roman" w:cs="Arial"/>
                <w:color w:val="000000"/>
                <w:sz w:val="16"/>
                <w:szCs w:val="16"/>
              </w:rPr>
            </w:pPr>
            <w:r w:rsidRPr="00D868AB">
              <w:rPr>
                <w:rFonts w:eastAsia="Times New Roman" w:cs="Arial"/>
                <w:color w:val="000000"/>
                <w:sz w:val="16"/>
                <w:szCs w:val="16"/>
              </w:rPr>
              <w:t>500,000</w:t>
            </w:r>
          </w:p>
        </w:tc>
      </w:tr>
    </w:tbl>
    <w:p w14:paraId="1120AB00" w14:textId="77777777" w:rsidR="00D868AB" w:rsidRPr="00D868AB" w:rsidRDefault="00D868AB" w:rsidP="00D868AB">
      <w:pPr>
        <w:rPr>
          <w:rFonts w:cs="Arial"/>
        </w:rPr>
      </w:pPr>
    </w:p>
    <w:p w14:paraId="2D4CCAAF" w14:textId="77777777" w:rsidR="00D868AB" w:rsidRPr="00D868AB" w:rsidRDefault="00D868AB" w:rsidP="00D868AB">
      <w:pPr>
        <w:rPr>
          <w:rFonts w:cs="Arial"/>
        </w:rPr>
      </w:pPr>
    </w:p>
    <w:p w14:paraId="76087170" w14:textId="77777777" w:rsidR="00D868AB" w:rsidRPr="00D868AB" w:rsidRDefault="00D868AB" w:rsidP="00D868AB">
      <w:pPr>
        <w:rPr>
          <w:rFonts w:cs="Arial"/>
          <w:lang w:val="es-ES"/>
        </w:rPr>
      </w:pPr>
      <w:r w:rsidRPr="00D868AB">
        <w:rPr>
          <w:rFonts w:cs="Arial"/>
          <w:b/>
          <w:lang w:val="es-ES"/>
        </w:rPr>
        <w:t>Artículo 51</w:t>
      </w:r>
      <w:r w:rsidRPr="00D868AB">
        <w:rPr>
          <w:rFonts w:cs="Arial"/>
          <w:lang w:val="es-ES"/>
        </w:rPr>
        <w:t xml:space="preserve">. Dentro del mismo capítulo correspondiente a Deuda Pública se establece por separado para el concepto denominado </w:t>
      </w:r>
      <w:r w:rsidRPr="00D868AB">
        <w:rPr>
          <w:rFonts w:cs="Arial"/>
          <w:b/>
          <w:lang w:val="es-ES"/>
        </w:rPr>
        <w:t xml:space="preserve">Adeudos de Ejercicios Fiscales Anteriores </w:t>
      </w:r>
      <w:r w:rsidRPr="00D868AB">
        <w:rPr>
          <w:rFonts w:cs="Arial"/>
          <w:b/>
          <w:lang w:val="es-ES"/>
        </w:rPr>
        <w:lastRenderedPageBreak/>
        <w:t>(</w:t>
      </w:r>
      <w:r w:rsidRPr="00D868AB">
        <w:rPr>
          <w:rFonts w:cs="Arial"/>
          <w:b/>
          <w:i/>
          <w:lang w:val="es-ES"/>
        </w:rPr>
        <w:t>ADEFAS</w:t>
      </w:r>
      <w:r w:rsidRPr="00D868AB">
        <w:rPr>
          <w:rFonts w:cs="Arial"/>
          <w:lang w:val="es-ES"/>
        </w:rPr>
        <w:t>). Esta asignación presupuestaria cumple con la hipótesis legal establecida en el artículo 12 de la Ley de Disciplina Financiera. Se desglosa de la siguiente forma:</w:t>
      </w:r>
    </w:p>
    <w:p w14:paraId="3CF4DC09" w14:textId="77777777" w:rsidR="00D868AB" w:rsidRPr="00D868AB" w:rsidRDefault="00D868AB" w:rsidP="00D868AB">
      <w:pPr>
        <w:keepNext/>
        <w:keepLines/>
        <w:outlineLvl w:val="2"/>
        <w:rPr>
          <w:rFonts w:eastAsia="Times New Roman" w:cs="Arial"/>
          <w:b/>
          <w:szCs w:val="24"/>
          <w:lang w:val="es-ES" w:eastAsia="en-US"/>
        </w:rPr>
      </w:pPr>
    </w:p>
    <w:p w14:paraId="18AA12F9" w14:textId="77777777" w:rsidR="00D868AB" w:rsidRPr="00D868AB" w:rsidRDefault="00D868AB" w:rsidP="00D868AB">
      <w:pPr>
        <w:jc w:val="center"/>
        <w:rPr>
          <w:rFonts w:eastAsia="Times New Roman" w:cs="Arial"/>
          <w:b/>
          <w:sz w:val="20"/>
          <w:lang w:val="es-ES"/>
        </w:rPr>
      </w:pPr>
      <w:bookmarkStart w:id="206" w:name="_Toc522869292"/>
      <w:bookmarkStart w:id="207" w:name="_Toc526757511"/>
      <w:bookmarkStart w:id="208" w:name="_Toc22021961"/>
      <w:bookmarkStart w:id="209" w:name="_Toc22983214"/>
      <w:r w:rsidRPr="00D868AB">
        <w:rPr>
          <w:rFonts w:eastAsia="Times New Roman" w:cs="Arial"/>
          <w:b/>
          <w:sz w:val="20"/>
          <w:lang w:val="es-ES"/>
        </w:rPr>
        <w:t>Tabla 47. Adeudos de Ejercicios Fiscales Anteriores (ADEFAS)</w:t>
      </w:r>
      <w:bookmarkEnd w:id="206"/>
      <w:bookmarkEnd w:id="207"/>
      <w:bookmarkEnd w:id="208"/>
      <w:bookmarkEnd w:id="20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6046"/>
        <w:gridCol w:w="1473"/>
      </w:tblGrid>
      <w:tr w:rsidR="00D868AB" w:rsidRPr="00D868AB" w14:paraId="1573AEC8" w14:textId="77777777" w:rsidTr="00A755A7">
        <w:trPr>
          <w:trHeight w:val="17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69BCB"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Partida</w:t>
            </w:r>
          </w:p>
        </w:tc>
        <w:tc>
          <w:tcPr>
            <w:tcW w:w="6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3A392"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Denominación</w:t>
            </w:r>
          </w:p>
        </w:tc>
        <w:tc>
          <w:tcPr>
            <w:tcW w:w="14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6F64D"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Asignación Presupuestal</w:t>
            </w:r>
          </w:p>
        </w:tc>
      </w:tr>
      <w:tr w:rsidR="00D868AB" w:rsidRPr="00D868AB" w14:paraId="453A89C9" w14:textId="77777777" w:rsidTr="00A755A7">
        <w:trPr>
          <w:trHeight w:val="170"/>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4FB16" w14:textId="77777777" w:rsidR="00D868AB" w:rsidRPr="00D868AB" w:rsidRDefault="00D868AB" w:rsidP="00D868AB">
            <w:pPr>
              <w:jc w:val="center"/>
              <w:rPr>
                <w:rFonts w:cs="Arial"/>
                <w:sz w:val="18"/>
                <w:szCs w:val="18"/>
                <w:lang w:val="es-ES"/>
              </w:rPr>
            </w:pPr>
            <w:r w:rsidRPr="00D868AB">
              <w:rPr>
                <w:rFonts w:cs="Arial"/>
                <w:sz w:val="18"/>
                <w:szCs w:val="18"/>
                <w:lang w:val="es-ES"/>
              </w:rPr>
              <w:t>99101</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2138F5" w14:textId="77777777" w:rsidR="00D868AB" w:rsidRPr="00D868AB" w:rsidRDefault="00D868AB" w:rsidP="00D868AB">
            <w:pPr>
              <w:rPr>
                <w:rFonts w:cs="Arial"/>
                <w:sz w:val="18"/>
                <w:szCs w:val="18"/>
                <w:lang w:val="es-ES"/>
              </w:rPr>
            </w:pPr>
            <w:r w:rsidRPr="00D868AB">
              <w:rPr>
                <w:rFonts w:cs="Arial"/>
                <w:sz w:val="18"/>
                <w:szCs w:val="18"/>
                <w:lang w:val="es-ES"/>
              </w:rPr>
              <w:t>Adeudos de ejercicios anteriores por concepto de servicios personales magisterio.</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92F128" w14:textId="77777777" w:rsidR="00D868AB" w:rsidRPr="00D868AB" w:rsidRDefault="00D868AB" w:rsidP="00D868AB">
            <w:pPr>
              <w:jc w:val="right"/>
              <w:rPr>
                <w:rFonts w:cs="Arial"/>
                <w:sz w:val="18"/>
                <w:szCs w:val="18"/>
                <w:lang w:val="es-ES"/>
              </w:rPr>
            </w:pPr>
            <w:r w:rsidRPr="00D868AB">
              <w:rPr>
                <w:rFonts w:cs="Arial"/>
                <w:color w:val="000000"/>
                <w:sz w:val="18"/>
                <w:szCs w:val="18"/>
              </w:rPr>
              <w:t>1,000,000</w:t>
            </w:r>
          </w:p>
        </w:tc>
      </w:tr>
      <w:tr w:rsidR="00D868AB" w:rsidRPr="00D868AB" w14:paraId="7C860775" w14:textId="77777777" w:rsidTr="00A755A7">
        <w:trPr>
          <w:trHeight w:val="170"/>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tcPr>
          <w:p w14:paraId="71C4C054" w14:textId="77777777" w:rsidR="00D868AB" w:rsidRPr="00D868AB" w:rsidRDefault="00D868AB" w:rsidP="00D868AB">
            <w:pPr>
              <w:jc w:val="center"/>
              <w:rPr>
                <w:rFonts w:cs="Arial"/>
                <w:sz w:val="18"/>
                <w:szCs w:val="18"/>
                <w:lang w:val="es-ES"/>
              </w:rPr>
            </w:pPr>
            <w:r w:rsidRPr="00D868AB">
              <w:rPr>
                <w:rFonts w:cs="Arial"/>
                <w:color w:val="000000"/>
                <w:sz w:val="18"/>
                <w:szCs w:val="18"/>
              </w:rPr>
              <w:t>99102</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tcPr>
          <w:p w14:paraId="24134E54" w14:textId="77777777" w:rsidR="00D868AB" w:rsidRPr="00D868AB" w:rsidRDefault="00D868AB" w:rsidP="00D868AB">
            <w:pPr>
              <w:rPr>
                <w:rFonts w:cs="Arial"/>
                <w:sz w:val="18"/>
                <w:szCs w:val="18"/>
                <w:lang w:val="es-ES"/>
              </w:rPr>
            </w:pPr>
            <w:r w:rsidRPr="00D868AB">
              <w:rPr>
                <w:rFonts w:cs="Arial"/>
                <w:color w:val="000000"/>
                <w:sz w:val="18"/>
                <w:szCs w:val="18"/>
              </w:rPr>
              <w:t>Adeudos de ejercicios anteriores por concepto de servicios personales burocracia.</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0B114" w14:textId="77777777" w:rsidR="00D868AB" w:rsidRPr="00D868AB" w:rsidRDefault="00D868AB" w:rsidP="00D868AB">
            <w:pPr>
              <w:jc w:val="right"/>
              <w:rPr>
                <w:rFonts w:cs="Arial"/>
                <w:color w:val="000000"/>
                <w:sz w:val="18"/>
                <w:szCs w:val="18"/>
              </w:rPr>
            </w:pPr>
            <w:r w:rsidRPr="00D868AB">
              <w:rPr>
                <w:rFonts w:cs="Arial"/>
                <w:color w:val="000000"/>
                <w:sz w:val="18"/>
                <w:szCs w:val="18"/>
              </w:rPr>
              <w:t>1,000,000</w:t>
            </w:r>
          </w:p>
        </w:tc>
      </w:tr>
      <w:tr w:rsidR="00D868AB" w:rsidRPr="00D868AB" w14:paraId="735C9BB6" w14:textId="77777777" w:rsidTr="00A755A7">
        <w:trPr>
          <w:trHeight w:val="170"/>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D90060" w14:textId="77777777" w:rsidR="00D868AB" w:rsidRPr="00D868AB" w:rsidRDefault="00D868AB" w:rsidP="00D868AB">
            <w:pPr>
              <w:jc w:val="center"/>
              <w:rPr>
                <w:rFonts w:cs="Arial"/>
                <w:sz w:val="18"/>
                <w:szCs w:val="18"/>
                <w:lang w:val="es-ES"/>
              </w:rPr>
            </w:pPr>
            <w:r w:rsidRPr="00D868AB">
              <w:rPr>
                <w:rFonts w:cs="Arial"/>
                <w:sz w:val="18"/>
                <w:szCs w:val="18"/>
                <w:lang w:val="es-ES"/>
              </w:rPr>
              <w:t>99103</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F039DD" w14:textId="77777777" w:rsidR="00D868AB" w:rsidRPr="00D868AB" w:rsidRDefault="00D868AB" w:rsidP="00D868AB">
            <w:pPr>
              <w:rPr>
                <w:rFonts w:cs="Arial"/>
                <w:sz w:val="18"/>
                <w:szCs w:val="18"/>
                <w:lang w:val="es-ES"/>
              </w:rPr>
            </w:pPr>
            <w:r w:rsidRPr="00D868AB">
              <w:rPr>
                <w:rFonts w:cs="Arial"/>
                <w:sz w:val="18"/>
                <w:szCs w:val="18"/>
                <w:lang w:val="es-ES"/>
              </w:rPr>
              <w:t>Adeudos de ejercicios anteriores por conceptos distintos de servicios personales.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8CF10" w14:textId="77777777" w:rsidR="00D868AB" w:rsidRPr="00D868AB" w:rsidRDefault="00D868AB" w:rsidP="00D868AB">
            <w:pPr>
              <w:jc w:val="right"/>
              <w:rPr>
                <w:rFonts w:cs="Arial"/>
                <w:sz w:val="18"/>
                <w:szCs w:val="18"/>
                <w:lang w:val="es-ES"/>
              </w:rPr>
            </w:pPr>
            <w:r w:rsidRPr="00D868AB">
              <w:rPr>
                <w:rFonts w:cs="Arial"/>
                <w:color w:val="000000"/>
                <w:sz w:val="18"/>
                <w:szCs w:val="18"/>
              </w:rPr>
              <w:t>154,861,143</w:t>
            </w:r>
          </w:p>
        </w:tc>
      </w:tr>
      <w:tr w:rsidR="00D868AB" w:rsidRPr="00D868AB" w14:paraId="732EDA57" w14:textId="77777777" w:rsidTr="00A755A7">
        <w:trPr>
          <w:trHeight w:val="170"/>
          <w:jc w:val="center"/>
        </w:trPr>
        <w:tc>
          <w:tcPr>
            <w:tcW w:w="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E7B8B" w14:textId="77777777" w:rsidR="00D868AB" w:rsidRPr="00D868AB" w:rsidRDefault="00D868AB" w:rsidP="00D868AB">
            <w:pPr>
              <w:jc w:val="center"/>
              <w:rPr>
                <w:rFonts w:cs="Arial"/>
                <w:sz w:val="18"/>
                <w:szCs w:val="18"/>
                <w:lang w:val="es-ES"/>
              </w:rPr>
            </w:pPr>
            <w:r w:rsidRPr="00D868AB">
              <w:rPr>
                <w:rFonts w:cs="Arial"/>
                <w:sz w:val="18"/>
                <w:szCs w:val="18"/>
                <w:lang w:val="es-ES"/>
              </w:rPr>
              <w:t>99104</w:t>
            </w:r>
          </w:p>
        </w:tc>
        <w:tc>
          <w:tcPr>
            <w:tcW w:w="60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66907" w14:textId="77777777" w:rsidR="00D868AB" w:rsidRPr="00D868AB" w:rsidRDefault="00D868AB" w:rsidP="00D868AB">
            <w:pPr>
              <w:rPr>
                <w:rFonts w:cs="Arial"/>
                <w:sz w:val="18"/>
                <w:szCs w:val="18"/>
                <w:lang w:val="es-ES"/>
              </w:rPr>
            </w:pPr>
            <w:r w:rsidRPr="00D868AB">
              <w:rPr>
                <w:rFonts w:cs="Arial"/>
                <w:sz w:val="18"/>
                <w:szCs w:val="18"/>
                <w:lang w:val="es-ES"/>
              </w:rPr>
              <w:t>Devolución de ingresos percibidos indebidamente en ejercicios fiscales anteriores.</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7E9BE" w14:textId="77777777" w:rsidR="00D868AB" w:rsidRPr="00D868AB" w:rsidRDefault="00D868AB" w:rsidP="00D868AB">
            <w:pPr>
              <w:jc w:val="right"/>
              <w:rPr>
                <w:rFonts w:cs="Arial"/>
                <w:sz w:val="18"/>
                <w:szCs w:val="18"/>
                <w:lang w:val="es-ES"/>
              </w:rPr>
            </w:pPr>
            <w:r w:rsidRPr="00D868AB">
              <w:rPr>
                <w:rFonts w:cs="Arial"/>
                <w:color w:val="000000"/>
                <w:sz w:val="18"/>
                <w:szCs w:val="18"/>
              </w:rPr>
              <w:t>500,000</w:t>
            </w:r>
          </w:p>
        </w:tc>
      </w:tr>
      <w:tr w:rsidR="00D868AB" w:rsidRPr="00D868AB" w14:paraId="7DFB1DE3" w14:textId="77777777" w:rsidTr="00A755A7">
        <w:trPr>
          <w:trHeight w:val="170"/>
          <w:jc w:val="center"/>
        </w:trPr>
        <w:tc>
          <w:tcPr>
            <w:tcW w:w="895" w:type="dxa"/>
            <w:tcBorders>
              <w:top w:val="single" w:sz="4" w:space="0" w:color="auto"/>
              <w:left w:val="single" w:sz="4" w:space="0" w:color="auto"/>
              <w:bottom w:val="single" w:sz="4" w:space="0" w:color="auto"/>
              <w:right w:val="single" w:sz="4" w:space="0" w:color="auto"/>
            </w:tcBorders>
            <w:shd w:val="clear" w:color="auto" w:fill="auto"/>
            <w:noWrap/>
            <w:hideMark/>
          </w:tcPr>
          <w:p w14:paraId="677B1DE9" w14:textId="77777777" w:rsidR="00D868AB" w:rsidRPr="00D868AB" w:rsidRDefault="00D868AB" w:rsidP="00D868AB">
            <w:pPr>
              <w:rPr>
                <w:rFonts w:cs="Arial"/>
                <w:sz w:val="18"/>
                <w:szCs w:val="18"/>
                <w:lang w:val="es-ES"/>
              </w:rPr>
            </w:pPr>
            <w:r w:rsidRPr="00D868AB">
              <w:rPr>
                <w:rFonts w:cs="Arial"/>
                <w:sz w:val="18"/>
                <w:szCs w:val="18"/>
                <w:lang w:val="es-ES"/>
              </w:rPr>
              <w:t> </w:t>
            </w:r>
          </w:p>
        </w:tc>
        <w:tc>
          <w:tcPr>
            <w:tcW w:w="60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75978"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Total</w:t>
            </w:r>
          </w:p>
        </w:tc>
        <w:tc>
          <w:tcPr>
            <w:tcW w:w="147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04B06"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157,361,143</w:t>
            </w:r>
          </w:p>
        </w:tc>
      </w:tr>
    </w:tbl>
    <w:p w14:paraId="25B67F35" w14:textId="77777777" w:rsidR="00D868AB" w:rsidRPr="00D868AB" w:rsidRDefault="00D868AB" w:rsidP="00D868AB">
      <w:pPr>
        <w:rPr>
          <w:rFonts w:cs="Arial"/>
          <w:b/>
          <w:lang w:val="es-ES"/>
        </w:rPr>
      </w:pPr>
    </w:p>
    <w:p w14:paraId="653AE3E7" w14:textId="77777777" w:rsidR="00D868AB" w:rsidRPr="00D868AB" w:rsidRDefault="00D868AB" w:rsidP="00D868AB">
      <w:pPr>
        <w:rPr>
          <w:rFonts w:cs="Arial"/>
          <w:lang w:val="es-ES"/>
        </w:rPr>
      </w:pPr>
      <w:r w:rsidRPr="00D868AB">
        <w:rPr>
          <w:rFonts w:cs="Arial"/>
          <w:b/>
          <w:lang w:val="es-ES"/>
        </w:rPr>
        <w:t>Artículo 52</w:t>
      </w:r>
      <w:r w:rsidRPr="00D868AB">
        <w:rPr>
          <w:rFonts w:cs="Arial"/>
          <w:lang w:val="es-ES"/>
        </w:rPr>
        <w:t xml:space="preserve">. De conformidad con el artículo 46, fracción I, de la Ley de Disciplina Financiera de las Entidades Federativas y los Municipios; y del artículo 14 del Reglamento del Sistema de Alertas; con fecha 29 de agosto de 2022, la Secretaría de Hacienda y Crédito Público publicó en su página oficial de internet los resultados de los indicadores y niveles de endeudamiento del Sistema de Alertas de las Entidades Federativas, resultando el Estado de Colima con un nivel de </w:t>
      </w:r>
      <w:r w:rsidRPr="00D868AB">
        <w:rPr>
          <w:rFonts w:cs="Arial"/>
          <w:b/>
          <w:bCs/>
          <w:lang w:val="es-ES"/>
        </w:rPr>
        <w:t>Endeudamiento en Observación</w:t>
      </w:r>
      <w:r w:rsidRPr="00D868AB">
        <w:rPr>
          <w:rFonts w:cs="Arial"/>
          <w:lang w:val="es-ES"/>
        </w:rPr>
        <w:t>.</w:t>
      </w:r>
    </w:p>
    <w:p w14:paraId="1F45F1FB" w14:textId="77777777" w:rsidR="00D868AB" w:rsidRPr="00D868AB" w:rsidRDefault="00D868AB" w:rsidP="00D868AB">
      <w:pPr>
        <w:rPr>
          <w:rFonts w:cs="Arial"/>
          <w:lang w:val="es-ES"/>
        </w:rPr>
      </w:pPr>
    </w:p>
    <w:p w14:paraId="5960F496" w14:textId="77777777" w:rsidR="00D868AB" w:rsidRPr="00D868AB" w:rsidRDefault="00D868AB" w:rsidP="00D868AB">
      <w:pPr>
        <w:rPr>
          <w:rFonts w:cs="Arial"/>
          <w:bCs/>
        </w:rPr>
      </w:pPr>
      <w:r w:rsidRPr="00D868AB">
        <w:rPr>
          <w:rFonts w:cs="Arial"/>
          <w:lang w:val="es-ES"/>
        </w:rPr>
        <w:t xml:space="preserve">En ese sentido, se determina que para el ejercicio fiscal 2023, el </w:t>
      </w:r>
      <w:r w:rsidRPr="00D868AB">
        <w:rPr>
          <w:rFonts w:cs="Arial"/>
          <w:b/>
          <w:bCs/>
          <w:lang w:val="es-ES"/>
        </w:rPr>
        <w:t>Techo de Financiamiento Neto</w:t>
      </w:r>
      <w:r w:rsidRPr="00D868AB">
        <w:rPr>
          <w:rFonts w:cs="Arial"/>
          <w:lang w:val="es-ES"/>
        </w:rPr>
        <w:t xml:space="preserve"> del Estado será de </w:t>
      </w:r>
      <w:r w:rsidRPr="00D868AB">
        <w:rPr>
          <w:rFonts w:cs="Arial"/>
          <w:bCs/>
        </w:rPr>
        <w:t xml:space="preserve">el equivalente al 5 por ciento de los Ingresos de Libre Disposición: </w:t>
      </w:r>
      <w:r w:rsidRPr="00D868AB">
        <w:rPr>
          <w:rFonts w:cs="Arial"/>
          <w:b/>
        </w:rPr>
        <w:t xml:space="preserve">$372,732,389.00 </w:t>
      </w:r>
      <w:r w:rsidRPr="00D868AB">
        <w:rPr>
          <w:rFonts w:cs="Arial"/>
          <w:bCs/>
        </w:rPr>
        <w:t>(Trescientos setenta y dos millones setecientos treinta y dos mil trescientos ochenta y nueve pesos).</w:t>
      </w:r>
    </w:p>
    <w:p w14:paraId="7794067D" w14:textId="5ED3D0F3" w:rsidR="00D868AB" w:rsidRDefault="00D868AB" w:rsidP="00D868AB">
      <w:pPr>
        <w:rPr>
          <w:rFonts w:cs="Arial"/>
          <w:bCs/>
          <w:color w:val="FF0000"/>
        </w:rPr>
      </w:pPr>
    </w:p>
    <w:p w14:paraId="52682BCE" w14:textId="77777777" w:rsidR="00F33998" w:rsidRDefault="00F33998" w:rsidP="00D868AB">
      <w:pPr>
        <w:jc w:val="center"/>
        <w:rPr>
          <w:rFonts w:eastAsia="Times New Roman" w:cs="Arial"/>
          <w:b/>
          <w:lang w:val="es-ES"/>
        </w:rPr>
      </w:pPr>
      <w:bookmarkStart w:id="210" w:name="_Toc22021962"/>
      <w:bookmarkStart w:id="211" w:name="_Toc22983215"/>
      <w:bookmarkEnd w:id="177"/>
    </w:p>
    <w:p w14:paraId="51C07606" w14:textId="764BBB95" w:rsidR="00D868AB" w:rsidRPr="00D868AB" w:rsidRDefault="00D868AB" w:rsidP="00D868AB">
      <w:pPr>
        <w:jc w:val="center"/>
        <w:rPr>
          <w:rFonts w:eastAsia="Times New Roman" w:cs="Arial"/>
          <w:b/>
          <w:lang w:val="es-ES"/>
        </w:rPr>
      </w:pPr>
      <w:r w:rsidRPr="00D868AB">
        <w:rPr>
          <w:rFonts w:eastAsia="Times New Roman" w:cs="Arial"/>
          <w:b/>
          <w:lang w:val="es-ES"/>
        </w:rPr>
        <w:t>CAPÍTULO XI</w:t>
      </w:r>
      <w:bookmarkEnd w:id="210"/>
      <w:bookmarkEnd w:id="211"/>
      <w:r w:rsidRPr="00D868AB">
        <w:rPr>
          <w:rFonts w:eastAsia="Times New Roman" w:cs="Arial"/>
          <w:b/>
          <w:lang w:val="es-ES"/>
        </w:rPr>
        <w:t>I</w:t>
      </w:r>
    </w:p>
    <w:p w14:paraId="5F7C9374" w14:textId="77777777" w:rsidR="00D868AB" w:rsidRPr="00D868AB" w:rsidRDefault="00D868AB" w:rsidP="00D868AB">
      <w:pPr>
        <w:keepNext/>
        <w:keepLines/>
        <w:jc w:val="center"/>
        <w:outlineLvl w:val="0"/>
        <w:rPr>
          <w:rFonts w:eastAsia="Times New Roman" w:cs="Arial"/>
          <w:b/>
          <w:szCs w:val="32"/>
          <w:lang w:val="es-ES"/>
        </w:rPr>
      </w:pPr>
      <w:bookmarkStart w:id="212" w:name="_Toc22021963"/>
      <w:bookmarkStart w:id="213" w:name="_Toc22983216"/>
      <w:r w:rsidRPr="00D868AB">
        <w:rPr>
          <w:rFonts w:eastAsia="Times New Roman" w:cs="Arial"/>
          <w:b/>
          <w:szCs w:val="32"/>
          <w:lang w:val="es-ES"/>
        </w:rPr>
        <w:t>DE LOS SUBSIDIOS</w:t>
      </w:r>
      <w:bookmarkEnd w:id="212"/>
      <w:bookmarkEnd w:id="213"/>
    </w:p>
    <w:p w14:paraId="4931A9B9" w14:textId="77777777" w:rsidR="00D868AB" w:rsidRPr="00D868AB" w:rsidRDefault="00D868AB" w:rsidP="00D868AB">
      <w:pPr>
        <w:rPr>
          <w:rFonts w:cs="Arial"/>
          <w:b/>
          <w:lang w:val="es-ES"/>
        </w:rPr>
      </w:pPr>
    </w:p>
    <w:p w14:paraId="1148FD38" w14:textId="77777777" w:rsidR="00D868AB" w:rsidRPr="00D868AB" w:rsidRDefault="00D868AB" w:rsidP="00D868AB">
      <w:pPr>
        <w:rPr>
          <w:rFonts w:cs="Arial"/>
          <w:lang w:val="es-ES"/>
        </w:rPr>
      </w:pPr>
      <w:r w:rsidRPr="00D868AB">
        <w:rPr>
          <w:rFonts w:cs="Arial"/>
          <w:b/>
          <w:lang w:val="es-ES"/>
        </w:rPr>
        <w:t>Artículo 53</w:t>
      </w:r>
      <w:r w:rsidRPr="00D868AB">
        <w:rPr>
          <w:rFonts w:cs="Arial"/>
          <w:lang w:val="es-ES"/>
        </w:rPr>
        <w:t>. La persona Titular del Poder Ejecutivo, por conducto de la Secretaría, autorizará la ministración, reducción, suspensión y en su caso, terminación de las transferencias y subsidios que se prevén en el presente Decreto.</w:t>
      </w:r>
    </w:p>
    <w:p w14:paraId="38270D1C" w14:textId="77777777" w:rsidR="00D868AB" w:rsidRPr="00D868AB" w:rsidRDefault="00D868AB" w:rsidP="00D868AB">
      <w:pPr>
        <w:rPr>
          <w:rFonts w:cs="Arial"/>
          <w:lang w:val="es-ES"/>
        </w:rPr>
      </w:pPr>
    </w:p>
    <w:p w14:paraId="4D2EB4C0" w14:textId="77777777" w:rsidR="00D868AB" w:rsidRPr="00D868AB" w:rsidRDefault="00D868AB" w:rsidP="00D868AB">
      <w:pPr>
        <w:rPr>
          <w:rFonts w:cs="Arial"/>
          <w:lang w:val="es-ES"/>
        </w:rPr>
      </w:pPr>
      <w:r w:rsidRPr="00D868AB">
        <w:rPr>
          <w:rFonts w:cs="Arial"/>
          <w:b/>
          <w:lang w:val="es-ES"/>
        </w:rPr>
        <w:t>Artículo 54</w:t>
      </w:r>
      <w:r w:rsidRPr="00D868AB">
        <w:rPr>
          <w:rFonts w:cs="Arial"/>
          <w:lang w:val="es-ES"/>
        </w:rPr>
        <w:t xml:space="preserve">. </w:t>
      </w:r>
      <w:r w:rsidRPr="00D868AB">
        <w:rPr>
          <w:rFonts w:eastAsia="Times New Roman" w:cs="Arial"/>
        </w:rPr>
        <w:t>Las personas titulares de la Administración Pública Centralizada</w:t>
      </w:r>
      <w:r w:rsidRPr="00D868AB">
        <w:rPr>
          <w:rFonts w:cs="Arial"/>
          <w:lang w:val="es-ES"/>
        </w:rPr>
        <w:t xml:space="preserve">, </w:t>
      </w:r>
      <w:r w:rsidRPr="00D868AB">
        <w:rPr>
          <w:rFonts w:eastAsia="Times New Roman" w:cs="Arial"/>
        </w:rPr>
        <w:t>de la Administración Pública Paraestatal</w:t>
      </w:r>
      <w:r w:rsidRPr="00D868AB">
        <w:rPr>
          <w:rFonts w:cs="Arial"/>
          <w:lang w:val="es-ES"/>
        </w:rPr>
        <w:t xml:space="preserve"> y </w:t>
      </w:r>
      <w:r w:rsidRPr="00D868AB">
        <w:rPr>
          <w:rFonts w:eastAsia="Times New Roman" w:cs="Arial"/>
        </w:rPr>
        <w:t>Órganos Autónomos del Estado</w:t>
      </w:r>
      <w:r w:rsidRPr="00D868AB">
        <w:rPr>
          <w:rFonts w:cs="Arial"/>
          <w:lang w:val="es-ES"/>
        </w:rPr>
        <w:t xml:space="preserve"> a los que se autorice la asignación de transferencias y subsidios con cargo al Presupuesto, serán responsables de su correcta aplicación conforme a lo establecido en este Presupuesto y las demás disposiciones aplicables.</w:t>
      </w:r>
    </w:p>
    <w:p w14:paraId="13D911D4" w14:textId="77777777" w:rsidR="00D868AB" w:rsidRPr="00D868AB" w:rsidRDefault="00D868AB" w:rsidP="00D868AB">
      <w:pPr>
        <w:rPr>
          <w:rFonts w:cs="Arial"/>
          <w:lang w:val="es-ES"/>
        </w:rPr>
      </w:pPr>
    </w:p>
    <w:p w14:paraId="098DB0F6" w14:textId="77777777" w:rsidR="00D868AB" w:rsidRPr="00D868AB" w:rsidRDefault="00D868AB" w:rsidP="00D868AB">
      <w:pPr>
        <w:rPr>
          <w:rFonts w:cs="Arial"/>
          <w:lang w:val="es-ES"/>
        </w:rPr>
      </w:pPr>
      <w:r w:rsidRPr="00D868AB">
        <w:rPr>
          <w:rFonts w:cs="Arial"/>
          <w:b/>
          <w:lang w:val="es-ES"/>
        </w:rPr>
        <w:lastRenderedPageBreak/>
        <w:t>Artículo 55</w:t>
      </w:r>
      <w:r w:rsidRPr="00D868AB">
        <w:rPr>
          <w:rFonts w:cs="Arial"/>
          <w:lang w:val="es-ES"/>
        </w:rPr>
        <w:t xml:space="preserve">. La Secretaría podrá emitir durante el ejercicio fiscal, disposiciones sobre la operación, evaluación y ejercicio del gasto relacionado con el otorgamiento y aplicación de las transferencias y subsidios, así como de las economías presupuestarias. </w:t>
      </w:r>
    </w:p>
    <w:p w14:paraId="1BCA70A9" w14:textId="77777777" w:rsidR="00D868AB" w:rsidRPr="00D868AB" w:rsidRDefault="00D868AB" w:rsidP="00D868AB">
      <w:pPr>
        <w:rPr>
          <w:rFonts w:cs="Arial"/>
          <w:lang w:val="es-ES"/>
        </w:rPr>
      </w:pPr>
    </w:p>
    <w:p w14:paraId="4050CC13" w14:textId="77777777" w:rsidR="00D868AB" w:rsidRPr="00D868AB" w:rsidRDefault="00D868AB" w:rsidP="00D868AB">
      <w:pPr>
        <w:rPr>
          <w:rFonts w:cs="Arial"/>
          <w:lang w:val="es-ES"/>
        </w:rPr>
      </w:pPr>
      <w:r w:rsidRPr="00D868AB">
        <w:rPr>
          <w:rFonts w:cs="Arial"/>
          <w:b/>
          <w:lang w:val="es-ES"/>
        </w:rPr>
        <w:t>Artículo 56</w:t>
      </w:r>
      <w:r w:rsidRPr="00D868AB">
        <w:rPr>
          <w:rFonts w:cs="Arial"/>
          <w:lang w:val="es-ES"/>
        </w:rPr>
        <w:t>. Las erogaciones por concepto de transferencias y subsidios con cargo al Presupuesto, se sujetarán a los objetivos y las metas de los Programas Presupuestarios que realizan los Entes Públicos y a las necesidades de planeación y administración financiera del Gobierno del Estado, apegándose además a los siguientes criterios:</w:t>
      </w:r>
    </w:p>
    <w:p w14:paraId="76B1D615" w14:textId="77777777" w:rsidR="00D868AB" w:rsidRPr="00D868AB" w:rsidRDefault="00D868AB" w:rsidP="00D868AB">
      <w:pPr>
        <w:rPr>
          <w:rFonts w:cs="Arial"/>
          <w:lang w:val="es-ES"/>
        </w:rPr>
      </w:pPr>
    </w:p>
    <w:p w14:paraId="1F6ED406" w14:textId="77777777" w:rsidR="00D868AB" w:rsidRPr="00D868AB" w:rsidRDefault="00D868AB" w:rsidP="00D868AB">
      <w:pPr>
        <w:numPr>
          <w:ilvl w:val="0"/>
          <w:numId w:val="11"/>
        </w:numPr>
        <w:ind w:hanging="720"/>
        <w:contextualSpacing/>
        <w:rPr>
          <w:rFonts w:eastAsia="Times New Roman" w:cs="Arial"/>
        </w:rPr>
      </w:pPr>
      <w:r w:rsidRPr="00D868AB">
        <w:rPr>
          <w:rFonts w:eastAsia="Times New Roman" w:cs="Arial"/>
        </w:rPr>
        <w:t>Se requerirá la autorización previa y por escrito de la Secretaría para otorgar transferencias que pretendan destinarse a inversiones financieras; y</w:t>
      </w:r>
    </w:p>
    <w:p w14:paraId="79C8AF56" w14:textId="77777777" w:rsidR="00D868AB" w:rsidRPr="00D868AB" w:rsidRDefault="00D868AB" w:rsidP="00D868AB">
      <w:pPr>
        <w:numPr>
          <w:ilvl w:val="0"/>
          <w:numId w:val="11"/>
        </w:numPr>
        <w:ind w:hanging="720"/>
        <w:contextualSpacing/>
        <w:rPr>
          <w:rFonts w:eastAsia="Times New Roman" w:cs="Arial"/>
        </w:rPr>
      </w:pPr>
      <w:r w:rsidRPr="00D868AB">
        <w:rPr>
          <w:rFonts w:eastAsia="Times New Roman" w:cs="Arial"/>
        </w:rPr>
        <w:t>Se considerarán preferenciales las transferencias destinadas a las Dependencias de la Administración Pública Centralizada y Entidades de la Administración Pública Paraestatal cuya función esté orientada a: la prestación de servicios educativos, al desarrollo social y a la formación de capital en las ramas y sectores básicos de la economía, la promoción del desarrollo de la ciencia y la tecnología, y a la seguridad pública.</w:t>
      </w:r>
    </w:p>
    <w:p w14:paraId="22FB692F" w14:textId="77777777" w:rsidR="00D868AB" w:rsidRPr="00D868AB" w:rsidRDefault="00D868AB" w:rsidP="00D868AB">
      <w:pPr>
        <w:rPr>
          <w:rFonts w:cs="Arial"/>
          <w:lang w:val="es-ES"/>
        </w:rPr>
      </w:pPr>
    </w:p>
    <w:p w14:paraId="21FEFC21" w14:textId="77777777" w:rsidR="00D868AB" w:rsidRPr="00D868AB" w:rsidRDefault="00D868AB" w:rsidP="00D868AB">
      <w:pPr>
        <w:rPr>
          <w:rFonts w:cs="Arial"/>
          <w:lang w:val="es-ES"/>
        </w:rPr>
      </w:pPr>
      <w:r w:rsidRPr="00D868AB">
        <w:rPr>
          <w:rFonts w:cs="Arial"/>
          <w:b/>
          <w:lang w:val="es-ES"/>
        </w:rPr>
        <w:t>Artículo 57</w:t>
      </w:r>
      <w:r w:rsidRPr="00D868AB">
        <w:rPr>
          <w:rFonts w:cs="Arial"/>
          <w:lang w:val="es-ES"/>
        </w:rPr>
        <w:t>. La Secretaría podrá reducir, suspender o terminar las Transferencias, Asignaciones, Subsidios y Otras Ayudas cuando:</w:t>
      </w:r>
    </w:p>
    <w:p w14:paraId="4E1B3F7A" w14:textId="77777777" w:rsidR="00D868AB" w:rsidRPr="00D868AB" w:rsidRDefault="00D868AB" w:rsidP="00D868AB">
      <w:pPr>
        <w:jc w:val="left"/>
        <w:rPr>
          <w:rFonts w:eastAsia="Calibri" w:cs="Arial"/>
          <w:lang w:val="es-ES" w:eastAsia="en-US"/>
        </w:rPr>
      </w:pPr>
    </w:p>
    <w:p w14:paraId="065EFBB9" w14:textId="77777777" w:rsidR="00D868AB" w:rsidRPr="00D868AB" w:rsidRDefault="00D868AB" w:rsidP="00D868AB">
      <w:pPr>
        <w:numPr>
          <w:ilvl w:val="0"/>
          <w:numId w:val="8"/>
        </w:numPr>
        <w:ind w:hanging="720"/>
        <w:contextualSpacing/>
        <w:rPr>
          <w:rFonts w:eastAsia="Times New Roman" w:cs="Arial"/>
        </w:rPr>
      </w:pPr>
      <w:r w:rsidRPr="00D868AB">
        <w:rPr>
          <w:rFonts w:eastAsia="Times New Roman" w:cs="Arial"/>
        </w:rPr>
        <w:t>La Administración Pública Centralizada y la Administración Pública Paraestatal, a las que se les otorguen cuenten con autosuficiencia financiera;</w:t>
      </w:r>
    </w:p>
    <w:p w14:paraId="04EB97DE" w14:textId="77777777" w:rsidR="00D868AB" w:rsidRPr="00D868AB" w:rsidRDefault="00D868AB" w:rsidP="00D868AB">
      <w:pPr>
        <w:numPr>
          <w:ilvl w:val="0"/>
          <w:numId w:val="8"/>
        </w:numPr>
        <w:ind w:hanging="720"/>
        <w:contextualSpacing/>
        <w:rPr>
          <w:rFonts w:eastAsia="Times New Roman" w:cs="Arial"/>
        </w:rPr>
      </w:pPr>
      <w:r w:rsidRPr="00D868AB">
        <w:rPr>
          <w:rFonts w:eastAsia="Times New Roman" w:cs="Arial"/>
        </w:rPr>
        <w:t xml:space="preserve">Las </w:t>
      </w:r>
      <w:r w:rsidRPr="00D868AB">
        <w:rPr>
          <w:rFonts w:cs="Arial"/>
          <w:lang w:val="es-ES"/>
        </w:rPr>
        <w:t xml:space="preserve">Transferencias, Asignaciones, Subsidios y Otras Ayudas </w:t>
      </w:r>
      <w:r w:rsidRPr="00D868AB">
        <w:rPr>
          <w:rFonts w:eastAsia="Times New Roman" w:cs="Arial"/>
        </w:rPr>
        <w:t>ya no cumplan con el objetivo de su otorgamiento;</w:t>
      </w:r>
    </w:p>
    <w:p w14:paraId="5D2DC0D7" w14:textId="77777777" w:rsidR="00D868AB" w:rsidRPr="00D868AB" w:rsidRDefault="00D868AB" w:rsidP="00D868AB">
      <w:pPr>
        <w:numPr>
          <w:ilvl w:val="0"/>
          <w:numId w:val="8"/>
        </w:numPr>
        <w:ind w:hanging="720"/>
        <w:contextualSpacing/>
        <w:rPr>
          <w:rFonts w:eastAsia="Times New Roman" w:cs="Arial"/>
        </w:rPr>
      </w:pPr>
      <w:r w:rsidRPr="00D868AB">
        <w:rPr>
          <w:rFonts w:eastAsia="Times New Roman" w:cs="Arial"/>
        </w:rPr>
        <w:t>La Administración Pública Centralizada y la Administración Pública Paraestatal no remitan la información referente a la aplicación de estas transferencias; y</w:t>
      </w:r>
    </w:p>
    <w:p w14:paraId="3F4BE3DA" w14:textId="77777777" w:rsidR="00D868AB" w:rsidRPr="00D868AB" w:rsidRDefault="00D868AB" w:rsidP="00D868AB">
      <w:pPr>
        <w:numPr>
          <w:ilvl w:val="0"/>
          <w:numId w:val="8"/>
        </w:numPr>
        <w:ind w:hanging="720"/>
        <w:contextualSpacing/>
        <w:rPr>
          <w:rFonts w:eastAsia="Times New Roman" w:cs="Arial"/>
        </w:rPr>
      </w:pPr>
      <w:r w:rsidRPr="00D868AB">
        <w:rPr>
          <w:rFonts w:eastAsia="Times New Roman" w:cs="Arial"/>
        </w:rPr>
        <w:t>No existan las condiciones presupuestales y financieras para seguir otorgándolas.</w:t>
      </w:r>
    </w:p>
    <w:p w14:paraId="5D7103AD" w14:textId="77777777" w:rsidR="00D868AB" w:rsidRPr="00D868AB" w:rsidRDefault="00D868AB" w:rsidP="00D868AB">
      <w:pPr>
        <w:rPr>
          <w:rFonts w:cs="Arial"/>
          <w:lang w:val="es-ES"/>
        </w:rPr>
      </w:pPr>
    </w:p>
    <w:p w14:paraId="53A6E9C0" w14:textId="77777777" w:rsidR="00D868AB" w:rsidRPr="00D868AB" w:rsidRDefault="00D868AB" w:rsidP="00D868AB">
      <w:pPr>
        <w:rPr>
          <w:rFonts w:cs="Arial"/>
          <w:lang w:val="es-ES"/>
        </w:rPr>
      </w:pPr>
      <w:r w:rsidRPr="00D868AB">
        <w:rPr>
          <w:rFonts w:cs="Arial"/>
          <w:b/>
          <w:lang w:val="es-ES"/>
        </w:rPr>
        <w:t>Artículo 58</w:t>
      </w:r>
      <w:r w:rsidRPr="00D868AB">
        <w:rPr>
          <w:rFonts w:cs="Arial"/>
          <w:lang w:val="es-ES"/>
        </w:rPr>
        <w:t xml:space="preserve">. Para el ejercicio fiscal 2023, se destinan recursos para subsidiar el </w:t>
      </w:r>
      <w:r w:rsidRPr="00D868AB">
        <w:rPr>
          <w:rFonts w:cs="Arial"/>
          <w:b/>
          <w:bCs/>
          <w:lang w:val="es-ES"/>
        </w:rPr>
        <w:t>Impuesto sobre Tenencia o Uso de Vehículos</w:t>
      </w:r>
      <w:r w:rsidRPr="00D868AB">
        <w:rPr>
          <w:rFonts w:cs="Arial"/>
          <w:lang w:val="es-ES"/>
        </w:rPr>
        <w:t xml:space="preserve">, por un monto de </w:t>
      </w:r>
      <w:r w:rsidRPr="00D868AB">
        <w:rPr>
          <w:rFonts w:cs="Arial"/>
          <w:b/>
          <w:lang w:val="es-ES"/>
        </w:rPr>
        <w:t xml:space="preserve">$380,000,000.00 </w:t>
      </w:r>
      <w:r w:rsidRPr="00D868AB">
        <w:rPr>
          <w:rFonts w:cs="Arial"/>
          <w:lang w:val="es-ES"/>
        </w:rPr>
        <w:t>(Trescientos ochenta millones de pesos).</w:t>
      </w:r>
      <w:r w:rsidRPr="00D868AB">
        <w:rPr>
          <w:rFonts w:cs="Arial"/>
          <w:b/>
          <w:lang w:val="es-ES"/>
        </w:rPr>
        <w:t xml:space="preserve"> </w:t>
      </w:r>
    </w:p>
    <w:p w14:paraId="456245CA" w14:textId="77777777" w:rsidR="00D868AB" w:rsidRPr="00D868AB" w:rsidRDefault="00D868AB" w:rsidP="00D868AB">
      <w:pPr>
        <w:rPr>
          <w:rFonts w:cs="Arial"/>
          <w:lang w:val="es-ES"/>
        </w:rPr>
      </w:pPr>
    </w:p>
    <w:p w14:paraId="661C2475" w14:textId="77777777" w:rsidR="00D868AB" w:rsidRPr="00D868AB" w:rsidRDefault="00D868AB" w:rsidP="00D868AB">
      <w:pPr>
        <w:rPr>
          <w:rFonts w:cs="Arial"/>
          <w:lang w:val="es-ES"/>
        </w:rPr>
      </w:pPr>
      <w:r w:rsidRPr="00D868AB">
        <w:rPr>
          <w:rFonts w:cs="Arial"/>
          <w:lang w:val="es-ES"/>
        </w:rPr>
        <w:t xml:space="preserve">Para tener derecho al Subsidio a la Tenencia se estará a lo señalado en la </w:t>
      </w:r>
      <w:r w:rsidRPr="00D868AB">
        <w:rPr>
          <w:rFonts w:cs="Arial"/>
          <w:b/>
          <w:lang w:val="es-ES"/>
        </w:rPr>
        <w:t>Ley de Ingresos del Estado de Colima para el Ejercicio Fiscal 2023</w:t>
      </w:r>
      <w:r w:rsidRPr="00D868AB">
        <w:rPr>
          <w:rFonts w:cs="Arial"/>
          <w:lang w:val="es-ES"/>
        </w:rPr>
        <w:t>, y a lo señalado en el artículo 57 del presente Decreto.</w:t>
      </w:r>
    </w:p>
    <w:p w14:paraId="60AF80AE" w14:textId="77777777" w:rsidR="00D868AB" w:rsidRPr="00D868AB" w:rsidRDefault="00D868AB" w:rsidP="00D868AB">
      <w:pPr>
        <w:jc w:val="center"/>
        <w:rPr>
          <w:rFonts w:cs="Arial"/>
          <w:b/>
          <w:lang w:val="es-ES"/>
        </w:rPr>
      </w:pPr>
    </w:p>
    <w:p w14:paraId="47E88DCB" w14:textId="71C5FF3A" w:rsidR="00D868AB" w:rsidRDefault="00D868AB" w:rsidP="00D868AB">
      <w:pPr>
        <w:jc w:val="center"/>
        <w:rPr>
          <w:rFonts w:cs="Arial"/>
          <w:b/>
          <w:lang w:val="es-ES"/>
        </w:rPr>
      </w:pPr>
    </w:p>
    <w:p w14:paraId="53DD58EB" w14:textId="48382984" w:rsidR="00F33998" w:rsidRDefault="00F33998" w:rsidP="00D868AB">
      <w:pPr>
        <w:jc w:val="center"/>
        <w:rPr>
          <w:rFonts w:cs="Arial"/>
          <w:b/>
          <w:lang w:val="es-ES"/>
        </w:rPr>
      </w:pPr>
    </w:p>
    <w:p w14:paraId="2D9D9302" w14:textId="77777777" w:rsidR="00F33998" w:rsidRPr="00D868AB" w:rsidRDefault="00F33998" w:rsidP="00D868AB">
      <w:pPr>
        <w:jc w:val="center"/>
        <w:rPr>
          <w:rFonts w:cs="Arial"/>
          <w:b/>
          <w:lang w:val="es-ES"/>
        </w:rPr>
      </w:pPr>
    </w:p>
    <w:p w14:paraId="3F9484E1" w14:textId="77777777" w:rsidR="00D868AB" w:rsidRPr="00D868AB" w:rsidRDefault="00D868AB" w:rsidP="00D868AB">
      <w:pPr>
        <w:jc w:val="center"/>
        <w:rPr>
          <w:rFonts w:cs="Arial"/>
          <w:b/>
          <w:lang w:val="es-ES"/>
        </w:rPr>
      </w:pPr>
      <w:r w:rsidRPr="00D868AB">
        <w:rPr>
          <w:rFonts w:cs="Arial"/>
          <w:b/>
          <w:lang w:val="es-ES"/>
        </w:rPr>
        <w:lastRenderedPageBreak/>
        <w:t>TÍTULO SEGUNDO</w:t>
      </w:r>
    </w:p>
    <w:p w14:paraId="3FBA874D" w14:textId="77777777" w:rsidR="00D868AB" w:rsidRPr="00D868AB" w:rsidRDefault="00D868AB" w:rsidP="00D868AB">
      <w:pPr>
        <w:jc w:val="center"/>
        <w:rPr>
          <w:rFonts w:cs="Arial"/>
          <w:b/>
          <w:lang w:val="es-ES"/>
        </w:rPr>
      </w:pPr>
      <w:r w:rsidRPr="00D868AB">
        <w:rPr>
          <w:rFonts w:cs="Arial"/>
          <w:b/>
          <w:lang w:val="es-ES"/>
        </w:rPr>
        <w:t xml:space="preserve">DE LOS RECURSOS FEDERALES </w:t>
      </w:r>
    </w:p>
    <w:p w14:paraId="71E56D76" w14:textId="77777777" w:rsidR="00D868AB" w:rsidRPr="00D868AB" w:rsidRDefault="00D868AB" w:rsidP="00D868AB">
      <w:pPr>
        <w:jc w:val="center"/>
        <w:rPr>
          <w:rFonts w:eastAsia="Times New Roman" w:cs="Arial"/>
          <w:b/>
          <w:lang w:val="es-ES"/>
        </w:rPr>
      </w:pPr>
      <w:bookmarkStart w:id="214" w:name="_Toc22021969"/>
      <w:bookmarkStart w:id="215" w:name="_Toc22983222"/>
      <w:r w:rsidRPr="00D868AB">
        <w:rPr>
          <w:rFonts w:eastAsia="Times New Roman" w:cs="Arial"/>
          <w:b/>
          <w:lang w:val="es-ES"/>
        </w:rPr>
        <w:t xml:space="preserve">CAPÍTULO </w:t>
      </w:r>
      <w:bookmarkEnd w:id="214"/>
      <w:bookmarkEnd w:id="215"/>
      <w:r w:rsidRPr="00D868AB">
        <w:rPr>
          <w:rFonts w:eastAsia="Times New Roman" w:cs="Arial"/>
          <w:b/>
          <w:lang w:val="es-ES"/>
        </w:rPr>
        <w:t>I</w:t>
      </w:r>
    </w:p>
    <w:p w14:paraId="09A53591" w14:textId="77777777" w:rsidR="00D868AB" w:rsidRPr="00D868AB" w:rsidRDefault="00D868AB" w:rsidP="00D868AB">
      <w:pPr>
        <w:keepNext/>
        <w:keepLines/>
        <w:jc w:val="center"/>
        <w:outlineLvl w:val="0"/>
        <w:rPr>
          <w:rFonts w:eastAsia="Times New Roman" w:cs="Arial"/>
          <w:b/>
          <w:szCs w:val="32"/>
          <w:lang w:val="es-ES"/>
        </w:rPr>
      </w:pPr>
      <w:bookmarkStart w:id="216" w:name="_Toc22021970"/>
      <w:bookmarkStart w:id="217" w:name="_Toc22983223"/>
      <w:r w:rsidRPr="00D868AB">
        <w:rPr>
          <w:rFonts w:eastAsia="Times New Roman" w:cs="Arial"/>
          <w:b/>
          <w:szCs w:val="32"/>
          <w:lang w:val="es-ES"/>
        </w:rPr>
        <w:t>DE LOS RECURSOS FEDERALES TRANSFERIDOS AL ESTADO</w:t>
      </w:r>
      <w:bookmarkEnd w:id="216"/>
      <w:bookmarkEnd w:id="217"/>
    </w:p>
    <w:p w14:paraId="2204AC28" w14:textId="77777777" w:rsidR="00D868AB" w:rsidRPr="00D868AB" w:rsidRDefault="00D868AB" w:rsidP="00D868AB">
      <w:pPr>
        <w:jc w:val="left"/>
        <w:rPr>
          <w:rFonts w:eastAsia="Times New Roman" w:cs="Arial"/>
          <w:lang w:val="es-ES" w:eastAsia="es-ES"/>
        </w:rPr>
      </w:pPr>
    </w:p>
    <w:p w14:paraId="284D4204" w14:textId="77777777" w:rsidR="00D868AB" w:rsidRPr="00D868AB" w:rsidRDefault="00D868AB" w:rsidP="00D868AB">
      <w:pPr>
        <w:shd w:val="clear" w:color="auto" w:fill="FFFFFF"/>
        <w:rPr>
          <w:rFonts w:cs="Arial"/>
          <w:lang w:val="es-ES"/>
        </w:rPr>
      </w:pPr>
      <w:r w:rsidRPr="00D868AB">
        <w:rPr>
          <w:rFonts w:eastAsia="Times New Roman" w:cs="Arial"/>
          <w:b/>
          <w:lang w:val="es-ES" w:eastAsia="es-ES"/>
        </w:rPr>
        <w:t xml:space="preserve">Artículo 59. </w:t>
      </w:r>
      <w:r w:rsidRPr="00D868AB">
        <w:rPr>
          <w:rFonts w:cs="Arial"/>
          <w:lang w:val="es-ES"/>
        </w:rPr>
        <w:t>Las ministraciones de recursos federales transferidos a que se refiere este artículo, se realizarán de conformidad a los calendarios de gasto correspondientes.</w:t>
      </w:r>
    </w:p>
    <w:p w14:paraId="36EA51DF" w14:textId="77777777" w:rsidR="00D868AB" w:rsidRPr="00D868AB" w:rsidRDefault="00D868AB" w:rsidP="00D868AB">
      <w:pPr>
        <w:rPr>
          <w:rFonts w:cs="Arial"/>
          <w:lang w:val="es-ES"/>
        </w:rPr>
      </w:pPr>
    </w:p>
    <w:p w14:paraId="56539740" w14:textId="77777777" w:rsidR="00D868AB" w:rsidRPr="00D868AB" w:rsidRDefault="00D868AB" w:rsidP="00D868AB">
      <w:pPr>
        <w:shd w:val="clear" w:color="auto" w:fill="FFFFFF"/>
        <w:rPr>
          <w:rFonts w:eastAsia="Times New Roman" w:cs="Arial"/>
          <w:lang w:val="es-ES" w:eastAsia="es-ES"/>
        </w:rPr>
      </w:pPr>
      <w:r w:rsidRPr="00D868AB">
        <w:rPr>
          <w:rFonts w:eastAsia="Times New Roman" w:cs="Arial"/>
          <w:lang w:val="es-ES" w:eastAsia="es-ES"/>
        </w:rPr>
        <w:t>Las Participaciones, Aportaciones, Incentivos Derivados de la Colaboración Fiscal, Fondos Distintos de Aportaciones, Convenios y los Subsidios Federales, se percibirán con base a las Leyes, Decretos, Acuerdos y Convenios que los establecen, así como en lo sucesivo se expidieren.</w:t>
      </w:r>
    </w:p>
    <w:p w14:paraId="5FDE57C7" w14:textId="77777777" w:rsidR="00D868AB" w:rsidRPr="00D868AB" w:rsidRDefault="00D868AB" w:rsidP="00D868AB">
      <w:pPr>
        <w:shd w:val="clear" w:color="auto" w:fill="FFFFFF"/>
        <w:rPr>
          <w:rFonts w:eastAsia="Times New Roman" w:cs="Arial"/>
          <w:lang w:val="es-ES" w:eastAsia="es-ES"/>
        </w:rPr>
      </w:pPr>
    </w:p>
    <w:p w14:paraId="6FDA4BDA" w14:textId="77777777" w:rsidR="00D868AB" w:rsidRPr="00D868AB" w:rsidRDefault="00D868AB" w:rsidP="00D868AB">
      <w:pPr>
        <w:rPr>
          <w:rFonts w:cs="Arial"/>
          <w:lang w:val="es-ES"/>
        </w:rPr>
      </w:pPr>
      <w:r w:rsidRPr="00D868AB">
        <w:rPr>
          <w:rFonts w:cs="Arial"/>
          <w:b/>
          <w:lang w:val="es-ES"/>
        </w:rPr>
        <w:t>Artículo 60</w:t>
      </w:r>
      <w:r w:rsidRPr="00D868AB">
        <w:rPr>
          <w:rFonts w:cs="Arial"/>
          <w:lang w:val="es-ES"/>
        </w:rPr>
        <w:t>. L</w:t>
      </w:r>
      <w:r w:rsidRPr="00D868AB">
        <w:rPr>
          <w:rFonts w:eastAsia="Times New Roman" w:cs="Arial"/>
        </w:rPr>
        <w:t>a Administración Pública Centralizada</w:t>
      </w:r>
      <w:r w:rsidRPr="00D868AB">
        <w:rPr>
          <w:rFonts w:cs="Arial"/>
          <w:lang w:val="es-ES"/>
        </w:rPr>
        <w:t xml:space="preserve">, </w:t>
      </w:r>
      <w:r w:rsidRPr="00D868AB">
        <w:rPr>
          <w:rFonts w:eastAsia="Times New Roman" w:cs="Arial"/>
        </w:rPr>
        <w:t>la Administración Pública Paraestatal</w:t>
      </w:r>
      <w:r w:rsidRPr="00D868AB">
        <w:rPr>
          <w:rFonts w:cs="Arial"/>
          <w:lang w:val="es-ES"/>
        </w:rPr>
        <w:t xml:space="preserve"> y </w:t>
      </w:r>
      <w:r w:rsidRPr="00D868AB">
        <w:rPr>
          <w:rFonts w:eastAsia="Times New Roman" w:cs="Arial"/>
        </w:rPr>
        <w:t>Órganos Autónomos del Estado</w:t>
      </w:r>
      <w:r w:rsidRPr="00D868AB">
        <w:rPr>
          <w:rFonts w:cs="Arial"/>
          <w:lang w:val="es-ES"/>
        </w:rPr>
        <w:t>, en el ejercicio de los recursos que les sean transferidos a través del Ramo 33 Aportaciones Federales para Entidades Federativas y Municipios, se sujetarán a las disposiciones aplicables en materia de información, rendición de cuentas, transparencia y evaluación establecidas en los artículos 134 de la Constitución Política de los Estados Unidos Mexicanos; 48 y 49, Fracción V, de la Ley de Coordinación Fiscal, 85 y 110 de la Ley Federal de Presupuesto y Responsabilidad Hacendaria, el Acuerdo Nacional para la Modernización de la Educación Básica y Normal, y el Acuerdo Nacional para la Descentralización de los Servicios de Salud.</w:t>
      </w:r>
    </w:p>
    <w:p w14:paraId="249CCCE1" w14:textId="77777777" w:rsidR="00D868AB" w:rsidRPr="00D868AB" w:rsidRDefault="00D868AB" w:rsidP="00D868AB">
      <w:pPr>
        <w:rPr>
          <w:rFonts w:cs="Arial"/>
          <w:lang w:val="es-ES"/>
        </w:rPr>
      </w:pPr>
    </w:p>
    <w:p w14:paraId="2E6C8FC2" w14:textId="3C805AEE" w:rsidR="00D868AB" w:rsidRPr="00D868AB" w:rsidRDefault="00D868AB" w:rsidP="00D868AB">
      <w:pPr>
        <w:rPr>
          <w:rFonts w:cs="Arial"/>
          <w:lang w:val="es-ES"/>
        </w:rPr>
      </w:pPr>
      <w:r w:rsidRPr="00D868AB">
        <w:rPr>
          <w:rFonts w:cs="Arial"/>
          <w:b/>
          <w:lang w:val="es-ES"/>
        </w:rPr>
        <w:t xml:space="preserve">Artículo 61. </w:t>
      </w:r>
      <w:r w:rsidRPr="00D868AB">
        <w:rPr>
          <w:rFonts w:cs="Arial"/>
          <w:lang w:val="es-ES"/>
        </w:rPr>
        <w:t xml:space="preserve">Las Transferencias Federales Etiquetadas </w:t>
      </w:r>
      <w:r w:rsidR="00D03AFC" w:rsidRPr="00D868AB">
        <w:rPr>
          <w:rFonts w:cs="Arial"/>
          <w:lang w:val="es-ES"/>
        </w:rPr>
        <w:t>que,</w:t>
      </w:r>
      <w:r w:rsidRPr="00D868AB">
        <w:rPr>
          <w:rFonts w:cs="Arial"/>
          <w:lang w:val="es-ES"/>
        </w:rPr>
        <w:t xml:space="preserve"> al 31 de diciembre del ejercicio fiscal inmediato anterior, no hayan sido devengadas, se deberá de reintegrar a la Tesorería de la Federación, a más tardar el 15 de enero de cada año, los reintegros deberán incluir los rendimientos financieros.</w:t>
      </w:r>
    </w:p>
    <w:p w14:paraId="15D3CBE9" w14:textId="77777777" w:rsidR="00D868AB" w:rsidRPr="00D868AB" w:rsidRDefault="00D868AB" w:rsidP="00D868AB">
      <w:pPr>
        <w:rPr>
          <w:rFonts w:cs="Arial"/>
          <w:lang w:val="es-ES"/>
        </w:rPr>
      </w:pPr>
    </w:p>
    <w:p w14:paraId="79427997" w14:textId="77777777" w:rsidR="00D868AB" w:rsidRPr="00D868AB" w:rsidRDefault="00D868AB" w:rsidP="00D868AB">
      <w:pPr>
        <w:rPr>
          <w:rFonts w:cs="Arial"/>
          <w:b/>
          <w:lang w:val="es-ES"/>
        </w:rPr>
      </w:pPr>
      <w:r w:rsidRPr="00D868AB">
        <w:rPr>
          <w:rFonts w:cs="Arial"/>
          <w:lang w:val="es-ES"/>
        </w:rPr>
        <w:t>En el caso que se incumpla con esta disposición, y se generen intereses o cargas financieras por la extemporaneidad de no solicitar o no realizar a tiempo los reintegros a la Tesorería de la Federación a que haya lugar, en los términos del artículo 2, fracción III, con relación al artículo 23 del Reglamento de la Ley de la Tesorería de la Federación; dicho monto, en su caso, se realizará con cargo al presupuesto aprobado al Ente Público ejecutor de la Transferencia Federal Etiquetada respectiva.</w:t>
      </w:r>
    </w:p>
    <w:p w14:paraId="063F8ECB" w14:textId="77777777" w:rsidR="00D868AB" w:rsidRPr="00D868AB" w:rsidRDefault="00D868AB" w:rsidP="00D868AB">
      <w:pPr>
        <w:rPr>
          <w:rFonts w:cs="Arial"/>
          <w:lang w:val="es-ES"/>
        </w:rPr>
      </w:pPr>
    </w:p>
    <w:p w14:paraId="4F55BBD1" w14:textId="77777777" w:rsidR="00D868AB" w:rsidRPr="00D868AB" w:rsidRDefault="00D868AB" w:rsidP="00D868AB">
      <w:pPr>
        <w:rPr>
          <w:rFonts w:cs="Arial"/>
          <w:lang w:val="es-ES"/>
        </w:rPr>
      </w:pPr>
      <w:r w:rsidRPr="00D868AB">
        <w:rPr>
          <w:rFonts w:cs="Arial"/>
          <w:b/>
          <w:lang w:val="es-ES"/>
        </w:rPr>
        <w:t>Artículo 62</w:t>
      </w:r>
      <w:r w:rsidRPr="00D868AB">
        <w:rPr>
          <w:rFonts w:cs="Arial"/>
          <w:lang w:val="es-ES"/>
        </w:rPr>
        <w:t>. Los recursos provenientes del Ramo 33 Aportaciones Federales para Entidades Federativas y Municipios, que ejercerá el Gobierno Estatal se estiman en los siguientes montos:</w:t>
      </w:r>
    </w:p>
    <w:p w14:paraId="27131200" w14:textId="77777777" w:rsidR="00D868AB" w:rsidRPr="00D868AB" w:rsidRDefault="00D868AB" w:rsidP="00D868AB">
      <w:pPr>
        <w:keepNext/>
        <w:keepLines/>
        <w:outlineLvl w:val="1"/>
        <w:rPr>
          <w:rFonts w:eastAsiaTheme="majorEastAsia" w:cs="Arial"/>
          <w:b/>
          <w:lang w:val="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568"/>
        <w:gridCol w:w="5135"/>
        <w:gridCol w:w="1384"/>
        <w:gridCol w:w="1418"/>
      </w:tblGrid>
      <w:tr w:rsidR="00D868AB" w:rsidRPr="00D868AB" w14:paraId="04A4DF90" w14:textId="77777777" w:rsidTr="00A755A7">
        <w:trPr>
          <w:trHeight w:val="227"/>
          <w:tblHeader/>
          <w:jc w:val="center"/>
        </w:trPr>
        <w:tc>
          <w:tcPr>
            <w:tcW w:w="8789" w:type="dxa"/>
            <w:gridSpan w:val="5"/>
            <w:tcBorders>
              <w:top w:val="nil"/>
              <w:left w:val="nil"/>
              <w:bottom w:val="single" w:sz="4" w:space="0" w:color="auto"/>
              <w:right w:val="nil"/>
            </w:tcBorders>
            <w:shd w:val="clear" w:color="auto" w:fill="auto"/>
            <w:vAlign w:val="center"/>
          </w:tcPr>
          <w:p w14:paraId="21A65202" w14:textId="77777777" w:rsidR="00D868AB" w:rsidRPr="00D868AB" w:rsidRDefault="00D868AB" w:rsidP="00D868AB">
            <w:pPr>
              <w:jc w:val="center"/>
              <w:rPr>
                <w:rFonts w:cs="Arial"/>
                <w:b/>
                <w:sz w:val="20"/>
                <w:szCs w:val="18"/>
                <w:lang w:val="es-ES"/>
              </w:rPr>
            </w:pPr>
            <w:bookmarkStart w:id="218" w:name="_Toc522869302"/>
            <w:bookmarkStart w:id="219" w:name="_Toc526757521"/>
            <w:bookmarkStart w:id="220" w:name="_Toc22021971"/>
            <w:r w:rsidRPr="00D868AB">
              <w:rPr>
                <w:rFonts w:eastAsia="Times New Roman" w:cs="Arial"/>
                <w:b/>
                <w:sz w:val="20"/>
                <w:szCs w:val="18"/>
                <w:lang w:val="es-ES"/>
              </w:rPr>
              <w:t>Tabla 48. Aportaciones Federales para Entidades Federativas y Municipios</w:t>
            </w:r>
            <w:bookmarkEnd w:id="218"/>
            <w:bookmarkEnd w:id="219"/>
            <w:bookmarkEnd w:id="220"/>
          </w:p>
        </w:tc>
      </w:tr>
      <w:tr w:rsidR="00D868AB" w:rsidRPr="00D868AB" w14:paraId="702F1867" w14:textId="77777777" w:rsidTr="00A755A7">
        <w:trPr>
          <w:trHeight w:val="227"/>
          <w:tblHeader/>
          <w:jc w:val="center"/>
        </w:trPr>
        <w:tc>
          <w:tcPr>
            <w:tcW w:w="598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42139B4" w14:textId="77777777" w:rsidR="00D868AB" w:rsidRPr="00D868AB" w:rsidRDefault="00D868AB" w:rsidP="00D868AB">
            <w:pPr>
              <w:jc w:val="center"/>
              <w:rPr>
                <w:rFonts w:cs="Arial"/>
                <w:b/>
                <w:sz w:val="18"/>
                <w:szCs w:val="18"/>
                <w:lang w:val="es-ES"/>
              </w:rPr>
            </w:pPr>
            <w:r w:rsidRPr="00D868AB">
              <w:rPr>
                <w:rFonts w:cs="Arial"/>
                <w:b/>
                <w:sz w:val="18"/>
                <w:szCs w:val="18"/>
                <w:lang w:val="es-ES"/>
              </w:rPr>
              <w:t>Partida</w:t>
            </w:r>
          </w:p>
        </w:tc>
        <w:tc>
          <w:tcPr>
            <w:tcW w:w="28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9AF968A" w14:textId="77777777" w:rsidR="00D868AB" w:rsidRPr="00D868AB" w:rsidRDefault="00D868AB" w:rsidP="00D868AB">
            <w:pPr>
              <w:jc w:val="center"/>
              <w:rPr>
                <w:rFonts w:cs="Arial"/>
                <w:b/>
                <w:sz w:val="18"/>
                <w:szCs w:val="18"/>
                <w:lang w:val="es-ES"/>
              </w:rPr>
            </w:pPr>
            <w:r w:rsidRPr="00D868AB">
              <w:rPr>
                <w:rFonts w:cs="Arial"/>
                <w:b/>
                <w:sz w:val="18"/>
                <w:szCs w:val="18"/>
                <w:lang w:val="es-ES"/>
              </w:rPr>
              <w:t>Asignación Presupuestal</w:t>
            </w:r>
          </w:p>
        </w:tc>
      </w:tr>
      <w:tr w:rsidR="00D868AB" w:rsidRPr="00D868AB" w14:paraId="1BCF6341"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81350" w14:textId="77777777" w:rsidR="00D868AB" w:rsidRPr="00D868AB" w:rsidRDefault="00D868AB" w:rsidP="00D868AB">
            <w:pPr>
              <w:rPr>
                <w:rFonts w:cs="Arial"/>
                <w:b/>
                <w:sz w:val="18"/>
                <w:szCs w:val="18"/>
                <w:lang w:val="es-ES"/>
              </w:rPr>
            </w:pPr>
            <w:r w:rsidRPr="00D868AB">
              <w:rPr>
                <w:rFonts w:cs="Arial"/>
                <w:b/>
                <w:sz w:val="18"/>
                <w:szCs w:val="18"/>
                <w:lang w:val="es-ES"/>
              </w:rPr>
              <w:t>1</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B99D37B" w14:textId="77777777" w:rsidR="00D868AB" w:rsidRPr="00D868AB" w:rsidRDefault="00D868AB" w:rsidP="00D868AB">
            <w:pPr>
              <w:rPr>
                <w:rFonts w:cs="Arial"/>
                <w:b/>
                <w:sz w:val="18"/>
                <w:szCs w:val="18"/>
                <w:lang w:val="es-ES"/>
              </w:rPr>
            </w:pPr>
            <w:r w:rsidRPr="00D868AB">
              <w:rPr>
                <w:rFonts w:cs="Arial"/>
                <w:b/>
                <w:sz w:val="18"/>
                <w:szCs w:val="18"/>
                <w:lang w:val="es-ES"/>
              </w:rPr>
              <w:t>Fondo de Aportaciones para la Nómina Educativa y el Gasto Operativo.</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752F359" w14:textId="77777777" w:rsidR="00D868AB" w:rsidRPr="00D868AB" w:rsidRDefault="00D868AB" w:rsidP="00D868AB">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44E52E9" w14:textId="77777777" w:rsidR="00D868AB" w:rsidRPr="00D868AB" w:rsidRDefault="00D868AB" w:rsidP="00D868AB">
            <w:pPr>
              <w:jc w:val="right"/>
              <w:rPr>
                <w:rFonts w:cs="Arial"/>
                <w:b/>
                <w:bCs/>
                <w:sz w:val="18"/>
                <w:szCs w:val="18"/>
                <w:lang w:val="es-ES"/>
              </w:rPr>
            </w:pPr>
            <w:r w:rsidRPr="00D868AB">
              <w:rPr>
                <w:rFonts w:cs="Arial"/>
                <w:b/>
                <w:bCs/>
                <w:sz w:val="18"/>
                <w:szCs w:val="18"/>
                <w:lang w:val="es-ES"/>
              </w:rPr>
              <w:t>4,031,052,297</w:t>
            </w:r>
          </w:p>
        </w:tc>
      </w:tr>
      <w:tr w:rsidR="00D868AB" w:rsidRPr="00D868AB" w14:paraId="7383993B"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E1F6756"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C4D53" w14:textId="77777777" w:rsidR="00D868AB" w:rsidRPr="00D868AB" w:rsidRDefault="00D868AB" w:rsidP="00D868AB">
            <w:pPr>
              <w:rPr>
                <w:rFonts w:cs="Arial"/>
                <w:sz w:val="18"/>
                <w:szCs w:val="18"/>
                <w:lang w:val="es-ES"/>
              </w:rPr>
            </w:pPr>
            <w:r w:rsidRPr="00D868AB">
              <w:rPr>
                <w:rFonts w:cs="Arial"/>
                <w:sz w:val="18"/>
                <w:szCs w:val="18"/>
                <w:lang w:val="es-ES"/>
              </w:rPr>
              <w:t>1.1</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BF1F06" w14:textId="77777777" w:rsidR="00D868AB" w:rsidRPr="00D868AB" w:rsidRDefault="00D868AB" w:rsidP="00D868AB">
            <w:pPr>
              <w:rPr>
                <w:rFonts w:cs="Arial"/>
                <w:sz w:val="18"/>
                <w:szCs w:val="18"/>
                <w:lang w:val="es-ES"/>
              </w:rPr>
            </w:pPr>
            <w:r w:rsidRPr="00D868AB">
              <w:rPr>
                <w:rFonts w:cs="Arial"/>
                <w:sz w:val="18"/>
                <w:szCs w:val="18"/>
                <w:lang w:val="es-ES"/>
              </w:rPr>
              <w:t>Servicios Personales.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4161A06" w14:textId="77777777" w:rsidR="00D868AB" w:rsidRPr="00D868AB" w:rsidRDefault="00D868AB" w:rsidP="00D868AB">
            <w:pPr>
              <w:jc w:val="right"/>
              <w:rPr>
                <w:rFonts w:cs="Arial"/>
                <w:bCs/>
                <w:sz w:val="18"/>
                <w:szCs w:val="18"/>
                <w:lang w:val="es-ES"/>
              </w:rPr>
            </w:pPr>
            <w:r w:rsidRPr="00D868AB">
              <w:rPr>
                <w:rFonts w:cs="Arial"/>
                <w:bCs/>
                <w:sz w:val="18"/>
                <w:szCs w:val="18"/>
                <w:lang w:val="es-ES"/>
              </w:rPr>
              <w:t>3,839,175,812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EF120C9" w14:textId="77777777" w:rsidR="00D868AB" w:rsidRPr="00D868AB" w:rsidRDefault="00D868AB" w:rsidP="00D868AB">
            <w:pPr>
              <w:jc w:val="right"/>
              <w:rPr>
                <w:rFonts w:cs="Arial"/>
                <w:sz w:val="18"/>
                <w:szCs w:val="18"/>
                <w:lang w:val="es-ES"/>
              </w:rPr>
            </w:pPr>
          </w:p>
        </w:tc>
      </w:tr>
      <w:tr w:rsidR="00D868AB" w:rsidRPr="00D868AB" w14:paraId="08344DE0"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A9A60F3"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860F23" w14:textId="77777777" w:rsidR="00D868AB" w:rsidRPr="00D868AB" w:rsidRDefault="00D868AB" w:rsidP="00D868AB">
            <w:pPr>
              <w:rPr>
                <w:rFonts w:cs="Arial"/>
                <w:sz w:val="18"/>
                <w:szCs w:val="18"/>
                <w:lang w:val="es-ES"/>
              </w:rPr>
            </w:pPr>
            <w:r w:rsidRPr="00D868AB">
              <w:rPr>
                <w:rFonts w:cs="Arial"/>
                <w:sz w:val="18"/>
                <w:szCs w:val="18"/>
                <w:lang w:val="es-ES"/>
              </w:rPr>
              <w:t>1.2</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F88C8" w14:textId="77777777" w:rsidR="00D868AB" w:rsidRPr="00D868AB" w:rsidRDefault="00D868AB" w:rsidP="00D868AB">
            <w:pPr>
              <w:rPr>
                <w:rFonts w:cs="Arial"/>
                <w:sz w:val="18"/>
                <w:szCs w:val="18"/>
                <w:lang w:val="es-ES"/>
              </w:rPr>
            </w:pPr>
            <w:r w:rsidRPr="00D868AB">
              <w:rPr>
                <w:rFonts w:cs="Arial"/>
                <w:sz w:val="18"/>
                <w:szCs w:val="18"/>
                <w:lang w:val="es-ES"/>
              </w:rPr>
              <w:t>Gastos de Operación.</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A2F3D0C" w14:textId="77777777" w:rsidR="00D868AB" w:rsidRPr="00D868AB" w:rsidRDefault="00D868AB" w:rsidP="00D868AB">
            <w:pPr>
              <w:jc w:val="right"/>
              <w:rPr>
                <w:rFonts w:cs="Arial"/>
                <w:bCs/>
                <w:sz w:val="18"/>
                <w:szCs w:val="18"/>
                <w:lang w:val="es-ES"/>
              </w:rPr>
            </w:pPr>
            <w:r w:rsidRPr="00D868AB">
              <w:rPr>
                <w:rFonts w:cs="Arial"/>
                <w:bCs/>
                <w:sz w:val="18"/>
                <w:szCs w:val="18"/>
                <w:lang w:val="es-ES"/>
              </w:rPr>
              <w:t>147,312,214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45A76A" w14:textId="77777777" w:rsidR="00D868AB" w:rsidRPr="00D868AB" w:rsidRDefault="00D868AB" w:rsidP="00D868AB">
            <w:pPr>
              <w:jc w:val="right"/>
              <w:rPr>
                <w:rFonts w:cs="Arial"/>
                <w:sz w:val="18"/>
                <w:szCs w:val="18"/>
                <w:lang w:val="es-ES"/>
              </w:rPr>
            </w:pPr>
          </w:p>
        </w:tc>
      </w:tr>
      <w:tr w:rsidR="00D868AB" w:rsidRPr="00D868AB" w14:paraId="32973B6C"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99C3EF9"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8C3ED" w14:textId="77777777" w:rsidR="00D868AB" w:rsidRPr="00D868AB" w:rsidRDefault="00D868AB" w:rsidP="00D868AB">
            <w:pPr>
              <w:rPr>
                <w:rFonts w:cs="Arial"/>
                <w:sz w:val="18"/>
                <w:szCs w:val="18"/>
                <w:lang w:val="es-ES"/>
              </w:rPr>
            </w:pPr>
            <w:r w:rsidRPr="00D868AB">
              <w:rPr>
                <w:rFonts w:cs="Arial"/>
                <w:sz w:val="18"/>
                <w:szCs w:val="18"/>
                <w:lang w:val="es-ES"/>
              </w:rPr>
              <w:t>1.3</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14365" w14:textId="77777777" w:rsidR="00D868AB" w:rsidRPr="00D868AB" w:rsidRDefault="00D868AB" w:rsidP="00D868AB">
            <w:pPr>
              <w:rPr>
                <w:rFonts w:cs="Arial"/>
                <w:sz w:val="18"/>
                <w:szCs w:val="18"/>
                <w:lang w:val="es-ES"/>
              </w:rPr>
            </w:pPr>
            <w:r w:rsidRPr="00D868AB">
              <w:rPr>
                <w:rFonts w:cs="Arial"/>
                <w:sz w:val="18"/>
                <w:szCs w:val="18"/>
                <w:lang w:val="es-ES"/>
              </w:rPr>
              <w:t>Otros de Gasto Corriente.</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AB373E7" w14:textId="77777777" w:rsidR="00D868AB" w:rsidRPr="00D868AB" w:rsidRDefault="00D868AB" w:rsidP="00D868AB">
            <w:pPr>
              <w:jc w:val="right"/>
              <w:rPr>
                <w:rFonts w:cs="Arial"/>
                <w:bCs/>
                <w:sz w:val="18"/>
                <w:szCs w:val="18"/>
                <w:lang w:val="es-ES"/>
              </w:rPr>
            </w:pPr>
            <w:r w:rsidRPr="00D868AB">
              <w:rPr>
                <w:rFonts w:cs="Arial"/>
                <w:bCs/>
                <w:sz w:val="18"/>
                <w:szCs w:val="18"/>
                <w:lang w:val="es-ES"/>
              </w:rPr>
              <w:t>44,564,271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1722236" w14:textId="77777777" w:rsidR="00D868AB" w:rsidRPr="00D868AB" w:rsidRDefault="00D868AB" w:rsidP="00D868AB">
            <w:pPr>
              <w:jc w:val="right"/>
              <w:rPr>
                <w:rFonts w:cs="Arial"/>
                <w:sz w:val="18"/>
                <w:szCs w:val="18"/>
                <w:lang w:val="es-ES"/>
              </w:rPr>
            </w:pPr>
          </w:p>
        </w:tc>
      </w:tr>
      <w:tr w:rsidR="00D868AB" w:rsidRPr="00D868AB" w14:paraId="36273862"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F74D9" w14:textId="77777777" w:rsidR="00D868AB" w:rsidRPr="00D868AB" w:rsidRDefault="00D868AB" w:rsidP="00D868AB">
            <w:pPr>
              <w:rPr>
                <w:rFonts w:cs="Arial"/>
                <w:b/>
                <w:sz w:val="18"/>
                <w:szCs w:val="18"/>
                <w:lang w:val="es-ES"/>
              </w:rPr>
            </w:pPr>
            <w:r w:rsidRPr="00D868AB">
              <w:rPr>
                <w:rFonts w:cs="Arial"/>
                <w:b/>
                <w:sz w:val="18"/>
                <w:szCs w:val="18"/>
                <w:lang w:val="es-ES"/>
              </w:rPr>
              <w:t>2</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7C2A823" w14:textId="77777777" w:rsidR="00D868AB" w:rsidRPr="00D868AB" w:rsidRDefault="00D868AB" w:rsidP="00D868AB">
            <w:pPr>
              <w:rPr>
                <w:rFonts w:cs="Arial"/>
                <w:b/>
                <w:sz w:val="18"/>
                <w:szCs w:val="18"/>
                <w:lang w:val="es-ES"/>
              </w:rPr>
            </w:pPr>
            <w:r w:rsidRPr="00D868AB">
              <w:rPr>
                <w:rFonts w:cs="Arial"/>
                <w:b/>
                <w:sz w:val="18"/>
                <w:szCs w:val="18"/>
                <w:lang w:val="es-ES"/>
              </w:rPr>
              <w:t>Fondo de Aportaciones para los Servicios de Salud.</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1B91191" w14:textId="77777777" w:rsidR="00D868AB" w:rsidRPr="00D868AB" w:rsidRDefault="00D868AB" w:rsidP="00D868AB">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3E3D31F" w14:textId="77777777" w:rsidR="00D868AB" w:rsidRPr="00D868AB" w:rsidRDefault="00D868AB" w:rsidP="00D868AB">
            <w:pPr>
              <w:jc w:val="right"/>
              <w:rPr>
                <w:rFonts w:cs="Arial"/>
                <w:b/>
                <w:bCs/>
                <w:sz w:val="18"/>
                <w:szCs w:val="18"/>
                <w:lang w:val="es-ES"/>
              </w:rPr>
            </w:pPr>
            <w:r w:rsidRPr="00D868AB">
              <w:rPr>
                <w:rFonts w:cs="Arial"/>
                <w:b/>
                <w:bCs/>
                <w:sz w:val="18"/>
                <w:szCs w:val="18"/>
                <w:lang w:val="es-ES"/>
              </w:rPr>
              <w:t>1,808,132,350</w:t>
            </w:r>
          </w:p>
        </w:tc>
      </w:tr>
      <w:tr w:rsidR="00D868AB" w:rsidRPr="00D868AB" w14:paraId="40B9183F"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AAE590" w14:textId="77777777" w:rsidR="00D868AB" w:rsidRPr="00D868AB" w:rsidRDefault="00D868AB" w:rsidP="00D868AB">
            <w:pPr>
              <w:rPr>
                <w:rFonts w:cs="Arial"/>
                <w:b/>
                <w:sz w:val="18"/>
                <w:szCs w:val="18"/>
                <w:lang w:val="es-ES"/>
              </w:rPr>
            </w:pPr>
            <w:r w:rsidRPr="00D868AB">
              <w:rPr>
                <w:rFonts w:cs="Arial"/>
                <w:b/>
                <w:sz w:val="18"/>
                <w:szCs w:val="18"/>
                <w:lang w:val="es-ES"/>
              </w:rPr>
              <w:t>3</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35969C" w14:textId="77777777" w:rsidR="00D868AB" w:rsidRPr="00D868AB" w:rsidRDefault="00D868AB" w:rsidP="00D868AB">
            <w:pPr>
              <w:rPr>
                <w:rFonts w:cs="Arial"/>
                <w:b/>
                <w:sz w:val="18"/>
                <w:szCs w:val="18"/>
                <w:lang w:val="es-ES"/>
              </w:rPr>
            </w:pPr>
            <w:r w:rsidRPr="00D868AB">
              <w:rPr>
                <w:rFonts w:cs="Arial"/>
                <w:b/>
                <w:sz w:val="18"/>
                <w:szCs w:val="18"/>
                <w:lang w:val="es-ES"/>
              </w:rPr>
              <w:t>Fondo de Aportaciones para la Infraestructura Social.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EDFBB95" w14:textId="77777777" w:rsidR="00D868AB" w:rsidRPr="00D868AB" w:rsidRDefault="00D868AB" w:rsidP="00D868AB">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82C25F6" w14:textId="77777777" w:rsidR="00D868AB" w:rsidRPr="00D868AB" w:rsidRDefault="00D868AB" w:rsidP="00D868AB">
            <w:pPr>
              <w:jc w:val="right"/>
              <w:rPr>
                <w:rFonts w:cs="Arial"/>
                <w:b/>
                <w:bCs/>
                <w:sz w:val="18"/>
                <w:szCs w:val="18"/>
                <w:lang w:val="es-ES"/>
              </w:rPr>
            </w:pPr>
            <w:r w:rsidRPr="00D868AB">
              <w:rPr>
                <w:rFonts w:cs="Arial"/>
                <w:b/>
                <w:bCs/>
                <w:sz w:val="18"/>
                <w:szCs w:val="18"/>
                <w:lang w:val="es-ES"/>
              </w:rPr>
              <w:t>656,240,007</w:t>
            </w:r>
          </w:p>
        </w:tc>
      </w:tr>
      <w:tr w:rsidR="00D868AB" w:rsidRPr="00D868AB" w14:paraId="25D82486"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7E4067A"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924C7" w14:textId="77777777" w:rsidR="00D868AB" w:rsidRPr="00D868AB" w:rsidRDefault="00D868AB" w:rsidP="00D868AB">
            <w:pPr>
              <w:rPr>
                <w:rFonts w:cs="Arial"/>
                <w:sz w:val="18"/>
                <w:szCs w:val="18"/>
                <w:lang w:val="es-ES"/>
              </w:rPr>
            </w:pPr>
            <w:r w:rsidRPr="00D868AB">
              <w:rPr>
                <w:rFonts w:cs="Arial"/>
                <w:sz w:val="18"/>
                <w:szCs w:val="18"/>
                <w:lang w:val="es-ES"/>
              </w:rPr>
              <w:t>3.1</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64B173" w14:textId="77777777" w:rsidR="00D868AB" w:rsidRPr="00D868AB" w:rsidRDefault="00D868AB" w:rsidP="00D868AB">
            <w:pPr>
              <w:rPr>
                <w:rFonts w:cs="Arial"/>
                <w:sz w:val="18"/>
                <w:szCs w:val="18"/>
                <w:lang w:val="es-ES"/>
              </w:rPr>
            </w:pPr>
            <w:r w:rsidRPr="00D868AB">
              <w:rPr>
                <w:rFonts w:cs="Arial"/>
                <w:sz w:val="18"/>
                <w:szCs w:val="18"/>
                <w:lang w:val="es-ES"/>
              </w:rPr>
              <w:t>Fondo de Aportaciones para la Infraestructura Social Estatal.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0BF84360" w14:textId="77777777" w:rsidR="00D868AB" w:rsidRPr="00D868AB" w:rsidRDefault="00D868AB" w:rsidP="00D868AB">
            <w:pPr>
              <w:jc w:val="right"/>
              <w:rPr>
                <w:rFonts w:cs="Arial"/>
                <w:bCs/>
                <w:sz w:val="18"/>
                <w:szCs w:val="18"/>
                <w:lang w:val="es-ES"/>
              </w:rPr>
            </w:pPr>
            <w:r w:rsidRPr="00D868AB">
              <w:rPr>
                <w:rFonts w:cs="Arial"/>
                <w:sz w:val="18"/>
                <w:szCs w:val="18"/>
                <w:lang w:val="es-ES"/>
              </w:rPr>
              <w:t>79,545,816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3D6F00" w14:textId="77777777" w:rsidR="00D868AB" w:rsidRPr="00D868AB" w:rsidRDefault="00D868AB" w:rsidP="00D868AB">
            <w:pPr>
              <w:jc w:val="right"/>
              <w:rPr>
                <w:rFonts w:cs="Arial"/>
                <w:sz w:val="18"/>
                <w:szCs w:val="18"/>
                <w:lang w:val="es-ES"/>
              </w:rPr>
            </w:pPr>
          </w:p>
        </w:tc>
      </w:tr>
      <w:tr w:rsidR="00D868AB" w:rsidRPr="00D868AB" w14:paraId="38F0D265"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FFDF421"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8B92D1" w14:textId="77777777" w:rsidR="00D868AB" w:rsidRPr="00D868AB" w:rsidRDefault="00D868AB" w:rsidP="00D868AB">
            <w:pPr>
              <w:rPr>
                <w:rFonts w:cs="Arial"/>
                <w:sz w:val="18"/>
                <w:szCs w:val="18"/>
                <w:lang w:val="es-ES"/>
              </w:rPr>
            </w:pPr>
            <w:r w:rsidRPr="00D868AB">
              <w:rPr>
                <w:rFonts w:cs="Arial"/>
                <w:sz w:val="18"/>
                <w:szCs w:val="18"/>
                <w:lang w:val="es-ES"/>
              </w:rPr>
              <w:t>3.2</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8C4D72" w14:textId="77777777" w:rsidR="00D868AB" w:rsidRPr="00D868AB" w:rsidRDefault="00D868AB" w:rsidP="00D868AB">
            <w:pPr>
              <w:rPr>
                <w:rFonts w:cs="Arial"/>
                <w:sz w:val="18"/>
                <w:szCs w:val="18"/>
                <w:lang w:val="es-ES"/>
              </w:rPr>
            </w:pPr>
            <w:r w:rsidRPr="00D868AB">
              <w:rPr>
                <w:rFonts w:cs="Arial"/>
                <w:sz w:val="18"/>
                <w:szCs w:val="18"/>
                <w:lang w:val="es-ES"/>
              </w:rPr>
              <w:t>Fondo de Aportaciones para la Infraestructura Social Municipal.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4E83C915" w14:textId="77777777" w:rsidR="00D868AB" w:rsidRPr="00D868AB" w:rsidRDefault="00D868AB" w:rsidP="00D868AB">
            <w:pPr>
              <w:jc w:val="right"/>
              <w:rPr>
                <w:rFonts w:cs="Arial"/>
                <w:bCs/>
                <w:sz w:val="18"/>
                <w:szCs w:val="18"/>
                <w:lang w:val="es-ES"/>
              </w:rPr>
            </w:pPr>
            <w:r w:rsidRPr="00D868AB">
              <w:rPr>
                <w:rFonts w:cs="Arial"/>
                <w:sz w:val="18"/>
                <w:szCs w:val="18"/>
                <w:lang w:val="es-ES"/>
              </w:rPr>
              <w:t>576,694,191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C60D16" w14:textId="77777777" w:rsidR="00D868AB" w:rsidRPr="00D868AB" w:rsidRDefault="00D868AB" w:rsidP="00D868AB">
            <w:pPr>
              <w:jc w:val="right"/>
              <w:rPr>
                <w:rFonts w:cs="Arial"/>
                <w:sz w:val="18"/>
                <w:szCs w:val="18"/>
                <w:lang w:val="es-ES"/>
              </w:rPr>
            </w:pPr>
          </w:p>
        </w:tc>
      </w:tr>
      <w:tr w:rsidR="00D868AB" w:rsidRPr="00D868AB" w14:paraId="0F7549BB"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C43886" w14:textId="77777777" w:rsidR="00D868AB" w:rsidRPr="00D868AB" w:rsidRDefault="00D868AB" w:rsidP="00D868AB">
            <w:pPr>
              <w:rPr>
                <w:rFonts w:cs="Arial"/>
                <w:b/>
                <w:sz w:val="18"/>
                <w:szCs w:val="18"/>
                <w:lang w:val="es-ES"/>
              </w:rPr>
            </w:pPr>
            <w:r w:rsidRPr="00D868AB">
              <w:rPr>
                <w:rFonts w:cs="Arial"/>
                <w:b/>
                <w:sz w:val="18"/>
                <w:szCs w:val="18"/>
                <w:lang w:val="es-ES"/>
              </w:rPr>
              <w:t>4</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B91943" w14:textId="77777777" w:rsidR="00D868AB" w:rsidRPr="00D868AB" w:rsidRDefault="00D868AB" w:rsidP="00D868AB">
            <w:pPr>
              <w:rPr>
                <w:rFonts w:cs="Arial"/>
                <w:b/>
                <w:sz w:val="18"/>
                <w:szCs w:val="18"/>
                <w:lang w:val="es-ES"/>
              </w:rPr>
            </w:pPr>
            <w:r w:rsidRPr="00D868AB">
              <w:rPr>
                <w:rFonts w:cs="Arial"/>
                <w:b/>
                <w:sz w:val="18"/>
                <w:szCs w:val="18"/>
                <w:lang w:val="es-ES"/>
              </w:rPr>
              <w:t>Fondo de Aportaciones para el Fortalecimiento de los Municipios y de las Demarcaciones Territoriales del Distrito Federal.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30AFC1A" w14:textId="77777777" w:rsidR="00D868AB" w:rsidRPr="00D868AB" w:rsidRDefault="00D868AB" w:rsidP="00D868AB">
            <w:pPr>
              <w:jc w:val="right"/>
              <w:rPr>
                <w:rFonts w:cs="Arial"/>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7764656" w14:textId="77777777" w:rsidR="00D868AB" w:rsidRPr="00D868AB" w:rsidRDefault="00D868AB" w:rsidP="00D868AB">
            <w:pPr>
              <w:jc w:val="right"/>
              <w:rPr>
                <w:rFonts w:cs="Arial"/>
                <w:b/>
                <w:bCs/>
                <w:sz w:val="18"/>
                <w:szCs w:val="18"/>
                <w:lang w:val="es-ES"/>
              </w:rPr>
            </w:pPr>
            <w:r w:rsidRPr="00D868AB">
              <w:rPr>
                <w:rFonts w:cs="Arial"/>
                <w:b/>
                <w:bCs/>
                <w:sz w:val="18"/>
                <w:szCs w:val="18"/>
                <w:lang w:val="es-ES"/>
              </w:rPr>
              <w:t>672,481,068</w:t>
            </w:r>
          </w:p>
        </w:tc>
      </w:tr>
      <w:tr w:rsidR="00D868AB" w:rsidRPr="00D868AB" w14:paraId="011F282F"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9A4169" w14:textId="77777777" w:rsidR="00D868AB" w:rsidRPr="00D868AB" w:rsidRDefault="00D868AB" w:rsidP="00D868AB">
            <w:pPr>
              <w:rPr>
                <w:rFonts w:cs="Arial"/>
                <w:b/>
                <w:sz w:val="18"/>
                <w:szCs w:val="18"/>
                <w:lang w:val="es-ES"/>
              </w:rPr>
            </w:pPr>
            <w:r w:rsidRPr="00D868AB">
              <w:rPr>
                <w:rFonts w:cs="Arial"/>
                <w:b/>
                <w:sz w:val="18"/>
                <w:szCs w:val="18"/>
                <w:lang w:val="es-ES"/>
              </w:rPr>
              <w:t>5</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CC0EA5" w14:textId="77777777" w:rsidR="00D868AB" w:rsidRPr="00D868AB" w:rsidRDefault="00D868AB" w:rsidP="00D868AB">
            <w:pPr>
              <w:rPr>
                <w:rFonts w:cs="Arial"/>
                <w:b/>
                <w:sz w:val="18"/>
                <w:szCs w:val="18"/>
                <w:lang w:val="es-ES"/>
              </w:rPr>
            </w:pPr>
            <w:r w:rsidRPr="00D868AB">
              <w:rPr>
                <w:rFonts w:cs="Arial"/>
                <w:b/>
                <w:sz w:val="18"/>
                <w:szCs w:val="18"/>
                <w:lang w:val="es-ES"/>
              </w:rPr>
              <w:t>Fondo de Aportaciones Múltiples.*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705A9DF0" w14:textId="77777777" w:rsidR="00D868AB" w:rsidRPr="00D868AB" w:rsidRDefault="00D868AB" w:rsidP="00D868AB">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F6A03C3" w14:textId="77777777" w:rsidR="00D868AB" w:rsidRPr="00D868AB" w:rsidRDefault="00D868AB" w:rsidP="00D868AB">
            <w:pPr>
              <w:jc w:val="right"/>
              <w:rPr>
                <w:rFonts w:cs="Arial"/>
                <w:b/>
                <w:bCs/>
                <w:sz w:val="18"/>
                <w:szCs w:val="18"/>
                <w:lang w:val="es-ES"/>
              </w:rPr>
            </w:pPr>
            <w:r w:rsidRPr="00D868AB">
              <w:rPr>
                <w:rFonts w:cs="Arial"/>
                <w:b/>
                <w:bCs/>
                <w:sz w:val="18"/>
                <w:szCs w:val="18"/>
                <w:lang w:val="es-ES"/>
              </w:rPr>
              <w:t>411,878,286</w:t>
            </w:r>
          </w:p>
        </w:tc>
      </w:tr>
      <w:tr w:rsidR="00D868AB" w:rsidRPr="00D868AB" w14:paraId="05C8DE28"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3554C79"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376AE" w14:textId="77777777" w:rsidR="00D868AB" w:rsidRPr="00D868AB" w:rsidRDefault="00D868AB" w:rsidP="00D868AB">
            <w:pPr>
              <w:rPr>
                <w:rFonts w:cs="Arial"/>
                <w:sz w:val="18"/>
                <w:szCs w:val="18"/>
                <w:lang w:val="es-ES"/>
              </w:rPr>
            </w:pPr>
            <w:r w:rsidRPr="00D868AB">
              <w:rPr>
                <w:rFonts w:cs="Arial"/>
                <w:sz w:val="18"/>
                <w:szCs w:val="18"/>
                <w:lang w:val="es-ES"/>
              </w:rPr>
              <w:t>5.1</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CCC371" w14:textId="77777777" w:rsidR="00D868AB" w:rsidRPr="00D868AB" w:rsidRDefault="00D868AB" w:rsidP="00D868AB">
            <w:pPr>
              <w:rPr>
                <w:rFonts w:cs="Arial"/>
                <w:sz w:val="18"/>
                <w:szCs w:val="18"/>
                <w:lang w:val="es-ES"/>
              </w:rPr>
            </w:pPr>
            <w:r w:rsidRPr="00D868AB">
              <w:rPr>
                <w:rFonts w:cs="Arial"/>
                <w:sz w:val="18"/>
                <w:szCs w:val="18"/>
                <w:lang w:val="es-ES"/>
              </w:rPr>
              <w:t>Asistencia Social.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E72C085" w14:textId="77777777" w:rsidR="00D868AB" w:rsidRPr="00D868AB" w:rsidRDefault="00D868AB" w:rsidP="00D868AB">
            <w:pPr>
              <w:jc w:val="right"/>
              <w:rPr>
                <w:rFonts w:cs="Arial"/>
                <w:bCs/>
                <w:sz w:val="18"/>
                <w:szCs w:val="18"/>
                <w:lang w:val="es-ES"/>
              </w:rPr>
            </w:pPr>
            <w:r w:rsidRPr="00D868AB">
              <w:rPr>
                <w:rFonts w:cs="Arial"/>
                <w:sz w:val="18"/>
                <w:szCs w:val="18"/>
                <w:lang w:val="es-ES"/>
              </w:rPr>
              <w:t>126,970,840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350974B" w14:textId="77777777" w:rsidR="00D868AB" w:rsidRPr="00D868AB" w:rsidRDefault="00D868AB" w:rsidP="00D868AB">
            <w:pPr>
              <w:jc w:val="right"/>
              <w:rPr>
                <w:rFonts w:cs="Arial"/>
                <w:sz w:val="18"/>
                <w:szCs w:val="18"/>
                <w:lang w:val="es-ES"/>
              </w:rPr>
            </w:pPr>
          </w:p>
        </w:tc>
      </w:tr>
      <w:tr w:rsidR="00D868AB" w:rsidRPr="00D868AB" w14:paraId="6B02E34E"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5FF6A12"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94D73B" w14:textId="77777777" w:rsidR="00D868AB" w:rsidRPr="00D868AB" w:rsidRDefault="00D868AB" w:rsidP="00D868AB">
            <w:pPr>
              <w:rPr>
                <w:rFonts w:cs="Arial"/>
                <w:sz w:val="18"/>
                <w:szCs w:val="18"/>
                <w:lang w:val="es-ES"/>
              </w:rPr>
            </w:pPr>
            <w:r w:rsidRPr="00D868AB">
              <w:rPr>
                <w:rFonts w:cs="Arial"/>
                <w:sz w:val="18"/>
                <w:szCs w:val="18"/>
                <w:lang w:val="es-ES"/>
              </w:rPr>
              <w:t>5.2</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11D019" w14:textId="77777777" w:rsidR="00D868AB" w:rsidRPr="00D868AB" w:rsidRDefault="00D868AB" w:rsidP="00D868AB">
            <w:pPr>
              <w:rPr>
                <w:rFonts w:cs="Arial"/>
                <w:sz w:val="18"/>
                <w:szCs w:val="18"/>
                <w:lang w:val="es-ES"/>
              </w:rPr>
            </w:pPr>
            <w:r w:rsidRPr="00D868AB">
              <w:rPr>
                <w:rFonts w:cs="Arial"/>
                <w:sz w:val="18"/>
                <w:szCs w:val="18"/>
                <w:lang w:val="es-ES"/>
              </w:rPr>
              <w:t>Infraestructura Educativa Básica.</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D690482" w14:textId="77777777" w:rsidR="00D868AB" w:rsidRPr="00D868AB" w:rsidRDefault="00D868AB" w:rsidP="00D868AB">
            <w:pPr>
              <w:jc w:val="right"/>
              <w:rPr>
                <w:rFonts w:cs="Arial"/>
                <w:color w:val="000000"/>
                <w:sz w:val="18"/>
                <w:szCs w:val="18"/>
                <w:lang w:val="es-ES"/>
              </w:rPr>
            </w:pPr>
            <w:r w:rsidRPr="00D868AB">
              <w:rPr>
                <w:rFonts w:cs="Arial"/>
                <w:bCs/>
                <w:sz w:val="18"/>
                <w:szCs w:val="18"/>
                <w:lang w:val="es-ES"/>
              </w:rPr>
              <w:t>200,165,960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0DEB643" w14:textId="77777777" w:rsidR="00D868AB" w:rsidRPr="00D868AB" w:rsidRDefault="00D868AB" w:rsidP="00D868AB">
            <w:pPr>
              <w:jc w:val="right"/>
              <w:rPr>
                <w:rFonts w:cs="Arial"/>
                <w:bCs/>
                <w:sz w:val="18"/>
                <w:szCs w:val="18"/>
                <w:lang w:val="es-ES"/>
              </w:rPr>
            </w:pPr>
          </w:p>
        </w:tc>
      </w:tr>
      <w:tr w:rsidR="00D868AB" w:rsidRPr="00D868AB" w14:paraId="52A8EDB6"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8D725AA"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20CCCE31" w14:textId="77777777" w:rsidR="00D868AB" w:rsidRPr="00D868AB" w:rsidRDefault="00D868AB" w:rsidP="00D868AB">
            <w:pPr>
              <w:rPr>
                <w:rFonts w:cs="Arial"/>
                <w:sz w:val="18"/>
                <w:szCs w:val="18"/>
                <w:lang w:val="es-ES"/>
              </w:rPr>
            </w:pPr>
            <w:r w:rsidRPr="00D868AB">
              <w:rPr>
                <w:rFonts w:cs="Arial"/>
                <w:sz w:val="18"/>
                <w:szCs w:val="18"/>
                <w:lang w:val="es-ES"/>
              </w:rPr>
              <w:t>5.3</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tcPr>
          <w:p w14:paraId="6C0EE2B3" w14:textId="77777777" w:rsidR="00D868AB" w:rsidRPr="00D868AB" w:rsidRDefault="00D868AB" w:rsidP="00D868AB">
            <w:pPr>
              <w:rPr>
                <w:rFonts w:cs="Arial"/>
                <w:sz w:val="18"/>
                <w:szCs w:val="18"/>
                <w:lang w:val="es-ES"/>
              </w:rPr>
            </w:pPr>
            <w:r w:rsidRPr="00D868AB">
              <w:rPr>
                <w:rFonts w:cs="Arial"/>
                <w:sz w:val="18"/>
                <w:szCs w:val="18"/>
                <w:lang w:val="es-ES"/>
              </w:rPr>
              <w:t>Infraestructura Media Superior.</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21BD003" w14:textId="77777777" w:rsidR="00D868AB" w:rsidRPr="00D868AB" w:rsidRDefault="00D868AB" w:rsidP="00D868AB">
            <w:pPr>
              <w:jc w:val="right"/>
              <w:rPr>
                <w:rFonts w:cs="Arial"/>
                <w:color w:val="000000"/>
                <w:sz w:val="18"/>
                <w:szCs w:val="18"/>
                <w:lang w:val="es-ES"/>
              </w:rPr>
            </w:pPr>
            <w:r w:rsidRPr="00D868AB">
              <w:rPr>
                <w:rFonts w:cs="Arial"/>
                <w:bCs/>
                <w:sz w:val="18"/>
                <w:szCs w:val="18"/>
                <w:lang w:val="es-ES"/>
              </w:rPr>
              <w:t>5,991,471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07B49E" w14:textId="77777777" w:rsidR="00D868AB" w:rsidRPr="00D868AB" w:rsidRDefault="00D868AB" w:rsidP="00D868AB">
            <w:pPr>
              <w:jc w:val="right"/>
              <w:rPr>
                <w:rFonts w:cs="Arial"/>
                <w:bCs/>
                <w:sz w:val="18"/>
                <w:szCs w:val="18"/>
                <w:lang w:val="es-ES"/>
              </w:rPr>
            </w:pPr>
          </w:p>
        </w:tc>
      </w:tr>
      <w:tr w:rsidR="00D868AB" w:rsidRPr="00D868AB" w14:paraId="2DD1564D"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5B43091"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7EF29" w14:textId="77777777" w:rsidR="00D868AB" w:rsidRPr="00D868AB" w:rsidRDefault="00D868AB" w:rsidP="00D868AB">
            <w:pPr>
              <w:rPr>
                <w:rFonts w:cs="Arial"/>
                <w:sz w:val="18"/>
                <w:szCs w:val="18"/>
                <w:lang w:val="es-ES"/>
              </w:rPr>
            </w:pPr>
            <w:r w:rsidRPr="00D868AB">
              <w:rPr>
                <w:rFonts w:cs="Arial"/>
                <w:sz w:val="18"/>
                <w:szCs w:val="18"/>
                <w:lang w:val="es-ES"/>
              </w:rPr>
              <w:t>5.4</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5ED27C" w14:textId="77777777" w:rsidR="00D868AB" w:rsidRPr="00D868AB" w:rsidRDefault="00D868AB" w:rsidP="00D868AB">
            <w:pPr>
              <w:rPr>
                <w:rFonts w:cs="Arial"/>
                <w:sz w:val="18"/>
                <w:szCs w:val="18"/>
                <w:lang w:val="es-ES"/>
              </w:rPr>
            </w:pPr>
            <w:r w:rsidRPr="00D868AB">
              <w:rPr>
                <w:rFonts w:cs="Arial"/>
                <w:sz w:val="18"/>
                <w:szCs w:val="18"/>
                <w:lang w:val="es-ES"/>
              </w:rPr>
              <w:t>Infraestructura Superior.</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BBDA9AD" w14:textId="77777777" w:rsidR="00D868AB" w:rsidRPr="00D868AB" w:rsidRDefault="00D868AB" w:rsidP="00D868AB">
            <w:pPr>
              <w:jc w:val="right"/>
              <w:rPr>
                <w:rFonts w:cs="Arial"/>
                <w:color w:val="000000"/>
                <w:sz w:val="18"/>
                <w:szCs w:val="18"/>
                <w:lang w:val="es-ES"/>
              </w:rPr>
            </w:pPr>
            <w:r w:rsidRPr="00D868AB">
              <w:rPr>
                <w:rFonts w:cs="Arial"/>
                <w:sz w:val="18"/>
                <w:szCs w:val="18"/>
                <w:lang w:val="es-ES"/>
              </w:rPr>
              <w:t>78,750,015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6232864" w14:textId="77777777" w:rsidR="00D868AB" w:rsidRPr="00D868AB" w:rsidRDefault="00D868AB" w:rsidP="00D868AB">
            <w:pPr>
              <w:jc w:val="right"/>
              <w:rPr>
                <w:rFonts w:cs="Arial"/>
                <w:sz w:val="18"/>
                <w:szCs w:val="18"/>
                <w:lang w:val="es-ES"/>
              </w:rPr>
            </w:pPr>
          </w:p>
        </w:tc>
      </w:tr>
      <w:tr w:rsidR="00D868AB" w:rsidRPr="00D868AB" w14:paraId="43A045A3"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896DF" w14:textId="77777777" w:rsidR="00D868AB" w:rsidRPr="00D868AB" w:rsidRDefault="00D868AB" w:rsidP="00D868AB">
            <w:pPr>
              <w:rPr>
                <w:rFonts w:cs="Arial"/>
                <w:b/>
                <w:sz w:val="18"/>
                <w:szCs w:val="18"/>
                <w:lang w:val="es-ES"/>
              </w:rPr>
            </w:pPr>
            <w:r w:rsidRPr="00D868AB">
              <w:rPr>
                <w:rFonts w:cs="Arial"/>
                <w:b/>
                <w:sz w:val="18"/>
                <w:szCs w:val="18"/>
                <w:lang w:val="es-ES"/>
              </w:rPr>
              <w:t>6</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F0CD1E" w14:textId="77777777" w:rsidR="00D868AB" w:rsidRPr="00D868AB" w:rsidRDefault="00D868AB" w:rsidP="00D868AB">
            <w:pPr>
              <w:rPr>
                <w:rFonts w:cs="Arial"/>
                <w:b/>
                <w:sz w:val="18"/>
                <w:szCs w:val="18"/>
                <w:lang w:val="es-ES"/>
              </w:rPr>
            </w:pPr>
            <w:r w:rsidRPr="00D868AB">
              <w:rPr>
                <w:rFonts w:cs="Arial"/>
                <w:b/>
                <w:sz w:val="18"/>
                <w:szCs w:val="18"/>
                <w:lang w:val="es-ES"/>
              </w:rPr>
              <w:t>Fondo de Aportaciones para la Educación Tecnológica y de Adultos.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3F9C527" w14:textId="77777777" w:rsidR="00D868AB" w:rsidRPr="00D868AB" w:rsidRDefault="00D868AB" w:rsidP="00D868AB">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0D270E" w14:textId="77777777" w:rsidR="00D868AB" w:rsidRPr="00D868AB" w:rsidRDefault="00D868AB" w:rsidP="00D868AB">
            <w:pPr>
              <w:jc w:val="right"/>
              <w:rPr>
                <w:rFonts w:cs="Arial"/>
                <w:b/>
                <w:bCs/>
                <w:sz w:val="18"/>
                <w:szCs w:val="18"/>
                <w:lang w:val="es-ES"/>
              </w:rPr>
            </w:pPr>
            <w:r w:rsidRPr="00D868AB">
              <w:rPr>
                <w:rFonts w:cs="Arial"/>
                <w:b/>
                <w:bCs/>
                <w:sz w:val="18"/>
                <w:szCs w:val="18"/>
                <w:lang w:val="es-ES"/>
              </w:rPr>
              <w:t>96,294,119</w:t>
            </w:r>
          </w:p>
        </w:tc>
      </w:tr>
      <w:tr w:rsidR="00D868AB" w:rsidRPr="00D868AB" w14:paraId="60439928"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69C5A4C"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411EE0" w14:textId="77777777" w:rsidR="00D868AB" w:rsidRPr="00D868AB" w:rsidRDefault="00D868AB" w:rsidP="00D868AB">
            <w:pPr>
              <w:rPr>
                <w:rFonts w:cs="Arial"/>
                <w:sz w:val="18"/>
                <w:szCs w:val="18"/>
                <w:lang w:val="es-ES"/>
              </w:rPr>
            </w:pPr>
            <w:r w:rsidRPr="00D868AB">
              <w:rPr>
                <w:rFonts w:cs="Arial"/>
                <w:sz w:val="18"/>
                <w:szCs w:val="18"/>
                <w:lang w:val="es-ES"/>
              </w:rPr>
              <w:t>6.1</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4A6E96" w14:textId="77777777" w:rsidR="00D868AB" w:rsidRPr="00D868AB" w:rsidRDefault="00D868AB" w:rsidP="00D868AB">
            <w:pPr>
              <w:rPr>
                <w:rFonts w:cs="Arial"/>
                <w:sz w:val="18"/>
                <w:szCs w:val="18"/>
                <w:lang w:val="es-ES"/>
              </w:rPr>
            </w:pPr>
            <w:r w:rsidRPr="00D868AB">
              <w:rPr>
                <w:rFonts w:cs="Arial"/>
                <w:sz w:val="18"/>
                <w:szCs w:val="18"/>
                <w:lang w:val="es-ES"/>
              </w:rPr>
              <w:t>Educación Tecnológica.</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6A8149F4" w14:textId="77777777" w:rsidR="00D868AB" w:rsidRPr="00D868AB" w:rsidRDefault="00D868AB" w:rsidP="00D868AB">
            <w:pPr>
              <w:jc w:val="right"/>
              <w:rPr>
                <w:rFonts w:cs="Arial"/>
                <w:bCs/>
                <w:sz w:val="18"/>
                <w:szCs w:val="18"/>
                <w:lang w:val="es-ES"/>
              </w:rPr>
            </w:pPr>
            <w:r w:rsidRPr="00D868AB">
              <w:rPr>
                <w:rFonts w:cs="Arial"/>
                <w:sz w:val="18"/>
                <w:szCs w:val="18"/>
                <w:lang w:val="es-ES"/>
              </w:rPr>
              <w:t>51,087,135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CFF1132" w14:textId="77777777" w:rsidR="00D868AB" w:rsidRPr="00D868AB" w:rsidRDefault="00D868AB" w:rsidP="00D868AB">
            <w:pPr>
              <w:jc w:val="right"/>
              <w:rPr>
                <w:rFonts w:cs="Arial"/>
                <w:sz w:val="18"/>
                <w:szCs w:val="18"/>
                <w:lang w:val="es-ES"/>
              </w:rPr>
            </w:pPr>
          </w:p>
        </w:tc>
      </w:tr>
      <w:tr w:rsidR="00D868AB" w:rsidRPr="00D868AB" w14:paraId="28CEBEE5"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C578640" w14:textId="77777777" w:rsidR="00D868AB" w:rsidRPr="00D868AB" w:rsidRDefault="00D868AB" w:rsidP="00D868AB">
            <w:pPr>
              <w:rPr>
                <w:rFonts w:cs="Arial"/>
                <w:sz w:val="18"/>
                <w:szCs w:val="18"/>
                <w:lang w:val="es-ES"/>
              </w:rPr>
            </w:pP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5FC3F" w14:textId="77777777" w:rsidR="00D868AB" w:rsidRPr="00D868AB" w:rsidRDefault="00D868AB" w:rsidP="00D868AB">
            <w:pPr>
              <w:rPr>
                <w:rFonts w:cs="Arial"/>
                <w:sz w:val="18"/>
                <w:szCs w:val="18"/>
                <w:lang w:val="es-ES"/>
              </w:rPr>
            </w:pPr>
            <w:r w:rsidRPr="00D868AB">
              <w:rPr>
                <w:rFonts w:cs="Arial"/>
                <w:sz w:val="18"/>
                <w:szCs w:val="18"/>
                <w:lang w:val="es-ES"/>
              </w:rPr>
              <w:t>6.2</w:t>
            </w:r>
          </w:p>
        </w:tc>
        <w:tc>
          <w:tcPr>
            <w:tcW w:w="51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6AE32B" w14:textId="77777777" w:rsidR="00D868AB" w:rsidRPr="00D868AB" w:rsidRDefault="00D868AB" w:rsidP="00D868AB">
            <w:pPr>
              <w:rPr>
                <w:rFonts w:cs="Arial"/>
                <w:sz w:val="18"/>
                <w:szCs w:val="18"/>
                <w:lang w:val="es-ES"/>
              </w:rPr>
            </w:pPr>
            <w:r w:rsidRPr="00D868AB">
              <w:rPr>
                <w:rFonts w:cs="Arial"/>
                <w:sz w:val="18"/>
                <w:szCs w:val="18"/>
                <w:lang w:val="es-ES"/>
              </w:rPr>
              <w:t>Educación para Adultos.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119999C7" w14:textId="77777777" w:rsidR="00D868AB" w:rsidRPr="00D868AB" w:rsidRDefault="00D868AB" w:rsidP="00D868AB">
            <w:pPr>
              <w:jc w:val="right"/>
              <w:rPr>
                <w:rFonts w:cs="Arial"/>
                <w:bCs/>
                <w:sz w:val="18"/>
                <w:szCs w:val="18"/>
                <w:lang w:val="es-ES"/>
              </w:rPr>
            </w:pPr>
            <w:r w:rsidRPr="00D868AB">
              <w:rPr>
                <w:rFonts w:cs="Arial"/>
                <w:sz w:val="18"/>
                <w:szCs w:val="18"/>
                <w:lang w:val="es-ES"/>
              </w:rPr>
              <w:t>45,206,984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CAD20C3" w14:textId="77777777" w:rsidR="00D868AB" w:rsidRPr="00D868AB" w:rsidRDefault="00D868AB" w:rsidP="00D868AB">
            <w:pPr>
              <w:jc w:val="right"/>
              <w:rPr>
                <w:rFonts w:cs="Arial"/>
                <w:sz w:val="18"/>
                <w:szCs w:val="18"/>
                <w:lang w:val="es-ES"/>
              </w:rPr>
            </w:pPr>
          </w:p>
        </w:tc>
      </w:tr>
      <w:tr w:rsidR="00D868AB" w:rsidRPr="00D868AB" w14:paraId="294FC1D8"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7E19CE" w14:textId="77777777" w:rsidR="00D868AB" w:rsidRPr="00D868AB" w:rsidRDefault="00D868AB" w:rsidP="00D868AB">
            <w:pPr>
              <w:rPr>
                <w:rFonts w:cs="Arial"/>
                <w:b/>
                <w:sz w:val="18"/>
                <w:szCs w:val="18"/>
                <w:lang w:val="es-ES"/>
              </w:rPr>
            </w:pPr>
            <w:r w:rsidRPr="00D868AB">
              <w:rPr>
                <w:rFonts w:cs="Arial"/>
                <w:b/>
                <w:sz w:val="18"/>
                <w:szCs w:val="18"/>
                <w:lang w:val="es-ES"/>
              </w:rPr>
              <w:t>7</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B0B9AB" w14:textId="77777777" w:rsidR="00D868AB" w:rsidRPr="00D868AB" w:rsidRDefault="00D868AB" w:rsidP="00D868AB">
            <w:pPr>
              <w:rPr>
                <w:rFonts w:cs="Arial"/>
                <w:b/>
                <w:sz w:val="18"/>
                <w:szCs w:val="18"/>
                <w:lang w:val="es-ES"/>
              </w:rPr>
            </w:pPr>
            <w:r w:rsidRPr="00D868AB">
              <w:rPr>
                <w:rFonts w:cs="Arial"/>
                <w:b/>
                <w:sz w:val="18"/>
                <w:szCs w:val="18"/>
                <w:lang w:val="es-ES"/>
              </w:rPr>
              <w:t>Fondo de Aportaciones para la Seguridad Pública de los Estados y del Distrito Federal.*</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24CFBA0D" w14:textId="77777777" w:rsidR="00D868AB" w:rsidRPr="00D868AB" w:rsidRDefault="00D868AB" w:rsidP="00D868AB">
            <w:pPr>
              <w:jc w:val="right"/>
              <w:rPr>
                <w:rFonts w:cs="Arial"/>
                <w:b/>
                <w:sz w:val="18"/>
                <w:szCs w:val="18"/>
                <w:highlight w:val="yellow"/>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02151E6" w14:textId="77777777" w:rsidR="00D868AB" w:rsidRPr="00D868AB" w:rsidRDefault="00D868AB" w:rsidP="00D868AB">
            <w:pPr>
              <w:jc w:val="right"/>
              <w:rPr>
                <w:rFonts w:cs="Arial"/>
                <w:b/>
                <w:bCs/>
                <w:sz w:val="18"/>
                <w:szCs w:val="18"/>
                <w:lang w:val="es-ES"/>
              </w:rPr>
            </w:pPr>
            <w:r w:rsidRPr="00D868AB">
              <w:rPr>
                <w:rFonts w:cs="Arial"/>
                <w:b/>
                <w:bCs/>
                <w:sz w:val="18"/>
                <w:szCs w:val="18"/>
                <w:lang w:val="es-ES"/>
              </w:rPr>
              <w:t>233,279,586</w:t>
            </w:r>
          </w:p>
        </w:tc>
      </w:tr>
      <w:tr w:rsidR="00D868AB" w:rsidRPr="00D868AB" w14:paraId="2A50B3F8" w14:textId="77777777" w:rsidTr="00A755A7">
        <w:trPr>
          <w:trHeight w:val="227"/>
          <w:jc w:val="center"/>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C3469" w14:textId="77777777" w:rsidR="00D868AB" w:rsidRPr="00D868AB" w:rsidRDefault="00D868AB" w:rsidP="00D868AB">
            <w:pPr>
              <w:rPr>
                <w:rFonts w:cs="Arial"/>
                <w:b/>
                <w:sz w:val="18"/>
                <w:szCs w:val="18"/>
                <w:lang w:val="es-ES"/>
              </w:rPr>
            </w:pPr>
            <w:r w:rsidRPr="00D868AB">
              <w:rPr>
                <w:rFonts w:cs="Arial"/>
                <w:b/>
                <w:sz w:val="18"/>
                <w:szCs w:val="18"/>
                <w:lang w:val="es-ES"/>
              </w:rPr>
              <w:t>8</w:t>
            </w:r>
          </w:p>
        </w:tc>
        <w:tc>
          <w:tcPr>
            <w:tcW w:w="57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C03A224" w14:textId="77777777" w:rsidR="00D868AB" w:rsidRPr="00D868AB" w:rsidRDefault="00D868AB" w:rsidP="00D868AB">
            <w:pPr>
              <w:rPr>
                <w:rFonts w:cs="Arial"/>
                <w:b/>
                <w:sz w:val="18"/>
                <w:szCs w:val="18"/>
                <w:lang w:val="es-ES"/>
              </w:rPr>
            </w:pPr>
            <w:r w:rsidRPr="00D868AB">
              <w:rPr>
                <w:rFonts w:cs="Arial"/>
                <w:b/>
                <w:sz w:val="18"/>
                <w:szCs w:val="18"/>
                <w:lang w:val="es-ES"/>
              </w:rPr>
              <w:t>Fondo de Aportaciones para el Fortalecimiento de las Entidades Federativas.</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14:paraId="327044FA" w14:textId="77777777" w:rsidR="00D868AB" w:rsidRPr="00D868AB" w:rsidRDefault="00D868AB" w:rsidP="00D868AB">
            <w:pPr>
              <w:jc w:val="right"/>
              <w:rPr>
                <w:rFonts w:cs="Arial"/>
                <w:b/>
                <w:sz w:val="18"/>
                <w:szCs w:val="18"/>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12F514" w14:textId="77777777" w:rsidR="00D868AB" w:rsidRPr="00D868AB" w:rsidRDefault="00D868AB" w:rsidP="00D868AB">
            <w:pPr>
              <w:jc w:val="right"/>
              <w:rPr>
                <w:rFonts w:cs="Arial"/>
                <w:b/>
                <w:bCs/>
                <w:sz w:val="18"/>
                <w:szCs w:val="18"/>
                <w:lang w:val="es-ES"/>
              </w:rPr>
            </w:pPr>
            <w:r w:rsidRPr="00D868AB">
              <w:rPr>
                <w:rFonts w:cs="Arial"/>
                <w:b/>
                <w:bCs/>
                <w:sz w:val="18"/>
                <w:szCs w:val="18"/>
                <w:lang w:val="es-ES"/>
              </w:rPr>
              <w:t>346,932,234</w:t>
            </w:r>
          </w:p>
        </w:tc>
      </w:tr>
      <w:tr w:rsidR="00D868AB" w:rsidRPr="00D868AB" w14:paraId="4DAC1EEB" w14:textId="77777777" w:rsidTr="00A755A7">
        <w:trPr>
          <w:trHeight w:val="227"/>
          <w:jc w:val="center"/>
        </w:trPr>
        <w:tc>
          <w:tcPr>
            <w:tcW w:w="73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514F14E" w14:textId="77777777" w:rsidR="00D868AB" w:rsidRPr="00D868AB" w:rsidRDefault="00D868AB" w:rsidP="00D868AB">
            <w:pPr>
              <w:jc w:val="center"/>
              <w:rPr>
                <w:rFonts w:cs="Arial"/>
                <w:b/>
                <w:sz w:val="18"/>
                <w:szCs w:val="18"/>
                <w:lang w:val="es-ES"/>
              </w:rPr>
            </w:pPr>
            <w:r w:rsidRPr="00D868AB">
              <w:rPr>
                <w:rFonts w:cs="Arial"/>
                <w:b/>
                <w:sz w:val="18"/>
                <w:szCs w:val="18"/>
                <w:lang w:val="es-ES"/>
              </w:rPr>
              <w:t>Total</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F7A30BA" w14:textId="77777777" w:rsidR="00D868AB" w:rsidRPr="00D868AB" w:rsidRDefault="00D868AB" w:rsidP="00D868AB">
            <w:pPr>
              <w:jc w:val="right"/>
              <w:rPr>
                <w:rFonts w:cs="Arial"/>
                <w:b/>
                <w:sz w:val="18"/>
                <w:szCs w:val="18"/>
                <w:highlight w:val="yellow"/>
                <w:lang w:val="es-ES"/>
              </w:rPr>
            </w:pPr>
            <w:r w:rsidRPr="00D868AB">
              <w:rPr>
                <w:rFonts w:cs="Arial"/>
                <w:b/>
                <w:sz w:val="18"/>
                <w:szCs w:val="18"/>
                <w:lang w:val="es-ES"/>
              </w:rPr>
              <w:t>8,256,289,947</w:t>
            </w:r>
          </w:p>
        </w:tc>
      </w:tr>
    </w:tbl>
    <w:p w14:paraId="5F2B04EC" w14:textId="77777777" w:rsidR="00D868AB" w:rsidRPr="00D868AB" w:rsidRDefault="00D868AB" w:rsidP="00D868AB">
      <w:pPr>
        <w:ind w:left="284"/>
        <w:rPr>
          <w:rFonts w:cs="Arial"/>
          <w:sz w:val="18"/>
          <w:lang w:val="es-ES"/>
        </w:rPr>
      </w:pPr>
      <w:r w:rsidRPr="00D868AB">
        <w:rPr>
          <w:rFonts w:cs="Arial"/>
          <w:sz w:val="18"/>
          <w:lang w:val="es-ES"/>
        </w:rPr>
        <w:t>*Cifras estimadas</w:t>
      </w:r>
    </w:p>
    <w:p w14:paraId="1068ACA0" w14:textId="77777777" w:rsidR="00D868AB" w:rsidRPr="00D868AB" w:rsidRDefault="00D868AB" w:rsidP="00D868AB">
      <w:pPr>
        <w:rPr>
          <w:rFonts w:cs="Arial"/>
          <w:b/>
          <w:lang w:val="es-ES"/>
        </w:rPr>
      </w:pPr>
    </w:p>
    <w:p w14:paraId="1AB33644" w14:textId="77777777" w:rsidR="00D868AB" w:rsidRPr="00D868AB" w:rsidRDefault="00D868AB" w:rsidP="00D868AB">
      <w:pPr>
        <w:rPr>
          <w:rFonts w:cs="Arial"/>
          <w:lang w:val="es-ES"/>
        </w:rPr>
      </w:pPr>
      <w:r w:rsidRPr="00D868AB">
        <w:rPr>
          <w:rFonts w:cs="Arial"/>
          <w:b/>
          <w:lang w:val="es-ES"/>
        </w:rPr>
        <w:t>Artículo 63</w:t>
      </w:r>
      <w:r w:rsidRPr="00D868AB">
        <w:rPr>
          <w:rFonts w:cs="Arial"/>
          <w:lang w:val="es-ES"/>
        </w:rPr>
        <w:t>. La aplicación, destino y distribución estimada de los recursos provenientes del Ramo 33 Aportaciones Federales para Entidades Federativas y Municipios se desglosan de la siguiente manera:</w:t>
      </w:r>
    </w:p>
    <w:p w14:paraId="683594C2" w14:textId="77777777" w:rsidR="00D868AB" w:rsidRPr="00D868AB" w:rsidRDefault="00D868AB" w:rsidP="00D868AB">
      <w:pPr>
        <w:rPr>
          <w:rFonts w:cs="Arial"/>
        </w:rPr>
      </w:pPr>
    </w:p>
    <w:tbl>
      <w:tblPr>
        <w:tblW w:w="8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2"/>
        <w:gridCol w:w="6544"/>
        <w:gridCol w:w="1164"/>
      </w:tblGrid>
      <w:tr w:rsidR="00D868AB" w:rsidRPr="00D868AB" w14:paraId="53F4BBC3" w14:textId="77777777" w:rsidTr="00A755A7">
        <w:trPr>
          <w:trHeight w:val="20"/>
          <w:tblHeader/>
        </w:trPr>
        <w:tc>
          <w:tcPr>
            <w:tcW w:w="822" w:type="dxa"/>
            <w:tcBorders>
              <w:top w:val="nil"/>
              <w:left w:val="nil"/>
              <w:bottom w:val="single" w:sz="4" w:space="0" w:color="auto"/>
              <w:right w:val="nil"/>
            </w:tcBorders>
            <w:shd w:val="clear" w:color="auto" w:fill="auto"/>
            <w:noWrap/>
            <w:vAlign w:val="center"/>
          </w:tcPr>
          <w:p w14:paraId="6A98D04F" w14:textId="77777777" w:rsidR="00D868AB" w:rsidRPr="00D868AB" w:rsidRDefault="00D868AB" w:rsidP="00D868AB">
            <w:pPr>
              <w:jc w:val="center"/>
              <w:rPr>
                <w:rFonts w:eastAsia="Times New Roman" w:cs="Arial"/>
                <w:b/>
                <w:bCs/>
                <w:color w:val="000000"/>
                <w:sz w:val="16"/>
                <w:szCs w:val="16"/>
              </w:rPr>
            </w:pPr>
          </w:p>
        </w:tc>
        <w:tc>
          <w:tcPr>
            <w:tcW w:w="6544" w:type="dxa"/>
            <w:tcBorders>
              <w:top w:val="nil"/>
              <w:left w:val="nil"/>
              <w:bottom w:val="single" w:sz="4" w:space="0" w:color="auto"/>
              <w:right w:val="nil"/>
            </w:tcBorders>
            <w:shd w:val="clear" w:color="auto" w:fill="auto"/>
            <w:noWrap/>
            <w:vAlign w:val="center"/>
          </w:tcPr>
          <w:p w14:paraId="037C4DE1"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sz w:val="20"/>
                <w:szCs w:val="18"/>
                <w:lang w:val="es-ES"/>
              </w:rPr>
              <w:t>Tabla 49. Aplicación Estimada de las Aportaciones del Ramo 33</w:t>
            </w:r>
          </w:p>
        </w:tc>
        <w:tc>
          <w:tcPr>
            <w:tcW w:w="1164" w:type="dxa"/>
            <w:tcBorders>
              <w:top w:val="nil"/>
              <w:left w:val="nil"/>
              <w:bottom w:val="single" w:sz="4" w:space="0" w:color="auto"/>
              <w:right w:val="nil"/>
            </w:tcBorders>
            <w:shd w:val="clear" w:color="auto" w:fill="auto"/>
            <w:vAlign w:val="center"/>
          </w:tcPr>
          <w:p w14:paraId="52C468C9" w14:textId="77777777" w:rsidR="00D868AB" w:rsidRPr="00D868AB" w:rsidRDefault="00D868AB" w:rsidP="00D868AB">
            <w:pPr>
              <w:jc w:val="center"/>
              <w:rPr>
                <w:rFonts w:eastAsia="Times New Roman" w:cs="Arial"/>
                <w:b/>
                <w:bCs/>
                <w:color w:val="000000"/>
                <w:sz w:val="16"/>
                <w:szCs w:val="16"/>
              </w:rPr>
            </w:pPr>
          </w:p>
        </w:tc>
      </w:tr>
      <w:tr w:rsidR="00D868AB" w:rsidRPr="00D868AB" w14:paraId="0B87F117" w14:textId="77777777" w:rsidTr="00A755A7">
        <w:trPr>
          <w:trHeight w:val="20"/>
          <w:tblHeader/>
        </w:trPr>
        <w:tc>
          <w:tcPr>
            <w:tcW w:w="822" w:type="dxa"/>
            <w:tcBorders>
              <w:top w:val="single" w:sz="4" w:space="0" w:color="auto"/>
            </w:tcBorders>
            <w:shd w:val="clear" w:color="auto" w:fill="auto"/>
            <w:noWrap/>
            <w:vAlign w:val="center"/>
            <w:hideMark/>
          </w:tcPr>
          <w:p w14:paraId="6ED41263"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Clave</w:t>
            </w:r>
          </w:p>
        </w:tc>
        <w:tc>
          <w:tcPr>
            <w:tcW w:w="6544" w:type="dxa"/>
            <w:tcBorders>
              <w:top w:val="single" w:sz="4" w:space="0" w:color="auto"/>
            </w:tcBorders>
            <w:shd w:val="clear" w:color="auto" w:fill="auto"/>
            <w:noWrap/>
            <w:vAlign w:val="center"/>
            <w:hideMark/>
          </w:tcPr>
          <w:p w14:paraId="58D2450B"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Fondo/Proyecto</w:t>
            </w:r>
          </w:p>
        </w:tc>
        <w:tc>
          <w:tcPr>
            <w:tcW w:w="1164" w:type="dxa"/>
            <w:tcBorders>
              <w:top w:val="single" w:sz="4" w:space="0" w:color="auto"/>
            </w:tcBorders>
            <w:shd w:val="clear" w:color="auto" w:fill="auto"/>
            <w:vAlign w:val="center"/>
            <w:hideMark/>
          </w:tcPr>
          <w:p w14:paraId="15AF923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Asignación Presupuestal</w:t>
            </w:r>
          </w:p>
        </w:tc>
      </w:tr>
      <w:tr w:rsidR="00D868AB" w:rsidRPr="00D868AB" w14:paraId="3DECA72E" w14:textId="77777777" w:rsidTr="00A755A7">
        <w:trPr>
          <w:trHeight w:val="20"/>
        </w:trPr>
        <w:tc>
          <w:tcPr>
            <w:tcW w:w="822" w:type="dxa"/>
            <w:shd w:val="clear" w:color="auto" w:fill="auto"/>
            <w:noWrap/>
            <w:vAlign w:val="center"/>
            <w:hideMark/>
          </w:tcPr>
          <w:p w14:paraId="7938B4ED"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25101-22</w:t>
            </w:r>
          </w:p>
        </w:tc>
        <w:tc>
          <w:tcPr>
            <w:tcW w:w="6544" w:type="dxa"/>
            <w:shd w:val="clear" w:color="auto" w:fill="auto"/>
            <w:noWrap/>
            <w:vAlign w:val="center"/>
            <w:hideMark/>
          </w:tcPr>
          <w:p w14:paraId="0F81E36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la Nómina Educativa y el Gasto Operativo (Servicios Personales)</w:t>
            </w:r>
          </w:p>
        </w:tc>
        <w:tc>
          <w:tcPr>
            <w:tcW w:w="1164" w:type="dxa"/>
            <w:shd w:val="clear" w:color="auto" w:fill="auto"/>
            <w:noWrap/>
            <w:vAlign w:val="center"/>
          </w:tcPr>
          <w:p w14:paraId="04FECC3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3,839,175,812 </w:t>
            </w:r>
          </w:p>
        </w:tc>
      </w:tr>
      <w:tr w:rsidR="00D868AB" w:rsidRPr="00D868AB" w14:paraId="18CA038A" w14:textId="77777777" w:rsidTr="00A755A7">
        <w:trPr>
          <w:trHeight w:val="20"/>
        </w:trPr>
        <w:tc>
          <w:tcPr>
            <w:tcW w:w="822" w:type="dxa"/>
            <w:shd w:val="clear" w:color="auto" w:fill="auto"/>
            <w:noWrap/>
            <w:vAlign w:val="center"/>
            <w:hideMark/>
          </w:tcPr>
          <w:p w14:paraId="3AD663B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63A01</w:t>
            </w:r>
          </w:p>
        </w:tc>
        <w:tc>
          <w:tcPr>
            <w:tcW w:w="6544" w:type="dxa"/>
            <w:shd w:val="clear" w:color="auto" w:fill="auto"/>
            <w:noWrap/>
            <w:vAlign w:val="center"/>
            <w:hideMark/>
          </w:tcPr>
          <w:p w14:paraId="4DBBE1F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Formación y capacitación integral a personal de Educación Inicial escolarizado adscrito a los Centros de Atención Infantil (CAI).</w:t>
            </w:r>
          </w:p>
        </w:tc>
        <w:tc>
          <w:tcPr>
            <w:tcW w:w="1164" w:type="dxa"/>
            <w:shd w:val="clear" w:color="auto" w:fill="auto"/>
            <w:noWrap/>
            <w:vAlign w:val="center"/>
          </w:tcPr>
          <w:p w14:paraId="3BD9421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25,823,905 </w:t>
            </w:r>
          </w:p>
        </w:tc>
      </w:tr>
      <w:tr w:rsidR="00D868AB" w:rsidRPr="00D868AB" w14:paraId="54D2A8F8" w14:textId="77777777" w:rsidTr="00A755A7">
        <w:trPr>
          <w:trHeight w:val="20"/>
        </w:trPr>
        <w:tc>
          <w:tcPr>
            <w:tcW w:w="822" w:type="dxa"/>
            <w:shd w:val="clear" w:color="auto" w:fill="auto"/>
            <w:noWrap/>
            <w:vAlign w:val="center"/>
            <w:hideMark/>
          </w:tcPr>
          <w:p w14:paraId="18F6970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63C01</w:t>
            </w:r>
          </w:p>
        </w:tc>
        <w:tc>
          <w:tcPr>
            <w:tcW w:w="6544" w:type="dxa"/>
            <w:shd w:val="clear" w:color="auto" w:fill="auto"/>
            <w:noWrap/>
            <w:vAlign w:val="center"/>
            <w:hideMark/>
          </w:tcPr>
          <w:p w14:paraId="470CD5D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Realización de talleres de capacitación para jóvenes y adultos.</w:t>
            </w:r>
          </w:p>
        </w:tc>
        <w:tc>
          <w:tcPr>
            <w:tcW w:w="1164" w:type="dxa"/>
            <w:shd w:val="clear" w:color="auto" w:fill="auto"/>
            <w:noWrap/>
            <w:vAlign w:val="center"/>
          </w:tcPr>
          <w:p w14:paraId="52745AF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14,960,704 </w:t>
            </w:r>
          </w:p>
        </w:tc>
      </w:tr>
      <w:tr w:rsidR="00D868AB" w:rsidRPr="00D868AB" w14:paraId="4A3C74FB" w14:textId="77777777" w:rsidTr="00A755A7">
        <w:trPr>
          <w:trHeight w:val="20"/>
        </w:trPr>
        <w:tc>
          <w:tcPr>
            <w:tcW w:w="822" w:type="dxa"/>
            <w:shd w:val="clear" w:color="auto" w:fill="auto"/>
            <w:noWrap/>
            <w:vAlign w:val="center"/>
            <w:hideMark/>
          </w:tcPr>
          <w:p w14:paraId="30A919D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63D01</w:t>
            </w:r>
          </w:p>
        </w:tc>
        <w:tc>
          <w:tcPr>
            <w:tcW w:w="6544" w:type="dxa"/>
            <w:shd w:val="clear" w:color="auto" w:fill="auto"/>
            <w:noWrap/>
            <w:vAlign w:val="center"/>
            <w:hideMark/>
          </w:tcPr>
          <w:p w14:paraId="6252497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Certificación en educación básica a jóvenes y adultos que atiende los Centros de Educación Extraescolar.</w:t>
            </w:r>
          </w:p>
        </w:tc>
        <w:tc>
          <w:tcPr>
            <w:tcW w:w="1164" w:type="dxa"/>
            <w:shd w:val="clear" w:color="auto" w:fill="auto"/>
            <w:noWrap/>
            <w:vAlign w:val="center"/>
          </w:tcPr>
          <w:p w14:paraId="09D84E3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11,450,473 </w:t>
            </w:r>
          </w:p>
        </w:tc>
      </w:tr>
      <w:tr w:rsidR="00D868AB" w:rsidRPr="00D868AB" w14:paraId="4A608CC8" w14:textId="77777777" w:rsidTr="00A755A7">
        <w:trPr>
          <w:trHeight w:val="20"/>
        </w:trPr>
        <w:tc>
          <w:tcPr>
            <w:tcW w:w="822" w:type="dxa"/>
            <w:shd w:val="clear" w:color="auto" w:fill="auto"/>
            <w:noWrap/>
            <w:vAlign w:val="center"/>
            <w:hideMark/>
          </w:tcPr>
          <w:p w14:paraId="0C60B07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63E02</w:t>
            </w:r>
          </w:p>
        </w:tc>
        <w:tc>
          <w:tcPr>
            <w:tcW w:w="6544" w:type="dxa"/>
            <w:shd w:val="clear" w:color="auto" w:fill="auto"/>
            <w:noWrap/>
            <w:vAlign w:val="center"/>
            <w:hideMark/>
          </w:tcPr>
          <w:p w14:paraId="745E21D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Docentes que participan en cursos de capacitación que apoyen el mejoramiento del logro educativo de los alumnos que asisten a escuelas multigrado del medio rural que participan en el Programa E-3.</w:t>
            </w:r>
          </w:p>
        </w:tc>
        <w:tc>
          <w:tcPr>
            <w:tcW w:w="1164" w:type="dxa"/>
            <w:shd w:val="clear" w:color="auto" w:fill="auto"/>
            <w:noWrap/>
            <w:vAlign w:val="center"/>
          </w:tcPr>
          <w:p w14:paraId="5A45FF5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14,008,898 </w:t>
            </w:r>
          </w:p>
        </w:tc>
      </w:tr>
      <w:tr w:rsidR="00D868AB" w:rsidRPr="00D868AB" w14:paraId="08DAA639" w14:textId="77777777" w:rsidTr="00A755A7">
        <w:trPr>
          <w:trHeight w:val="20"/>
        </w:trPr>
        <w:tc>
          <w:tcPr>
            <w:tcW w:w="822" w:type="dxa"/>
            <w:shd w:val="clear" w:color="auto" w:fill="auto"/>
            <w:noWrap/>
            <w:vAlign w:val="center"/>
            <w:hideMark/>
          </w:tcPr>
          <w:p w14:paraId="7505C3F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64A01</w:t>
            </w:r>
          </w:p>
        </w:tc>
        <w:tc>
          <w:tcPr>
            <w:tcW w:w="6544" w:type="dxa"/>
            <w:shd w:val="clear" w:color="auto" w:fill="auto"/>
            <w:noWrap/>
            <w:vAlign w:val="center"/>
            <w:hideMark/>
          </w:tcPr>
          <w:p w14:paraId="793D0AB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Elaborar el Diagnóstico de las necesidades de formación de las figuras educativas.</w:t>
            </w:r>
          </w:p>
        </w:tc>
        <w:tc>
          <w:tcPr>
            <w:tcW w:w="1164" w:type="dxa"/>
            <w:shd w:val="clear" w:color="auto" w:fill="auto"/>
            <w:noWrap/>
            <w:vAlign w:val="center"/>
          </w:tcPr>
          <w:p w14:paraId="35D0084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7,683,894 </w:t>
            </w:r>
          </w:p>
        </w:tc>
      </w:tr>
      <w:tr w:rsidR="00D868AB" w:rsidRPr="00D868AB" w14:paraId="405AA608" w14:textId="77777777" w:rsidTr="00A755A7">
        <w:trPr>
          <w:trHeight w:val="20"/>
        </w:trPr>
        <w:tc>
          <w:tcPr>
            <w:tcW w:w="822" w:type="dxa"/>
            <w:shd w:val="clear" w:color="auto" w:fill="auto"/>
            <w:noWrap/>
            <w:vAlign w:val="center"/>
            <w:hideMark/>
          </w:tcPr>
          <w:p w14:paraId="47279A0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64C02</w:t>
            </w:r>
          </w:p>
        </w:tc>
        <w:tc>
          <w:tcPr>
            <w:tcW w:w="6544" w:type="dxa"/>
            <w:shd w:val="clear" w:color="auto" w:fill="auto"/>
            <w:noWrap/>
            <w:vAlign w:val="center"/>
            <w:hideMark/>
          </w:tcPr>
          <w:p w14:paraId="554D80D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Realización de capacitación sobre el Sistema Básico de Mejora a las Supervisoras de las zonas escolares por parte del nivel de Educación Preescolar.</w:t>
            </w:r>
          </w:p>
        </w:tc>
        <w:tc>
          <w:tcPr>
            <w:tcW w:w="1164" w:type="dxa"/>
            <w:shd w:val="clear" w:color="auto" w:fill="auto"/>
            <w:noWrap/>
            <w:vAlign w:val="center"/>
          </w:tcPr>
          <w:p w14:paraId="1953D68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322,930,109 </w:t>
            </w:r>
          </w:p>
        </w:tc>
      </w:tr>
      <w:tr w:rsidR="00D868AB" w:rsidRPr="00D868AB" w14:paraId="414804E8" w14:textId="77777777" w:rsidTr="00A755A7">
        <w:trPr>
          <w:trHeight w:val="20"/>
        </w:trPr>
        <w:tc>
          <w:tcPr>
            <w:tcW w:w="822" w:type="dxa"/>
            <w:shd w:val="clear" w:color="auto" w:fill="auto"/>
            <w:noWrap/>
            <w:vAlign w:val="center"/>
            <w:hideMark/>
          </w:tcPr>
          <w:p w14:paraId="70A04D5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64D01</w:t>
            </w:r>
          </w:p>
        </w:tc>
        <w:tc>
          <w:tcPr>
            <w:tcW w:w="6544" w:type="dxa"/>
            <w:shd w:val="clear" w:color="auto" w:fill="auto"/>
            <w:noWrap/>
            <w:vAlign w:val="center"/>
            <w:hideMark/>
          </w:tcPr>
          <w:p w14:paraId="50C39A3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Capacitación a Supervisores de Zona para orientar a los procesos administrativos del nivel de Secundarias Generales Federalizada.</w:t>
            </w:r>
          </w:p>
        </w:tc>
        <w:tc>
          <w:tcPr>
            <w:tcW w:w="1164" w:type="dxa"/>
            <w:shd w:val="clear" w:color="auto" w:fill="auto"/>
            <w:noWrap/>
            <w:vAlign w:val="center"/>
          </w:tcPr>
          <w:p w14:paraId="7AFFC57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574,123,487 </w:t>
            </w:r>
          </w:p>
        </w:tc>
      </w:tr>
      <w:tr w:rsidR="00D868AB" w:rsidRPr="00D868AB" w14:paraId="5CA1A127" w14:textId="77777777" w:rsidTr="00A755A7">
        <w:trPr>
          <w:trHeight w:val="20"/>
        </w:trPr>
        <w:tc>
          <w:tcPr>
            <w:tcW w:w="822" w:type="dxa"/>
            <w:shd w:val="clear" w:color="auto" w:fill="auto"/>
            <w:noWrap/>
            <w:vAlign w:val="center"/>
            <w:hideMark/>
          </w:tcPr>
          <w:p w14:paraId="02F110A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64E01</w:t>
            </w:r>
          </w:p>
        </w:tc>
        <w:tc>
          <w:tcPr>
            <w:tcW w:w="6544" w:type="dxa"/>
            <w:shd w:val="clear" w:color="auto" w:fill="auto"/>
            <w:noWrap/>
            <w:vAlign w:val="center"/>
            <w:hideMark/>
          </w:tcPr>
          <w:p w14:paraId="7517838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Capacitación a Supervisores de Zona para orientar a los procesos administrativos del nivel de Secundaria Técnica Federalizada.</w:t>
            </w:r>
          </w:p>
        </w:tc>
        <w:tc>
          <w:tcPr>
            <w:tcW w:w="1164" w:type="dxa"/>
            <w:shd w:val="clear" w:color="auto" w:fill="auto"/>
            <w:noWrap/>
            <w:vAlign w:val="center"/>
          </w:tcPr>
          <w:p w14:paraId="221D646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335,669,339 </w:t>
            </w:r>
          </w:p>
        </w:tc>
      </w:tr>
      <w:tr w:rsidR="00D868AB" w:rsidRPr="00D868AB" w14:paraId="1876FEC5" w14:textId="77777777" w:rsidTr="00A755A7">
        <w:trPr>
          <w:trHeight w:val="20"/>
        </w:trPr>
        <w:tc>
          <w:tcPr>
            <w:tcW w:w="822" w:type="dxa"/>
            <w:shd w:val="clear" w:color="auto" w:fill="auto"/>
            <w:noWrap/>
            <w:vAlign w:val="center"/>
            <w:hideMark/>
          </w:tcPr>
          <w:p w14:paraId="3FB037E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64H01</w:t>
            </w:r>
          </w:p>
        </w:tc>
        <w:tc>
          <w:tcPr>
            <w:tcW w:w="6544" w:type="dxa"/>
            <w:shd w:val="clear" w:color="auto" w:fill="auto"/>
            <w:noWrap/>
            <w:vAlign w:val="center"/>
            <w:hideMark/>
          </w:tcPr>
          <w:p w14:paraId="665E420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Detección y atención de alumnos/as que enfrentan barreras para el aprendizaje y la participación con Discapacidad Trastornos Aptitudes Sobresalientes Dificultades Severas de Aprendizaje Conducta y Comunicación en escuelas públicas de Educación Básica.</w:t>
            </w:r>
          </w:p>
        </w:tc>
        <w:tc>
          <w:tcPr>
            <w:tcW w:w="1164" w:type="dxa"/>
            <w:shd w:val="clear" w:color="auto" w:fill="auto"/>
            <w:noWrap/>
            <w:vAlign w:val="center"/>
          </w:tcPr>
          <w:p w14:paraId="4917286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183,231,881 </w:t>
            </w:r>
          </w:p>
        </w:tc>
      </w:tr>
      <w:tr w:rsidR="00D868AB" w:rsidRPr="00D868AB" w14:paraId="292F086C" w14:textId="77777777" w:rsidTr="00A755A7">
        <w:trPr>
          <w:trHeight w:val="20"/>
        </w:trPr>
        <w:tc>
          <w:tcPr>
            <w:tcW w:w="822" w:type="dxa"/>
            <w:shd w:val="clear" w:color="auto" w:fill="auto"/>
            <w:noWrap/>
            <w:vAlign w:val="center"/>
            <w:hideMark/>
          </w:tcPr>
          <w:p w14:paraId="28189A3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64I01</w:t>
            </w:r>
          </w:p>
        </w:tc>
        <w:tc>
          <w:tcPr>
            <w:tcW w:w="6544" w:type="dxa"/>
            <w:shd w:val="clear" w:color="auto" w:fill="auto"/>
            <w:noWrap/>
            <w:vAlign w:val="center"/>
            <w:hideMark/>
          </w:tcPr>
          <w:p w14:paraId="52E20BB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Capacitación a equipos de supervisión de zona para orientar sobre los procesos pedagógicos y administrativos del nivel de Telesecundaria.</w:t>
            </w:r>
          </w:p>
        </w:tc>
        <w:tc>
          <w:tcPr>
            <w:tcW w:w="1164" w:type="dxa"/>
            <w:shd w:val="clear" w:color="auto" w:fill="auto"/>
            <w:noWrap/>
            <w:vAlign w:val="center"/>
          </w:tcPr>
          <w:p w14:paraId="44E891D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69,836,358 </w:t>
            </w:r>
          </w:p>
        </w:tc>
      </w:tr>
      <w:tr w:rsidR="00D868AB" w:rsidRPr="00D868AB" w14:paraId="6AE13164" w14:textId="77777777" w:rsidTr="00A755A7">
        <w:trPr>
          <w:trHeight w:val="20"/>
        </w:trPr>
        <w:tc>
          <w:tcPr>
            <w:tcW w:w="822" w:type="dxa"/>
            <w:shd w:val="clear" w:color="auto" w:fill="auto"/>
            <w:noWrap/>
            <w:vAlign w:val="center"/>
            <w:hideMark/>
          </w:tcPr>
          <w:p w14:paraId="0C62D6A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64K01</w:t>
            </w:r>
          </w:p>
        </w:tc>
        <w:tc>
          <w:tcPr>
            <w:tcW w:w="6544" w:type="dxa"/>
            <w:shd w:val="clear" w:color="auto" w:fill="auto"/>
            <w:noWrap/>
            <w:vAlign w:val="center"/>
            <w:hideMark/>
          </w:tcPr>
          <w:p w14:paraId="46D0853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Realización de conferencias webinar y cursos-talleres de capacitación a figuras educativas para la atención de la asignatura.</w:t>
            </w:r>
          </w:p>
        </w:tc>
        <w:tc>
          <w:tcPr>
            <w:tcW w:w="1164" w:type="dxa"/>
            <w:shd w:val="clear" w:color="auto" w:fill="auto"/>
            <w:noWrap/>
            <w:vAlign w:val="center"/>
          </w:tcPr>
          <w:p w14:paraId="4893D86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118,340,090 </w:t>
            </w:r>
          </w:p>
        </w:tc>
      </w:tr>
      <w:tr w:rsidR="00D868AB" w:rsidRPr="00D868AB" w14:paraId="56E232E4" w14:textId="77777777" w:rsidTr="00A755A7">
        <w:trPr>
          <w:trHeight w:val="20"/>
        </w:trPr>
        <w:tc>
          <w:tcPr>
            <w:tcW w:w="822" w:type="dxa"/>
            <w:shd w:val="clear" w:color="auto" w:fill="auto"/>
            <w:noWrap/>
            <w:vAlign w:val="center"/>
            <w:hideMark/>
          </w:tcPr>
          <w:p w14:paraId="5C30CAF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64L01</w:t>
            </w:r>
          </w:p>
        </w:tc>
        <w:tc>
          <w:tcPr>
            <w:tcW w:w="6544" w:type="dxa"/>
            <w:shd w:val="clear" w:color="auto" w:fill="auto"/>
            <w:noWrap/>
            <w:vAlign w:val="center"/>
            <w:hideMark/>
          </w:tcPr>
          <w:p w14:paraId="56E6D5C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Asignación de Plazas a docentes de nuevo ingreso del nivel de Primaria Federalizada.</w:t>
            </w:r>
          </w:p>
        </w:tc>
        <w:tc>
          <w:tcPr>
            <w:tcW w:w="1164" w:type="dxa"/>
            <w:shd w:val="clear" w:color="auto" w:fill="auto"/>
            <w:noWrap/>
            <w:vAlign w:val="center"/>
          </w:tcPr>
          <w:p w14:paraId="70A3CC5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1,749,953,285 </w:t>
            </w:r>
          </w:p>
        </w:tc>
      </w:tr>
      <w:tr w:rsidR="00D868AB" w:rsidRPr="00D868AB" w14:paraId="0FC153B1" w14:textId="77777777" w:rsidTr="00A755A7">
        <w:trPr>
          <w:trHeight w:val="20"/>
        </w:trPr>
        <w:tc>
          <w:tcPr>
            <w:tcW w:w="822" w:type="dxa"/>
            <w:shd w:val="clear" w:color="auto" w:fill="auto"/>
            <w:noWrap/>
            <w:vAlign w:val="center"/>
            <w:hideMark/>
          </w:tcPr>
          <w:p w14:paraId="3EC72B3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64R01</w:t>
            </w:r>
          </w:p>
        </w:tc>
        <w:tc>
          <w:tcPr>
            <w:tcW w:w="6544" w:type="dxa"/>
            <w:shd w:val="clear" w:color="auto" w:fill="auto"/>
            <w:noWrap/>
            <w:vAlign w:val="center"/>
            <w:hideMark/>
          </w:tcPr>
          <w:p w14:paraId="79D1EDB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Planeación y conducción de la política educativa nivel básico.</w:t>
            </w:r>
          </w:p>
        </w:tc>
        <w:tc>
          <w:tcPr>
            <w:tcW w:w="1164" w:type="dxa"/>
            <w:shd w:val="clear" w:color="auto" w:fill="auto"/>
            <w:noWrap/>
            <w:vAlign w:val="center"/>
          </w:tcPr>
          <w:p w14:paraId="059A692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388,072,721 </w:t>
            </w:r>
          </w:p>
        </w:tc>
      </w:tr>
      <w:tr w:rsidR="00D868AB" w:rsidRPr="00D868AB" w14:paraId="39FD8B57" w14:textId="77777777" w:rsidTr="00A755A7">
        <w:trPr>
          <w:trHeight w:val="20"/>
        </w:trPr>
        <w:tc>
          <w:tcPr>
            <w:tcW w:w="822" w:type="dxa"/>
            <w:shd w:val="clear" w:color="auto" w:fill="auto"/>
            <w:noWrap/>
            <w:vAlign w:val="center"/>
            <w:hideMark/>
          </w:tcPr>
          <w:p w14:paraId="06B4623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66A01</w:t>
            </w:r>
          </w:p>
        </w:tc>
        <w:tc>
          <w:tcPr>
            <w:tcW w:w="6544" w:type="dxa"/>
            <w:shd w:val="clear" w:color="auto" w:fill="auto"/>
            <w:noWrap/>
            <w:vAlign w:val="center"/>
            <w:hideMark/>
          </w:tcPr>
          <w:p w14:paraId="5128218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Emisión de la convocatoria para el ingreso a la Universidad Pedagógica Nacional del Estado de Colima (UPN).</w:t>
            </w:r>
          </w:p>
        </w:tc>
        <w:tc>
          <w:tcPr>
            <w:tcW w:w="1164" w:type="dxa"/>
            <w:shd w:val="clear" w:color="auto" w:fill="auto"/>
            <w:noWrap/>
            <w:vAlign w:val="center"/>
          </w:tcPr>
          <w:p w14:paraId="0B9A500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23,090,668 </w:t>
            </w:r>
          </w:p>
        </w:tc>
      </w:tr>
      <w:tr w:rsidR="00D868AB" w:rsidRPr="00D868AB" w14:paraId="65435C44" w14:textId="77777777" w:rsidTr="00A755A7">
        <w:trPr>
          <w:trHeight w:val="20"/>
        </w:trPr>
        <w:tc>
          <w:tcPr>
            <w:tcW w:w="822" w:type="dxa"/>
            <w:shd w:val="clear" w:color="auto" w:fill="auto"/>
            <w:noWrap/>
            <w:vAlign w:val="center"/>
            <w:hideMark/>
          </w:tcPr>
          <w:p w14:paraId="4ED75E2C"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25102-22</w:t>
            </w:r>
          </w:p>
        </w:tc>
        <w:tc>
          <w:tcPr>
            <w:tcW w:w="6544" w:type="dxa"/>
            <w:shd w:val="clear" w:color="auto" w:fill="auto"/>
            <w:noWrap/>
            <w:vAlign w:val="center"/>
            <w:hideMark/>
          </w:tcPr>
          <w:p w14:paraId="3744A875"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los Servicios de Salud</w:t>
            </w:r>
          </w:p>
        </w:tc>
        <w:tc>
          <w:tcPr>
            <w:tcW w:w="1164" w:type="dxa"/>
            <w:shd w:val="clear" w:color="auto" w:fill="auto"/>
            <w:noWrap/>
            <w:vAlign w:val="center"/>
          </w:tcPr>
          <w:p w14:paraId="5FFF6E9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1,808,132,350 </w:t>
            </w:r>
          </w:p>
        </w:tc>
      </w:tr>
      <w:tr w:rsidR="00D868AB" w:rsidRPr="00D868AB" w14:paraId="0D7EEE25" w14:textId="77777777" w:rsidTr="00A755A7">
        <w:trPr>
          <w:trHeight w:val="20"/>
        </w:trPr>
        <w:tc>
          <w:tcPr>
            <w:tcW w:w="822" w:type="dxa"/>
            <w:shd w:val="clear" w:color="auto" w:fill="auto"/>
            <w:noWrap/>
            <w:vAlign w:val="center"/>
            <w:hideMark/>
          </w:tcPr>
          <w:p w14:paraId="643797B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02A01</w:t>
            </w:r>
          </w:p>
        </w:tc>
        <w:tc>
          <w:tcPr>
            <w:tcW w:w="6544" w:type="dxa"/>
            <w:shd w:val="clear" w:color="auto" w:fill="auto"/>
            <w:noWrap/>
            <w:vAlign w:val="center"/>
            <w:hideMark/>
          </w:tcPr>
          <w:p w14:paraId="43C4EAE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Atención de la salud sexual y reproductiva.</w:t>
            </w:r>
          </w:p>
        </w:tc>
        <w:tc>
          <w:tcPr>
            <w:tcW w:w="1164" w:type="dxa"/>
            <w:shd w:val="clear" w:color="auto" w:fill="auto"/>
            <w:noWrap/>
            <w:vAlign w:val="center"/>
          </w:tcPr>
          <w:p w14:paraId="74737C9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304,779,721 </w:t>
            </w:r>
          </w:p>
        </w:tc>
      </w:tr>
      <w:tr w:rsidR="00D868AB" w:rsidRPr="00D868AB" w14:paraId="1FFE58F3" w14:textId="77777777" w:rsidTr="00A755A7">
        <w:trPr>
          <w:trHeight w:val="20"/>
        </w:trPr>
        <w:tc>
          <w:tcPr>
            <w:tcW w:w="822" w:type="dxa"/>
            <w:shd w:val="clear" w:color="auto" w:fill="auto"/>
            <w:noWrap/>
            <w:vAlign w:val="center"/>
            <w:hideMark/>
          </w:tcPr>
          <w:p w14:paraId="5982B3B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02B01</w:t>
            </w:r>
          </w:p>
        </w:tc>
        <w:tc>
          <w:tcPr>
            <w:tcW w:w="6544" w:type="dxa"/>
            <w:shd w:val="clear" w:color="auto" w:fill="auto"/>
            <w:noWrap/>
            <w:vAlign w:val="center"/>
            <w:hideMark/>
          </w:tcPr>
          <w:p w14:paraId="06356F1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Vacunación universal.</w:t>
            </w:r>
          </w:p>
        </w:tc>
        <w:tc>
          <w:tcPr>
            <w:tcW w:w="1164" w:type="dxa"/>
            <w:shd w:val="clear" w:color="auto" w:fill="auto"/>
            <w:noWrap/>
            <w:vAlign w:val="center"/>
          </w:tcPr>
          <w:p w14:paraId="4AF47A2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36,633,286 </w:t>
            </w:r>
          </w:p>
        </w:tc>
      </w:tr>
      <w:tr w:rsidR="00D868AB" w:rsidRPr="00D868AB" w14:paraId="6F087AA7" w14:textId="77777777" w:rsidTr="00A755A7">
        <w:trPr>
          <w:trHeight w:val="20"/>
        </w:trPr>
        <w:tc>
          <w:tcPr>
            <w:tcW w:w="822" w:type="dxa"/>
            <w:shd w:val="clear" w:color="auto" w:fill="auto"/>
            <w:noWrap/>
            <w:vAlign w:val="center"/>
            <w:hideMark/>
          </w:tcPr>
          <w:p w14:paraId="7BA719A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02B02</w:t>
            </w:r>
          </w:p>
        </w:tc>
        <w:tc>
          <w:tcPr>
            <w:tcW w:w="6544" w:type="dxa"/>
            <w:shd w:val="clear" w:color="auto" w:fill="auto"/>
            <w:noWrap/>
            <w:vAlign w:val="center"/>
            <w:hideMark/>
          </w:tcPr>
          <w:p w14:paraId="548FD80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Detección oportuna de enfermedades.</w:t>
            </w:r>
          </w:p>
        </w:tc>
        <w:tc>
          <w:tcPr>
            <w:tcW w:w="1164" w:type="dxa"/>
            <w:shd w:val="clear" w:color="auto" w:fill="auto"/>
            <w:noWrap/>
            <w:vAlign w:val="center"/>
          </w:tcPr>
          <w:p w14:paraId="2D60A0E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180,985,740 </w:t>
            </w:r>
          </w:p>
        </w:tc>
      </w:tr>
      <w:tr w:rsidR="00D868AB" w:rsidRPr="00D868AB" w14:paraId="161D94F2" w14:textId="77777777" w:rsidTr="00A755A7">
        <w:trPr>
          <w:trHeight w:val="20"/>
        </w:trPr>
        <w:tc>
          <w:tcPr>
            <w:tcW w:w="822" w:type="dxa"/>
            <w:shd w:val="clear" w:color="auto" w:fill="auto"/>
            <w:noWrap/>
            <w:vAlign w:val="center"/>
            <w:hideMark/>
          </w:tcPr>
          <w:p w14:paraId="33564B3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02C01</w:t>
            </w:r>
          </w:p>
        </w:tc>
        <w:tc>
          <w:tcPr>
            <w:tcW w:w="6544" w:type="dxa"/>
            <w:shd w:val="clear" w:color="auto" w:fill="auto"/>
            <w:noWrap/>
            <w:vAlign w:val="center"/>
            <w:hideMark/>
          </w:tcPr>
          <w:p w14:paraId="10910C4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Atención médica y medicamentos.</w:t>
            </w:r>
          </w:p>
        </w:tc>
        <w:tc>
          <w:tcPr>
            <w:tcW w:w="1164" w:type="dxa"/>
            <w:shd w:val="clear" w:color="auto" w:fill="auto"/>
            <w:noWrap/>
            <w:vAlign w:val="center"/>
          </w:tcPr>
          <w:p w14:paraId="27918EB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182,758,366 </w:t>
            </w:r>
          </w:p>
        </w:tc>
      </w:tr>
      <w:tr w:rsidR="00D868AB" w:rsidRPr="00D868AB" w14:paraId="79E218D8" w14:textId="77777777" w:rsidTr="00A755A7">
        <w:trPr>
          <w:trHeight w:val="20"/>
        </w:trPr>
        <w:tc>
          <w:tcPr>
            <w:tcW w:w="822" w:type="dxa"/>
            <w:shd w:val="clear" w:color="auto" w:fill="auto"/>
            <w:noWrap/>
            <w:vAlign w:val="center"/>
            <w:hideMark/>
          </w:tcPr>
          <w:p w14:paraId="07E7C8C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02D01</w:t>
            </w:r>
          </w:p>
        </w:tc>
        <w:tc>
          <w:tcPr>
            <w:tcW w:w="6544" w:type="dxa"/>
            <w:shd w:val="clear" w:color="auto" w:fill="auto"/>
            <w:noWrap/>
            <w:vAlign w:val="center"/>
            <w:hideMark/>
          </w:tcPr>
          <w:p w14:paraId="620F45D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Fomento sanitario y fortalecimiento a la regulación.</w:t>
            </w:r>
          </w:p>
        </w:tc>
        <w:tc>
          <w:tcPr>
            <w:tcW w:w="1164" w:type="dxa"/>
            <w:shd w:val="clear" w:color="auto" w:fill="auto"/>
            <w:noWrap/>
            <w:vAlign w:val="center"/>
          </w:tcPr>
          <w:p w14:paraId="7EF78CD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55,007,696 </w:t>
            </w:r>
          </w:p>
        </w:tc>
      </w:tr>
      <w:tr w:rsidR="00D868AB" w:rsidRPr="00D868AB" w14:paraId="2651EBCF" w14:textId="77777777" w:rsidTr="00A755A7">
        <w:trPr>
          <w:trHeight w:val="20"/>
        </w:trPr>
        <w:tc>
          <w:tcPr>
            <w:tcW w:w="822" w:type="dxa"/>
            <w:shd w:val="clear" w:color="auto" w:fill="auto"/>
            <w:noWrap/>
            <w:vAlign w:val="center"/>
            <w:hideMark/>
          </w:tcPr>
          <w:p w14:paraId="71E01E7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02G01</w:t>
            </w:r>
          </w:p>
        </w:tc>
        <w:tc>
          <w:tcPr>
            <w:tcW w:w="6544" w:type="dxa"/>
            <w:shd w:val="clear" w:color="auto" w:fill="auto"/>
            <w:noWrap/>
            <w:vAlign w:val="center"/>
            <w:hideMark/>
          </w:tcPr>
          <w:p w14:paraId="3DFD88C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Fortalecimiento de la salud mental.</w:t>
            </w:r>
          </w:p>
        </w:tc>
        <w:tc>
          <w:tcPr>
            <w:tcW w:w="1164" w:type="dxa"/>
            <w:shd w:val="clear" w:color="auto" w:fill="auto"/>
            <w:noWrap/>
            <w:vAlign w:val="center"/>
          </w:tcPr>
          <w:p w14:paraId="42753A7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55,600,888 </w:t>
            </w:r>
          </w:p>
        </w:tc>
      </w:tr>
      <w:tr w:rsidR="00D868AB" w:rsidRPr="00D868AB" w14:paraId="7C2A6093" w14:textId="77777777" w:rsidTr="00A755A7">
        <w:trPr>
          <w:trHeight w:val="20"/>
        </w:trPr>
        <w:tc>
          <w:tcPr>
            <w:tcW w:w="822" w:type="dxa"/>
            <w:shd w:val="clear" w:color="auto" w:fill="auto"/>
            <w:noWrap/>
            <w:vAlign w:val="center"/>
            <w:hideMark/>
          </w:tcPr>
          <w:p w14:paraId="2FD03D9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02G02</w:t>
            </w:r>
          </w:p>
        </w:tc>
        <w:tc>
          <w:tcPr>
            <w:tcW w:w="6544" w:type="dxa"/>
            <w:shd w:val="clear" w:color="auto" w:fill="auto"/>
            <w:noWrap/>
            <w:vAlign w:val="center"/>
            <w:hideMark/>
          </w:tcPr>
          <w:p w14:paraId="62D7981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Prevención y atención de las adicciones.</w:t>
            </w:r>
          </w:p>
        </w:tc>
        <w:tc>
          <w:tcPr>
            <w:tcW w:w="1164" w:type="dxa"/>
            <w:shd w:val="clear" w:color="auto" w:fill="auto"/>
            <w:noWrap/>
            <w:vAlign w:val="center"/>
          </w:tcPr>
          <w:p w14:paraId="03F2296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75,024,297 </w:t>
            </w:r>
          </w:p>
        </w:tc>
      </w:tr>
      <w:tr w:rsidR="00D868AB" w:rsidRPr="00D868AB" w14:paraId="5412C214" w14:textId="77777777" w:rsidTr="00A755A7">
        <w:trPr>
          <w:trHeight w:val="20"/>
        </w:trPr>
        <w:tc>
          <w:tcPr>
            <w:tcW w:w="822" w:type="dxa"/>
            <w:shd w:val="clear" w:color="auto" w:fill="auto"/>
            <w:noWrap/>
            <w:vAlign w:val="center"/>
            <w:hideMark/>
          </w:tcPr>
          <w:p w14:paraId="00C7EEA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02E01</w:t>
            </w:r>
          </w:p>
        </w:tc>
        <w:tc>
          <w:tcPr>
            <w:tcW w:w="6544" w:type="dxa"/>
            <w:shd w:val="clear" w:color="auto" w:fill="auto"/>
            <w:noWrap/>
            <w:vAlign w:val="center"/>
            <w:hideMark/>
          </w:tcPr>
          <w:p w14:paraId="111B2AE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Fomento a la donación altruista de sangre y hemocomponentes.</w:t>
            </w:r>
          </w:p>
        </w:tc>
        <w:tc>
          <w:tcPr>
            <w:tcW w:w="1164" w:type="dxa"/>
            <w:shd w:val="clear" w:color="auto" w:fill="auto"/>
            <w:noWrap/>
            <w:vAlign w:val="center"/>
          </w:tcPr>
          <w:p w14:paraId="5A49962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64,353,845 </w:t>
            </w:r>
          </w:p>
        </w:tc>
      </w:tr>
      <w:tr w:rsidR="00D868AB" w:rsidRPr="00D868AB" w14:paraId="013F6C2A" w14:textId="77777777" w:rsidTr="00A755A7">
        <w:trPr>
          <w:trHeight w:val="20"/>
        </w:trPr>
        <w:tc>
          <w:tcPr>
            <w:tcW w:w="822" w:type="dxa"/>
            <w:shd w:val="clear" w:color="auto" w:fill="auto"/>
            <w:noWrap/>
            <w:vAlign w:val="center"/>
            <w:hideMark/>
          </w:tcPr>
          <w:p w14:paraId="6EAC625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02F01</w:t>
            </w:r>
          </w:p>
        </w:tc>
        <w:tc>
          <w:tcPr>
            <w:tcW w:w="6544" w:type="dxa"/>
            <w:shd w:val="clear" w:color="auto" w:fill="auto"/>
            <w:noWrap/>
            <w:vAlign w:val="center"/>
            <w:hideMark/>
          </w:tcPr>
          <w:p w14:paraId="66448A3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Fortalecimiento a las unidades médicas.</w:t>
            </w:r>
          </w:p>
        </w:tc>
        <w:tc>
          <w:tcPr>
            <w:tcW w:w="1164" w:type="dxa"/>
            <w:shd w:val="clear" w:color="auto" w:fill="auto"/>
            <w:noWrap/>
            <w:vAlign w:val="center"/>
          </w:tcPr>
          <w:p w14:paraId="6E77B3F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852,988,511 </w:t>
            </w:r>
          </w:p>
        </w:tc>
      </w:tr>
      <w:tr w:rsidR="00D868AB" w:rsidRPr="00D868AB" w14:paraId="4BC76200" w14:textId="77777777" w:rsidTr="00A755A7">
        <w:trPr>
          <w:trHeight w:val="20"/>
        </w:trPr>
        <w:tc>
          <w:tcPr>
            <w:tcW w:w="822" w:type="dxa"/>
            <w:shd w:val="clear" w:color="auto" w:fill="auto"/>
            <w:noWrap/>
            <w:vAlign w:val="center"/>
            <w:hideMark/>
          </w:tcPr>
          <w:p w14:paraId="79253689"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25103-22</w:t>
            </w:r>
          </w:p>
        </w:tc>
        <w:tc>
          <w:tcPr>
            <w:tcW w:w="6544" w:type="dxa"/>
            <w:shd w:val="clear" w:color="auto" w:fill="auto"/>
            <w:noWrap/>
            <w:vAlign w:val="center"/>
            <w:hideMark/>
          </w:tcPr>
          <w:p w14:paraId="23AA1737"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la Educación Tecnológica y de Adultos</w:t>
            </w:r>
          </w:p>
        </w:tc>
        <w:tc>
          <w:tcPr>
            <w:tcW w:w="1164" w:type="dxa"/>
            <w:shd w:val="clear" w:color="auto" w:fill="auto"/>
            <w:noWrap/>
            <w:vAlign w:val="center"/>
          </w:tcPr>
          <w:p w14:paraId="4F49582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51,087,135 </w:t>
            </w:r>
          </w:p>
        </w:tc>
      </w:tr>
      <w:tr w:rsidR="00D868AB" w:rsidRPr="00D868AB" w14:paraId="63346EB9" w14:textId="77777777" w:rsidTr="00A755A7">
        <w:trPr>
          <w:trHeight w:val="20"/>
        </w:trPr>
        <w:tc>
          <w:tcPr>
            <w:tcW w:w="822" w:type="dxa"/>
            <w:shd w:val="clear" w:color="auto" w:fill="auto"/>
            <w:noWrap/>
            <w:vAlign w:val="center"/>
            <w:hideMark/>
          </w:tcPr>
          <w:p w14:paraId="3B077CA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65D01</w:t>
            </w:r>
          </w:p>
        </w:tc>
        <w:tc>
          <w:tcPr>
            <w:tcW w:w="6544" w:type="dxa"/>
            <w:shd w:val="clear" w:color="auto" w:fill="auto"/>
            <w:noWrap/>
            <w:vAlign w:val="center"/>
            <w:hideMark/>
          </w:tcPr>
          <w:p w14:paraId="2947018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Realización de obras de rehabilitación construcción o equipamiento de la infraestructura física de planteles públicos de Educación.</w:t>
            </w:r>
          </w:p>
        </w:tc>
        <w:tc>
          <w:tcPr>
            <w:tcW w:w="1164" w:type="dxa"/>
            <w:shd w:val="clear" w:color="auto" w:fill="auto"/>
            <w:noWrap/>
            <w:vAlign w:val="center"/>
          </w:tcPr>
          <w:p w14:paraId="24120AC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51,087,135 </w:t>
            </w:r>
          </w:p>
        </w:tc>
      </w:tr>
      <w:tr w:rsidR="00D868AB" w:rsidRPr="00D868AB" w14:paraId="7205BBF7" w14:textId="77777777" w:rsidTr="00A755A7">
        <w:trPr>
          <w:trHeight w:val="20"/>
        </w:trPr>
        <w:tc>
          <w:tcPr>
            <w:tcW w:w="822" w:type="dxa"/>
            <w:shd w:val="clear" w:color="auto" w:fill="auto"/>
            <w:noWrap/>
            <w:vAlign w:val="center"/>
            <w:hideMark/>
          </w:tcPr>
          <w:p w14:paraId="6D88A7C4"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25104-22</w:t>
            </w:r>
          </w:p>
        </w:tc>
        <w:tc>
          <w:tcPr>
            <w:tcW w:w="6544" w:type="dxa"/>
            <w:shd w:val="clear" w:color="auto" w:fill="auto"/>
            <w:noWrap/>
            <w:vAlign w:val="center"/>
            <w:hideMark/>
          </w:tcPr>
          <w:p w14:paraId="2E98EE02"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Múltiples (Asistencia Social)</w:t>
            </w:r>
          </w:p>
        </w:tc>
        <w:tc>
          <w:tcPr>
            <w:tcW w:w="1164" w:type="dxa"/>
            <w:shd w:val="clear" w:color="auto" w:fill="auto"/>
            <w:noWrap/>
            <w:vAlign w:val="center"/>
          </w:tcPr>
          <w:p w14:paraId="3BEF9A7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126,970,840 </w:t>
            </w:r>
          </w:p>
        </w:tc>
      </w:tr>
      <w:tr w:rsidR="00D868AB" w:rsidRPr="00D868AB" w14:paraId="0FCF7BC2" w14:textId="77777777" w:rsidTr="00A755A7">
        <w:trPr>
          <w:trHeight w:val="20"/>
        </w:trPr>
        <w:tc>
          <w:tcPr>
            <w:tcW w:w="822" w:type="dxa"/>
            <w:shd w:val="clear" w:color="auto" w:fill="auto"/>
            <w:noWrap/>
            <w:vAlign w:val="center"/>
            <w:hideMark/>
          </w:tcPr>
          <w:p w14:paraId="6108F2C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18C04</w:t>
            </w:r>
          </w:p>
        </w:tc>
        <w:tc>
          <w:tcPr>
            <w:tcW w:w="6544" w:type="dxa"/>
            <w:shd w:val="clear" w:color="auto" w:fill="auto"/>
            <w:noWrap/>
            <w:vAlign w:val="center"/>
            <w:hideMark/>
          </w:tcPr>
          <w:p w14:paraId="2F56CCD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Contribución a mejorar las condiciones sociales de vida en las localidades con marginación a través de programas comunitarios con participación social.</w:t>
            </w:r>
          </w:p>
        </w:tc>
        <w:tc>
          <w:tcPr>
            <w:tcW w:w="1164" w:type="dxa"/>
            <w:shd w:val="clear" w:color="auto" w:fill="auto"/>
            <w:noWrap/>
            <w:vAlign w:val="center"/>
          </w:tcPr>
          <w:p w14:paraId="2FFCC99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4,063,060 </w:t>
            </w:r>
          </w:p>
        </w:tc>
      </w:tr>
      <w:tr w:rsidR="00D868AB" w:rsidRPr="00D868AB" w14:paraId="36194252" w14:textId="77777777" w:rsidTr="00A755A7">
        <w:trPr>
          <w:trHeight w:val="20"/>
        </w:trPr>
        <w:tc>
          <w:tcPr>
            <w:tcW w:w="822" w:type="dxa"/>
            <w:shd w:val="clear" w:color="auto" w:fill="auto"/>
            <w:noWrap/>
            <w:vAlign w:val="center"/>
            <w:hideMark/>
          </w:tcPr>
          <w:p w14:paraId="25CB6E4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18A01</w:t>
            </w:r>
          </w:p>
        </w:tc>
        <w:tc>
          <w:tcPr>
            <w:tcW w:w="6544" w:type="dxa"/>
            <w:shd w:val="clear" w:color="auto" w:fill="auto"/>
            <w:noWrap/>
            <w:vAlign w:val="center"/>
            <w:hideMark/>
          </w:tcPr>
          <w:p w14:paraId="0852B1D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Entrega de Desayunos escolares para nivel básico.</w:t>
            </w:r>
          </w:p>
        </w:tc>
        <w:tc>
          <w:tcPr>
            <w:tcW w:w="1164" w:type="dxa"/>
            <w:shd w:val="clear" w:color="auto" w:fill="auto"/>
            <w:noWrap/>
            <w:vAlign w:val="center"/>
          </w:tcPr>
          <w:p w14:paraId="677CB42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98,642,700 </w:t>
            </w:r>
          </w:p>
        </w:tc>
      </w:tr>
      <w:tr w:rsidR="00D868AB" w:rsidRPr="00D868AB" w14:paraId="32450A43" w14:textId="77777777" w:rsidTr="00A755A7">
        <w:trPr>
          <w:trHeight w:val="20"/>
        </w:trPr>
        <w:tc>
          <w:tcPr>
            <w:tcW w:w="822" w:type="dxa"/>
            <w:shd w:val="clear" w:color="auto" w:fill="auto"/>
            <w:noWrap/>
            <w:vAlign w:val="center"/>
            <w:hideMark/>
          </w:tcPr>
          <w:p w14:paraId="0212161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18A02</w:t>
            </w:r>
          </w:p>
        </w:tc>
        <w:tc>
          <w:tcPr>
            <w:tcW w:w="6544" w:type="dxa"/>
            <w:shd w:val="clear" w:color="auto" w:fill="auto"/>
            <w:noWrap/>
            <w:vAlign w:val="center"/>
            <w:hideMark/>
          </w:tcPr>
          <w:p w14:paraId="0AE5283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Dotación alimentaria para niños y niñas menores de 2 años.</w:t>
            </w:r>
          </w:p>
        </w:tc>
        <w:tc>
          <w:tcPr>
            <w:tcW w:w="1164" w:type="dxa"/>
            <w:shd w:val="clear" w:color="auto" w:fill="auto"/>
            <w:noWrap/>
            <w:vAlign w:val="center"/>
          </w:tcPr>
          <w:p w14:paraId="1444E655" w14:textId="77777777" w:rsidR="00D868AB" w:rsidRPr="00D868AB" w:rsidRDefault="00D868AB" w:rsidP="00D868AB">
            <w:pPr>
              <w:jc w:val="right"/>
              <w:rPr>
                <w:rFonts w:eastAsia="Times New Roman" w:cs="Arial"/>
                <w:bCs/>
                <w:color w:val="000000"/>
                <w:sz w:val="16"/>
                <w:szCs w:val="16"/>
              </w:rPr>
            </w:pPr>
            <w:r w:rsidRPr="00D868AB">
              <w:rPr>
                <w:rFonts w:cs="Arial"/>
                <w:bCs/>
                <w:color w:val="000000"/>
                <w:sz w:val="16"/>
                <w:szCs w:val="16"/>
              </w:rPr>
              <w:t xml:space="preserve">3,126,984 </w:t>
            </w:r>
          </w:p>
        </w:tc>
      </w:tr>
      <w:tr w:rsidR="00D868AB" w:rsidRPr="00D868AB" w14:paraId="7B59C6B9" w14:textId="77777777" w:rsidTr="00A755A7">
        <w:trPr>
          <w:trHeight w:val="20"/>
        </w:trPr>
        <w:tc>
          <w:tcPr>
            <w:tcW w:w="822" w:type="dxa"/>
            <w:shd w:val="clear" w:color="auto" w:fill="auto"/>
            <w:noWrap/>
            <w:vAlign w:val="center"/>
            <w:hideMark/>
          </w:tcPr>
          <w:p w14:paraId="1DA76A3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18A03</w:t>
            </w:r>
          </w:p>
        </w:tc>
        <w:tc>
          <w:tcPr>
            <w:tcW w:w="6544" w:type="dxa"/>
            <w:shd w:val="clear" w:color="auto" w:fill="auto"/>
            <w:noWrap/>
            <w:vAlign w:val="center"/>
            <w:hideMark/>
          </w:tcPr>
          <w:p w14:paraId="3AA1C4B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Dotación alimentaria para familias víctimas en desastres naturales.</w:t>
            </w:r>
          </w:p>
        </w:tc>
        <w:tc>
          <w:tcPr>
            <w:tcW w:w="1164" w:type="dxa"/>
            <w:shd w:val="clear" w:color="auto" w:fill="auto"/>
            <w:noWrap/>
            <w:vAlign w:val="center"/>
          </w:tcPr>
          <w:p w14:paraId="6B035ED3" w14:textId="77777777" w:rsidR="00D868AB" w:rsidRPr="00D868AB" w:rsidRDefault="00D868AB" w:rsidP="00D868AB">
            <w:pPr>
              <w:jc w:val="right"/>
              <w:rPr>
                <w:rFonts w:eastAsia="Times New Roman" w:cs="Arial"/>
                <w:bCs/>
                <w:color w:val="000000"/>
                <w:sz w:val="16"/>
                <w:szCs w:val="16"/>
              </w:rPr>
            </w:pPr>
            <w:r w:rsidRPr="00D868AB">
              <w:rPr>
                <w:rFonts w:cs="Arial"/>
                <w:bCs/>
                <w:color w:val="000000"/>
                <w:sz w:val="16"/>
                <w:szCs w:val="16"/>
              </w:rPr>
              <w:t xml:space="preserve">756,816 </w:t>
            </w:r>
          </w:p>
        </w:tc>
      </w:tr>
      <w:tr w:rsidR="00D868AB" w:rsidRPr="00D868AB" w14:paraId="17AD949C" w14:textId="77777777" w:rsidTr="00A755A7">
        <w:trPr>
          <w:trHeight w:val="20"/>
        </w:trPr>
        <w:tc>
          <w:tcPr>
            <w:tcW w:w="822" w:type="dxa"/>
            <w:shd w:val="clear" w:color="auto" w:fill="auto"/>
            <w:noWrap/>
            <w:vAlign w:val="center"/>
            <w:hideMark/>
          </w:tcPr>
          <w:p w14:paraId="3E29B3F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18A04</w:t>
            </w:r>
          </w:p>
        </w:tc>
        <w:tc>
          <w:tcPr>
            <w:tcW w:w="6544" w:type="dxa"/>
            <w:shd w:val="clear" w:color="auto" w:fill="auto"/>
            <w:noWrap/>
            <w:vAlign w:val="center"/>
            <w:hideMark/>
          </w:tcPr>
          <w:p w14:paraId="60EB232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Dotación alimentaria para la población en situación de vulnerabilidad.</w:t>
            </w:r>
          </w:p>
        </w:tc>
        <w:tc>
          <w:tcPr>
            <w:tcW w:w="1164" w:type="dxa"/>
            <w:shd w:val="clear" w:color="auto" w:fill="auto"/>
            <w:noWrap/>
            <w:vAlign w:val="center"/>
          </w:tcPr>
          <w:p w14:paraId="37B0E0D1" w14:textId="77777777" w:rsidR="00D868AB" w:rsidRPr="00D868AB" w:rsidRDefault="00D868AB" w:rsidP="00D868AB">
            <w:pPr>
              <w:jc w:val="right"/>
              <w:rPr>
                <w:rFonts w:eastAsia="Times New Roman" w:cs="Arial"/>
                <w:bCs/>
                <w:color w:val="000000"/>
                <w:sz w:val="16"/>
                <w:szCs w:val="16"/>
              </w:rPr>
            </w:pPr>
            <w:r w:rsidRPr="00D868AB">
              <w:rPr>
                <w:rFonts w:cs="Arial"/>
                <w:bCs/>
                <w:color w:val="000000"/>
                <w:sz w:val="16"/>
                <w:szCs w:val="16"/>
              </w:rPr>
              <w:t xml:space="preserve">4,237,776 </w:t>
            </w:r>
          </w:p>
        </w:tc>
      </w:tr>
      <w:tr w:rsidR="00D868AB" w:rsidRPr="00D868AB" w14:paraId="10E56B34" w14:textId="77777777" w:rsidTr="00A755A7">
        <w:trPr>
          <w:trHeight w:val="20"/>
        </w:trPr>
        <w:tc>
          <w:tcPr>
            <w:tcW w:w="822" w:type="dxa"/>
            <w:shd w:val="clear" w:color="auto" w:fill="auto"/>
            <w:noWrap/>
            <w:vAlign w:val="center"/>
            <w:hideMark/>
          </w:tcPr>
          <w:p w14:paraId="792AE09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18A05</w:t>
            </w:r>
          </w:p>
        </w:tc>
        <w:tc>
          <w:tcPr>
            <w:tcW w:w="6544" w:type="dxa"/>
            <w:shd w:val="clear" w:color="auto" w:fill="auto"/>
            <w:noWrap/>
            <w:vAlign w:val="center"/>
            <w:hideMark/>
          </w:tcPr>
          <w:p w14:paraId="7CF7CCD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Dotación de alimentos en espacios alimentarios.</w:t>
            </w:r>
          </w:p>
        </w:tc>
        <w:tc>
          <w:tcPr>
            <w:tcW w:w="1164" w:type="dxa"/>
            <w:shd w:val="clear" w:color="auto" w:fill="auto"/>
            <w:noWrap/>
            <w:vAlign w:val="center"/>
          </w:tcPr>
          <w:p w14:paraId="497B0E6E" w14:textId="77777777" w:rsidR="00D868AB" w:rsidRPr="00D868AB" w:rsidRDefault="00D868AB" w:rsidP="00D868AB">
            <w:pPr>
              <w:jc w:val="right"/>
              <w:rPr>
                <w:rFonts w:eastAsia="Times New Roman" w:cs="Arial"/>
                <w:bCs/>
                <w:color w:val="000000"/>
                <w:sz w:val="16"/>
                <w:szCs w:val="16"/>
              </w:rPr>
            </w:pPr>
            <w:r w:rsidRPr="00D868AB">
              <w:rPr>
                <w:rFonts w:cs="Arial"/>
                <w:bCs/>
                <w:color w:val="000000"/>
                <w:sz w:val="16"/>
                <w:szCs w:val="16"/>
              </w:rPr>
              <w:t xml:space="preserve">12,588,324 </w:t>
            </w:r>
          </w:p>
        </w:tc>
      </w:tr>
      <w:tr w:rsidR="00D868AB" w:rsidRPr="00D868AB" w14:paraId="1D1A111D" w14:textId="77777777" w:rsidTr="00A755A7">
        <w:trPr>
          <w:trHeight w:val="20"/>
        </w:trPr>
        <w:tc>
          <w:tcPr>
            <w:tcW w:w="822" w:type="dxa"/>
            <w:shd w:val="clear" w:color="auto" w:fill="auto"/>
            <w:noWrap/>
            <w:vAlign w:val="center"/>
            <w:hideMark/>
          </w:tcPr>
          <w:p w14:paraId="4C4E6A2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18B07</w:t>
            </w:r>
          </w:p>
        </w:tc>
        <w:tc>
          <w:tcPr>
            <w:tcW w:w="6544" w:type="dxa"/>
            <w:shd w:val="clear" w:color="auto" w:fill="auto"/>
            <w:noWrap/>
            <w:vAlign w:val="center"/>
            <w:hideMark/>
          </w:tcPr>
          <w:p w14:paraId="774C3AB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Apoyos y/o servicios para las personas en estado de vulnerabilidad.</w:t>
            </w:r>
          </w:p>
        </w:tc>
        <w:tc>
          <w:tcPr>
            <w:tcW w:w="1164" w:type="dxa"/>
            <w:shd w:val="clear" w:color="auto" w:fill="auto"/>
            <w:noWrap/>
            <w:vAlign w:val="center"/>
          </w:tcPr>
          <w:p w14:paraId="4274FCF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3,555,180 </w:t>
            </w:r>
          </w:p>
        </w:tc>
      </w:tr>
      <w:tr w:rsidR="00D868AB" w:rsidRPr="00D868AB" w14:paraId="2BA659F8" w14:textId="77777777" w:rsidTr="00A755A7">
        <w:trPr>
          <w:trHeight w:val="20"/>
        </w:trPr>
        <w:tc>
          <w:tcPr>
            <w:tcW w:w="822" w:type="dxa"/>
            <w:shd w:val="clear" w:color="auto" w:fill="auto"/>
            <w:noWrap/>
            <w:vAlign w:val="center"/>
            <w:hideMark/>
          </w:tcPr>
          <w:p w14:paraId="0C0F368B"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25105-22</w:t>
            </w:r>
          </w:p>
        </w:tc>
        <w:tc>
          <w:tcPr>
            <w:tcW w:w="6544" w:type="dxa"/>
            <w:shd w:val="clear" w:color="auto" w:fill="auto"/>
            <w:noWrap/>
            <w:vAlign w:val="center"/>
            <w:hideMark/>
          </w:tcPr>
          <w:p w14:paraId="3EAC1E08"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el Fortalecimiento de las Entidades Federativas</w:t>
            </w:r>
          </w:p>
        </w:tc>
        <w:tc>
          <w:tcPr>
            <w:tcW w:w="1164" w:type="dxa"/>
            <w:shd w:val="clear" w:color="auto" w:fill="auto"/>
            <w:noWrap/>
            <w:vAlign w:val="center"/>
          </w:tcPr>
          <w:p w14:paraId="6C08E0D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346,932,234 </w:t>
            </w:r>
          </w:p>
        </w:tc>
      </w:tr>
      <w:tr w:rsidR="00D868AB" w:rsidRPr="00D868AB" w14:paraId="5C8ECD64" w14:textId="77777777" w:rsidTr="00A755A7">
        <w:trPr>
          <w:trHeight w:val="20"/>
        </w:trPr>
        <w:tc>
          <w:tcPr>
            <w:tcW w:w="822" w:type="dxa"/>
            <w:shd w:val="clear" w:color="auto" w:fill="auto"/>
            <w:noWrap/>
            <w:vAlign w:val="center"/>
            <w:hideMark/>
          </w:tcPr>
          <w:p w14:paraId="27D64C0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10A01</w:t>
            </w:r>
          </w:p>
        </w:tc>
        <w:tc>
          <w:tcPr>
            <w:tcW w:w="6544" w:type="dxa"/>
            <w:shd w:val="clear" w:color="auto" w:fill="auto"/>
            <w:noWrap/>
            <w:vAlign w:val="center"/>
            <w:hideMark/>
          </w:tcPr>
          <w:p w14:paraId="633030B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Ejercicio de los recursos del FAFEF destinados a Saneamiento Financiero.</w:t>
            </w:r>
          </w:p>
        </w:tc>
        <w:tc>
          <w:tcPr>
            <w:tcW w:w="1164" w:type="dxa"/>
            <w:shd w:val="clear" w:color="auto" w:fill="auto"/>
            <w:noWrap/>
            <w:vAlign w:val="center"/>
          </w:tcPr>
          <w:p w14:paraId="4ACAAE5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346,932,234 </w:t>
            </w:r>
          </w:p>
        </w:tc>
      </w:tr>
      <w:tr w:rsidR="00D868AB" w:rsidRPr="00D868AB" w14:paraId="13F4CAFB" w14:textId="77777777" w:rsidTr="00A755A7">
        <w:trPr>
          <w:trHeight w:val="20"/>
        </w:trPr>
        <w:tc>
          <w:tcPr>
            <w:tcW w:w="822" w:type="dxa"/>
            <w:shd w:val="clear" w:color="auto" w:fill="auto"/>
            <w:noWrap/>
            <w:vAlign w:val="center"/>
            <w:hideMark/>
          </w:tcPr>
          <w:p w14:paraId="6D6A5F59"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25106-22</w:t>
            </w:r>
          </w:p>
        </w:tc>
        <w:tc>
          <w:tcPr>
            <w:tcW w:w="6544" w:type="dxa"/>
            <w:shd w:val="clear" w:color="auto" w:fill="auto"/>
            <w:noWrap/>
            <w:vAlign w:val="center"/>
            <w:hideMark/>
          </w:tcPr>
          <w:p w14:paraId="24D8DA5C"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la Infraestructura Social Estatal</w:t>
            </w:r>
          </w:p>
        </w:tc>
        <w:tc>
          <w:tcPr>
            <w:tcW w:w="1164" w:type="dxa"/>
            <w:shd w:val="clear" w:color="auto" w:fill="auto"/>
            <w:noWrap/>
            <w:vAlign w:val="center"/>
          </w:tcPr>
          <w:p w14:paraId="2E3DCD2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79,545,816 </w:t>
            </w:r>
          </w:p>
        </w:tc>
      </w:tr>
      <w:tr w:rsidR="00D868AB" w:rsidRPr="00D868AB" w14:paraId="009D5E24" w14:textId="77777777" w:rsidTr="00A755A7">
        <w:trPr>
          <w:trHeight w:val="20"/>
        </w:trPr>
        <w:tc>
          <w:tcPr>
            <w:tcW w:w="822" w:type="dxa"/>
            <w:shd w:val="clear" w:color="auto" w:fill="auto"/>
            <w:noWrap/>
            <w:vAlign w:val="center"/>
            <w:hideMark/>
          </w:tcPr>
          <w:p w14:paraId="311BC94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05B01</w:t>
            </w:r>
          </w:p>
        </w:tc>
        <w:tc>
          <w:tcPr>
            <w:tcW w:w="6544" w:type="dxa"/>
            <w:shd w:val="clear" w:color="auto" w:fill="auto"/>
            <w:noWrap/>
            <w:vAlign w:val="center"/>
            <w:hideMark/>
          </w:tcPr>
          <w:p w14:paraId="1205E80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Gestión y verificación de obras de infraestructura social mejoramiento de vivienda servicios básicos y urbanización.</w:t>
            </w:r>
          </w:p>
        </w:tc>
        <w:tc>
          <w:tcPr>
            <w:tcW w:w="1164" w:type="dxa"/>
            <w:shd w:val="clear" w:color="auto" w:fill="auto"/>
            <w:noWrap/>
            <w:vAlign w:val="center"/>
          </w:tcPr>
          <w:p w14:paraId="07A2838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79,545,816 </w:t>
            </w:r>
          </w:p>
        </w:tc>
      </w:tr>
      <w:tr w:rsidR="00D868AB" w:rsidRPr="00D868AB" w14:paraId="610F374E" w14:textId="77777777" w:rsidTr="00A755A7">
        <w:trPr>
          <w:trHeight w:val="20"/>
        </w:trPr>
        <w:tc>
          <w:tcPr>
            <w:tcW w:w="822" w:type="dxa"/>
            <w:shd w:val="clear" w:color="auto" w:fill="auto"/>
            <w:noWrap/>
            <w:vAlign w:val="center"/>
            <w:hideMark/>
          </w:tcPr>
          <w:p w14:paraId="30313B1C"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25107-22</w:t>
            </w:r>
          </w:p>
        </w:tc>
        <w:tc>
          <w:tcPr>
            <w:tcW w:w="6544" w:type="dxa"/>
            <w:shd w:val="clear" w:color="auto" w:fill="auto"/>
            <w:noWrap/>
            <w:vAlign w:val="center"/>
            <w:hideMark/>
          </w:tcPr>
          <w:p w14:paraId="6BB56535"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la Infraestructura Social Municipal</w:t>
            </w:r>
          </w:p>
        </w:tc>
        <w:tc>
          <w:tcPr>
            <w:tcW w:w="1164" w:type="dxa"/>
            <w:shd w:val="clear" w:color="auto" w:fill="auto"/>
            <w:noWrap/>
            <w:vAlign w:val="center"/>
          </w:tcPr>
          <w:p w14:paraId="28F884E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576,694,191 </w:t>
            </w:r>
          </w:p>
        </w:tc>
      </w:tr>
      <w:tr w:rsidR="00D868AB" w:rsidRPr="00D868AB" w14:paraId="7BB96FC8" w14:textId="77777777" w:rsidTr="00A755A7">
        <w:trPr>
          <w:trHeight w:val="20"/>
        </w:trPr>
        <w:tc>
          <w:tcPr>
            <w:tcW w:w="822" w:type="dxa"/>
            <w:shd w:val="clear" w:color="auto" w:fill="auto"/>
            <w:noWrap/>
            <w:vAlign w:val="center"/>
            <w:hideMark/>
          </w:tcPr>
          <w:p w14:paraId="1FC99DA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61D02</w:t>
            </w:r>
          </w:p>
        </w:tc>
        <w:tc>
          <w:tcPr>
            <w:tcW w:w="6544" w:type="dxa"/>
            <w:shd w:val="clear" w:color="auto" w:fill="auto"/>
            <w:noWrap/>
            <w:vAlign w:val="center"/>
            <w:hideMark/>
          </w:tcPr>
          <w:p w14:paraId="14B2D6B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Federales del Ramo 33 realizadas a los Municipios.</w:t>
            </w:r>
          </w:p>
        </w:tc>
        <w:tc>
          <w:tcPr>
            <w:tcW w:w="1164" w:type="dxa"/>
            <w:shd w:val="clear" w:color="auto" w:fill="auto"/>
            <w:noWrap/>
            <w:vAlign w:val="center"/>
          </w:tcPr>
          <w:p w14:paraId="2BE4987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576,694,191 </w:t>
            </w:r>
          </w:p>
        </w:tc>
      </w:tr>
      <w:tr w:rsidR="00D868AB" w:rsidRPr="00D868AB" w14:paraId="2EA3B2BC" w14:textId="77777777" w:rsidTr="00A755A7">
        <w:trPr>
          <w:trHeight w:val="20"/>
        </w:trPr>
        <w:tc>
          <w:tcPr>
            <w:tcW w:w="822" w:type="dxa"/>
            <w:shd w:val="clear" w:color="auto" w:fill="auto"/>
            <w:noWrap/>
            <w:vAlign w:val="center"/>
            <w:hideMark/>
          </w:tcPr>
          <w:p w14:paraId="14023D1A"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lastRenderedPageBreak/>
              <w:t>25108-22</w:t>
            </w:r>
          </w:p>
        </w:tc>
        <w:tc>
          <w:tcPr>
            <w:tcW w:w="6544" w:type="dxa"/>
            <w:shd w:val="clear" w:color="auto" w:fill="auto"/>
            <w:noWrap/>
            <w:vAlign w:val="center"/>
            <w:hideMark/>
          </w:tcPr>
          <w:p w14:paraId="34EEC239"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el Fortalecimiento de los Municipios y de las Demarcaciones Territoriales del Distrito Federal</w:t>
            </w:r>
          </w:p>
        </w:tc>
        <w:tc>
          <w:tcPr>
            <w:tcW w:w="1164" w:type="dxa"/>
            <w:shd w:val="clear" w:color="auto" w:fill="auto"/>
            <w:noWrap/>
            <w:vAlign w:val="center"/>
          </w:tcPr>
          <w:p w14:paraId="469DCBE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672,481,068 </w:t>
            </w:r>
          </w:p>
        </w:tc>
      </w:tr>
      <w:tr w:rsidR="00D868AB" w:rsidRPr="00D868AB" w14:paraId="10A2B8EA" w14:textId="77777777" w:rsidTr="00A755A7">
        <w:trPr>
          <w:trHeight w:val="20"/>
        </w:trPr>
        <w:tc>
          <w:tcPr>
            <w:tcW w:w="822" w:type="dxa"/>
            <w:shd w:val="clear" w:color="auto" w:fill="auto"/>
            <w:noWrap/>
            <w:vAlign w:val="center"/>
            <w:hideMark/>
          </w:tcPr>
          <w:p w14:paraId="590CA60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61D02</w:t>
            </w:r>
          </w:p>
        </w:tc>
        <w:tc>
          <w:tcPr>
            <w:tcW w:w="6544" w:type="dxa"/>
            <w:shd w:val="clear" w:color="auto" w:fill="auto"/>
            <w:noWrap/>
            <w:vAlign w:val="center"/>
            <w:hideMark/>
          </w:tcPr>
          <w:p w14:paraId="5549F1D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Federales del Ramo 33 Realizadas a los Municipios.</w:t>
            </w:r>
          </w:p>
        </w:tc>
        <w:tc>
          <w:tcPr>
            <w:tcW w:w="1164" w:type="dxa"/>
            <w:shd w:val="clear" w:color="auto" w:fill="auto"/>
            <w:noWrap/>
            <w:vAlign w:val="center"/>
          </w:tcPr>
          <w:p w14:paraId="10CFD81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672,481,068 </w:t>
            </w:r>
          </w:p>
        </w:tc>
      </w:tr>
      <w:tr w:rsidR="00D868AB" w:rsidRPr="00D868AB" w14:paraId="29913CA9" w14:textId="77777777" w:rsidTr="00A755A7">
        <w:trPr>
          <w:trHeight w:val="20"/>
        </w:trPr>
        <w:tc>
          <w:tcPr>
            <w:tcW w:w="822" w:type="dxa"/>
            <w:shd w:val="clear" w:color="auto" w:fill="auto"/>
            <w:noWrap/>
            <w:vAlign w:val="center"/>
            <w:hideMark/>
          </w:tcPr>
          <w:p w14:paraId="4D9C9D75"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25109-22</w:t>
            </w:r>
          </w:p>
        </w:tc>
        <w:tc>
          <w:tcPr>
            <w:tcW w:w="6544" w:type="dxa"/>
            <w:shd w:val="clear" w:color="auto" w:fill="auto"/>
            <w:noWrap/>
            <w:vAlign w:val="center"/>
            <w:hideMark/>
          </w:tcPr>
          <w:p w14:paraId="0C51710A"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la Seguridad Pública de los Estados y del Distrito Federal</w:t>
            </w:r>
          </w:p>
        </w:tc>
        <w:tc>
          <w:tcPr>
            <w:tcW w:w="1164" w:type="dxa"/>
            <w:shd w:val="clear" w:color="auto" w:fill="auto"/>
            <w:noWrap/>
            <w:vAlign w:val="center"/>
          </w:tcPr>
          <w:p w14:paraId="2B6A56D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233,279,586 </w:t>
            </w:r>
          </w:p>
        </w:tc>
      </w:tr>
      <w:tr w:rsidR="00D868AB" w:rsidRPr="00D868AB" w14:paraId="75DF0F93" w14:textId="77777777" w:rsidTr="00A755A7">
        <w:trPr>
          <w:trHeight w:val="20"/>
        </w:trPr>
        <w:tc>
          <w:tcPr>
            <w:tcW w:w="822" w:type="dxa"/>
            <w:shd w:val="clear" w:color="auto" w:fill="auto"/>
            <w:noWrap/>
            <w:vAlign w:val="center"/>
            <w:hideMark/>
          </w:tcPr>
          <w:p w14:paraId="43D0E3B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32A04</w:t>
            </w:r>
          </w:p>
        </w:tc>
        <w:tc>
          <w:tcPr>
            <w:tcW w:w="6544" w:type="dxa"/>
            <w:shd w:val="clear" w:color="auto" w:fill="auto"/>
            <w:noWrap/>
            <w:vAlign w:val="center"/>
            <w:hideMark/>
          </w:tcPr>
          <w:p w14:paraId="3FBD499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fortalecimiento de las capacidades de Evaluación en Control de Confianza.</w:t>
            </w:r>
          </w:p>
        </w:tc>
        <w:tc>
          <w:tcPr>
            <w:tcW w:w="1164" w:type="dxa"/>
            <w:shd w:val="clear" w:color="auto" w:fill="auto"/>
            <w:noWrap/>
            <w:vAlign w:val="center"/>
          </w:tcPr>
          <w:p w14:paraId="5BBCD25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3,587,673 </w:t>
            </w:r>
          </w:p>
        </w:tc>
      </w:tr>
      <w:tr w:rsidR="00D868AB" w:rsidRPr="00D868AB" w14:paraId="7A6B4665" w14:textId="77777777" w:rsidTr="00A755A7">
        <w:trPr>
          <w:trHeight w:val="20"/>
        </w:trPr>
        <w:tc>
          <w:tcPr>
            <w:tcW w:w="822" w:type="dxa"/>
            <w:shd w:val="clear" w:color="auto" w:fill="auto"/>
            <w:noWrap/>
            <w:vAlign w:val="center"/>
            <w:hideMark/>
          </w:tcPr>
          <w:p w14:paraId="096579C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32A05</w:t>
            </w:r>
          </w:p>
        </w:tc>
        <w:tc>
          <w:tcPr>
            <w:tcW w:w="6544" w:type="dxa"/>
            <w:shd w:val="clear" w:color="auto" w:fill="auto"/>
            <w:noWrap/>
            <w:vAlign w:val="center"/>
            <w:hideMark/>
          </w:tcPr>
          <w:p w14:paraId="14FDBF6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Profesionalización y Capacitación de los Elementos Policiales de Seguridad Pública.</w:t>
            </w:r>
          </w:p>
        </w:tc>
        <w:tc>
          <w:tcPr>
            <w:tcW w:w="1164" w:type="dxa"/>
            <w:shd w:val="clear" w:color="auto" w:fill="auto"/>
            <w:noWrap/>
            <w:vAlign w:val="center"/>
          </w:tcPr>
          <w:p w14:paraId="65A4B2C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8,638,749 </w:t>
            </w:r>
          </w:p>
        </w:tc>
      </w:tr>
      <w:tr w:rsidR="00D868AB" w:rsidRPr="00D868AB" w14:paraId="56ECAE78" w14:textId="77777777" w:rsidTr="00A755A7">
        <w:trPr>
          <w:trHeight w:val="20"/>
        </w:trPr>
        <w:tc>
          <w:tcPr>
            <w:tcW w:w="822" w:type="dxa"/>
            <w:shd w:val="clear" w:color="auto" w:fill="auto"/>
            <w:noWrap/>
            <w:vAlign w:val="center"/>
            <w:hideMark/>
          </w:tcPr>
          <w:p w14:paraId="0078833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32A06</w:t>
            </w:r>
          </w:p>
        </w:tc>
        <w:tc>
          <w:tcPr>
            <w:tcW w:w="6544" w:type="dxa"/>
            <w:shd w:val="clear" w:color="auto" w:fill="auto"/>
            <w:noWrap/>
            <w:vAlign w:val="center"/>
            <w:hideMark/>
          </w:tcPr>
          <w:p w14:paraId="2A4D6A8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Equipamiento de las Instituciones de Seguridad Pública.</w:t>
            </w:r>
          </w:p>
        </w:tc>
        <w:tc>
          <w:tcPr>
            <w:tcW w:w="1164" w:type="dxa"/>
            <w:shd w:val="clear" w:color="auto" w:fill="auto"/>
            <w:noWrap/>
            <w:vAlign w:val="center"/>
          </w:tcPr>
          <w:p w14:paraId="76FCAFA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65,170,178 </w:t>
            </w:r>
          </w:p>
        </w:tc>
      </w:tr>
      <w:tr w:rsidR="00D868AB" w:rsidRPr="00D868AB" w14:paraId="4E39B9B5" w14:textId="77777777" w:rsidTr="00A755A7">
        <w:trPr>
          <w:trHeight w:val="20"/>
        </w:trPr>
        <w:tc>
          <w:tcPr>
            <w:tcW w:w="822" w:type="dxa"/>
            <w:shd w:val="clear" w:color="auto" w:fill="auto"/>
            <w:noWrap/>
            <w:vAlign w:val="center"/>
            <w:hideMark/>
          </w:tcPr>
          <w:p w14:paraId="50EE046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32A08</w:t>
            </w:r>
          </w:p>
        </w:tc>
        <w:tc>
          <w:tcPr>
            <w:tcW w:w="6544" w:type="dxa"/>
            <w:shd w:val="clear" w:color="auto" w:fill="auto"/>
            <w:noWrap/>
            <w:vAlign w:val="center"/>
            <w:hideMark/>
          </w:tcPr>
          <w:p w14:paraId="562B3F2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Fortalecimiento de Capacidades para la Prevención y Combate a Delitos de Alto Impacto.</w:t>
            </w:r>
          </w:p>
        </w:tc>
        <w:tc>
          <w:tcPr>
            <w:tcW w:w="1164" w:type="dxa"/>
            <w:shd w:val="clear" w:color="auto" w:fill="auto"/>
            <w:noWrap/>
            <w:vAlign w:val="center"/>
          </w:tcPr>
          <w:p w14:paraId="5422984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8,395,333 </w:t>
            </w:r>
          </w:p>
        </w:tc>
      </w:tr>
      <w:tr w:rsidR="00D868AB" w:rsidRPr="00D868AB" w14:paraId="61BCDFD0" w14:textId="77777777" w:rsidTr="00A755A7">
        <w:trPr>
          <w:trHeight w:val="20"/>
        </w:trPr>
        <w:tc>
          <w:tcPr>
            <w:tcW w:w="822" w:type="dxa"/>
            <w:shd w:val="clear" w:color="auto" w:fill="auto"/>
            <w:noWrap/>
            <w:vAlign w:val="center"/>
            <w:hideMark/>
          </w:tcPr>
          <w:p w14:paraId="179638A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32A09</w:t>
            </w:r>
          </w:p>
        </w:tc>
        <w:tc>
          <w:tcPr>
            <w:tcW w:w="6544" w:type="dxa"/>
            <w:shd w:val="clear" w:color="auto" w:fill="auto"/>
            <w:noWrap/>
            <w:vAlign w:val="center"/>
            <w:hideMark/>
          </w:tcPr>
          <w:p w14:paraId="79077D8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Especialización de las Instancias Responsables de la Búsqueda de Personas.</w:t>
            </w:r>
          </w:p>
        </w:tc>
        <w:tc>
          <w:tcPr>
            <w:tcW w:w="1164" w:type="dxa"/>
            <w:shd w:val="clear" w:color="auto" w:fill="auto"/>
            <w:noWrap/>
            <w:vAlign w:val="center"/>
          </w:tcPr>
          <w:p w14:paraId="2F68C79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363,819 </w:t>
            </w:r>
          </w:p>
        </w:tc>
      </w:tr>
      <w:tr w:rsidR="00D868AB" w:rsidRPr="00D868AB" w14:paraId="167842F1" w14:textId="77777777" w:rsidTr="00A755A7">
        <w:trPr>
          <w:trHeight w:val="20"/>
        </w:trPr>
        <w:tc>
          <w:tcPr>
            <w:tcW w:w="822" w:type="dxa"/>
            <w:shd w:val="clear" w:color="auto" w:fill="auto"/>
            <w:noWrap/>
            <w:vAlign w:val="center"/>
            <w:hideMark/>
          </w:tcPr>
          <w:p w14:paraId="25E31C1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32A11</w:t>
            </w:r>
          </w:p>
        </w:tc>
        <w:tc>
          <w:tcPr>
            <w:tcW w:w="6544" w:type="dxa"/>
            <w:shd w:val="clear" w:color="auto" w:fill="auto"/>
            <w:noWrap/>
            <w:vAlign w:val="center"/>
            <w:hideMark/>
          </w:tcPr>
          <w:p w14:paraId="14BA271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Desarrollo de las Ciencias Forenses en la Investigación de Hechos Delictivos.</w:t>
            </w:r>
          </w:p>
        </w:tc>
        <w:tc>
          <w:tcPr>
            <w:tcW w:w="1164" w:type="dxa"/>
            <w:shd w:val="clear" w:color="auto" w:fill="auto"/>
            <w:noWrap/>
            <w:vAlign w:val="center"/>
          </w:tcPr>
          <w:p w14:paraId="4479F9F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15,038,669 </w:t>
            </w:r>
          </w:p>
        </w:tc>
      </w:tr>
      <w:tr w:rsidR="00D868AB" w:rsidRPr="00D868AB" w14:paraId="54C24DA1" w14:textId="77777777" w:rsidTr="00A755A7">
        <w:trPr>
          <w:trHeight w:val="20"/>
        </w:trPr>
        <w:tc>
          <w:tcPr>
            <w:tcW w:w="822" w:type="dxa"/>
            <w:shd w:val="clear" w:color="auto" w:fill="auto"/>
            <w:noWrap/>
            <w:vAlign w:val="center"/>
            <w:hideMark/>
          </w:tcPr>
          <w:p w14:paraId="1EACDDD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32A12</w:t>
            </w:r>
          </w:p>
        </w:tc>
        <w:tc>
          <w:tcPr>
            <w:tcW w:w="6544" w:type="dxa"/>
            <w:shd w:val="clear" w:color="auto" w:fill="auto"/>
            <w:noWrap/>
            <w:vAlign w:val="center"/>
            <w:hideMark/>
          </w:tcPr>
          <w:p w14:paraId="68C71CC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Acceso a la Justicia para las Mujeres.</w:t>
            </w:r>
          </w:p>
        </w:tc>
        <w:tc>
          <w:tcPr>
            <w:tcW w:w="1164" w:type="dxa"/>
            <w:shd w:val="clear" w:color="auto" w:fill="auto"/>
            <w:noWrap/>
            <w:vAlign w:val="center"/>
          </w:tcPr>
          <w:p w14:paraId="39A6F2E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23,711,293 </w:t>
            </w:r>
          </w:p>
        </w:tc>
      </w:tr>
      <w:tr w:rsidR="00D868AB" w:rsidRPr="00D868AB" w14:paraId="6BA289AD" w14:textId="77777777" w:rsidTr="00A755A7">
        <w:trPr>
          <w:trHeight w:val="20"/>
        </w:trPr>
        <w:tc>
          <w:tcPr>
            <w:tcW w:w="822" w:type="dxa"/>
            <w:shd w:val="clear" w:color="auto" w:fill="auto"/>
            <w:noWrap/>
            <w:vAlign w:val="center"/>
            <w:hideMark/>
          </w:tcPr>
          <w:p w14:paraId="3D290A0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32A15</w:t>
            </w:r>
          </w:p>
        </w:tc>
        <w:tc>
          <w:tcPr>
            <w:tcW w:w="6544" w:type="dxa"/>
            <w:shd w:val="clear" w:color="auto" w:fill="auto"/>
            <w:noWrap/>
            <w:vAlign w:val="center"/>
            <w:hideMark/>
          </w:tcPr>
          <w:p w14:paraId="6A72A80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Fortalecimiento al Sistema Penitenciario Nacional.</w:t>
            </w:r>
          </w:p>
        </w:tc>
        <w:tc>
          <w:tcPr>
            <w:tcW w:w="1164" w:type="dxa"/>
            <w:shd w:val="clear" w:color="auto" w:fill="auto"/>
            <w:noWrap/>
            <w:vAlign w:val="center"/>
          </w:tcPr>
          <w:p w14:paraId="4BA3F2B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9,592,226 </w:t>
            </w:r>
          </w:p>
        </w:tc>
      </w:tr>
      <w:tr w:rsidR="00D868AB" w:rsidRPr="00D868AB" w14:paraId="537D8EED" w14:textId="77777777" w:rsidTr="00A755A7">
        <w:trPr>
          <w:trHeight w:val="20"/>
        </w:trPr>
        <w:tc>
          <w:tcPr>
            <w:tcW w:w="822" w:type="dxa"/>
            <w:shd w:val="clear" w:color="auto" w:fill="auto"/>
            <w:noWrap/>
            <w:vAlign w:val="center"/>
            <w:hideMark/>
          </w:tcPr>
          <w:p w14:paraId="5588AB1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32A16</w:t>
            </w:r>
          </w:p>
        </w:tc>
        <w:tc>
          <w:tcPr>
            <w:tcW w:w="6544" w:type="dxa"/>
            <w:shd w:val="clear" w:color="auto" w:fill="auto"/>
            <w:noWrap/>
            <w:vAlign w:val="center"/>
            <w:hideMark/>
          </w:tcPr>
          <w:p w14:paraId="77181A9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Fortalecimiento de la Autoridad Administrativa Especializada del Sistema de Justicia Penal para Adolescentes.</w:t>
            </w:r>
          </w:p>
        </w:tc>
        <w:tc>
          <w:tcPr>
            <w:tcW w:w="1164" w:type="dxa"/>
            <w:shd w:val="clear" w:color="auto" w:fill="auto"/>
            <w:noWrap/>
            <w:vAlign w:val="center"/>
          </w:tcPr>
          <w:p w14:paraId="72C039F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443,256 </w:t>
            </w:r>
          </w:p>
        </w:tc>
      </w:tr>
      <w:tr w:rsidR="00D868AB" w:rsidRPr="00D868AB" w14:paraId="6A9E78DF" w14:textId="77777777" w:rsidTr="00A755A7">
        <w:trPr>
          <w:trHeight w:val="20"/>
        </w:trPr>
        <w:tc>
          <w:tcPr>
            <w:tcW w:w="822" w:type="dxa"/>
            <w:shd w:val="clear" w:color="auto" w:fill="auto"/>
            <w:noWrap/>
            <w:vAlign w:val="center"/>
            <w:hideMark/>
          </w:tcPr>
          <w:p w14:paraId="12E1093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32A18</w:t>
            </w:r>
          </w:p>
        </w:tc>
        <w:tc>
          <w:tcPr>
            <w:tcW w:w="6544" w:type="dxa"/>
            <w:shd w:val="clear" w:color="auto" w:fill="auto"/>
            <w:noWrap/>
            <w:vAlign w:val="center"/>
            <w:hideMark/>
          </w:tcPr>
          <w:p w14:paraId="5E2B6B2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Sistema Nacional de Información base de datos del SNSP.</w:t>
            </w:r>
          </w:p>
        </w:tc>
        <w:tc>
          <w:tcPr>
            <w:tcW w:w="1164" w:type="dxa"/>
            <w:shd w:val="clear" w:color="auto" w:fill="auto"/>
            <w:noWrap/>
            <w:vAlign w:val="center"/>
          </w:tcPr>
          <w:p w14:paraId="42B9BD4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11,519,332 </w:t>
            </w:r>
          </w:p>
        </w:tc>
      </w:tr>
      <w:tr w:rsidR="00D868AB" w:rsidRPr="00D868AB" w14:paraId="7F0F1640" w14:textId="77777777" w:rsidTr="00A755A7">
        <w:trPr>
          <w:trHeight w:val="20"/>
        </w:trPr>
        <w:tc>
          <w:tcPr>
            <w:tcW w:w="822" w:type="dxa"/>
            <w:shd w:val="clear" w:color="auto" w:fill="auto"/>
            <w:noWrap/>
            <w:vAlign w:val="center"/>
            <w:hideMark/>
          </w:tcPr>
          <w:p w14:paraId="5C8FF26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32A19</w:t>
            </w:r>
          </w:p>
        </w:tc>
        <w:tc>
          <w:tcPr>
            <w:tcW w:w="6544" w:type="dxa"/>
            <w:shd w:val="clear" w:color="auto" w:fill="auto"/>
            <w:noWrap/>
            <w:vAlign w:val="center"/>
            <w:hideMark/>
          </w:tcPr>
          <w:p w14:paraId="195443A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Sistema Nacional de Atención de Llamadas de Emergencia y Denuncias Ciudadanas.</w:t>
            </w:r>
          </w:p>
        </w:tc>
        <w:tc>
          <w:tcPr>
            <w:tcW w:w="1164" w:type="dxa"/>
            <w:shd w:val="clear" w:color="auto" w:fill="auto"/>
            <w:noWrap/>
            <w:vAlign w:val="center"/>
          </w:tcPr>
          <w:p w14:paraId="50B3068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17,526,900 </w:t>
            </w:r>
          </w:p>
        </w:tc>
      </w:tr>
      <w:tr w:rsidR="00D868AB" w:rsidRPr="00D868AB" w14:paraId="0DCD908A" w14:textId="77777777" w:rsidTr="00A755A7">
        <w:trPr>
          <w:trHeight w:val="20"/>
        </w:trPr>
        <w:tc>
          <w:tcPr>
            <w:tcW w:w="822" w:type="dxa"/>
            <w:shd w:val="clear" w:color="auto" w:fill="auto"/>
            <w:noWrap/>
            <w:vAlign w:val="center"/>
            <w:hideMark/>
          </w:tcPr>
          <w:p w14:paraId="00D59CF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32A20</w:t>
            </w:r>
          </w:p>
        </w:tc>
        <w:tc>
          <w:tcPr>
            <w:tcW w:w="6544" w:type="dxa"/>
            <w:shd w:val="clear" w:color="auto" w:fill="auto"/>
            <w:noWrap/>
            <w:vAlign w:val="center"/>
            <w:hideMark/>
          </w:tcPr>
          <w:p w14:paraId="1DF2C7F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Red Nacional de Radiocomunicación.</w:t>
            </w:r>
          </w:p>
        </w:tc>
        <w:tc>
          <w:tcPr>
            <w:tcW w:w="1164" w:type="dxa"/>
            <w:shd w:val="clear" w:color="auto" w:fill="auto"/>
            <w:noWrap/>
            <w:vAlign w:val="center"/>
          </w:tcPr>
          <w:p w14:paraId="05EDC5E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23,530,000 </w:t>
            </w:r>
          </w:p>
        </w:tc>
      </w:tr>
      <w:tr w:rsidR="00D868AB" w:rsidRPr="00D868AB" w14:paraId="6939AB90" w14:textId="77777777" w:rsidTr="00A755A7">
        <w:trPr>
          <w:trHeight w:val="20"/>
        </w:trPr>
        <w:tc>
          <w:tcPr>
            <w:tcW w:w="822" w:type="dxa"/>
            <w:shd w:val="clear" w:color="auto" w:fill="auto"/>
            <w:noWrap/>
            <w:vAlign w:val="center"/>
            <w:hideMark/>
          </w:tcPr>
          <w:p w14:paraId="222EABA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32A21</w:t>
            </w:r>
          </w:p>
        </w:tc>
        <w:tc>
          <w:tcPr>
            <w:tcW w:w="6544" w:type="dxa"/>
            <w:shd w:val="clear" w:color="auto" w:fill="auto"/>
            <w:noWrap/>
            <w:vAlign w:val="center"/>
            <w:hideMark/>
          </w:tcPr>
          <w:p w14:paraId="737BF99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Fortalecimiento de los Sistemas de Videovigilancia y Geolocalización.</w:t>
            </w:r>
          </w:p>
        </w:tc>
        <w:tc>
          <w:tcPr>
            <w:tcW w:w="1164" w:type="dxa"/>
            <w:shd w:val="clear" w:color="auto" w:fill="auto"/>
            <w:noWrap/>
            <w:vAlign w:val="center"/>
          </w:tcPr>
          <w:p w14:paraId="76244A0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44,709,458 </w:t>
            </w:r>
          </w:p>
        </w:tc>
      </w:tr>
      <w:tr w:rsidR="00D868AB" w:rsidRPr="00D868AB" w14:paraId="51D26BB4" w14:textId="77777777" w:rsidTr="00A755A7">
        <w:trPr>
          <w:trHeight w:val="20"/>
        </w:trPr>
        <w:tc>
          <w:tcPr>
            <w:tcW w:w="822" w:type="dxa"/>
            <w:shd w:val="clear" w:color="auto" w:fill="auto"/>
            <w:noWrap/>
            <w:vAlign w:val="center"/>
            <w:hideMark/>
          </w:tcPr>
          <w:p w14:paraId="6477A13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32A22</w:t>
            </w:r>
          </w:p>
        </w:tc>
        <w:tc>
          <w:tcPr>
            <w:tcW w:w="6544" w:type="dxa"/>
            <w:shd w:val="clear" w:color="auto" w:fill="auto"/>
            <w:noWrap/>
            <w:vAlign w:val="center"/>
            <w:hideMark/>
          </w:tcPr>
          <w:p w14:paraId="5C71402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Registro Público Vehicular.</w:t>
            </w:r>
          </w:p>
        </w:tc>
        <w:tc>
          <w:tcPr>
            <w:tcW w:w="1164" w:type="dxa"/>
            <w:shd w:val="clear" w:color="auto" w:fill="auto"/>
            <w:noWrap/>
            <w:vAlign w:val="center"/>
          </w:tcPr>
          <w:p w14:paraId="7FB8063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117,700 </w:t>
            </w:r>
          </w:p>
        </w:tc>
      </w:tr>
      <w:tr w:rsidR="00D868AB" w:rsidRPr="00D868AB" w14:paraId="6336D1FF" w14:textId="77777777" w:rsidTr="00A755A7">
        <w:trPr>
          <w:trHeight w:val="20"/>
        </w:trPr>
        <w:tc>
          <w:tcPr>
            <w:tcW w:w="822" w:type="dxa"/>
            <w:shd w:val="clear" w:color="auto" w:fill="auto"/>
            <w:noWrap/>
            <w:vAlign w:val="center"/>
            <w:hideMark/>
          </w:tcPr>
          <w:p w14:paraId="107AB36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32A23</w:t>
            </w:r>
          </w:p>
        </w:tc>
        <w:tc>
          <w:tcPr>
            <w:tcW w:w="6544" w:type="dxa"/>
            <w:shd w:val="clear" w:color="auto" w:fill="auto"/>
            <w:noWrap/>
            <w:vAlign w:val="center"/>
            <w:hideMark/>
          </w:tcPr>
          <w:p w14:paraId="4E42510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del Subprograma Seguimiento y Evaluación de los Programas.</w:t>
            </w:r>
          </w:p>
        </w:tc>
        <w:tc>
          <w:tcPr>
            <w:tcW w:w="1164" w:type="dxa"/>
            <w:shd w:val="clear" w:color="auto" w:fill="auto"/>
            <w:noWrap/>
            <w:vAlign w:val="center"/>
          </w:tcPr>
          <w:p w14:paraId="612BAA7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935,000 </w:t>
            </w:r>
          </w:p>
        </w:tc>
      </w:tr>
      <w:tr w:rsidR="00D868AB" w:rsidRPr="00D868AB" w14:paraId="527BD004" w14:textId="77777777" w:rsidTr="00A755A7">
        <w:trPr>
          <w:trHeight w:val="20"/>
        </w:trPr>
        <w:tc>
          <w:tcPr>
            <w:tcW w:w="822" w:type="dxa"/>
            <w:shd w:val="clear" w:color="auto" w:fill="auto"/>
            <w:noWrap/>
            <w:vAlign w:val="center"/>
            <w:hideMark/>
          </w:tcPr>
          <w:p w14:paraId="492303C5"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25110-23</w:t>
            </w:r>
          </w:p>
        </w:tc>
        <w:tc>
          <w:tcPr>
            <w:tcW w:w="6544" w:type="dxa"/>
            <w:shd w:val="clear" w:color="auto" w:fill="auto"/>
            <w:noWrap/>
            <w:vAlign w:val="center"/>
            <w:hideMark/>
          </w:tcPr>
          <w:p w14:paraId="5F547821"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la Nómina Educativa y el Gasto Operativo (Gasto de Operación)</w:t>
            </w:r>
          </w:p>
        </w:tc>
        <w:tc>
          <w:tcPr>
            <w:tcW w:w="1164" w:type="dxa"/>
            <w:shd w:val="clear" w:color="auto" w:fill="auto"/>
            <w:noWrap/>
            <w:vAlign w:val="center"/>
          </w:tcPr>
          <w:p w14:paraId="4691627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147,312,214 </w:t>
            </w:r>
          </w:p>
        </w:tc>
      </w:tr>
      <w:tr w:rsidR="00D868AB" w:rsidRPr="00D868AB" w14:paraId="0E321BB3" w14:textId="77777777" w:rsidTr="00A755A7">
        <w:trPr>
          <w:trHeight w:val="20"/>
        </w:trPr>
        <w:tc>
          <w:tcPr>
            <w:tcW w:w="822" w:type="dxa"/>
            <w:shd w:val="clear" w:color="auto" w:fill="auto"/>
            <w:noWrap/>
            <w:vAlign w:val="center"/>
            <w:hideMark/>
          </w:tcPr>
          <w:p w14:paraId="72E8004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63A01</w:t>
            </w:r>
          </w:p>
        </w:tc>
        <w:tc>
          <w:tcPr>
            <w:tcW w:w="6544" w:type="dxa"/>
            <w:shd w:val="clear" w:color="auto" w:fill="auto"/>
            <w:noWrap/>
            <w:vAlign w:val="center"/>
            <w:hideMark/>
          </w:tcPr>
          <w:p w14:paraId="49602B1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Formación y capacitación integral a personal de Educación Inicial escolarizado adscrito a los Centros de Atención Infantil (CAI).</w:t>
            </w:r>
          </w:p>
        </w:tc>
        <w:tc>
          <w:tcPr>
            <w:tcW w:w="1164" w:type="dxa"/>
            <w:shd w:val="clear" w:color="auto" w:fill="auto"/>
            <w:noWrap/>
            <w:vAlign w:val="center"/>
          </w:tcPr>
          <w:p w14:paraId="0961F64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3,925,000 </w:t>
            </w:r>
          </w:p>
        </w:tc>
      </w:tr>
      <w:tr w:rsidR="00D868AB" w:rsidRPr="00D868AB" w14:paraId="5ED61872" w14:textId="77777777" w:rsidTr="00A755A7">
        <w:trPr>
          <w:trHeight w:val="20"/>
        </w:trPr>
        <w:tc>
          <w:tcPr>
            <w:tcW w:w="822" w:type="dxa"/>
            <w:shd w:val="clear" w:color="auto" w:fill="auto"/>
            <w:noWrap/>
            <w:vAlign w:val="center"/>
            <w:hideMark/>
          </w:tcPr>
          <w:p w14:paraId="335D58F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63C02</w:t>
            </w:r>
          </w:p>
        </w:tc>
        <w:tc>
          <w:tcPr>
            <w:tcW w:w="6544" w:type="dxa"/>
            <w:shd w:val="clear" w:color="auto" w:fill="auto"/>
            <w:noWrap/>
            <w:vAlign w:val="center"/>
            <w:hideMark/>
          </w:tcPr>
          <w:p w14:paraId="1F2A419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Certificación en educación básica a jóvenes y adultos que atiende Misiones Culturales.</w:t>
            </w:r>
          </w:p>
        </w:tc>
        <w:tc>
          <w:tcPr>
            <w:tcW w:w="1164" w:type="dxa"/>
            <w:shd w:val="clear" w:color="auto" w:fill="auto"/>
            <w:noWrap/>
            <w:vAlign w:val="center"/>
          </w:tcPr>
          <w:p w14:paraId="3322F32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300,000 </w:t>
            </w:r>
          </w:p>
        </w:tc>
      </w:tr>
      <w:tr w:rsidR="00D868AB" w:rsidRPr="00D868AB" w14:paraId="444C1273" w14:textId="77777777" w:rsidTr="00A755A7">
        <w:trPr>
          <w:trHeight w:val="20"/>
        </w:trPr>
        <w:tc>
          <w:tcPr>
            <w:tcW w:w="822" w:type="dxa"/>
            <w:shd w:val="clear" w:color="auto" w:fill="auto"/>
            <w:noWrap/>
            <w:vAlign w:val="center"/>
            <w:hideMark/>
          </w:tcPr>
          <w:p w14:paraId="5674B6F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64C02</w:t>
            </w:r>
          </w:p>
        </w:tc>
        <w:tc>
          <w:tcPr>
            <w:tcW w:w="6544" w:type="dxa"/>
            <w:shd w:val="clear" w:color="auto" w:fill="auto"/>
            <w:noWrap/>
            <w:vAlign w:val="center"/>
            <w:hideMark/>
          </w:tcPr>
          <w:p w14:paraId="569CDF2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Realización de capacitación sobre el Sistema Básico de Mejora a las Supervisoras de las zonas escolares por parte del nivel de Educación Preescolar.</w:t>
            </w:r>
          </w:p>
        </w:tc>
        <w:tc>
          <w:tcPr>
            <w:tcW w:w="1164" w:type="dxa"/>
            <w:shd w:val="clear" w:color="auto" w:fill="auto"/>
            <w:noWrap/>
            <w:vAlign w:val="center"/>
          </w:tcPr>
          <w:p w14:paraId="5B28B8F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1,000,000 </w:t>
            </w:r>
          </w:p>
        </w:tc>
      </w:tr>
      <w:tr w:rsidR="00D868AB" w:rsidRPr="00D868AB" w14:paraId="0D7ACE98" w14:textId="77777777" w:rsidTr="00A755A7">
        <w:trPr>
          <w:trHeight w:val="20"/>
        </w:trPr>
        <w:tc>
          <w:tcPr>
            <w:tcW w:w="822" w:type="dxa"/>
            <w:shd w:val="clear" w:color="auto" w:fill="auto"/>
            <w:noWrap/>
            <w:vAlign w:val="center"/>
            <w:hideMark/>
          </w:tcPr>
          <w:p w14:paraId="356CAD4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64D01</w:t>
            </w:r>
          </w:p>
        </w:tc>
        <w:tc>
          <w:tcPr>
            <w:tcW w:w="6544" w:type="dxa"/>
            <w:shd w:val="clear" w:color="auto" w:fill="auto"/>
            <w:noWrap/>
            <w:vAlign w:val="center"/>
            <w:hideMark/>
          </w:tcPr>
          <w:p w14:paraId="253F6A8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Capacitación a Supervisores de Zona para orientar a los procesos administrativos del nivel de Secundarias Generales Federalizada.</w:t>
            </w:r>
          </w:p>
        </w:tc>
        <w:tc>
          <w:tcPr>
            <w:tcW w:w="1164" w:type="dxa"/>
            <w:shd w:val="clear" w:color="auto" w:fill="auto"/>
            <w:noWrap/>
            <w:vAlign w:val="center"/>
          </w:tcPr>
          <w:p w14:paraId="0CE6CE0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4,000,000 </w:t>
            </w:r>
          </w:p>
        </w:tc>
      </w:tr>
      <w:tr w:rsidR="00D868AB" w:rsidRPr="00D868AB" w14:paraId="3B3FF75F" w14:textId="77777777" w:rsidTr="00A755A7">
        <w:trPr>
          <w:trHeight w:val="20"/>
        </w:trPr>
        <w:tc>
          <w:tcPr>
            <w:tcW w:w="822" w:type="dxa"/>
            <w:shd w:val="clear" w:color="auto" w:fill="auto"/>
            <w:noWrap/>
            <w:vAlign w:val="center"/>
            <w:hideMark/>
          </w:tcPr>
          <w:p w14:paraId="3B544DD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64E01</w:t>
            </w:r>
          </w:p>
        </w:tc>
        <w:tc>
          <w:tcPr>
            <w:tcW w:w="6544" w:type="dxa"/>
            <w:shd w:val="clear" w:color="auto" w:fill="auto"/>
            <w:noWrap/>
            <w:vAlign w:val="center"/>
            <w:hideMark/>
          </w:tcPr>
          <w:p w14:paraId="2C3B534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Capacitación a Supervisores de Zona para orientar a los procesos administrativos del nivel de Secundaria Técnica Federalizada.</w:t>
            </w:r>
          </w:p>
        </w:tc>
        <w:tc>
          <w:tcPr>
            <w:tcW w:w="1164" w:type="dxa"/>
            <w:shd w:val="clear" w:color="auto" w:fill="auto"/>
            <w:noWrap/>
            <w:vAlign w:val="center"/>
          </w:tcPr>
          <w:p w14:paraId="7AF59AC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1,170,000 </w:t>
            </w:r>
          </w:p>
        </w:tc>
      </w:tr>
      <w:tr w:rsidR="00D868AB" w:rsidRPr="00D868AB" w14:paraId="7A06AF55" w14:textId="77777777" w:rsidTr="00A755A7">
        <w:trPr>
          <w:trHeight w:val="20"/>
        </w:trPr>
        <w:tc>
          <w:tcPr>
            <w:tcW w:w="822" w:type="dxa"/>
            <w:shd w:val="clear" w:color="auto" w:fill="auto"/>
            <w:noWrap/>
            <w:vAlign w:val="center"/>
            <w:hideMark/>
          </w:tcPr>
          <w:p w14:paraId="2001D62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64F01</w:t>
            </w:r>
          </w:p>
        </w:tc>
        <w:tc>
          <w:tcPr>
            <w:tcW w:w="6544" w:type="dxa"/>
            <w:shd w:val="clear" w:color="auto" w:fill="auto"/>
            <w:noWrap/>
            <w:vAlign w:val="center"/>
            <w:hideMark/>
          </w:tcPr>
          <w:p w14:paraId="0181331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Gestión de paquetes de libros de texto gratuito para los alumnos/as y docentes de Educación Básica del Estado de Colima.</w:t>
            </w:r>
          </w:p>
        </w:tc>
        <w:tc>
          <w:tcPr>
            <w:tcW w:w="1164" w:type="dxa"/>
            <w:shd w:val="clear" w:color="auto" w:fill="auto"/>
            <w:noWrap/>
            <w:vAlign w:val="center"/>
          </w:tcPr>
          <w:p w14:paraId="5491D78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3,000,000 </w:t>
            </w:r>
          </w:p>
        </w:tc>
      </w:tr>
      <w:tr w:rsidR="00D868AB" w:rsidRPr="00D868AB" w14:paraId="5D3B29C2" w14:textId="77777777" w:rsidTr="00A755A7">
        <w:trPr>
          <w:trHeight w:val="20"/>
        </w:trPr>
        <w:tc>
          <w:tcPr>
            <w:tcW w:w="822" w:type="dxa"/>
            <w:shd w:val="clear" w:color="auto" w:fill="auto"/>
            <w:noWrap/>
            <w:vAlign w:val="center"/>
            <w:hideMark/>
          </w:tcPr>
          <w:p w14:paraId="6D81524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64G01</w:t>
            </w:r>
          </w:p>
        </w:tc>
        <w:tc>
          <w:tcPr>
            <w:tcW w:w="6544" w:type="dxa"/>
            <w:shd w:val="clear" w:color="auto" w:fill="auto"/>
            <w:noWrap/>
            <w:vAlign w:val="center"/>
            <w:hideMark/>
          </w:tcPr>
          <w:p w14:paraId="153D638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Atención a solicitudes para la revisión de las redes de servicios y reparaciones urgentes en los planteles públicos de Educación.</w:t>
            </w:r>
          </w:p>
        </w:tc>
        <w:tc>
          <w:tcPr>
            <w:tcW w:w="1164" w:type="dxa"/>
            <w:shd w:val="clear" w:color="auto" w:fill="auto"/>
            <w:noWrap/>
            <w:vAlign w:val="center"/>
          </w:tcPr>
          <w:p w14:paraId="6F20ED4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2,000,000 </w:t>
            </w:r>
          </w:p>
        </w:tc>
      </w:tr>
      <w:tr w:rsidR="00D868AB" w:rsidRPr="00D868AB" w14:paraId="7487B435" w14:textId="77777777" w:rsidTr="00A755A7">
        <w:trPr>
          <w:trHeight w:val="20"/>
        </w:trPr>
        <w:tc>
          <w:tcPr>
            <w:tcW w:w="822" w:type="dxa"/>
            <w:shd w:val="clear" w:color="auto" w:fill="auto"/>
            <w:noWrap/>
            <w:vAlign w:val="center"/>
            <w:hideMark/>
          </w:tcPr>
          <w:p w14:paraId="41BDF29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64G02</w:t>
            </w:r>
          </w:p>
        </w:tc>
        <w:tc>
          <w:tcPr>
            <w:tcW w:w="6544" w:type="dxa"/>
            <w:shd w:val="clear" w:color="auto" w:fill="auto"/>
            <w:noWrap/>
            <w:vAlign w:val="center"/>
            <w:hideMark/>
          </w:tcPr>
          <w:p w14:paraId="2F1028A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Gestión de ampliaciones y mejoramientos de la infraestructura de los planteles públicos de Educación Básica.</w:t>
            </w:r>
          </w:p>
        </w:tc>
        <w:tc>
          <w:tcPr>
            <w:tcW w:w="1164" w:type="dxa"/>
            <w:shd w:val="clear" w:color="auto" w:fill="auto"/>
            <w:noWrap/>
            <w:vAlign w:val="center"/>
          </w:tcPr>
          <w:p w14:paraId="19F559E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2,000,000 </w:t>
            </w:r>
          </w:p>
        </w:tc>
      </w:tr>
      <w:tr w:rsidR="00D868AB" w:rsidRPr="00D868AB" w14:paraId="1110ABCD" w14:textId="77777777" w:rsidTr="00A755A7">
        <w:trPr>
          <w:trHeight w:val="20"/>
        </w:trPr>
        <w:tc>
          <w:tcPr>
            <w:tcW w:w="822" w:type="dxa"/>
            <w:shd w:val="clear" w:color="auto" w:fill="auto"/>
            <w:noWrap/>
            <w:vAlign w:val="center"/>
            <w:hideMark/>
          </w:tcPr>
          <w:p w14:paraId="151950A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64G03</w:t>
            </w:r>
          </w:p>
        </w:tc>
        <w:tc>
          <w:tcPr>
            <w:tcW w:w="6544" w:type="dxa"/>
            <w:shd w:val="clear" w:color="auto" w:fill="auto"/>
            <w:noWrap/>
            <w:vAlign w:val="center"/>
            <w:hideMark/>
          </w:tcPr>
          <w:p w14:paraId="0738438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Supervisión de los programas que fomentan el crecimiento o mejoramiento de la infraestructura educativa.</w:t>
            </w:r>
          </w:p>
        </w:tc>
        <w:tc>
          <w:tcPr>
            <w:tcW w:w="1164" w:type="dxa"/>
            <w:shd w:val="clear" w:color="auto" w:fill="auto"/>
            <w:noWrap/>
            <w:vAlign w:val="center"/>
          </w:tcPr>
          <w:p w14:paraId="14836D9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2,000,000 </w:t>
            </w:r>
          </w:p>
        </w:tc>
      </w:tr>
      <w:tr w:rsidR="00D868AB" w:rsidRPr="00D868AB" w14:paraId="150CD015" w14:textId="77777777" w:rsidTr="00A755A7">
        <w:trPr>
          <w:trHeight w:val="20"/>
        </w:trPr>
        <w:tc>
          <w:tcPr>
            <w:tcW w:w="822" w:type="dxa"/>
            <w:shd w:val="clear" w:color="auto" w:fill="auto"/>
            <w:noWrap/>
            <w:vAlign w:val="center"/>
            <w:hideMark/>
          </w:tcPr>
          <w:p w14:paraId="479B9EC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64H01</w:t>
            </w:r>
          </w:p>
        </w:tc>
        <w:tc>
          <w:tcPr>
            <w:tcW w:w="6544" w:type="dxa"/>
            <w:shd w:val="clear" w:color="auto" w:fill="auto"/>
            <w:noWrap/>
            <w:vAlign w:val="center"/>
            <w:hideMark/>
          </w:tcPr>
          <w:p w14:paraId="38281BA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Detección y atención de alumnos/as que enfrentan barreras para el aprendizaje y la participación con Discapacidad Trastornos Aptitudes Sobresalientes Dificultades Severas de Aprendizaje Conducta y Comunicación en escuelas públicas de Educación Básica.</w:t>
            </w:r>
          </w:p>
        </w:tc>
        <w:tc>
          <w:tcPr>
            <w:tcW w:w="1164" w:type="dxa"/>
            <w:shd w:val="clear" w:color="auto" w:fill="auto"/>
            <w:noWrap/>
            <w:vAlign w:val="center"/>
          </w:tcPr>
          <w:p w14:paraId="75BAA9B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6,100,000 </w:t>
            </w:r>
          </w:p>
        </w:tc>
      </w:tr>
      <w:tr w:rsidR="00D868AB" w:rsidRPr="00D868AB" w14:paraId="5499E13D" w14:textId="77777777" w:rsidTr="00A755A7">
        <w:trPr>
          <w:trHeight w:val="20"/>
        </w:trPr>
        <w:tc>
          <w:tcPr>
            <w:tcW w:w="822" w:type="dxa"/>
            <w:shd w:val="clear" w:color="auto" w:fill="auto"/>
            <w:noWrap/>
            <w:vAlign w:val="center"/>
            <w:hideMark/>
          </w:tcPr>
          <w:p w14:paraId="279774F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64I01</w:t>
            </w:r>
          </w:p>
        </w:tc>
        <w:tc>
          <w:tcPr>
            <w:tcW w:w="6544" w:type="dxa"/>
            <w:shd w:val="clear" w:color="auto" w:fill="auto"/>
            <w:noWrap/>
            <w:vAlign w:val="center"/>
            <w:hideMark/>
          </w:tcPr>
          <w:p w14:paraId="786E2E0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Capacitación a equipos de supervisión de zona para orientar sobre los procesos pedagógicos y administrativos del nivel de Telesecundaria.</w:t>
            </w:r>
          </w:p>
        </w:tc>
        <w:tc>
          <w:tcPr>
            <w:tcW w:w="1164" w:type="dxa"/>
            <w:shd w:val="clear" w:color="auto" w:fill="auto"/>
            <w:noWrap/>
            <w:vAlign w:val="center"/>
          </w:tcPr>
          <w:p w14:paraId="35E95CC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235,000 </w:t>
            </w:r>
          </w:p>
        </w:tc>
      </w:tr>
      <w:tr w:rsidR="00D868AB" w:rsidRPr="00D868AB" w14:paraId="0D98B2D8" w14:textId="77777777" w:rsidTr="00A755A7">
        <w:trPr>
          <w:trHeight w:val="20"/>
        </w:trPr>
        <w:tc>
          <w:tcPr>
            <w:tcW w:w="822" w:type="dxa"/>
            <w:shd w:val="clear" w:color="auto" w:fill="auto"/>
            <w:noWrap/>
            <w:vAlign w:val="center"/>
            <w:hideMark/>
          </w:tcPr>
          <w:p w14:paraId="2E62C6E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64J01</w:t>
            </w:r>
          </w:p>
        </w:tc>
        <w:tc>
          <w:tcPr>
            <w:tcW w:w="6544" w:type="dxa"/>
            <w:shd w:val="clear" w:color="auto" w:fill="auto"/>
            <w:noWrap/>
            <w:vAlign w:val="center"/>
            <w:hideMark/>
          </w:tcPr>
          <w:p w14:paraId="1E75CC1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Seguimiento a los planteles públicos de Educación Básica que reciben el apoyo de pintura.</w:t>
            </w:r>
          </w:p>
        </w:tc>
        <w:tc>
          <w:tcPr>
            <w:tcW w:w="1164" w:type="dxa"/>
            <w:shd w:val="clear" w:color="auto" w:fill="auto"/>
            <w:noWrap/>
            <w:vAlign w:val="center"/>
          </w:tcPr>
          <w:p w14:paraId="2824247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2,000,000 </w:t>
            </w:r>
          </w:p>
        </w:tc>
      </w:tr>
      <w:tr w:rsidR="00D868AB" w:rsidRPr="00D868AB" w14:paraId="3E7AEB2E" w14:textId="77777777" w:rsidTr="00A755A7">
        <w:trPr>
          <w:trHeight w:val="20"/>
        </w:trPr>
        <w:tc>
          <w:tcPr>
            <w:tcW w:w="822" w:type="dxa"/>
            <w:shd w:val="clear" w:color="auto" w:fill="auto"/>
            <w:noWrap/>
            <w:vAlign w:val="center"/>
            <w:hideMark/>
          </w:tcPr>
          <w:p w14:paraId="3611BD5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64K01</w:t>
            </w:r>
          </w:p>
        </w:tc>
        <w:tc>
          <w:tcPr>
            <w:tcW w:w="6544" w:type="dxa"/>
            <w:shd w:val="clear" w:color="auto" w:fill="auto"/>
            <w:noWrap/>
            <w:vAlign w:val="center"/>
            <w:hideMark/>
          </w:tcPr>
          <w:p w14:paraId="619AA22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Realización de conferencias webinar y cursos-talleres de capacitación a figuras educativas para la atención de la asignatura.</w:t>
            </w:r>
          </w:p>
        </w:tc>
        <w:tc>
          <w:tcPr>
            <w:tcW w:w="1164" w:type="dxa"/>
            <w:shd w:val="clear" w:color="auto" w:fill="auto"/>
            <w:noWrap/>
            <w:vAlign w:val="center"/>
          </w:tcPr>
          <w:p w14:paraId="044AA3C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690,800 </w:t>
            </w:r>
          </w:p>
        </w:tc>
      </w:tr>
      <w:tr w:rsidR="00D868AB" w:rsidRPr="00D868AB" w14:paraId="0F8E1BCD" w14:textId="77777777" w:rsidTr="00A755A7">
        <w:trPr>
          <w:trHeight w:val="20"/>
        </w:trPr>
        <w:tc>
          <w:tcPr>
            <w:tcW w:w="822" w:type="dxa"/>
            <w:shd w:val="clear" w:color="auto" w:fill="auto"/>
            <w:noWrap/>
            <w:vAlign w:val="center"/>
            <w:hideMark/>
          </w:tcPr>
          <w:p w14:paraId="0C9D194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64L01</w:t>
            </w:r>
          </w:p>
        </w:tc>
        <w:tc>
          <w:tcPr>
            <w:tcW w:w="6544" w:type="dxa"/>
            <w:shd w:val="clear" w:color="auto" w:fill="auto"/>
            <w:noWrap/>
            <w:vAlign w:val="center"/>
            <w:hideMark/>
          </w:tcPr>
          <w:p w14:paraId="01DFA34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Asignación de Plazas a docentes de nuevo ingreso del nivel de Primaria Federalizada.</w:t>
            </w:r>
          </w:p>
        </w:tc>
        <w:tc>
          <w:tcPr>
            <w:tcW w:w="1164" w:type="dxa"/>
            <w:shd w:val="clear" w:color="auto" w:fill="auto"/>
            <w:noWrap/>
            <w:vAlign w:val="center"/>
          </w:tcPr>
          <w:p w14:paraId="7B8745C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8,079,726 </w:t>
            </w:r>
          </w:p>
        </w:tc>
      </w:tr>
      <w:tr w:rsidR="00D868AB" w:rsidRPr="00D868AB" w14:paraId="7878CA9A" w14:textId="77777777" w:rsidTr="00A755A7">
        <w:trPr>
          <w:trHeight w:val="20"/>
        </w:trPr>
        <w:tc>
          <w:tcPr>
            <w:tcW w:w="822" w:type="dxa"/>
            <w:shd w:val="clear" w:color="auto" w:fill="auto"/>
            <w:noWrap/>
            <w:vAlign w:val="center"/>
            <w:hideMark/>
          </w:tcPr>
          <w:p w14:paraId="59CD4CC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64O01</w:t>
            </w:r>
          </w:p>
        </w:tc>
        <w:tc>
          <w:tcPr>
            <w:tcW w:w="6544" w:type="dxa"/>
            <w:shd w:val="clear" w:color="auto" w:fill="auto"/>
            <w:noWrap/>
            <w:vAlign w:val="center"/>
            <w:hideMark/>
          </w:tcPr>
          <w:p w14:paraId="34076F2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Credenciales con fotografía para los alumnos de 1 y 2° de preescolar (nuevo ingreso) emitidas en el Estado de Colima.</w:t>
            </w:r>
          </w:p>
        </w:tc>
        <w:tc>
          <w:tcPr>
            <w:tcW w:w="1164" w:type="dxa"/>
            <w:shd w:val="clear" w:color="auto" w:fill="auto"/>
            <w:noWrap/>
            <w:vAlign w:val="center"/>
          </w:tcPr>
          <w:p w14:paraId="1C40AEA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750,000 </w:t>
            </w:r>
          </w:p>
        </w:tc>
      </w:tr>
      <w:tr w:rsidR="00D868AB" w:rsidRPr="00D868AB" w14:paraId="28502DEE" w14:textId="77777777" w:rsidTr="00A755A7">
        <w:trPr>
          <w:trHeight w:val="20"/>
        </w:trPr>
        <w:tc>
          <w:tcPr>
            <w:tcW w:w="822" w:type="dxa"/>
            <w:shd w:val="clear" w:color="auto" w:fill="auto"/>
            <w:noWrap/>
            <w:vAlign w:val="center"/>
            <w:hideMark/>
          </w:tcPr>
          <w:p w14:paraId="4D016DE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64O02</w:t>
            </w:r>
          </w:p>
        </w:tc>
        <w:tc>
          <w:tcPr>
            <w:tcW w:w="6544" w:type="dxa"/>
            <w:shd w:val="clear" w:color="auto" w:fill="auto"/>
            <w:noWrap/>
            <w:vAlign w:val="center"/>
            <w:hideMark/>
          </w:tcPr>
          <w:p w14:paraId="4AE22FC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Credenciales con fotografía para los alumnos 3° de preescolar a 3° de secundaria emitidas en el Estado de Colima.</w:t>
            </w:r>
          </w:p>
        </w:tc>
        <w:tc>
          <w:tcPr>
            <w:tcW w:w="1164" w:type="dxa"/>
            <w:shd w:val="clear" w:color="auto" w:fill="auto"/>
            <w:noWrap/>
            <w:vAlign w:val="center"/>
          </w:tcPr>
          <w:p w14:paraId="624FBE9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750,000 </w:t>
            </w:r>
          </w:p>
        </w:tc>
      </w:tr>
      <w:tr w:rsidR="00D868AB" w:rsidRPr="00D868AB" w14:paraId="01DD0B24" w14:textId="77777777" w:rsidTr="00A755A7">
        <w:trPr>
          <w:trHeight w:val="20"/>
        </w:trPr>
        <w:tc>
          <w:tcPr>
            <w:tcW w:w="822" w:type="dxa"/>
            <w:shd w:val="clear" w:color="auto" w:fill="auto"/>
            <w:noWrap/>
            <w:vAlign w:val="center"/>
            <w:hideMark/>
          </w:tcPr>
          <w:p w14:paraId="26FED35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64P01</w:t>
            </w:r>
          </w:p>
        </w:tc>
        <w:tc>
          <w:tcPr>
            <w:tcW w:w="6544" w:type="dxa"/>
            <w:shd w:val="clear" w:color="auto" w:fill="auto"/>
            <w:noWrap/>
            <w:vAlign w:val="center"/>
            <w:hideMark/>
          </w:tcPr>
          <w:p w14:paraId="18FE55D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Capacitación a figuras que integran los Consejos de Participación Escolar instalados en planteles de Educación Básica los 10 municipios.</w:t>
            </w:r>
          </w:p>
        </w:tc>
        <w:tc>
          <w:tcPr>
            <w:tcW w:w="1164" w:type="dxa"/>
            <w:shd w:val="clear" w:color="auto" w:fill="auto"/>
            <w:noWrap/>
            <w:vAlign w:val="center"/>
          </w:tcPr>
          <w:p w14:paraId="703023D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100,000 </w:t>
            </w:r>
          </w:p>
        </w:tc>
      </w:tr>
      <w:tr w:rsidR="00D868AB" w:rsidRPr="00D868AB" w14:paraId="363D0973" w14:textId="77777777" w:rsidTr="00A755A7">
        <w:trPr>
          <w:trHeight w:val="20"/>
        </w:trPr>
        <w:tc>
          <w:tcPr>
            <w:tcW w:w="822" w:type="dxa"/>
            <w:shd w:val="clear" w:color="auto" w:fill="auto"/>
            <w:noWrap/>
            <w:vAlign w:val="center"/>
            <w:hideMark/>
          </w:tcPr>
          <w:p w14:paraId="1801119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64Q01</w:t>
            </w:r>
          </w:p>
        </w:tc>
        <w:tc>
          <w:tcPr>
            <w:tcW w:w="6544" w:type="dxa"/>
            <w:shd w:val="clear" w:color="auto" w:fill="auto"/>
            <w:noWrap/>
            <w:vAlign w:val="center"/>
            <w:hideMark/>
          </w:tcPr>
          <w:p w14:paraId="7C0B7E9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Seguimiento al logro educativo obtenido por los alumnos/as de sexto grado de primaria de escuelas públicas y particulares del estado de Colima en la prueba Olimpiada del Conocimiento Infantil (OCI).</w:t>
            </w:r>
          </w:p>
        </w:tc>
        <w:tc>
          <w:tcPr>
            <w:tcW w:w="1164" w:type="dxa"/>
            <w:shd w:val="clear" w:color="auto" w:fill="auto"/>
            <w:noWrap/>
            <w:vAlign w:val="center"/>
          </w:tcPr>
          <w:p w14:paraId="6004E11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250,000 </w:t>
            </w:r>
          </w:p>
        </w:tc>
      </w:tr>
      <w:tr w:rsidR="00D868AB" w:rsidRPr="00D868AB" w14:paraId="0B08207D" w14:textId="77777777" w:rsidTr="00A755A7">
        <w:trPr>
          <w:trHeight w:val="20"/>
        </w:trPr>
        <w:tc>
          <w:tcPr>
            <w:tcW w:w="822" w:type="dxa"/>
            <w:shd w:val="clear" w:color="auto" w:fill="auto"/>
            <w:noWrap/>
            <w:vAlign w:val="center"/>
            <w:hideMark/>
          </w:tcPr>
          <w:p w14:paraId="5EA05A8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64R01</w:t>
            </w:r>
          </w:p>
        </w:tc>
        <w:tc>
          <w:tcPr>
            <w:tcW w:w="6544" w:type="dxa"/>
            <w:shd w:val="clear" w:color="auto" w:fill="auto"/>
            <w:noWrap/>
            <w:vAlign w:val="center"/>
            <w:hideMark/>
          </w:tcPr>
          <w:p w14:paraId="48BE513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Planeación y conducción de la política educativa nivel básico.</w:t>
            </w:r>
          </w:p>
        </w:tc>
        <w:tc>
          <w:tcPr>
            <w:tcW w:w="1164" w:type="dxa"/>
            <w:shd w:val="clear" w:color="auto" w:fill="auto"/>
            <w:noWrap/>
            <w:vAlign w:val="center"/>
          </w:tcPr>
          <w:p w14:paraId="483DEF0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108,961,688 </w:t>
            </w:r>
          </w:p>
        </w:tc>
      </w:tr>
      <w:tr w:rsidR="00D868AB" w:rsidRPr="00D868AB" w14:paraId="6AFEB171" w14:textId="77777777" w:rsidTr="00A755A7">
        <w:trPr>
          <w:trHeight w:val="20"/>
        </w:trPr>
        <w:tc>
          <w:tcPr>
            <w:tcW w:w="822" w:type="dxa"/>
            <w:shd w:val="clear" w:color="auto" w:fill="auto"/>
            <w:noWrap/>
            <w:vAlign w:val="center"/>
            <w:hideMark/>
          </w:tcPr>
          <w:p w14:paraId="51D30452"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25111-23</w:t>
            </w:r>
          </w:p>
        </w:tc>
        <w:tc>
          <w:tcPr>
            <w:tcW w:w="6544" w:type="dxa"/>
            <w:shd w:val="clear" w:color="auto" w:fill="auto"/>
            <w:noWrap/>
            <w:vAlign w:val="center"/>
            <w:hideMark/>
          </w:tcPr>
          <w:p w14:paraId="27599E60"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la Nómina Educativa y el Gasto Operativo (Gasto Corriente)</w:t>
            </w:r>
          </w:p>
        </w:tc>
        <w:tc>
          <w:tcPr>
            <w:tcW w:w="1164" w:type="dxa"/>
            <w:shd w:val="clear" w:color="auto" w:fill="auto"/>
            <w:noWrap/>
            <w:vAlign w:val="center"/>
          </w:tcPr>
          <w:p w14:paraId="341D818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44,564,271 </w:t>
            </w:r>
          </w:p>
        </w:tc>
      </w:tr>
      <w:tr w:rsidR="00D868AB" w:rsidRPr="00D868AB" w14:paraId="034308CE" w14:textId="77777777" w:rsidTr="00A755A7">
        <w:trPr>
          <w:trHeight w:val="20"/>
        </w:trPr>
        <w:tc>
          <w:tcPr>
            <w:tcW w:w="822" w:type="dxa"/>
            <w:shd w:val="clear" w:color="auto" w:fill="auto"/>
            <w:noWrap/>
            <w:vAlign w:val="center"/>
            <w:hideMark/>
          </w:tcPr>
          <w:p w14:paraId="47EA2BF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64R01</w:t>
            </w:r>
          </w:p>
        </w:tc>
        <w:tc>
          <w:tcPr>
            <w:tcW w:w="6544" w:type="dxa"/>
            <w:shd w:val="clear" w:color="auto" w:fill="auto"/>
            <w:noWrap/>
            <w:vAlign w:val="center"/>
            <w:hideMark/>
          </w:tcPr>
          <w:p w14:paraId="7DA6977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Planeación y conducción de la política educativa nivel básico.</w:t>
            </w:r>
          </w:p>
        </w:tc>
        <w:tc>
          <w:tcPr>
            <w:tcW w:w="1164" w:type="dxa"/>
            <w:shd w:val="clear" w:color="auto" w:fill="auto"/>
            <w:noWrap/>
            <w:vAlign w:val="center"/>
          </w:tcPr>
          <w:p w14:paraId="7B0ED66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44,564,271 </w:t>
            </w:r>
          </w:p>
        </w:tc>
      </w:tr>
      <w:tr w:rsidR="00D868AB" w:rsidRPr="00D868AB" w14:paraId="7C1F90F8" w14:textId="77777777" w:rsidTr="00A755A7">
        <w:trPr>
          <w:trHeight w:val="20"/>
        </w:trPr>
        <w:tc>
          <w:tcPr>
            <w:tcW w:w="822" w:type="dxa"/>
            <w:shd w:val="clear" w:color="auto" w:fill="auto"/>
            <w:noWrap/>
            <w:vAlign w:val="center"/>
            <w:hideMark/>
          </w:tcPr>
          <w:p w14:paraId="3DB577EA"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25112-23</w:t>
            </w:r>
          </w:p>
        </w:tc>
        <w:tc>
          <w:tcPr>
            <w:tcW w:w="6544" w:type="dxa"/>
            <w:shd w:val="clear" w:color="auto" w:fill="auto"/>
            <w:noWrap/>
            <w:vAlign w:val="center"/>
            <w:hideMark/>
          </w:tcPr>
          <w:p w14:paraId="75C624D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para la Educación Tecnológica y de Adultos</w:t>
            </w:r>
          </w:p>
        </w:tc>
        <w:tc>
          <w:tcPr>
            <w:tcW w:w="1164" w:type="dxa"/>
            <w:shd w:val="clear" w:color="auto" w:fill="auto"/>
            <w:noWrap/>
            <w:vAlign w:val="center"/>
          </w:tcPr>
          <w:p w14:paraId="4D81803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45,206,984 </w:t>
            </w:r>
          </w:p>
        </w:tc>
      </w:tr>
      <w:tr w:rsidR="00D868AB" w:rsidRPr="00D868AB" w14:paraId="2FCB587D" w14:textId="77777777" w:rsidTr="00A755A7">
        <w:trPr>
          <w:trHeight w:val="20"/>
        </w:trPr>
        <w:tc>
          <w:tcPr>
            <w:tcW w:w="822" w:type="dxa"/>
            <w:shd w:val="clear" w:color="auto" w:fill="auto"/>
            <w:noWrap/>
            <w:vAlign w:val="center"/>
            <w:hideMark/>
          </w:tcPr>
          <w:p w14:paraId="62096AA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65D01</w:t>
            </w:r>
          </w:p>
        </w:tc>
        <w:tc>
          <w:tcPr>
            <w:tcW w:w="6544" w:type="dxa"/>
            <w:shd w:val="clear" w:color="auto" w:fill="auto"/>
            <w:noWrap/>
            <w:vAlign w:val="center"/>
            <w:hideMark/>
          </w:tcPr>
          <w:p w14:paraId="1E4CC27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Realización de obras de rehabilitación construcción o equipamiento de la infraestructura física de planteles públicos de Educación.</w:t>
            </w:r>
          </w:p>
        </w:tc>
        <w:tc>
          <w:tcPr>
            <w:tcW w:w="1164" w:type="dxa"/>
            <w:shd w:val="clear" w:color="auto" w:fill="auto"/>
            <w:noWrap/>
            <w:vAlign w:val="center"/>
          </w:tcPr>
          <w:p w14:paraId="01CCFB2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45,206,984 </w:t>
            </w:r>
          </w:p>
        </w:tc>
      </w:tr>
      <w:tr w:rsidR="00D868AB" w:rsidRPr="00D868AB" w14:paraId="1042F988" w14:textId="77777777" w:rsidTr="00A755A7">
        <w:trPr>
          <w:trHeight w:val="20"/>
        </w:trPr>
        <w:tc>
          <w:tcPr>
            <w:tcW w:w="822" w:type="dxa"/>
            <w:shd w:val="clear" w:color="auto" w:fill="auto"/>
            <w:noWrap/>
            <w:vAlign w:val="center"/>
            <w:hideMark/>
          </w:tcPr>
          <w:p w14:paraId="270E8709"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25113-23</w:t>
            </w:r>
          </w:p>
        </w:tc>
        <w:tc>
          <w:tcPr>
            <w:tcW w:w="6544" w:type="dxa"/>
            <w:shd w:val="clear" w:color="auto" w:fill="auto"/>
            <w:noWrap/>
            <w:vAlign w:val="center"/>
            <w:hideMark/>
          </w:tcPr>
          <w:p w14:paraId="735F23A8"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Múltiples (Infraestructura Educativa Básica)</w:t>
            </w:r>
          </w:p>
        </w:tc>
        <w:tc>
          <w:tcPr>
            <w:tcW w:w="1164" w:type="dxa"/>
            <w:shd w:val="clear" w:color="auto" w:fill="auto"/>
            <w:noWrap/>
            <w:vAlign w:val="center"/>
          </w:tcPr>
          <w:p w14:paraId="23E7D77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200,165,960 </w:t>
            </w:r>
          </w:p>
        </w:tc>
      </w:tr>
      <w:tr w:rsidR="00D868AB" w:rsidRPr="00D868AB" w14:paraId="362999B2" w14:textId="77777777" w:rsidTr="00A755A7">
        <w:trPr>
          <w:trHeight w:val="20"/>
        </w:trPr>
        <w:tc>
          <w:tcPr>
            <w:tcW w:w="822" w:type="dxa"/>
            <w:shd w:val="clear" w:color="auto" w:fill="auto"/>
            <w:noWrap/>
            <w:vAlign w:val="center"/>
            <w:hideMark/>
          </w:tcPr>
          <w:p w14:paraId="746B9A7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65D01</w:t>
            </w:r>
          </w:p>
        </w:tc>
        <w:tc>
          <w:tcPr>
            <w:tcW w:w="6544" w:type="dxa"/>
            <w:shd w:val="clear" w:color="auto" w:fill="auto"/>
            <w:noWrap/>
            <w:vAlign w:val="center"/>
            <w:hideMark/>
          </w:tcPr>
          <w:p w14:paraId="5F10B83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Realización de obras de rehabilitación construcción o equipamiento de la infraestructura física de planteles públicos de Educación.</w:t>
            </w:r>
          </w:p>
        </w:tc>
        <w:tc>
          <w:tcPr>
            <w:tcW w:w="1164" w:type="dxa"/>
            <w:shd w:val="clear" w:color="auto" w:fill="auto"/>
            <w:noWrap/>
            <w:vAlign w:val="center"/>
          </w:tcPr>
          <w:p w14:paraId="1F77133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200,165,960 </w:t>
            </w:r>
          </w:p>
        </w:tc>
      </w:tr>
      <w:tr w:rsidR="00D868AB" w:rsidRPr="00D868AB" w14:paraId="4E3DC5DB" w14:textId="77777777" w:rsidTr="00A755A7">
        <w:trPr>
          <w:trHeight w:val="20"/>
        </w:trPr>
        <w:tc>
          <w:tcPr>
            <w:tcW w:w="822" w:type="dxa"/>
            <w:shd w:val="clear" w:color="auto" w:fill="auto"/>
            <w:noWrap/>
            <w:vAlign w:val="center"/>
            <w:hideMark/>
          </w:tcPr>
          <w:p w14:paraId="74FA24A4"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25114-23</w:t>
            </w:r>
          </w:p>
        </w:tc>
        <w:tc>
          <w:tcPr>
            <w:tcW w:w="6544" w:type="dxa"/>
            <w:shd w:val="clear" w:color="auto" w:fill="auto"/>
            <w:noWrap/>
            <w:vAlign w:val="center"/>
            <w:hideMark/>
          </w:tcPr>
          <w:p w14:paraId="3B5CA5C2"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Múltiples (Infraestructura Media Superior)</w:t>
            </w:r>
          </w:p>
        </w:tc>
        <w:tc>
          <w:tcPr>
            <w:tcW w:w="1164" w:type="dxa"/>
            <w:shd w:val="clear" w:color="auto" w:fill="auto"/>
            <w:noWrap/>
            <w:vAlign w:val="center"/>
          </w:tcPr>
          <w:p w14:paraId="6C4FD8D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5,991,471 </w:t>
            </w:r>
          </w:p>
        </w:tc>
      </w:tr>
      <w:tr w:rsidR="00D868AB" w:rsidRPr="00D868AB" w14:paraId="56824703" w14:textId="77777777" w:rsidTr="00A755A7">
        <w:trPr>
          <w:trHeight w:val="20"/>
        </w:trPr>
        <w:tc>
          <w:tcPr>
            <w:tcW w:w="822" w:type="dxa"/>
            <w:shd w:val="clear" w:color="auto" w:fill="auto"/>
            <w:noWrap/>
            <w:vAlign w:val="center"/>
            <w:hideMark/>
          </w:tcPr>
          <w:p w14:paraId="32DC4D2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65D01</w:t>
            </w:r>
          </w:p>
        </w:tc>
        <w:tc>
          <w:tcPr>
            <w:tcW w:w="6544" w:type="dxa"/>
            <w:shd w:val="clear" w:color="auto" w:fill="auto"/>
            <w:noWrap/>
            <w:vAlign w:val="center"/>
            <w:hideMark/>
          </w:tcPr>
          <w:p w14:paraId="4889C9C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Realización de obras de rehabilitación construcción o equipamiento de la infraestructura física de planteles públicos de Educación.</w:t>
            </w:r>
          </w:p>
        </w:tc>
        <w:tc>
          <w:tcPr>
            <w:tcW w:w="1164" w:type="dxa"/>
            <w:shd w:val="clear" w:color="auto" w:fill="auto"/>
            <w:noWrap/>
            <w:vAlign w:val="center"/>
          </w:tcPr>
          <w:p w14:paraId="690DEE7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5,991,471 </w:t>
            </w:r>
          </w:p>
        </w:tc>
      </w:tr>
      <w:tr w:rsidR="00D868AB" w:rsidRPr="00D868AB" w14:paraId="335BEAA0" w14:textId="77777777" w:rsidTr="00A755A7">
        <w:trPr>
          <w:trHeight w:val="20"/>
        </w:trPr>
        <w:tc>
          <w:tcPr>
            <w:tcW w:w="822" w:type="dxa"/>
            <w:shd w:val="clear" w:color="auto" w:fill="auto"/>
            <w:noWrap/>
            <w:vAlign w:val="center"/>
            <w:hideMark/>
          </w:tcPr>
          <w:p w14:paraId="5EEB1AA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25115-23</w:t>
            </w:r>
          </w:p>
        </w:tc>
        <w:tc>
          <w:tcPr>
            <w:tcW w:w="6544" w:type="dxa"/>
            <w:shd w:val="clear" w:color="auto" w:fill="auto"/>
            <w:noWrap/>
            <w:vAlign w:val="center"/>
            <w:hideMark/>
          </w:tcPr>
          <w:p w14:paraId="7C695279"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Fondo de Aportaciones Múltiples (Infraestructura Superior)</w:t>
            </w:r>
          </w:p>
        </w:tc>
        <w:tc>
          <w:tcPr>
            <w:tcW w:w="1164" w:type="dxa"/>
            <w:shd w:val="clear" w:color="auto" w:fill="auto"/>
            <w:noWrap/>
            <w:vAlign w:val="center"/>
          </w:tcPr>
          <w:p w14:paraId="6F8DF0C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78,750,015 </w:t>
            </w:r>
          </w:p>
        </w:tc>
      </w:tr>
      <w:tr w:rsidR="00D868AB" w:rsidRPr="00D868AB" w14:paraId="5CBD0EBB" w14:textId="77777777" w:rsidTr="00A755A7">
        <w:trPr>
          <w:trHeight w:val="20"/>
        </w:trPr>
        <w:tc>
          <w:tcPr>
            <w:tcW w:w="822" w:type="dxa"/>
            <w:shd w:val="clear" w:color="auto" w:fill="auto"/>
            <w:noWrap/>
            <w:vAlign w:val="center"/>
            <w:hideMark/>
          </w:tcPr>
          <w:p w14:paraId="6844C33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65D01</w:t>
            </w:r>
          </w:p>
        </w:tc>
        <w:tc>
          <w:tcPr>
            <w:tcW w:w="6544" w:type="dxa"/>
            <w:shd w:val="clear" w:color="auto" w:fill="auto"/>
            <w:noWrap/>
            <w:vAlign w:val="center"/>
            <w:hideMark/>
          </w:tcPr>
          <w:p w14:paraId="310296B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Realización de obras de rehabilitación construcción o equipamiento de la infraestructura física de planteles públicos de Educación.</w:t>
            </w:r>
          </w:p>
        </w:tc>
        <w:tc>
          <w:tcPr>
            <w:tcW w:w="1164" w:type="dxa"/>
            <w:shd w:val="clear" w:color="auto" w:fill="auto"/>
            <w:noWrap/>
            <w:vAlign w:val="center"/>
          </w:tcPr>
          <w:p w14:paraId="4B5D7E2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78,750,015 </w:t>
            </w:r>
          </w:p>
        </w:tc>
      </w:tr>
      <w:tr w:rsidR="00D868AB" w:rsidRPr="00D868AB" w14:paraId="62CE14E4" w14:textId="77777777" w:rsidTr="00A755A7">
        <w:trPr>
          <w:trHeight w:val="20"/>
        </w:trPr>
        <w:tc>
          <w:tcPr>
            <w:tcW w:w="822" w:type="dxa"/>
            <w:shd w:val="clear" w:color="auto" w:fill="auto"/>
            <w:noWrap/>
            <w:vAlign w:val="center"/>
            <w:hideMark/>
          </w:tcPr>
          <w:p w14:paraId="5BEB0C1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 </w:t>
            </w:r>
          </w:p>
        </w:tc>
        <w:tc>
          <w:tcPr>
            <w:tcW w:w="6544" w:type="dxa"/>
            <w:shd w:val="clear" w:color="auto" w:fill="auto"/>
            <w:noWrap/>
            <w:vAlign w:val="center"/>
            <w:hideMark/>
          </w:tcPr>
          <w:p w14:paraId="633C181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Total</w:t>
            </w:r>
          </w:p>
        </w:tc>
        <w:tc>
          <w:tcPr>
            <w:tcW w:w="1164" w:type="dxa"/>
            <w:shd w:val="clear" w:color="auto" w:fill="auto"/>
            <w:noWrap/>
            <w:vAlign w:val="center"/>
          </w:tcPr>
          <w:p w14:paraId="1373F6C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8,256,289,947 </w:t>
            </w:r>
          </w:p>
        </w:tc>
      </w:tr>
    </w:tbl>
    <w:p w14:paraId="1704534F" w14:textId="77777777" w:rsidR="00D868AB" w:rsidRPr="00D868AB" w:rsidRDefault="00D868AB" w:rsidP="00D868AB">
      <w:pPr>
        <w:rPr>
          <w:rFonts w:cs="Arial"/>
        </w:rPr>
      </w:pPr>
    </w:p>
    <w:p w14:paraId="1BFCC76E" w14:textId="77777777" w:rsidR="00D868AB" w:rsidRPr="00D868AB" w:rsidRDefault="00D868AB" w:rsidP="00D868AB">
      <w:pPr>
        <w:rPr>
          <w:rFonts w:cs="Arial"/>
          <w:lang w:val="es-ES"/>
        </w:rPr>
      </w:pPr>
      <w:r w:rsidRPr="00D868AB">
        <w:rPr>
          <w:rFonts w:cs="Arial"/>
          <w:b/>
          <w:lang w:val="es-ES"/>
        </w:rPr>
        <w:t>Artículo 64</w:t>
      </w:r>
      <w:r w:rsidRPr="00D868AB">
        <w:rPr>
          <w:rFonts w:cs="Arial"/>
          <w:lang w:val="es-ES"/>
        </w:rPr>
        <w:t xml:space="preserve">. La Relación de Cuentas Bancarias Productivas en las cuales se depositarán los Recursos Federales transferidos en el Ejercicio Fiscal 2023, para los diferentes Fondos, Programas y Convenios; se les deberá dar apertura de conformidad a </w:t>
      </w:r>
      <w:r w:rsidRPr="00D868AB">
        <w:rPr>
          <w:rFonts w:eastAsia="Times New Roman" w:cs="Arial"/>
          <w:lang w:val="es-ES" w:eastAsia="es-ES"/>
        </w:rPr>
        <w:t>los términos legales correspondientes.</w:t>
      </w:r>
    </w:p>
    <w:p w14:paraId="4B7B969C" w14:textId="77777777" w:rsidR="00D868AB" w:rsidRPr="00D868AB" w:rsidRDefault="00D868AB" w:rsidP="00D868AB">
      <w:pPr>
        <w:rPr>
          <w:rFonts w:cs="Arial"/>
          <w:lang w:val="es-ES"/>
        </w:rPr>
      </w:pPr>
    </w:p>
    <w:p w14:paraId="5F4DBBBB" w14:textId="77777777" w:rsidR="00D868AB" w:rsidRPr="00D868AB" w:rsidRDefault="00D868AB" w:rsidP="00D868AB">
      <w:pPr>
        <w:rPr>
          <w:rFonts w:eastAsia="Times New Roman" w:cs="Arial"/>
          <w:lang w:val="es-ES" w:eastAsia="es-ES"/>
        </w:rPr>
      </w:pPr>
      <w:r w:rsidRPr="00D868AB">
        <w:rPr>
          <w:rFonts w:cs="Arial"/>
          <w:lang w:val="es-ES"/>
        </w:rPr>
        <w:t xml:space="preserve">El </w:t>
      </w:r>
      <w:r w:rsidRPr="00D868AB">
        <w:rPr>
          <w:rFonts w:cs="Arial"/>
          <w:b/>
          <w:lang w:val="es-ES"/>
        </w:rPr>
        <w:t>Anexo 9 Cuentas Bancarias Productivas</w:t>
      </w:r>
      <w:r w:rsidRPr="00D868AB">
        <w:rPr>
          <w:rFonts w:cs="Arial"/>
          <w:lang w:val="es-ES"/>
        </w:rPr>
        <w:t xml:space="preserve"> del presente Decreto relaciona las </w:t>
      </w:r>
      <w:r w:rsidRPr="00D868AB">
        <w:rPr>
          <w:rFonts w:eastAsia="Times New Roman" w:cs="Arial"/>
          <w:lang w:val="es-ES" w:eastAsia="es-ES"/>
        </w:rPr>
        <w:t xml:space="preserve">cuentas bancarias productivas correspondientes al Ejercicio Fiscal vigente. </w:t>
      </w:r>
    </w:p>
    <w:p w14:paraId="4427E5B3" w14:textId="5015DA00" w:rsidR="00D868AB" w:rsidRDefault="00D868AB" w:rsidP="00D868AB">
      <w:pPr>
        <w:rPr>
          <w:rFonts w:eastAsia="Times New Roman" w:cs="Arial"/>
          <w:lang w:val="es-ES" w:eastAsia="es-ES"/>
        </w:rPr>
      </w:pPr>
    </w:p>
    <w:p w14:paraId="71591919" w14:textId="76967802" w:rsidR="00F33998" w:rsidRDefault="00F33998" w:rsidP="00D868AB">
      <w:pPr>
        <w:rPr>
          <w:rFonts w:eastAsia="Times New Roman" w:cs="Arial"/>
          <w:lang w:val="es-ES" w:eastAsia="es-ES"/>
        </w:rPr>
      </w:pPr>
    </w:p>
    <w:p w14:paraId="0586D7AC" w14:textId="00BA8000" w:rsidR="00F33998" w:rsidRDefault="00F33998" w:rsidP="00D868AB">
      <w:pPr>
        <w:rPr>
          <w:rFonts w:eastAsia="Times New Roman" w:cs="Arial"/>
          <w:lang w:val="es-ES" w:eastAsia="es-ES"/>
        </w:rPr>
      </w:pPr>
    </w:p>
    <w:p w14:paraId="0DCD4131" w14:textId="0DC41AA4" w:rsidR="00F33998" w:rsidRDefault="00F33998" w:rsidP="00D868AB">
      <w:pPr>
        <w:rPr>
          <w:rFonts w:eastAsia="Times New Roman" w:cs="Arial"/>
          <w:lang w:val="es-ES" w:eastAsia="es-ES"/>
        </w:rPr>
      </w:pPr>
    </w:p>
    <w:p w14:paraId="373EC2CC" w14:textId="77777777" w:rsidR="00F33998" w:rsidRPr="00D868AB" w:rsidRDefault="00F33998" w:rsidP="00D868AB">
      <w:pPr>
        <w:rPr>
          <w:rFonts w:eastAsia="Times New Roman" w:cs="Arial"/>
          <w:lang w:val="es-ES" w:eastAsia="es-ES"/>
        </w:rPr>
      </w:pPr>
    </w:p>
    <w:p w14:paraId="49A3EC07" w14:textId="77777777" w:rsidR="00D868AB" w:rsidRPr="00D868AB" w:rsidRDefault="00D868AB" w:rsidP="00D868AB">
      <w:pPr>
        <w:rPr>
          <w:rFonts w:cs="Arial"/>
          <w:lang w:val="es-ES"/>
        </w:rPr>
      </w:pPr>
    </w:p>
    <w:p w14:paraId="30A2A6E1" w14:textId="77777777" w:rsidR="00D868AB" w:rsidRPr="00D868AB" w:rsidRDefault="00D868AB" w:rsidP="00D868AB">
      <w:pPr>
        <w:jc w:val="center"/>
        <w:rPr>
          <w:rFonts w:eastAsia="Times New Roman" w:cs="Arial"/>
          <w:b/>
          <w:lang w:val="es-ES"/>
        </w:rPr>
      </w:pPr>
      <w:bookmarkStart w:id="221" w:name="_Toc522869293"/>
      <w:bookmarkStart w:id="222" w:name="_Toc526757512"/>
      <w:bookmarkStart w:id="223" w:name="_Toc22021974"/>
      <w:bookmarkStart w:id="224" w:name="_Toc22983224"/>
      <w:bookmarkStart w:id="225" w:name="_Toc465292959"/>
      <w:bookmarkStart w:id="226" w:name="_Toc465292887"/>
      <w:r w:rsidRPr="00D868AB">
        <w:rPr>
          <w:rFonts w:eastAsia="Times New Roman" w:cs="Arial"/>
          <w:b/>
          <w:lang w:val="es-ES"/>
        </w:rPr>
        <w:lastRenderedPageBreak/>
        <w:t xml:space="preserve">CAPÍTULO </w:t>
      </w:r>
      <w:bookmarkEnd w:id="221"/>
      <w:bookmarkEnd w:id="222"/>
      <w:bookmarkEnd w:id="223"/>
      <w:bookmarkEnd w:id="224"/>
      <w:r w:rsidRPr="00D868AB">
        <w:rPr>
          <w:rFonts w:eastAsia="Times New Roman" w:cs="Arial"/>
          <w:b/>
          <w:lang w:val="es-ES"/>
        </w:rPr>
        <w:t>II</w:t>
      </w:r>
    </w:p>
    <w:p w14:paraId="6AE8D383" w14:textId="77777777" w:rsidR="00D868AB" w:rsidRPr="00D868AB" w:rsidRDefault="00D868AB" w:rsidP="00D868AB">
      <w:pPr>
        <w:keepNext/>
        <w:keepLines/>
        <w:jc w:val="center"/>
        <w:outlineLvl w:val="0"/>
        <w:rPr>
          <w:rFonts w:eastAsia="Times New Roman" w:cs="Arial"/>
          <w:b/>
          <w:szCs w:val="32"/>
          <w:lang w:val="es-ES"/>
        </w:rPr>
      </w:pPr>
      <w:bookmarkStart w:id="227" w:name="_Toc522869294"/>
      <w:bookmarkStart w:id="228" w:name="_Toc526757513"/>
      <w:bookmarkStart w:id="229" w:name="_Toc22021975"/>
      <w:bookmarkStart w:id="230" w:name="_Toc22983225"/>
      <w:r w:rsidRPr="00D868AB">
        <w:rPr>
          <w:rFonts w:eastAsia="Times New Roman" w:cs="Arial"/>
          <w:b/>
          <w:szCs w:val="32"/>
          <w:lang w:val="es-ES"/>
        </w:rPr>
        <w:t>DE LOS RECURSOS FEDERALES TRANSFERIDOS A LOS MUNICIPIOS</w:t>
      </w:r>
      <w:bookmarkEnd w:id="225"/>
      <w:bookmarkEnd w:id="226"/>
      <w:bookmarkEnd w:id="227"/>
      <w:bookmarkEnd w:id="228"/>
      <w:bookmarkEnd w:id="229"/>
      <w:bookmarkEnd w:id="230"/>
    </w:p>
    <w:p w14:paraId="01073743" w14:textId="77777777" w:rsidR="00D868AB" w:rsidRPr="00D868AB" w:rsidRDefault="00D868AB" w:rsidP="00D868AB">
      <w:pPr>
        <w:shd w:val="clear" w:color="auto" w:fill="FFFFFF"/>
        <w:rPr>
          <w:rFonts w:eastAsia="Times New Roman" w:cs="Arial"/>
          <w:b/>
          <w:lang w:val="es-ES" w:eastAsia="es-ES"/>
        </w:rPr>
      </w:pPr>
    </w:p>
    <w:p w14:paraId="0CDFC3C2" w14:textId="77777777" w:rsidR="00D868AB" w:rsidRPr="00D868AB" w:rsidRDefault="00D868AB" w:rsidP="00D868AB">
      <w:pPr>
        <w:shd w:val="clear" w:color="auto" w:fill="FFFFFF"/>
        <w:contextualSpacing/>
        <w:rPr>
          <w:rFonts w:eastAsia="Times New Roman" w:cs="Arial"/>
          <w:lang w:val="es-ES" w:eastAsia="es-ES"/>
        </w:rPr>
      </w:pPr>
      <w:r w:rsidRPr="00D868AB">
        <w:rPr>
          <w:rFonts w:eastAsia="Times New Roman" w:cs="Arial"/>
          <w:b/>
          <w:lang w:val="es-ES" w:eastAsia="es-ES"/>
        </w:rPr>
        <w:t>Artículo 65</w:t>
      </w:r>
      <w:r w:rsidRPr="00D868AB">
        <w:rPr>
          <w:rFonts w:eastAsia="Times New Roman" w:cs="Arial"/>
          <w:lang w:val="es-ES" w:eastAsia="es-ES"/>
        </w:rPr>
        <w:t>. Las Participaciones a los Municipios, los Incentivos derivados de la Colaboración Fiscal con la Federación y los recursos provenientes del Ramo 33 Aportaciones Federales para Entidades Federativas y Municipios; tienen la siguiente estimación.</w:t>
      </w:r>
    </w:p>
    <w:p w14:paraId="7F65A8B7" w14:textId="77777777" w:rsidR="00D868AB" w:rsidRPr="00D868AB" w:rsidRDefault="00D868AB" w:rsidP="00D868AB">
      <w:pPr>
        <w:keepNext/>
        <w:keepLines/>
        <w:outlineLvl w:val="2"/>
        <w:rPr>
          <w:rFonts w:eastAsia="Times New Roman" w:cs="Arial"/>
          <w:b/>
          <w:szCs w:val="24"/>
          <w:lang w:val="es-ES" w:eastAsia="en-US"/>
        </w:rPr>
      </w:pPr>
    </w:p>
    <w:tbl>
      <w:tblPr>
        <w:tblpPr w:leftFromText="141" w:rightFromText="141" w:vertAnchor="text" w:tblpXSpec="center" w:tblpY="33"/>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58"/>
        <w:gridCol w:w="1422"/>
      </w:tblGrid>
      <w:tr w:rsidR="00D868AB" w:rsidRPr="00D868AB" w14:paraId="27EDEA4D" w14:textId="77777777" w:rsidTr="00A755A7">
        <w:trPr>
          <w:trHeight w:val="20"/>
          <w:tblHeader/>
          <w:jc w:val="center"/>
        </w:trPr>
        <w:tc>
          <w:tcPr>
            <w:tcW w:w="8080" w:type="dxa"/>
            <w:gridSpan w:val="2"/>
            <w:tcBorders>
              <w:top w:val="nil"/>
              <w:left w:val="nil"/>
              <w:bottom w:val="single" w:sz="4" w:space="0" w:color="auto"/>
              <w:right w:val="nil"/>
            </w:tcBorders>
            <w:shd w:val="clear" w:color="auto" w:fill="auto"/>
            <w:vAlign w:val="center"/>
          </w:tcPr>
          <w:p w14:paraId="7A066582" w14:textId="77777777" w:rsidR="00D868AB" w:rsidRPr="00D868AB" w:rsidRDefault="00D868AB" w:rsidP="00D868AB">
            <w:pPr>
              <w:jc w:val="center"/>
              <w:rPr>
                <w:rFonts w:eastAsia="Times New Roman" w:cs="Arial"/>
                <w:b/>
                <w:bCs/>
                <w:sz w:val="20"/>
              </w:rPr>
            </w:pPr>
            <w:r w:rsidRPr="00D868AB">
              <w:rPr>
                <w:rFonts w:eastAsia="Times New Roman" w:cs="Arial"/>
                <w:b/>
                <w:bCs/>
                <w:sz w:val="20"/>
              </w:rPr>
              <w:t>Tabla 50. Participaciones a los Municipios</w:t>
            </w:r>
          </w:p>
          <w:p w14:paraId="6271198C" w14:textId="77777777" w:rsidR="00D868AB" w:rsidRPr="00D868AB" w:rsidRDefault="00D868AB" w:rsidP="00D868AB">
            <w:pPr>
              <w:jc w:val="center"/>
              <w:rPr>
                <w:rFonts w:eastAsia="Times New Roman" w:cs="Arial"/>
                <w:b/>
                <w:bCs/>
                <w:sz w:val="20"/>
              </w:rPr>
            </w:pPr>
            <w:r w:rsidRPr="00D868AB">
              <w:rPr>
                <w:rFonts w:eastAsia="Times New Roman" w:cs="Arial"/>
                <w:b/>
                <w:bCs/>
                <w:sz w:val="20"/>
              </w:rPr>
              <w:t xml:space="preserve"> (Por Fuente)</w:t>
            </w:r>
          </w:p>
        </w:tc>
      </w:tr>
      <w:tr w:rsidR="00D868AB" w:rsidRPr="00D868AB" w14:paraId="195225CC" w14:textId="77777777" w:rsidTr="00A755A7">
        <w:trPr>
          <w:trHeight w:val="20"/>
          <w:jc w:val="center"/>
        </w:trPr>
        <w:tc>
          <w:tcPr>
            <w:tcW w:w="6658" w:type="dxa"/>
            <w:tcBorders>
              <w:top w:val="single" w:sz="4" w:space="0" w:color="auto"/>
            </w:tcBorders>
            <w:shd w:val="clear" w:color="auto" w:fill="auto"/>
            <w:vAlign w:val="center"/>
            <w:hideMark/>
          </w:tcPr>
          <w:p w14:paraId="6D4248AA"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Concepto</w:t>
            </w:r>
          </w:p>
        </w:tc>
        <w:tc>
          <w:tcPr>
            <w:tcW w:w="1422" w:type="dxa"/>
            <w:tcBorders>
              <w:top w:val="single" w:sz="4" w:space="0" w:color="auto"/>
            </w:tcBorders>
            <w:shd w:val="clear" w:color="auto" w:fill="auto"/>
            <w:vAlign w:val="center"/>
            <w:hideMark/>
          </w:tcPr>
          <w:p w14:paraId="22EA808B"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sz w:val="18"/>
                <w:szCs w:val="18"/>
              </w:rPr>
              <w:t>Asignación Presupuestal</w:t>
            </w:r>
          </w:p>
        </w:tc>
      </w:tr>
      <w:tr w:rsidR="00D868AB" w:rsidRPr="00D868AB" w14:paraId="49E19C3D" w14:textId="77777777" w:rsidTr="00A755A7">
        <w:trPr>
          <w:trHeight w:val="20"/>
          <w:jc w:val="center"/>
        </w:trPr>
        <w:tc>
          <w:tcPr>
            <w:tcW w:w="6658" w:type="dxa"/>
            <w:shd w:val="clear" w:color="auto" w:fill="auto"/>
            <w:vAlign w:val="center"/>
            <w:hideMark/>
          </w:tcPr>
          <w:p w14:paraId="7F80B9A7" w14:textId="77777777" w:rsidR="00D868AB" w:rsidRPr="00D868AB" w:rsidRDefault="00D868AB" w:rsidP="00D868AB">
            <w:pPr>
              <w:rPr>
                <w:rFonts w:eastAsia="Times New Roman" w:cs="Arial"/>
                <w:color w:val="000000"/>
                <w:sz w:val="18"/>
                <w:szCs w:val="18"/>
              </w:rPr>
            </w:pPr>
            <w:r w:rsidRPr="00D868AB">
              <w:rPr>
                <w:rFonts w:eastAsia="Times New Roman" w:cs="Arial"/>
                <w:sz w:val="18"/>
                <w:szCs w:val="18"/>
              </w:rPr>
              <w:t>Fondo General de Participaciones (</w:t>
            </w:r>
            <w:r w:rsidRPr="00D868AB">
              <w:rPr>
                <w:rFonts w:eastAsia="Times New Roman" w:cs="Arial"/>
                <w:b/>
                <w:sz w:val="18"/>
                <w:szCs w:val="18"/>
              </w:rPr>
              <w:t>FGP</w:t>
            </w:r>
            <w:r w:rsidRPr="00D868AB">
              <w:rPr>
                <w:rFonts w:eastAsia="Times New Roman" w:cs="Arial"/>
                <w:sz w:val="18"/>
                <w:szCs w:val="18"/>
              </w:rPr>
              <w:t>).</w:t>
            </w:r>
          </w:p>
        </w:tc>
        <w:tc>
          <w:tcPr>
            <w:tcW w:w="1422" w:type="dxa"/>
            <w:shd w:val="clear" w:color="auto" w:fill="auto"/>
            <w:vAlign w:val="center"/>
          </w:tcPr>
          <w:p w14:paraId="085F44DE" w14:textId="77777777" w:rsidR="00D868AB" w:rsidRPr="00D868AB" w:rsidRDefault="00D868AB" w:rsidP="00D868AB">
            <w:pPr>
              <w:jc w:val="right"/>
              <w:rPr>
                <w:rFonts w:eastAsia="Times New Roman" w:cs="Arial"/>
                <w:color w:val="000000"/>
                <w:sz w:val="18"/>
                <w:szCs w:val="18"/>
              </w:rPr>
            </w:pPr>
            <w:r w:rsidRPr="00D868AB">
              <w:rPr>
                <w:rFonts w:cs="Arial"/>
                <w:color w:val="000000"/>
                <w:sz w:val="20"/>
                <w:szCs w:val="20"/>
              </w:rPr>
              <w:t>1,184,640,848</w:t>
            </w:r>
          </w:p>
        </w:tc>
      </w:tr>
      <w:tr w:rsidR="00D868AB" w:rsidRPr="00D868AB" w14:paraId="393C2D50" w14:textId="77777777" w:rsidTr="00A755A7">
        <w:trPr>
          <w:trHeight w:val="20"/>
          <w:jc w:val="center"/>
        </w:trPr>
        <w:tc>
          <w:tcPr>
            <w:tcW w:w="6658" w:type="dxa"/>
            <w:shd w:val="clear" w:color="auto" w:fill="auto"/>
            <w:vAlign w:val="center"/>
            <w:hideMark/>
          </w:tcPr>
          <w:p w14:paraId="6F33B4B6" w14:textId="77777777" w:rsidR="00D868AB" w:rsidRPr="00D868AB" w:rsidRDefault="00D868AB" w:rsidP="00D868AB">
            <w:pPr>
              <w:rPr>
                <w:rFonts w:eastAsia="Times New Roman" w:cs="Arial"/>
                <w:color w:val="000000"/>
                <w:sz w:val="18"/>
                <w:szCs w:val="18"/>
              </w:rPr>
            </w:pPr>
            <w:r w:rsidRPr="00D868AB">
              <w:rPr>
                <w:rFonts w:eastAsia="Times New Roman" w:cs="Arial"/>
                <w:sz w:val="18"/>
                <w:szCs w:val="18"/>
              </w:rPr>
              <w:t>Fondo de Fomento Municipal (</w:t>
            </w:r>
            <w:r w:rsidRPr="00D868AB">
              <w:rPr>
                <w:rFonts w:eastAsia="Times New Roman" w:cs="Arial"/>
                <w:b/>
                <w:sz w:val="18"/>
                <w:szCs w:val="18"/>
              </w:rPr>
              <w:t>FFM</w:t>
            </w:r>
            <w:r w:rsidRPr="00D868AB">
              <w:rPr>
                <w:rFonts w:eastAsia="Times New Roman" w:cs="Arial"/>
                <w:sz w:val="18"/>
                <w:szCs w:val="18"/>
              </w:rPr>
              <w:t>).</w:t>
            </w:r>
          </w:p>
        </w:tc>
        <w:tc>
          <w:tcPr>
            <w:tcW w:w="1422" w:type="dxa"/>
            <w:shd w:val="clear" w:color="auto" w:fill="auto"/>
            <w:vAlign w:val="center"/>
          </w:tcPr>
          <w:p w14:paraId="2DA8A12E" w14:textId="77777777" w:rsidR="00D868AB" w:rsidRPr="00D868AB" w:rsidRDefault="00D868AB" w:rsidP="00D868AB">
            <w:pPr>
              <w:jc w:val="right"/>
              <w:rPr>
                <w:rFonts w:eastAsia="Times New Roman" w:cs="Arial"/>
                <w:color w:val="000000"/>
                <w:sz w:val="18"/>
                <w:szCs w:val="18"/>
              </w:rPr>
            </w:pPr>
            <w:r w:rsidRPr="00D868AB">
              <w:rPr>
                <w:rFonts w:cs="Arial"/>
                <w:color w:val="000000"/>
                <w:sz w:val="20"/>
                <w:szCs w:val="20"/>
              </w:rPr>
              <w:t>378,697,411</w:t>
            </w:r>
          </w:p>
        </w:tc>
      </w:tr>
      <w:tr w:rsidR="00D868AB" w:rsidRPr="00D868AB" w14:paraId="417406D4" w14:textId="77777777" w:rsidTr="00A755A7">
        <w:trPr>
          <w:trHeight w:val="20"/>
          <w:jc w:val="center"/>
        </w:trPr>
        <w:tc>
          <w:tcPr>
            <w:tcW w:w="6658" w:type="dxa"/>
            <w:shd w:val="clear" w:color="auto" w:fill="auto"/>
            <w:vAlign w:val="center"/>
            <w:hideMark/>
          </w:tcPr>
          <w:p w14:paraId="54A33A77" w14:textId="77777777" w:rsidR="00D868AB" w:rsidRPr="00D868AB" w:rsidRDefault="00D868AB" w:rsidP="00D868AB">
            <w:pPr>
              <w:rPr>
                <w:rFonts w:eastAsia="Times New Roman" w:cs="Arial"/>
                <w:color w:val="000000"/>
                <w:sz w:val="18"/>
                <w:szCs w:val="18"/>
              </w:rPr>
            </w:pPr>
            <w:r w:rsidRPr="00D868AB">
              <w:rPr>
                <w:rFonts w:eastAsia="Times New Roman" w:cs="Arial"/>
                <w:sz w:val="18"/>
                <w:szCs w:val="18"/>
              </w:rPr>
              <w:t>Fondo de Fiscalización y Recaudación (</w:t>
            </w:r>
            <w:r w:rsidRPr="00D868AB">
              <w:rPr>
                <w:rFonts w:eastAsia="Times New Roman" w:cs="Arial"/>
                <w:b/>
                <w:sz w:val="18"/>
                <w:szCs w:val="18"/>
              </w:rPr>
              <w:t>FOFIR</w:t>
            </w:r>
            <w:r w:rsidRPr="00D868AB">
              <w:rPr>
                <w:rFonts w:eastAsia="Times New Roman" w:cs="Arial"/>
                <w:sz w:val="18"/>
                <w:szCs w:val="18"/>
              </w:rPr>
              <w:t>).</w:t>
            </w:r>
          </w:p>
        </w:tc>
        <w:tc>
          <w:tcPr>
            <w:tcW w:w="1422" w:type="dxa"/>
            <w:shd w:val="clear" w:color="auto" w:fill="auto"/>
            <w:vAlign w:val="center"/>
          </w:tcPr>
          <w:p w14:paraId="1506D05C" w14:textId="77777777" w:rsidR="00D868AB" w:rsidRPr="00D868AB" w:rsidRDefault="00D868AB" w:rsidP="00D868AB">
            <w:pPr>
              <w:jc w:val="right"/>
              <w:rPr>
                <w:rFonts w:eastAsia="Times New Roman" w:cs="Arial"/>
                <w:color w:val="000000"/>
                <w:sz w:val="18"/>
                <w:szCs w:val="18"/>
              </w:rPr>
            </w:pPr>
            <w:r w:rsidRPr="00D868AB">
              <w:rPr>
                <w:rFonts w:cs="Arial"/>
                <w:color w:val="000000"/>
                <w:sz w:val="20"/>
                <w:szCs w:val="20"/>
              </w:rPr>
              <w:t>58,450,377</w:t>
            </w:r>
          </w:p>
        </w:tc>
      </w:tr>
      <w:tr w:rsidR="00D868AB" w:rsidRPr="00D868AB" w14:paraId="25F1CBAC" w14:textId="77777777" w:rsidTr="00A755A7">
        <w:trPr>
          <w:trHeight w:val="20"/>
          <w:jc w:val="center"/>
        </w:trPr>
        <w:tc>
          <w:tcPr>
            <w:tcW w:w="6658" w:type="dxa"/>
            <w:shd w:val="clear" w:color="auto" w:fill="auto"/>
            <w:vAlign w:val="center"/>
            <w:hideMark/>
          </w:tcPr>
          <w:p w14:paraId="1B36CFB4" w14:textId="77777777" w:rsidR="00D868AB" w:rsidRPr="00D868AB" w:rsidRDefault="00D868AB" w:rsidP="00D868AB">
            <w:pPr>
              <w:rPr>
                <w:rFonts w:eastAsia="Times New Roman" w:cs="Arial"/>
                <w:color w:val="000000"/>
                <w:sz w:val="18"/>
                <w:szCs w:val="18"/>
              </w:rPr>
            </w:pPr>
            <w:r w:rsidRPr="00D868AB">
              <w:rPr>
                <w:rFonts w:eastAsia="Times New Roman" w:cs="Arial"/>
                <w:sz w:val="18"/>
                <w:szCs w:val="18"/>
              </w:rPr>
              <w:t xml:space="preserve">Participación Especifica del </w:t>
            </w:r>
            <w:r w:rsidRPr="00D868AB">
              <w:rPr>
                <w:rFonts w:eastAsia="Times New Roman" w:cs="Arial"/>
                <w:b/>
                <w:sz w:val="18"/>
                <w:szCs w:val="18"/>
              </w:rPr>
              <w:t>I.E.P.S.</w:t>
            </w:r>
          </w:p>
        </w:tc>
        <w:tc>
          <w:tcPr>
            <w:tcW w:w="1422" w:type="dxa"/>
            <w:shd w:val="clear" w:color="auto" w:fill="auto"/>
            <w:vAlign w:val="center"/>
          </w:tcPr>
          <w:p w14:paraId="20CAFA51" w14:textId="77777777" w:rsidR="00D868AB" w:rsidRPr="00D868AB" w:rsidRDefault="00D868AB" w:rsidP="00D868AB">
            <w:pPr>
              <w:jc w:val="right"/>
              <w:rPr>
                <w:rFonts w:eastAsia="Times New Roman" w:cs="Arial"/>
                <w:color w:val="000000"/>
                <w:sz w:val="18"/>
                <w:szCs w:val="18"/>
              </w:rPr>
            </w:pPr>
            <w:r w:rsidRPr="00D868AB">
              <w:rPr>
                <w:rFonts w:cs="Arial"/>
                <w:color w:val="000000"/>
                <w:sz w:val="20"/>
                <w:szCs w:val="20"/>
              </w:rPr>
              <w:t>31,207,094</w:t>
            </w:r>
          </w:p>
        </w:tc>
      </w:tr>
      <w:tr w:rsidR="00D868AB" w:rsidRPr="00D868AB" w14:paraId="64905E32" w14:textId="77777777" w:rsidTr="00A755A7">
        <w:trPr>
          <w:trHeight w:val="20"/>
          <w:jc w:val="center"/>
        </w:trPr>
        <w:tc>
          <w:tcPr>
            <w:tcW w:w="6658" w:type="dxa"/>
            <w:shd w:val="clear" w:color="auto" w:fill="auto"/>
            <w:vAlign w:val="center"/>
            <w:hideMark/>
          </w:tcPr>
          <w:p w14:paraId="481F3B95" w14:textId="611796D8" w:rsidR="00D868AB" w:rsidRPr="00D868AB" w:rsidRDefault="00D868AB" w:rsidP="00D868AB">
            <w:pPr>
              <w:rPr>
                <w:rFonts w:eastAsia="Times New Roman" w:cs="Arial"/>
                <w:color w:val="000000"/>
                <w:sz w:val="18"/>
                <w:szCs w:val="18"/>
              </w:rPr>
            </w:pPr>
            <w:r w:rsidRPr="00D868AB">
              <w:rPr>
                <w:rFonts w:eastAsia="Times New Roman" w:cs="Arial"/>
                <w:sz w:val="18"/>
                <w:szCs w:val="18"/>
              </w:rPr>
              <w:t xml:space="preserve">Fondo I.E.P.S. Venta Final de Gasolina y </w:t>
            </w:r>
            <w:r w:rsidR="00D03AFC" w:rsidRPr="00D868AB">
              <w:rPr>
                <w:rFonts w:eastAsia="Times New Roman" w:cs="Arial"/>
                <w:sz w:val="18"/>
                <w:szCs w:val="18"/>
              </w:rPr>
              <w:t>Diésel</w:t>
            </w:r>
            <w:r w:rsidRPr="00D868AB">
              <w:rPr>
                <w:rFonts w:eastAsia="Times New Roman" w:cs="Arial"/>
                <w:sz w:val="18"/>
                <w:szCs w:val="18"/>
              </w:rPr>
              <w:t xml:space="preserve"> (</w:t>
            </w:r>
            <w:r w:rsidRPr="00D868AB">
              <w:rPr>
                <w:rFonts w:eastAsia="Times New Roman" w:cs="Arial"/>
                <w:b/>
                <w:sz w:val="18"/>
                <w:szCs w:val="18"/>
              </w:rPr>
              <w:t>IEPS G. y D.</w:t>
            </w:r>
            <w:r w:rsidRPr="00D868AB">
              <w:rPr>
                <w:rFonts w:eastAsia="Times New Roman" w:cs="Arial"/>
                <w:sz w:val="18"/>
                <w:szCs w:val="18"/>
              </w:rPr>
              <w:t>).</w:t>
            </w:r>
          </w:p>
        </w:tc>
        <w:tc>
          <w:tcPr>
            <w:tcW w:w="1422" w:type="dxa"/>
            <w:shd w:val="clear" w:color="auto" w:fill="auto"/>
            <w:vAlign w:val="center"/>
          </w:tcPr>
          <w:p w14:paraId="713DA283" w14:textId="77777777" w:rsidR="00D868AB" w:rsidRPr="00D868AB" w:rsidRDefault="00D868AB" w:rsidP="00D868AB">
            <w:pPr>
              <w:jc w:val="right"/>
              <w:rPr>
                <w:rFonts w:eastAsia="Times New Roman" w:cs="Arial"/>
                <w:color w:val="000000"/>
                <w:sz w:val="18"/>
                <w:szCs w:val="18"/>
              </w:rPr>
            </w:pPr>
            <w:r w:rsidRPr="00D868AB">
              <w:rPr>
                <w:rFonts w:cs="Arial"/>
                <w:color w:val="000000"/>
                <w:sz w:val="20"/>
                <w:szCs w:val="20"/>
              </w:rPr>
              <w:t>53,991,638</w:t>
            </w:r>
          </w:p>
        </w:tc>
      </w:tr>
      <w:tr w:rsidR="00D868AB" w:rsidRPr="00D868AB" w14:paraId="23477E79" w14:textId="77777777" w:rsidTr="00A755A7">
        <w:trPr>
          <w:trHeight w:val="20"/>
          <w:jc w:val="center"/>
        </w:trPr>
        <w:tc>
          <w:tcPr>
            <w:tcW w:w="6658" w:type="dxa"/>
            <w:shd w:val="clear" w:color="auto" w:fill="auto"/>
            <w:vAlign w:val="center"/>
            <w:hideMark/>
          </w:tcPr>
          <w:p w14:paraId="117A7F81" w14:textId="77777777" w:rsidR="00D868AB" w:rsidRPr="00D868AB" w:rsidRDefault="00D868AB" w:rsidP="00D868AB">
            <w:pPr>
              <w:rPr>
                <w:rFonts w:eastAsia="Times New Roman" w:cs="Arial"/>
                <w:color w:val="000000"/>
                <w:sz w:val="18"/>
                <w:szCs w:val="18"/>
              </w:rPr>
            </w:pPr>
            <w:r w:rsidRPr="00D868AB">
              <w:rPr>
                <w:rFonts w:eastAsia="Times New Roman" w:cs="Arial"/>
                <w:sz w:val="18"/>
                <w:szCs w:val="18"/>
              </w:rPr>
              <w:t>Fondo de I.S.R. Participable Municipal (</w:t>
            </w:r>
            <w:r w:rsidRPr="00D868AB">
              <w:rPr>
                <w:rFonts w:eastAsia="Times New Roman" w:cs="Arial"/>
                <w:b/>
                <w:sz w:val="18"/>
                <w:szCs w:val="18"/>
              </w:rPr>
              <w:t>Fondo ISR</w:t>
            </w:r>
            <w:r w:rsidRPr="00D868AB">
              <w:rPr>
                <w:rFonts w:eastAsia="Times New Roman" w:cs="Arial"/>
                <w:sz w:val="18"/>
                <w:szCs w:val="18"/>
              </w:rPr>
              <w:t>).</w:t>
            </w:r>
          </w:p>
        </w:tc>
        <w:tc>
          <w:tcPr>
            <w:tcW w:w="1422" w:type="dxa"/>
            <w:shd w:val="clear" w:color="auto" w:fill="auto"/>
            <w:vAlign w:val="center"/>
          </w:tcPr>
          <w:p w14:paraId="237A3B73" w14:textId="77777777" w:rsidR="00D868AB" w:rsidRPr="00D868AB" w:rsidRDefault="00D868AB" w:rsidP="00D868AB">
            <w:pPr>
              <w:jc w:val="right"/>
              <w:rPr>
                <w:rFonts w:eastAsia="Times New Roman" w:cs="Arial"/>
                <w:color w:val="000000"/>
                <w:sz w:val="18"/>
                <w:szCs w:val="18"/>
              </w:rPr>
            </w:pPr>
            <w:r w:rsidRPr="00D868AB">
              <w:rPr>
                <w:rFonts w:cs="Arial"/>
                <w:color w:val="000000"/>
                <w:sz w:val="20"/>
                <w:szCs w:val="20"/>
              </w:rPr>
              <w:t>114,868,417</w:t>
            </w:r>
          </w:p>
        </w:tc>
      </w:tr>
      <w:tr w:rsidR="00D868AB" w:rsidRPr="00D868AB" w14:paraId="0DF69210" w14:textId="77777777" w:rsidTr="00A755A7">
        <w:trPr>
          <w:trHeight w:val="20"/>
          <w:jc w:val="center"/>
        </w:trPr>
        <w:tc>
          <w:tcPr>
            <w:tcW w:w="6658" w:type="dxa"/>
            <w:shd w:val="clear" w:color="auto" w:fill="auto"/>
            <w:vAlign w:val="center"/>
            <w:hideMark/>
          </w:tcPr>
          <w:p w14:paraId="08CBBDAE" w14:textId="77777777" w:rsidR="00D868AB" w:rsidRPr="00D868AB" w:rsidRDefault="00D868AB" w:rsidP="00D868AB">
            <w:pPr>
              <w:rPr>
                <w:rFonts w:eastAsia="Times New Roman" w:cs="Arial"/>
                <w:color w:val="000000"/>
                <w:sz w:val="18"/>
                <w:szCs w:val="18"/>
              </w:rPr>
            </w:pPr>
            <w:r w:rsidRPr="00D868AB">
              <w:rPr>
                <w:rFonts w:eastAsia="Times New Roman" w:cs="Arial"/>
                <w:color w:val="000000"/>
                <w:sz w:val="18"/>
                <w:szCs w:val="18"/>
              </w:rPr>
              <w:t>0.136% de la Recaudación Federal Participable.</w:t>
            </w:r>
          </w:p>
        </w:tc>
        <w:tc>
          <w:tcPr>
            <w:tcW w:w="1422" w:type="dxa"/>
            <w:shd w:val="clear" w:color="auto" w:fill="auto"/>
            <w:vAlign w:val="center"/>
          </w:tcPr>
          <w:p w14:paraId="0B3867E6" w14:textId="77777777" w:rsidR="00D868AB" w:rsidRPr="00D868AB" w:rsidRDefault="00D868AB" w:rsidP="00D868AB">
            <w:pPr>
              <w:jc w:val="right"/>
              <w:rPr>
                <w:rFonts w:eastAsia="Times New Roman" w:cs="Arial"/>
                <w:color w:val="000000"/>
                <w:sz w:val="18"/>
                <w:szCs w:val="18"/>
              </w:rPr>
            </w:pPr>
            <w:r w:rsidRPr="00D868AB">
              <w:rPr>
                <w:rFonts w:cs="Arial"/>
                <w:color w:val="000000"/>
                <w:sz w:val="20"/>
                <w:szCs w:val="20"/>
              </w:rPr>
              <w:t>186,555,132</w:t>
            </w:r>
          </w:p>
        </w:tc>
      </w:tr>
      <w:tr w:rsidR="00D868AB" w:rsidRPr="00D868AB" w14:paraId="1AFFCF03" w14:textId="77777777" w:rsidTr="00A755A7">
        <w:trPr>
          <w:trHeight w:val="20"/>
          <w:jc w:val="center"/>
        </w:trPr>
        <w:tc>
          <w:tcPr>
            <w:tcW w:w="6658" w:type="dxa"/>
            <w:shd w:val="clear" w:color="auto" w:fill="auto"/>
            <w:vAlign w:val="center"/>
            <w:hideMark/>
          </w:tcPr>
          <w:p w14:paraId="474E296F"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Total</w:t>
            </w:r>
          </w:p>
        </w:tc>
        <w:tc>
          <w:tcPr>
            <w:tcW w:w="1422" w:type="dxa"/>
            <w:shd w:val="clear" w:color="auto" w:fill="auto"/>
            <w:vAlign w:val="center"/>
          </w:tcPr>
          <w:p w14:paraId="1C9854F4" w14:textId="77777777" w:rsidR="00D868AB" w:rsidRPr="00D868AB" w:rsidRDefault="00D868AB" w:rsidP="00D868AB">
            <w:pPr>
              <w:jc w:val="right"/>
              <w:rPr>
                <w:rFonts w:eastAsia="Times New Roman" w:cs="Arial"/>
                <w:b/>
                <w:bCs/>
                <w:color w:val="000000"/>
                <w:sz w:val="18"/>
                <w:szCs w:val="18"/>
              </w:rPr>
            </w:pPr>
            <w:r w:rsidRPr="00D868AB">
              <w:rPr>
                <w:rFonts w:cs="Arial"/>
                <w:b/>
                <w:bCs/>
                <w:color w:val="000000"/>
                <w:sz w:val="20"/>
                <w:szCs w:val="20"/>
              </w:rPr>
              <w:t>2,008,410,916</w:t>
            </w:r>
          </w:p>
        </w:tc>
      </w:tr>
    </w:tbl>
    <w:p w14:paraId="62B56CAC" w14:textId="77777777" w:rsidR="00D868AB" w:rsidRPr="00D868AB" w:rsidRDefault="00D868AB" w:rsidP="00D868AB">
      <w:pPr>
        <w:shd w:val="clear" w:color="auto" w:fill="FFFFFF"/>
        <w:ind w:left="284"/>
        <w:contextualSpacing/>
        <w:rPr>
          <w:rFonts w:eastAsia="Times New Roman" w:cs="Arial"/>
          <w:sz w:val="18"/>
          <w:lang w:val="es-ES" w:eastAsia="es-ES"/>
        </w:rPr>
      </w:pPr>
      <w:r w:rsidRPr="00D868AB">
        <w:rPr>
          <w:rFonts w:eastAsia="Times New Roman" w:cs="Arial"/>
          <w:b/>
          <w:sz w:val="18"/>
          <w:lang w:val="es-ES" w:eastAsia="es-ES"/>
        </w:rPr>
        <w:t>Nota</w:t>
      </w:r>
      <w:r w:rsidRPr="00D868AB">
        <w:rPr>
          <w:rFonts w:eastAsia="Times New Roman" w:cs="Arial"/>
          <w:sz w:val="18"/>
          <w:lang w:val="es-ES" w:eastAsia="es-ES"/>
        </w:rPr>
        <w:t>: La suma total podría no coincidir debido al redondeo</w:t>
      </w:r>
    </w:p>
    <w:p w14:paraId="6516E05E" w14:textId="77777777" w:rsidR="00D868AB" w:rsidRPr="00D868AB" w:rsidRDefault="00D868AB" w:rsidP="00D868AB">
      <w:pPr>
        <w:shd w:val="clear" w:color="auto" w:fill="FFFFFF"/>
        <w:contextualSpacing/>
        <w:rPr>
          <w:rFonts w:eastAsia="Times New Roman" w:cs="Arial"/>
          <w:lang w:val="es-ES" w:eastAsia="es-ES"/>
        </w:rPr>
      </w:pPr>
    </w:p>
    <w:p w14:paraId="39AA66D7" w14:textId="77777777" w:rsidR="00D868AB" w:rsidRPr="00D868AB" w:rsidRDefault="00D868AB" w:rsidP="00D868AB">
      <w:pPr>
        <w:shd w:val="clear" w:color="auto" w:fill="FFFFFF"/>
        <w:ind w:left="426" w:hanging="426"/>
        <w:contextualSpacing/>
        <w:rPr>
          <w:rFonts w:eastAsia="Times New Roman" w:cs="Arial"/>
          <w:lang w:val="es-ES" w:eastAsia="es-ES"/>
        </w:rPr>
      </w:pPr>
      <w:r w:rsidRPr="00D868AB">
        <w:rPr>
          <w:rFonts w:eastAsia="Times New Roman" w:cs="Arial"/>
          <w:lang w:val="es-ES" w:eastAsia="es-ES"/>
        </w:rPr>
        <w:t>I.</w:t>
      </w:r>
      <w:r w:rsidRPr="00D868AB">
        <w:rPr>
          <w:rFonts w:eastAsia="Times New Roman" w:cs="Arial"/>
          <w:lang w:val="es-ES" w:eastAsia="es-ES"/>
        </w:rPr>
        <w:tab/>
        <w:t>Las Participaciones a los Municipios, de acuerdo a cada uno de los conceptos previstos en la Ley de Coordinación Fiscal del Estado de Colima, se estiman en los siguientes montos:</w:t>
      </w:r>
    </w:p>
    <w:p w14:paraId="59382723" w14:textId="77777777" w:rsidR="00D868AB" w:rsidRPr="00D868AB" w:rsidRDefault="00D868AB" w:rsidP="00D868AB">
      <w:pPr>
        <w:keepNext/>
        <w:keepLines/>
        <w:outlineLvl w:val="2"/>
        <w:rPr>
          <w:rFonts w:eastAsia="Times New Roman" w:cs="Arial"/>
          <w:b/>
          <w:szCs w:val="24"/>
          <w:lang w:val="es-ES" w:eastAsia="en-US"/>
        </w:rPr>
      </w:pPr>
    </w:p>
    <w:tbl>
      <w:tblPr>
        <w:tblW w:w="9073" w:type="dxa"/>
        <w:tblInd w:w="-434" w:type="dxa"/>
        <w:tblLayout w:type="fixed"/>
        <w:tblCellMar>
          <w:left w:w="70" w:type="dxa"/>
          <w:right w:w="70" w:type="dxa"/>
        </w:tblCellMar>
        <w:tblLook w:val="0000" w:firstRow="0" w:lastRow="0" w:firstColumn="0" w:lastColumn="0" w:noHBand="0" w:noVBand="0"/>
      </w:tblPr>
      <w:tblGrid>
        <w:gridCol w:w="1277"/>
        <w:gridCol w:w="1148"/>
        <w:gridCol w:w="945"/>
        <w:gridCol w:w="865"/>
        <w:gridCol w:w="865"/>
        <w:gridCol w:w="865"/>
        <w:gridCol w:w="945"/>
        <w:gridCol w:w="1029"/>
        <w:gridCol w:w="1134"/>
      </w:tblGrid>
      <w:tr w:rsidR="00D868AB" w:rsidRPr="00D868AB" w14:paraId="3C710163" w14:textId="77777777" w:rsidTr="00A755A7">
        <w:trPr>
          <w:trHeight w:val="20"/>
        </w:trPr>
        <w:tc>
          <w:tcPr>
            <w:tcW w:w="9073" w:type="dxa"/>
            <w:gridSpan w:val="9"/>
            <w:tcBorders>
              <w:bottom w:val="single" w:sz="4" w:space="0" w:color="auto"/>
            </w:tcBorders>
            <w:vAlign w:val="center"/>
          </w:tcPr>
          <w:p w14:paraId="5A424C2B" w14:textId="77777777" w:rsidR="00D868AB" w:rsidRPr="00D868AB" w:rsidRDefault="00D868AB" w:rsidP="00D868AB">
            <w:pPr>
              <w:autoSpaceDE w:val="0"/>
              <w:autoSpaceDN w:val="0"/>
              <w:adjustRightInd w:val="0"/>
              <w:jc w:val="center"/>
              <w:rPr>
                <w:rFonts w:eastAsiaTheme="minorHAnsi" w:cs="Arial"/>
                <w:b/>
                <w:bCs/>
                <w:color w:val="000000"/>
                <w:sz w:val="14"/>
                <w:szCs w:val="14"/>
                <w:lang w:eastAsia="en-US"/>
              </w:rPr>
            </w:pPr>
            <w:bookmarkStart w:id="231" w:name="_Toc522869298"/>
            <w:bookmarkStart w:id="232" w:name="_Toc526757517"/>
            <w:bookmarkStart w:id="233" w:name="_Toc22021978"/>
            <w:bookmarkStart w:id="234" w:name="_Toc22983226"/>
            <w:r w:rsidRPr="00D868AB">
              <w:rPr>
                <w:rFonts w:eastAsia="Times New Roman" w:cs="Arial"/>
                <w:b/>
                <w:sz w:val="20"/>
                <w:szCs w:val="16"/>
                <w:lang w:val="es-ES"/>
              </w:rPr>
              <w:t xml:space="preserve">Tabla 51. Participaciones a los Municipios </w:t>
            </w:r>
            <w:r w:rsidRPr="00D868AB">
              <w:rPr>
                <w:rFonts w:eastAsia="Times New Roman" w:cs="Arial"/>
                <w:b/>
                <w:sz w:val="20"/>
                <w:szCs w:val="16"/>
                <w:lang w:val="es-ES"/>
              </w:rPr>
              <w:br/>
            </w:r>
            <w:r w:rsidRPr="00D868AB">
              <w:rPr>
                <w:rFonts w:eastAsia="Times New Roman" w:cs="Arial"/>
                <w:b/>
                <w:sz w:val="18"/>
                <w:szCs w:val="14"/>
                <w:lang w:val="es-ES"/>
              </w:rPr>
              <w:t>(Desagregado Municipio)</w:t>
            </w:r>
            <w:bookmarkEnd w:id="231"/>
            <w:bookmarkEnd w:id="232"/>
            <w:bookmarkEnd w:id="233"/>
            <w:bookmarkEnd w:id="234"/>
          </w:p>
        </w:tc>
      </w:tr>
      <w:tr w:rsidR="00D868AB" w:rsidRPr="00D868AB" w14:paraId="4CCA3528" w14:textId="77777777" w:rsidTr="00A755A7">
        <w:trPr>
          <w:trHeight w:val="20"/>
        </w:trPr>
        <w:tc>
          <w:tcPr>
            <w:tcW w:w="1277" w:type="dxa"/>
            <w:tcBorders>
              <w:top w:val="single" w:sz="4" w:space="0" w:color="auto"/>
              <w:left w:val="single" w:sz="4" w:space="0" w:color="auto"/>
              <w:bottom w:val="single" w:sz="4" w:space="0" w:color="auto"/>
              <w:right w:val="single" w:sz="4" w:space="0" w:color="auto"/>
            </w:tcBorders>
            <w:vAlign w:val="center"/>
          </w:tcPr>
          <w:p w14:paraId="564EFECB" w14:textId="77777777" w:rsidR="00D868AB" w:rsidRPr="00D868AB" w:rsidRDefault="00D868AB" w:rsidP="00D868AB">
            <w:pPr>
              <w:autoSpaceDE w:val="0"/>
              <w:autoSpaceDN w:val="0"/>
              <w:adjustRightInd w:val="0"/>
              <w:jc w:val="center"/>
              <w:rPr>
                <w:rFonts w:eastAsiaTheme="minorHAnsi" w:cs="Arial"/>
                <w:b/>
                <w:bCs/>
                <w:color w:val="000000"/>
                <w:sz w:val="14"/>
                <w:szCs w:val="14"/>
                <w:lang w:eastAsia="en-US"/>
              </w:rPr>
            </w:pPr>
            <w:r w:rsidRPr="00D868AB">
              <w:rPr>
                <w:rFonts w:eastAsiaTheme="minorHAnsi" w:cs="Arial"/>
                <w:b/>
                <w:bCs/>
                <w:color w:val="000000"/>
                <w:sz w:val="14"/>
                <w:szCs w:val="14"/>
                <w:lang w:eastAsia="en-US"/>
              </w:rPr>
              <w:t>Municipio</w:t>
            </w:r>
          </w:p>
        </w:tc>
        <w:tc>
          <w:tcPr>
            <w:tcW w:w="1148" w:type="dxa"/>
            <w:tcBorders>
              <w:top w:val="single" w:sz="4" w:space="0" w:color="auto"/>
              <w:left w:val="single" w:sz="4" w:space="0" w:color="auto"/>
              <w:bottom w:val="single" w:sz="4" w:space="0" w:color="auto"/>
              <w:right w:val="single" w:sz="4" w:space="0" w:color="auto"/>
            </w:tcBorders>
            <w:vAlign w:val="center"/>
          </w:tcPr>
          <w:p w14:paraId="2F9184B1" w14:textId="77777777" w:rsidR="00D868AB" w:rsidRPr="00D868AB" w:rsidRDefault="00D868AB" w:rsidP="00D868AB">
            <w:pPr>
              <w:autoSpaceDE w:val="0"/>
              <w:autoSpaceDN w:val="0"/>
              <w:adjustRightInd w:val="0"/>
              <w:jc w:val="center"/>
              <w:rPr>
                <w:rFonts w:eastAsiaTheme="minorHAnsi" w:cs="Arial"/>
                <w:b/>
                <w:bCs/>
                <w:color w:val="000000"/>
                <w:sz w:val="14"/>
                <w:szCs w:val="14"/>
                <w:lang w:eastAsia="en-US"/>
              </w:rPr>
            </w:pPr>
            <w:r w:rsidRPr="00D868AB">
              <w:rPr>
                <w:rFonts w:eastAsiaTheme="minorHAnsi" w:cs="Arial"/>
                <w:b/>
                <w:bCs/>
                <w:color w:val="000000"/>
                <w:sz w:val="14"/>
                <w:szCs w:val="14"/>
                <w:lang w:eastAsia="en-US"/>
              </w:rPr>
              <w:t>F.G.P.</w:t>
            </w:r>
          </w:p>
        </w:tc>
        <w:tc>
          <w:tcPr>
            <w:tcW w:w="945" w:type="dxa"/>
            <w:tcBorders>
              <w:top w:val="single" w:sz="4" w:space="0" w:color="auto"/>
              <w:left w:val="single" w:sz="4" w:space="0" w:color="auto"/>
              <w:bottom w:val="single" w:sz="4" w:space="0" w:color="auto"/>
              <w:right w:val="single" w:sz="4" w:space="0" w:color="auto"/>
            </w:tcBorders>
            <w:vAlign w:val="center"/>
          </w:tcPr>
          <w:p w14:paraId="7C9C570F" w14:textId="77777777" w:rsidR="00D868AB" w:rsidRPr="00D868AB" w:rsidRDefault="00D868AB" w:rsidP="00D868AB">
            <w:pPr>
              <w:autoSpaceDE w:val="0"/>
              <w:autoSpaceDN w:val="0"/>
              <w:adjustRightInd w:val="0"/>
              <w:jc w:val="center"/>
              <w:rPr>
                <w:rFonts w:eastAsiaTheme="minorHAnsi" w:cs="Arial"/>
                <w:b/>
                <w:bCs/>
                <w:color w:val="000000"/>
                <w:sz w:val="14"/>
                <w:szCs w:val="14"/>
                <w:lang w:eastAsia="en-US"/>
              </w:rPr>
            </w:pPr>
            <w:r w:rsidRPr="00D868AB">
              <w:rPr>
                <w:rFonts w:eastAsiaTheme="minorHAnsi" w:cs="Arial"/>
                <w:b/>
                <w:bCs/>
                <w:color w:val="000000"/>
                <w:sz w:val="14"/>
                <w:szCs w:val="14"/>
                <w:lang w:eastAsia="en-US"/>
              </w:rPr>
              <w:t>F.F.M.</w:t>
            </w:r>
          </w:p>
        </w:tc>
        <w:tc>
          <w:tcPr>
            <w:tcW w:w="865" w:type="dxa"/>
            <w:tcBorders>
              <w:top w:val="single" w:sz="4" w:space="0" w:color="auto"/>
              <w:left w:val="single" w:sz="4" w:space="0" w:color="auto"/>
              <w:bottom w:val="single" w:sz="4" w:space="0" w:color="auto"/>
              <w:right w:val="single" w:sz="4" w:space="0" w:color="auto"/>
            </w:tcBorders>
            <w:vAlign w:val="center"/>
          </w:tcPr>
          <w:p w14:paraId="14C4D5B6" w14:textId="77777777" w:rsidR="00D868AB" w:rsidRPr="00D868AB" w:rsidRDefault="00D868AB" w:rsidP="00D868AB">
            <w:pPr>
              <w:autoSpaceDE w:val="0"/>
              <w:autoSpaceDN w:val="0"/>
              <w:adjustRightInd w:val="0"/>
              <w:jc w:val="center"/>
              <w:rPr>
                <w:rFonts w:eastAsiaTheme="minorHAnsi" w:cs="Arial"/>
                <w:b/>
                <w:bCs/>
                <w:color w:val="000000"/>
                <w:sz w:val="14"/>
                <w:szCs w:val="14"/>
                <w:lang w:eastAsia="en-US"/>
              </w:rPr>
            </w:pPr>
            <w:r w:rsidRPr="00D868AB">
              <w:rPr>
                <w:rFonts w:eastAsiaTheme="minorHAnsi" w:cs="Arial"/>
                <w:b/>
                <w:bCs/>
                <w:color w:val="000000"/>
                <w:sz w:val="14"/>
                <w:szCs w:val="14"/>
                <w:lang w:eastAsia="en-US"/>
              </w:rPr>
              <w:t>FOFIR</w:t>
            </w:r>
          </w:p>
        </w:tc>
        <w:tc>
          <w:tcPr>
            <w:tcW w:w="865" w:type="dxa"/>
            <w:tcBorders>
              <w:top w:val="single" w:sz="4" w:space="0" w:color="auto"/>
              <w:left w:val="single" w:sz="4" w:space="0" w:color="auto"/>
              <w:bottom w:val="single" w:sz="4" w:space="0" w:color="auto"/>
              <w:right w:val="single" w:sz="4" w:space="0" w:color="auto"/>
            </w:tcBorders>
            <w:vAlign w:val="center"/>
          </w:tcPr>
          <w:p w14:paraId="5E4752F3" w14:textId="77777777" w:rsidR="00D868AB" w:rsidRPr="00D868AB" w:rsidRDefault="00D868AB" w:rsidP="00D868AB">
            <w:pPr>
              <w:autoSpaceDE w:val="0"/>
              <w:autoSpaceDN w:val="0"/>
              <w:adjustRightInd w:val="0"/>
              <w:jc w:val="center"/>
              <w:rPr>
                <w:rFonts w:eastAsiaTheme="minorHAnsi" w:cs="Arial"/>
                <w:b/>
                <w:bCs/>
                <w:color w:val="000000"/>
                <w:sz w:val="14"/>
                <w:szCs w:val="14"/>
                <w:lang w:eastAsia="en-US"/>
              </w:rPr>
            </w:pPr>
            <w:r w:rsidRPr="00D868AB">
              <w:rPr>
                <w:rFonts w:eastAsiaTheme="minorHAnsi" w:cs="Arial"/>
                <w:b/>
                <w:bCs/>
                <w:color w:val="000000"/>
                <w:sz w:val="14"/>
                <w:szCs w:val="14"/>
                <w:lang w:eastAsia="en-US"/>
              </w:rPr>
              <w:t>I.E.P.S.</w:t>
            </w:r>
          </w:p>
        </w:tc>
        <w:tc>
          <w:tcPr>
            <w:tcW w:w="865" w:type="dxa"/>
            <w:tcBorders>
              <w:top w:val="single" w:sz="4" w:space="0" w:color="auto"/>
              <w:left w:val="single" w:sz="4" w:space="0" w:color="auto"/>
              <w:bottom w:val="single" w:sz="4" w:space="0" w:color="auto"/>
              <w:right w:val="single" w:sz="4" w:space="0" w:color="auto"/>
            </w:tcBorders>
            <w:vAlign w:val="center"/>
          </w:tcPr>
          <w:p w14:paraId="71461814" w14:textId="77777777" w:rsidR="00D868AB" w:rsidRPr="00D868AB" w:rsidRDefault="00D868AB" w:rsidP="00D868AB">
            <w:pPr>
              <w:autoSpaceDE w:val="0"/>
              <w:autoSpaceDN w:val="0"/>
              <w:adjustRightInd w:val="0"/>
              <w:jc w:val="center"/>
              <w:rPr>
                <w:rFonts w:eastAsiaTheme="minorHAnsi" w:cs="Arial"/>
                <w:b/>
                <w:bCs/>
                <w:color w:val="000000"/>
                <w:sz w:val="14"/>
                <w:szCs w:val="14"/>
                <w:lang w:eastAsia="en-US"/>
              </w:rPr>
            </w:pPr>
            <w:r w:rsidRPr="00D868AB">
              <w:rPr>
                <w:rFonts w:eastAsiaTheme="minorHAnsi" w:cs="Arial"/>
                <w:b/>
                <w:bCs/>
                <w:color w:val="000000"/>
                <w:sz w:val="14"/>
                <w:szCs w:val="14"/>
                <w:lang w:eastAsia="en-US"/>
              </w:rPr>
              <w:t>FDO. IEPS GASOL. Y DIESEL</w:t>
            </w:r>
          </w:p>
        </w:tc>
        <w:tc>
          <w:tcPr>
            <w:tcW w:w="945" w:type="dxa"/>
            <w:tcBorders>
              <w:top w:val="single" w:sz="4" w:space="0" w:color="auto"/>
              <w:left w:val="single" w:sz="4" w:space="0" w:color="auto"/>
              <w:bottom w:val="single" w:sz="4" w:space="0" w:color="auto"/>
              <w:right w:val="single" w:sz="4" w:space="0" w:color="auto"/>
            </w:tcBorders>
            <w:vAlign w:val="center"/>
          </w:tcPr>
          <w:p w14:paraId="2916B55F" w14:textId="77777777" w:rsidR="00D868AB" w:rsidRPr="00D868AB" w:rsidRDefault="00D868AB" w:rsidP="00D868AB">
            <w:pPr>
              <w:autoSpaceDE w:val="0"/>
              <w:autoSpaceDN w:val="0"/>
              <w:adjustRightInd w:val="0"/>
              <w:jc w:val="center"/>
              <w:rPr>
                <w:rFonts w:eastAsiaTheme="minorHAnsi" w:cs="Arial"/>
                <w:b/>
                <w:bCs/>
                <w:color w:val="000000"/>
                <w:sz w:val="14"/>
                <w:szCs w:val="14"/>
                <w:lang w:eastAsia="en-US"/>
              </w:rPr>
            </w:pPr>
            <w:r w:rsidRPr="00D868AB">
              <w:rPr>
                <w:rFonts w:eastAsiaTheme="minorHAnsi" w:cs="Arial"/>
                <w:b/>
                <w:bCs/>
                <w:color w:val="000000"/>
                <w:sz w:val="14"/>
                <w:szCs w:val="14"/>
                <w:lang w:eastAsia="en-US"/>
              </w:rPr>
              <w:t>FONDO DE ISR¹</w:t>
            </w:r>
          </w:p>
        </w:tc>
        <w:tc>
          <w:tcPr>
            <w:tcW w:w="1029" w:type="dxa"/>
            <w:tcBorders>
              <w:top w:val="single" w:sz="4" w:space="0" w:color="auto"/>
              <w:left w:val="single" w:sz="4" w:space="0" w:color="auto"/>
              <w:bottom w:val="single" w:sz="4" w:space="0" w:color="auto"/>
              <w:right w:val="single" w:sz="4" w:space="0" w:color="auto"/>
            </w:tcBorders>
            <w:vAlign w:val="center"/>
          </w:tcPr>
          <w:p w14:paraId="6738CBF6" w14:textId="77777777" w:rsidR="00D868AB" w:rsidRPr="00D868AB" w:rsidRDefault="00D868AB" w:rsidP="00D868AB">
            <w:pPr>
              <w:autoSpaceDE w:val="0"/>
              <w:autoSpaceDN w:val="0"/>
              <w:adjustRightInd w:val="0"/>
              <w:jc w:val="center"/>
              <w:rPr>
                <w:rFonts w:eastAsiaTheme="minorHAnsi" w:cs="Arial"/>
                <w:b/>
                <w:bCs/>
                <w:color w:val="000000"/>
                <w:sz w:val="14"/>
                <w:szCs w:val="14"/>
                <w:lang w:eastAsia="en-US"/>
              </w:rPr>
            </w:pPr>
            <w:r w:rsidRPr="00D868AB">
              <w:rPr>
                <w:rFonts w:eastAsiaTheme="minorHAnsi" w:cs="Arial"/>
                <w:b/>
                <w:bCs/>
                <w:color w:val="000000"/>
                <w:sz w:val="14"/>
                <w:szCs w:val="14"/>
                <w:lang w:eastAsia="en-US"/>
              </w:rPr>
              <w:t>0.136% DE LA RFP</w:t>
            </w:r>
          </w:p>
        </w:tc>
        <w:tc>
          <w:tcPr>
            <w:tcW w:w="1134" w:type="dxa"/>
            <w:tcBorders>
              <w:top w:val="single" w:sz="4" w:space="0" w:color="auto"/>
              <w:left w:val="single" w:sz="4" w:space="0" w:color="auto"/>
              <w:bottom w:val="single" w:sz="4" w:space="0" w:color="auto"/>
              <w:right w:val="single" w:sz="4" w:space="0" w:color="auto"/>
            </w:tcBorders>
            <w:vAlign w:val="center"/>
          </w:tcPr>
          <w:p w14:paraId="08F57D07" w14:textId="77777777" w:rsidR="00D868AB" w:rsidRPr="00D868AB" w:rsidRDefault="00D868AB" w:rsidP="00D868AB">
            <w:pPr>
              <w:autoSpaceDE w:val="0"/>
              <w:autoSpaceDN w:val="0"/>
              <w:adjustRightInd w:val="0"/>
              <w:jc w:val="center"/>
              <w:rPr>
                <w:rFonts w:eastAsiaTheme="minorHAnsi" w:cs="Arial"/>
                <w:b/>
                <w:bCs/>
                <w:color w:val="000000"/>
                <w:sz w:val="14"/>
                <w:szCs w:val="14"/>
                <w:lang w:eastAsia="en-US"/>
              </w:rPr>
            </w:pPr>
            <w:r w:rsidRPr="00D868AB">
              <w:rPr>
                <w:rFonts w:eastAsiaTheme="minorHAnsi" w:cs="Arial"/>
                <w:b/>
                <w:bCs/>
                <w:color w:val="000000"/>
                <w:sz w:val="14"/>
                <w:szCs w:val="14"/>
                <w:lang w:eastAsia="en-US"/>
              </w:rPr>
              <w:t>Sumas Totales</w:t>
            </w:r>
          </w:p>
        </w:tc>
      </w:tr>
      <w:tr w:rsidR="00D868AB" w:rsidRPr="00D868AB" w14:paraId="7CF42FE1" w14:textId="77777777" w:rsidTr="00A755A7">
        <w:trPr>
          <w:trHeight w:val="20"/>
        </w:trPr>
        <w:tc>
          <w:tcPr>
            <w:tcW w:w="1277" w:type="dxa"/>
            <w:tcBorders>
              <w:top w:val="single" w:sz="4" w:space="0" w:color="auto"/>
              <w:left w:val="single" w:sz="6" w:space="0" w:color="auto"/>
              <w:bottom w:val="single" w:sz="6" w:space="0" w:color="auto"/>
              <w:right w:val="single" w:sz="6" w:space="0" w:color="auto"/>
            </w:tcBorders>
            <w:shd w:val="solid" w:color="FFFFFF" w:fill="auto"/>
          </w:tcPr>
          <w:p w14:paraId="0466218B" w14:textId="77777777" w:rsidR="00D868AB" w:rsidRPr="00D868AB" w:rsidRDefault="00D868AB" w:rsidP="00D868AB">
            <w:pPr>
              <w:autoSpaceDE w:val="0"/>
              <w:autoSpaceDN w:val="0"/>
              <w:adjustRightInd w:val="0"/>
              <w:jc w:val="left"/>
              <w:rPr>
                <w:rFonts w:eastAsiaTheme="minorHAnsi" w:cs="Arial"/>
                <w:color w:val="000000"/>
                <w:sz w:val="14"/>
                <w:szCs w:val="14"/>
                <w:lang w:eastAsia="en-US"/>
              </w:rPr>
            </w:pPr>
            <w:r w:rsidRPr="00D868AB">
              <w:rPr>
                <w:rFonts w:eastAsiaTheme="minorHAnsi" w:cs="Arial"/>
                <w:color w:val="000000"/>
                <w:sz w:val="14"/>
                <w:szCs w:val="14"/>
                <w:lang w:eastAsia="en-US"/>
              </w:rPr>
              <w:t>Armería</w:t>
            </w:r>
          </w:p>
        </w:tc>
        <w:tc>
          <w:tcPr>
            <w:tcW w:w="1148" w:type="dxa"/>
            <w:tcBorders>
              <w:top w:val="single" w:sz="4" w:space="0" w:color="auto"/>
              <w:left w:val="single" w:sz="6" w:space="0" w:color="auto"/>
              <w:bottom w:val="single" w:sz="6" w:space="0" w:color="auto"/>
              <w:right w:val="single" w:sz="6" w:space="0" w:color="auto"/>
            </w:tcBorders>
            <w:vAlign w:val="center"/>
          </w:tcPr>
          <w:p w14:paraId="5D217516"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62,174,714</w:t>
            </w:r>
          </w:p>
        </w:tc>
        <w:tc>
          <w:tcPr>
            <w:tcW w:w="945" w:type="dxa"/>
            <w:tcBorders>
              <w:top w:val="single" w:sz="4" w:space="0" w:color="auto"/>
              <w:left w:val="single" w:sz="6" w:space="0" w:color="auto"/>
              <w:bottom w:val="single" w:sz="6" w:space="0" w:color="auto"/>
              <w:right w:val="single" w:sz="6" w:space="0" w:color="auto"/>
            </w:tcBorders>
            <w:vAlign w:val="center"/>
          </w:tcPr>
          <w:p w14:paraId="6795B18B"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19,517,906</w:t>
            </w:r>
          </w:p>
        </w:tc>
        <w:tc>
          <w:tcPr>
            <w:tcW w:w="865" w:type="dxa"/>
            <w:tcBorders>
              <w:top w:val="single" w:sz="4" w:space="0" w:color="auto"/>
              <w:left w:val="single" w:sz="6" w:space="0" w:color="auto"/>
              <w:bottom w:val="single" w:sz="6" w:space="0" w:color="auto"/>
              <w:right w:val="single" w:sz="6" w:space="0" w:color="auto"/>
            </w:tcBorders>
            <w:vAlign w:val="center"/>
          </w:tcPr>
          <w:p w14:paraId="74C9188E"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2,984,903</w:t>
            </w:r>
          </w:p>
        </w:tc>
        <w:tc>
          <w:tcPr>
            <w:tcW w:w="865" w:type="dxa"/>
            <w:tcBorders>
              <w:top w:val="single" w:sz="4" w:space="0" w:color="auto"/>
              <w:left w:val="single" w:sz="6" w:space="0" w:color="auto"/>
              <w:bottom w:val="single" w:sz="6" w:space="0" w:color="auto"/>
              <w:right w:val="single" w:sz="6" w:space="0" w:color="auto"/>
            </w:tcBorders>
            <w:vAlign w:val="center"/>
          </w:tcPr>
          <w:p w14:paraId="61BFF17A"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1,706,105</w:t>
            </w:r>
          </w:p>
        </w:tc>
        <w:tc>
          <w:tcPr>
            <w:tcW w:w="865" w:type="dxa"/>
            <w:tcBorders>
              <w:top w:val="single" w:sz="4" w:space="0" w:color="auto"/>
              <w:left w:val="single" w:sz="6" w:space="0" w:color="auto"/>
              <w:bottom w:val="single" w:sz="6" w:space="0" w:color="auto"/>
              <w:right w:val="single" w:sz="6" w:space="0" w:color="auto"/>
            </w:tcBorders>
            <w:vAlign w:val="center"/>
          </w:tcPr>
          <w:p w14:paraId="1B9FB2C2"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3,634,263</w:t>
            </w:r>
          </w:p>
        </w:tc>
        <w:tc>
          <w:tcPr>
            <w:tcW w:w="945" w:type="dxa"/>
            <w:tcBorders>
              <w:top w:val="single" w:sz="4" w:space="0" w:color="auto"/>
              <w:left w:val="single" w:sz="6" w:space="0" w:color="auto"/>
              <w:bottom w:val="single" w:sz="6" w:space="0" w:color="auto"/>
              <w:right w:val="single" w:sz="6" w:space="0" w:color="auto"/>
            </w:tcBorders>
            <w:vAlign w:val="center"/>
          </w:tcPr>
          <w:p w14:paraId="5899835C"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3,000,000</w:t>
            </w:r>
          </w:p>
        </w:tc>
        <w:tc>
          <w:tcPr>
            <w:tcW w:w="1029" w:type="dxa"/>
            <w:tcBorders>
              <w:top w:val="single" w:sz="4" w:space="0" w:color="auto"/>
              <w:left w:val="single" w:sz="6" w:space="0" w:color="auto"/>
              <w:bottom w:val="single" w:sz="6" w:space="0" w:color="auto"/>
              <w:right w:val="single" w:sz="6" w:space="0" w:color="auto"/>
            </w:tcBorders>
            <w:vAlign w:val="center"/>
          </w:tcPr>
          <w:p w14:paraId="145133D2"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p>
        </w:tc>
        <w:tc>
          <w:tcPr>
            <w:tcW w:w="1134" w:type="dxa"/>
            <w:tcBorders>
              <w:top w:val="single" w:sz="4" w:space="0" w:color="auto"/>
              <w:left w:val="single" w:sz="6" w:space="0" w:color="auto"/>
              <w:bottom w:val="single" w:sz="6" w:space="0" w:color="auto"/>
              <w:right w:val="single" w:sz="6" w:space="0" w:color="auto"/>
            </w:tcBorders>
            <w:vAlign w:val="center"/>
          </w:tcPr>
          <w:p w14:paraId="0A3DB923"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93,017,890</w:t>
            </w:r>
          </w:p>
        </w:tc>
      </w:tr>
      <w:tr w:rsidR="00D868AB" w:rsidRPr="00D868AB" w14:paraId="7AA0B4E4" w14:textId="77777777" w:rsidTr="00A755A7">
        <w:trPr>
          <w:trHeight w:val="20"/>
        </w:trPr>
        <w:tc>
          <w:tcPr>
            <w:tcW w:w="1277" w:type="dxa"/>
            <w:tcBorders>
              <w:top w:val="single" w:sz="6" w:space="0" w:color="auto"/>
              <w:left w:val="single" w:sz="6" w:space="0" w:color="auto"/>
              <w:bottom w:val="single" w:sz="6" w:space="0" w:color="auto"/>
              <w:right w:val="single" w:sz="6" w:space="0" w:color="auto"/>
            </w:tcBorders>
            <w:shd w:val="solid" w:color="FFFFFF" w:fill="auto"/>
          </w:tcPr>
          <w:p w14:paraId="3EDDC579" w14:textId="77777777" w:rsidR="00D868AB" w:rsidRPr="00D868AB" w:rsidRDefault="00D868AB" w:rsidP="00D868AB">
            <w:pPr>
              <w:autoSpaceDE w:val="0"/>
              <w:autoSpaceDN w:val="0"/>
              <w:adjustRightInd w:val="0"/>
              <w:jc w:val="left"/>
              <w:rPr>
                <w:rFonts w:eastAsiaTheme="minorHAnsi" w:cs="Arial"/>
                <w:color w:val="000000"/>
                <w:sz w:val="14"/>
                <w:szCs w:val="14"/>
                <w:lang w:eastAsia="en-US"/>
              </w:rPr>
            </w:pPr>
            <w:r w:rsidRPr="00D868AB">
              <w:rPr>
                <w:rFonts w:eastAsiaTheme="minorHAnsi" w:cs="Arial"/>
                <w:color w:val="000000"/>
                <w:sz w:val="14"/>
                <w:szCs w:val="14"/>
                <w:lang w:eastAsia="en-US"/>
              </w:rPr>
              <w:t>Colima</w:t>
            </w:r>
          </w:p>
        </w:tc>
        <w:tc>
          <w:tcPr>
            <w:tcW w:w="1148" w:type="dxa"/>
            <w:tcBorders>
              <w:top w:val="single" w:sz="6" w:space="0" w:color="auto"/>
              <w:left w:val="single" w:sz="6" w:space="0" w:color="auto"/>
              <w:bottom w:val="single" w:sz="6" w:space="0" w:color="auto"/>
              <w:right w:val="single" w:sz="6" w:space="0" w:color="auto"/>
            </w:tcBorders>
            <w:vAlign w:val="center"/>
          </w:tcPr>
          <w:p w14:paraId="5CED7AD0"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224,537,312</w:t>
            </w:r>
          </w:p>
        </w:tc>
        <w:tc>
          <w:tcPr>
            <w:tcW w:w="945" w:type="dxa"/>
            <w:tcBorders>
              <w:top w:val="single" w:sz="6" w:space="0" w:color="auto"/>
              <w:left w:val="single" w:sz="6" w:space="0" w:color="auto"/>
              <w:bottom w:val="single" w:sz="6" w:space="0" w:color="auto"/>
              <w:right w:val="single" w:sz="6" w:space="0" w:color="auto"/>
            </w:tcBorders>
            <w:vAlign w:val="center"/>
          </w:tcPr>
          <w:p w14:paraId="1D8D5ED2"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77,617,253</w:t>
            </w:r>
          </w:p>
        </w:tc>
        <w:tc>
          <w:tcPr>
            <w:tcW w:w="865" w:type="dxa"/>
            <w:tcBorders>
              <w:top w:val="single" w:sz="6" w:space="0" w:color="auto"/>
              <w:left w:val="single" w:sz="6" w:space="0" w:color="auto"/>
              <w:bottom w:val="single" w:sz="6" w:space="0" w:color="auto"/>
              <w:right w:val="single" w:sz="6" w:space="0" w:color="auto"/>
            </w:tcBorders>
            <w:vAlign w:val="center"/>
          </w:tcPr>
          <w:p w14:paraId="537B6F49"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10,516,150</w:t>
            </w:r>
          </w:p>
        </w:tc>
        <w:tc>
          <w:tcPr>
            <w:tcW w:w="865" w:type="dxa"/>
            <w:tcBorders>
              <w:top w:val="single" w:sz="6" w:space="0" w:color="auto"/>
              <w:left w:val="single" w:sz="6" w:space="0" w:color="auto"/>
              <w:bottom w:val="single" w:sz="6" w:space="0" w:color="auto"/>
              <w:right w:val="single" w:sz="6" w:space="0" w:color="auto"/>
            </w:tcBorders>
            <w:vAlign w:val="center"/>
          </w:tcPr>
          <w:p w14:paraId="41692AEC"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4,569,768</w:t>
            </w:r>
          </w:p>
        </w:tc>
        <w:tc>
          <w:tcPr>
            <w:tcW w:w="865" w:type="dxa"/>
            <w:tcBorders>
              <w:top w:val="single" w:sz="6" w:space="0" w:color="auto"/>
              <w:left w:val="single" w:sz="6" w:space="0" w:color="auto"/>
              <w:bottom w:val="single" w:sz="6" w:space="0" w:color="auto"/>
              <w:right w:val="single" w:sz="6" w:space="0" w:color="auto"/>
            </w:tcBorders>
            <w:vAlign w:val="center"/>
          </w:tcPr>
          <w:p w14:paraId="7AA06CAF"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9,246,884</w:t>
            </w:r>
          </w:p>
        </w:tc>
        <w:tc>
          <w:tcPr>
            <w:tcW w:w="945" w:type="dxa"/>
            <w:tcBorders>
              <w:top w:val="single" w:sz="6" w:space="0" w:color="auto"/>
              <w:left w:val="single" w:sz="6" w:space="0" w:color="auto"/>
              <w:bottom w:val="single" w:sz="6" w:space="0" w:color="auto"/>
              <w:right w:val="single" w:sz="6" w:space="0" w:color="auto"/>
            </w:tcBorders>
            <w:vAlign w:val="center"/>
          </w:tcPr>
          <w:p w14:paraId="77766451"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28,362,948</w:t>
            </w:r>
          </w:p>
        </w:tc>
        <w:tc>
          <w:tcPr>
            <w:tcW w:w="1029" w:type="dxa"/>
            <w:tcBorders>
              <w:top w:val="single" w:sz="6" w:space="0" w:color="auto"/>
              <w:left w:val="single" w:sz="6" w:space="0" w:color="auto"/>
              <w:bottom w:val="single" w:sz="6" w:space="0" w:color="auto"/>
              <w:right w:val="single" w:sz="6" w:space="0" w:color="auto"/>
            </w:tcBorders>
            <w:vAlign w:val="center"/>
          </w:tcPr>
          <w:p w14:paraId="13F36340"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7B335069"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354,850,316</w:t>
            </w:r>
          </w:p>
        </w:tc>
      </w:tr>
      <w:tr w:rsidR="00D868AB" w:rsidRPr="00D868AB" w14:paraId="4A96B196" w14:textId="77777777" w:rsidTr="00A755A7">
        <w:trPr>
          <w:trHeight w:val="20"/>
        </w:trPr>
        <w:tc>
          <w:tcPr>
            <w:tcW w:w="1277" w:type="dxa"/>
            <w:tcBorders>
              <w:top w:val="single" w:sz="6" w:space="0" w:color="auto"/>
              <w:left w:val="single" w:sz="6" w:space="0" w:color="auto"/>
              <w:bottom w:val="single" w:sz="6" w:space="0" w:color="auto"/>
              <w:right w:val="single" w:sz="6" w:space="0" w:color="auto"/>
            </w:tcBorders>
            <w:shd w:val="solid" w:color="FFFFFF" w:fill="auto"/>
          </w:tcPr>
          <w:p w14:paraId="02488CA3" w14:textId="77777777" w:rsidR="00D868AB" w:rsidRPr="00D868AB" w:rsidRDefault="00D868AB" w:rsidP="00D868AB">
            <w:pPr>
              <w:autoSpaceDE w:val="0"/>
              <w:autoSpaceDN w:val="0"/>
              <w:adjustRightInd w:val="0"/>
              <w:jc w:val="left"/>
              <w:rPr>
                <w:rFonts w:eastAsiaTheme="minorHAnsi" w:cs="Arial"/>
                <w:color w:val="000000"/>
                <w:sz w:val="14"/>
                <w:szCs w:val="14"/>
                <w:lang w:eastAsia="en-US"/>
              </w:rPr>
            </w:pPr>
            <w:r w:rsidRPr="00D868AB">
              <w:rPr>
                <w:rFonts w:eastAsiaTheme="minorHAnsi" w:cs="Arial"/>
                <w:color w:val="000000"/>
                <w:sz w:val="14"/>
                <w:szCs w:val="14"/>
                <w:lang w:eastAsia="en-US"/>
              </w:rPr>
              <w:t>Comala</w:t>
            </w:r>
          </w:p>
        </w:tc>
        <w:tc>
          <w:tcPr>
            <w:tcW w:w="1148" w:type="dxa"/>
            <w:tcBorders>
              <w:top w:val="single" w:sz="6" w:space="0" w:color="auto"/>
              <w:left w:val="single" w:sz="6" w:space="0" w:color="auto"/>
              <w:bottom w:val="single" w:sz="6" w:space="0" w:color="auto"/>
              <w:right w:val="single" w:sz="6" w:space="0" w:color="auto"/>
            </w:tcBorders>
            <w:vAlign w:val="center"/>
          </w:tcPr>
          <w:p w14:paraId="3447FBCB"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60,372,994</w:t>
            </w:r>
          </w:p>
        </w:tc>
        <w:tc>
          <w:tcPr>
            <w:tcW w:w="945" w:type="dxa"/>
            <w:tcBorders>
              <w:top w:val="single" w:sz="6" w:space="0" w:color="auto"/>
              <w:left w:val="single" w:sz="6" w:space="0" w:color="auto"/>
              <w:bottom w:val="single" w:sz="6" w:space="0" w:color="auto"/>
              <w:right w:val="single" w:sz="6" w:space="0" w:color="auto"/>
            </w:tcBorders>
            <w:vAlign w:val="center"/>
          </w:tcPr>
          <w:p w14:paraId="48936587"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17,572,866</w:t>
            </w:r>
          </w:p>
        </w:tc>
        <w:tc>
          <w:tcPr>
            <w:tcW w:w="865" w:type="dxa"/>
            <w:tcBorders>
              <w:top w:val="single" w:sz="6" w:space="0" w:color="auto"/>
              <w:left w:val="single" w:sz="6" w:space="0" w:color="auto"/>
              <w:bottom w:val="single" w:sz="6" w:space="0" w:color="auto"/>
              <w:right w:val="single" w:sz="6" w:space="0" w:color="auto"/>
            </w:tcBorders>
            <w:vAlign w:val="center"/>
          </w:tcPr>
          <w:p w14:paraId="59AAC129"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3,759,488</w:t>
            </w:r>
          </w:p>
        </w:tc>
        <w:tc>
          <w:tcPr>
            <w:tcW w:w="865" w:type="dxa"/>
            <w:tcBorders>
              <w:top w:val="single" w:sz="6" w:space="0" w:color="auto"/>
              <w:left w:val="single" w:sz="6" w:space="0" w:color="auto"/>
              <w:bottom w:val="single" w:sz="6" w:space="0" w:color="auto"/>
              <w:right w:val="single" w:sz="6" w:space="0" w:color="auto"/>
            </w:tcBorders>
            <w:vAlign w:val="center"/>
          </w:tcPr>
          <w:p w14:paraId="06C128ED"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2,010,804</w:t>
            </w:r>
          </w:p>
        </w:tc>
        <w:tc>
          <w:tcPr>
            <w:tcW w:w="865" w:type="dxa"/>
            <w:tcBorders>
              <w:top w:val="single" w:sz="6" w:space="0" w:color="auto"/>
              <w:left w:val="single" w:sz="6" w:space="0" w:color="auto"/>
              <w:bottom w:val="single" w:sz="6" w:space="0" w:color="auto"/>
              <w:right w:val="single" w:sz="6" w:space="0" w:color="auto"/>
            </w:tcBorders>
            <w:vAlign w:val="center"/>
          </w:tcPr>
          <w:p w14:paraId="3B4BB635"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3,819,441</w:t>
            </w:r>
          </w:p>
        </w:tc>
        <w:tc>
          <w:tcPr>
            <w:tcW w:w="945" w:type="dxa"/>
            <w:tcBorders>
              <w:top w:val="single" w:sz="6" w:space="0" w:color="auto"/>
              <w:left w:val="single" w:sz="6" w:space="0" w:color="auto"/>
              <w:bottom w:val="single" w:sz="6" w:space="0" w:color="auto"/>
              <w:right w:val="single" w:sz="6" w:space="0" w:color="auto"/>
            </w:tcBorders>
            <w:vAlign w:val="center"/>
          </w:tcPr>
          <w:p w14:paraId="6299EC3D"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5,650,236</w:t>
            </w:r>
          </w:p>
        </w:tc>
        <w:tc>
          <w:tcPr>
            <w:tcW w:w="1029" w:type="dxa"/>
            <w:tcBorders>
              <w:top w:val="single" w:sz="6" w:space="0" w:color="auto"/>
              <w:left w:val="single" w:sz="6" w:space="0" w:color="auto"/>
              <w:bottom w:val="single" w:sz="6" w:space="0" w:color="auto"/>
              <w:right w:val="single" w:sz="6" w:space="0" w:color="auto"/>
            </w:tcBorders>
            <w:vAlign w:val="center"/>
          </w:tcPr>
          <w:p w14:paraId="4608C9F5"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5A38A820"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93,185,828</w:t>
            </w:r>
          </w:p>
        </w:tc>
      </w:tr>
      <w:tr w:rsidR="00D868AB" w:rsidRPr="00D868AB" w14:paraId="76C8850E" w14:textId="77777777" w:rsidTr="00A755A7">
        <w:trPr>
          <w:trHeight w:val="20"/>
        </w:trPr>
        <w:tc>
          <w:tcPr>
            <w:tcW w:w="1277" w:type="dxa"/>
            <w:tcBorders>
              <w:top w:val="single" w:sz="6" w:space="0" w:color="auto"/>
              <w:left w:val="single" w:sz="6" w:space="0" w:color="auto"/>
              <w:bottom w:val="single" w:sz="6" w:space="0" w:color="auto"/>
              <w:right w:val="single" w:sz="6" w:space="0" w:color="auto"/>
            </w:tcBorders>
            <w:shd w:val="solid" w:color="FFFFFF" w:fill="auto"/>
          </w:tcPr>
          <w:p w14:paraId="122798CB" w14:textId="77777777" w:rsidR="00D868AB" w:rsidRPr="00D868AB" w:rsidRDefault="00D868AB" w:rsidP="00D868AB">
            <w:pPr>
              <w:autoSpaceDE w:val="0"/>
              <w:autoSpaceDN w:val="0"/>
              <w:adjustRightInd w:val="0"/>
              <w:jc w:val="left"/>
              <w:rPr>
                <w:rFonts w:eastAsiaTheme="minorHAnsi" w:cs="Arial"/>
                <w:color w:val="000000"/>
                <w:sz w:val="14"/>
                <w:szCs w:val="14"/>
                <w:lang w:eastAsia="en-US"/>
              </w:rPr>
            </w:pPr>
            <w:r w:rsidRPr="00D868AB">
              <w:rPr>
                <w:rFonts w:eastAsiaTheme="minorHAnsi" w:cs="Arial"/>
                <w:color w:val="000000"/>
                <w:sz w:val="14"/>
                <w:szCs w:val="14"/>
                <w:lang w:eastAsia="en-US"/>
              </w:rPr>
              <w:t>Coquimatlán</w:t>
            </w:r>
          </w:p>
        </w:tc>
        <w:tc>
          <w:tcPr>
            <w:tcW w:w="1148" w:type="dxa"/>
            <w:tcBorders>
              <w:top w:val="single" w:sz="6" w:space="0" w:color="auto"/>
              <w:left w:val="single" w:sz="6" w:space="0" w:color="auto"/>
              <w:bottom w:val="single" w:sz="6" w:space="0" w:color="auto"/>
              <w:right w:val="single" w:sz="6" w:space="0" w:color="auto"/>
            </w:tcBorders>
            <w:vAlign w:val="center"/>
          </w:tcPr>
          <w:p w14:paraId="141D5A4C"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50,096,507</w:t>
            </w:r>
          </w:p>
        </w:tc>
        <w:tc>
          <w:tcPr>
            <w:tcW w:w="945" w:type="dxa"/>
            <w:tcBorders>
              <w:top w:val="single" w:sz="6" w:space="0" w:color="auto"/>
              <w:left w:val="single" w:sz="6" w:space="0" w:color="auto"/>
              <w:bottom w:val="single" w:sz="6" w:space="0" w:color="auto"/>
              <w:right w:val="single" w:sz="6" w:space="0" w:color="auto"/>
            </w:tcBorders>
            <w:vAlign w:val="center"/>
          </w:tcPr>
          <w:p w14:paraId="451DD214"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16,677,073</w:t>
            </w:r>
          </w:p>
        </w:tc>
        <w:tc>
          <w:tcPr>
            <w:tcW w:w="865" w:type="dxa"/>
            <w:tcBorders>
              <w:top w:val="single" w:sz="6" w:space="0" w:color="auto"/>
              <w:left w:val="single" w:sz="6" w:space="0" w:color="auto"/>
              <w:bottom w:val="single" w:sz="6" w:space="0" w:color="auto"/>
              <w:right w:val="single" w:sz="6" w:space="0" w:color="auto"/>
            </w:tcBorders>
            <w:vAlign w:val="center"/>
          </w:tcPr>
          <w:p w14:paraId="24111326"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2,577,881</w:t>
            </w:r>
          </w:p>
        </w:tc>
        <w:tc>
          <w:tcPr>
            <w:tcW w:w="865" w:type="dxa"/>
            <w:tcBorders>
              <w:top w:val="single" w:sz="6" w:space="0" w:color="auto"/>
              <w:left w:val="single" w:sz="6" w:space="0" w:color="auto"/>
              <w:bottom w:val="single" w:sz="6" w:space="0" w:color="auto"/>
              <w:right w:val="single" w:sz="6" w:space="0" w:color="auto"/>
            </w:tcBorders>
            <w:vAlign w:val="center"/>
          </w:tcPr>
          <w:p w14:paraId="3E185007"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1,691,151</w:t>
            </w:r>
          </w:p>
        </w:tc>
        <w:tc>
          <w:tcPr>
            <w:tcW w:w="865" w:type="dxa"/>
            <w:tcBorders>
              <w:top w:val="single" w:sz="6" w:space="0" w:color="auto"/>
              <w:left w:val="single" w:sz="6" w:space="0" w:color="auto"/>
              <w:bottom w:val="single" w:sz="6" w:space="0" w:color="auto"/>
              <w:right w:val="single" w:sz="6" w:space="0" w:color="auto"/>
            </w:tcBorders>
            <w:vAlign w:val="center"/>
          </w:tcPr>
          <w:p w14:paraId="45C2F15D"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1,390,437</w:t>
            </w:r>
          </w:p>
        </w:tc>
        <w:tc>
          <w:tcPr>
            <w:tcW w:w="945" w:type="dxa"/>
            <w:tcBorders>
              <w:top w:val="single" w:sz="6" w:space="0" w:color="auto"/>
              <w:left w:val="single" w:sz="6" w:space="0" w:color="auto"/>
              <w:bottom w:val="single" w:sz="6" w:space="0" w:color="auto"/>
              <w:right w:val="single" w:sz="6" w:space="0" w:color="auto"/>
            </w:tcBorders>
            <w:vAlign w:val="center"/>
          </w:tcPr>
          <w:p w14:paraId="62B247F0"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3,798,578</w:t>
            </w:r>
          </w:p>
        </w:tc>
        <w:tc>
          <w:tcPr>
            <w:tcW w:w="1029" w:type="dxa"/>
            <w:tcBorders>
              <w:top w:val="single" w:sz="6" w:space="0" w:color="auto"/>
              <w:left w:val="single" w:sz="6" w:space="0" w:color="auto"/>
              <w:bottom w:val="single" w:sz="6" w:space="0" w:color="auto"/>
              <w:right w:val="single" w:sz="6" w:space="0" w:color="auto"/>
            </w:tcBorders>
            <w:vAlign w:val="center"/>
          </w:tcPr>
          <w:p w14:paraId="6C7EA324"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51459DEE"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76,231,627</w:t>
            </w:r>
          </w:p>
        </w:tc>
      </w:tr>
      <w:tr w:rsidR="00D868AB" w:rsidRPr="00D868AB" w14:paraId="5AB43204" w14:textId="77777777" w:rsidTr="00A755A7">
        <w:trPr>
          <w:trHeight w:val="20"/>
        </w:trPr>
        <w:tc>
          <w:tcPr>
            <w:tcW w:w="1277" w:type="dxa"/>
            <w:tcBorders>
              <w:top w:val="single" w:sz="6" w:space="0" w:color="auto"/>
              <w:left w:val="single" w:sz="6" w:space="0" w:color="auto"/>
              <w:bottom w:val="single" w:sz="6" w:space="0" w:color="auto"/>
              <w:right w:val="single" w:sz="6" w:space="0" w:color="auto"/>
            </w:tcBorders>
            <w:shd w:val="solid" w:color="FFFFFF" w:fill="auto"/>
          </w:tcPr>
          <w:p w14:paraId="05A562E0" w14:textId="77777777" w:rsidR="00D868AB" w:rsidRPr="00D868AB" w:rsidRDefault="00D868AB" w:rsidP="00D868AB">
            <w:pPr>
              <w:autoSpaceDE w:val="0"/>
              <w:autoSpaceDN w:val="0"/>
              <w:adjustRightInd w:val="0"/>
              <w:jc w:val="left"/>
              <w:rPr>
                <w:rFonts w:eastAsiaTheme="minorHAnsi" w:cs="Arial"/>
                <w:color w:val="000000"/>
                <w:sz w:val="14"/>
                <w:szCs w:val="14"/>
                <w:lang w:eastAsia="en-US"/>
              </w:rPr>
            </w:pPr>
            <w:r w:rsidRPr="00D868AB">
              <w:rPr>
                <w:rFonts w:eastAsiaTheme="minorHAnsi" w:cs="Arial"/>
                <w:color w:val="000000"/>
                <w:sz w:val="14"/>
                <w:szCs w:val="14"/>
                <w:lang w:eastAsia="en-US"/>
              </w:rPr>
              <w:t>Cuauhtémoc</w:t>
            </w:r>
          </w:p>
        </w:tc>
        <w:tc>
          <w:tcPr>
            <w:tcW w:w="1148" w:type="dxa"/>
            <w:tcBorders>
              <w:top w:val="single" w:sz="6" w:space="0" w:color="auto"/>
              <w:left w:val="single" w:sz="6" w:space="0" w:color="auto"/>
              <w:bottom w:val="single" w:sz="6" w:space="0" w:color="auto"/>
              <w:right w:val="single" w:sz="6" w:space="0" w:color="auto"/>
            </w:tcBorders>
            <w:vAlign w:val="center"/>
          </w:tcPr>
          <w:p w14:paraId="34CED75C"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67,296,426</w:t>
            </w:r>
          </w:p>
        </w:tc>
        <w:tc>
          <w:tcPr>
            <w:tcW w:w="945" w:type="dxa"/>
            <w:tcBorders>
              <w:top w:val="single" w:sz="6" w:space="0" w:color="auto"/>
              <w:left w:val="single" w:sz="6" w:space="0" w:color="auto"/>
              <w:bottom w:val="single" w:sz="6" w:space="0" w:color="auto"/>
              <w:right w:val="single" w:sz="6" w:space="0" w:color="auto"/>
            </w:tcBorders>
            <w:vAlign w:val="center"/>
          </w:tcPr>
          <w:p w14:paraId="7E28AFCC"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19,900,011</w:t>
            </w:r>
          </w:p>
        </w:tc>
        <w:tc>
          <w:tcPr>
            <w:tcW w:w="865" w:type="dxa"/>
            <w:tcBorders>
              <w:top w:val="single" w:sz="6" w:space="0" w:color="auto"/>
              <w:left w:val="single" w:sz="6" w:space="0" w:color="auto"/>
              <w:bottom w:val="single" w:sz="6" w:space="0" w:color="auto"/>
              <w:right w:val="single" w:sz="6" w:space="0" w:color="auto"/>
            </w:tcBorders>
            <w:vAlign w:val="center"/>
          </w:tcPr>
          <w:p w14:paraId="79ED1AF8"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3,287,570</w:t>
            </w:r>
          </w:p>
        </w:tc>
        <w:tc>
          <w:tcPr>
            <w:tcW w:w="865" w:type="dxa"/>
            <w:tcBorders>
              <w:top w:val="single" w:sz="6" w:space="0" w:color="auto"/>
              <w:left w:val="single" w:sz="6" w:space="0" w:color="auto"/>
              <w:bottom w:val="single" w:sz="6" w:space="0" w:color="auto"/>
              <w:right w:val="single" w:sz="6" w:space="0" w:color="auto"/>
            </w:tcBorders>
            <w:vAlign w:val="center"/>
          </w:tcPr>
          <w:p w14:paraId="183091A9"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2,067,640</w:t>
            </w:r>
          </w:p>
        </w:tc>
        <w:tc>
          <w:tcPr>
            <w:tcW w:w="865" w:type="dxa"/>
            <w:tcBorders>
              <w:top w:val="single" w:sz="6" w:space="0" w:color="auto"/>
              <w:left w:val="single" w:sz="6" w:space="0" w:color="auto"/>
              <w:bottom w:val="single" w:sz="6" w:space="0" w:color="auto"/>
              <w:right w:val="single" w:sz="6" w:space="0" w:color="auto"/>
            </w:tcBorders>
            <w:vAlign w:val="center"/>
          </w:tcPr>
          <w:p w14:paraId="1A50B3B9"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4,827,679</w:t>
            </w:r>
          </w:p>
        </w:tc>
        <w:tc>
          <w:tcPr>
            <w:tcW w:w="945" w:type="dxa"/>
            <w:tcBorders>
              <w:top w:val="single" w:sz="6" w:space="0" w:color="auto"/>
              <w:left w:val="single" w:sz="6" w:space="0" w:color="auto"/>
              <w:bottom w:val="single" w:sz="6" w:space="0" w:color="auto"/>
              <w:right w:val="single" w:sz="6" w:space="0" w:color="auto"/>
            </w:tcBorders>
            <w:vAlign w:val="center"/>
          </w:tcPr>
          <w:p w14:paraId="250B83F2"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5,500,000</w:t>
            </w:r>
          </w:p>
        </w:tc>
        <w:tc>
          <w:tcPr>
            <w:tcW w:w="1029" w:type="dxa"/>
            <w:tcBorders>
              <w:top w:val="single" w:sz="6" w:space="0" w:color="auto"/>
              <w:left w:val="single" w:sz="6" w:space="0" w:color="auto"/>
              <w:bottom w:val="single" w:sz="6" w:space="0" w:color="auto"/>
              <w:right w:val="single" w:sz="6" w:space="0" w:color="auto"/>
            </w:tcBorders>
            <w:vAlign w:val="center"/>
          </w:tcPr>
          <w:p w14:paraId="45D1962F"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147B568E"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102,879,326</w:t>
            </w:r>
          </w:p>
        </w:tc>
      </w:tr>
      <w:tr w:rsidR="00D868AB" w:rsidRPr="00D868AB" w14:paraId="6F35DDE4" w14:textId="77777777" w:rsidTr="00A755A7">
        <w:trPr>
          <w:trHeight w:val="20"/>
        </w:trPr>
        <w:tc>
          <w:tcPr>
            <w:tcW w:w="1277" w:type="dxa"/>
            <w:tcBorders>
              <w:top w:val="single" w:sz="6" w:space="0" w:color="auto"/>
              <w:left w:val="single" w:sz="6" w:space="0" w:color="auto"/>
              <w:bottom w:val="single" w:sz="6" w:space="0" w:color="auto"/>
              <w:right w:val="single" w:sz="6" w:space="0" w:color="auto"/>
            </w:tcBorders>
            <w:shd w:val="solid" w:color="FFFFFF" w:fill="auto"/>
          </w:tcPr>
          <w:p w14:paraId="4DEFB8A4" w14:textId="77777777" w:rsidR="00D868AB" w:rsidRPr="00D868AB" w:rsidRDefault="00D868AB" w:rsidP="00D868AB">
            <w:pPr>
              <w:autoSpaceDE w:val="0"/>
              <w:autoSpaceDN w:val="0"/>
              <w:adjustRightInd w:val="0"/>
              <w:jc w:val="left"/>
              <w:rPr>
                <w:rFonts w:eastAsiaTheme="minorHAnsi" w:cs="Arial"/>
                <w:color w:val="000000"/>
                <w:sz w:val="14"/>
                <w:szCs w:val="14"/>
                <w:lang w:eastAsia="en-US"/>
              </w:rPr>
            </w:pPr>
            <w:r w:rsidRPr="00D868AB">
              <w:rPr>
                <w:rFonts w:eastAsiaTheme="minorHAnsi" w:cs="Arial"/>
                <w:color w:val="000000"/>
                <w:sz w:val="14"/>
                <w:szCs w:val="14"/>
                <w:lang w:eastAsia="en-US"/>
              </w:rPr>
              <w:t>Ixtlahuacán</w:t>
            </w:r>
          </w:p>
        </w:tc>
        <w:tc>
          <w:tcPr>
            <w:tcW w:w="1148" w:type="dxa"/>
            <w:tcBorders>
              <w:top w:val="single" w:sz="6" w:space="0" w:color="auto"/>
              <w:left w:val="single" w:sz="6" w:space="0" w:color="auto"/>
              <w:bottom w:val="single" w:sz="6" w:space="0" w:color="auto"/>
              <w:right w:val="single" w:sz="6" w:space="0" w:color="auto"/>
            </w:tcBorders>
            <w:vAlign w:val="center"/>
          </w:tcPr>
          <w:p w14:paraId="008B48B8"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74,816,407</w:t>
            </w:r>
          </w:p>
        </w:tc>
        <w:tc>
          <w:tcPr>
            <w:tcW w:w="945" w:type="dxa"/>
            <w:tcBorders>
              <w:top w:val="single" w:sz="6" w:space="0" w:color="auto"/>
              <w:left w:val="single" w:sz="6" w:space="0" w:color="auto"/>
              <w:bottom w:val="single" w:sz="6" w:space="0" w:color="auto"/>
              <w:right w:val="single" w:sz="6" w:space="0" w:color="auto"/>
            </w:tcBorders>
            <w:vAlign w:val="center"/>
          </w:tcPr>
          <w:p w14:paraId="7A7165D9"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22,681,707</w:t>
            </w:r>
          </w:p>
        </w:tc>
        <w:tc>
          <w:tcPr>
            <w:tcW w:w="865" w:type="dxa"/>
            <w:tcBorders>
              <w:top w:val="single" w:sz="6" w:space="0" w:color="auto"/>
              <w:left w:val="single" w:sz="6" w:space="0" w:color="auto"/>
              <w:bottom w:val="single" w:sz="6" w:space="0" w:color="auto"/>
              <w:right w:val="single" w:sz="6" w:space="0" w:color="auto"/>
            </w:tcBorders>
            <w:vAlign w:val="center"/>
          </w:tcPr>
          <w:p w14:paraId="6B5D4013"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4,296,979</w:t>
            </w:r>
          </w:p>
        </w:tc>
        <w:tc>
          <w:tcPr>
            <w:tcW w:w="865" w:type="dxa"/>
            <w:tcBorders>
              <w:top w:val="single" w:sz="6" w:space="0" w:color="auto"/>
              <w:left w:val="single" w:sz="6" w:space="0" w:color="auto"/>
              <w:bottom w:val="single" w:sz="6" w:space="0" w:color="auto"/>
              <w:right w:val="single" w:sz="6" w:space="0" w:color="auto"/>
            </w:tcBorders>
            <w:vAlign w:val="center"/>
          </w:tcPr>
          <w:p w14:paraId="73700339"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2,700,363</w:t>
            </w:r>
          </w:p>
        </w:tc>
        <w:tc>
          <w:tcPr>
            <w:tcW w:w="865" w:type="dxa"/>
            <w:tcBorders>
              <w:top w:val="single" w:sz="6" w:space="0" w:color="auto"/>
              <w:left w:val="single" w:sz="6" w:space="0" w:color="auto"/>
              <w:bottom w:val="single" w:sz="6" w:space="0" w:color="auto"/>
              <w:right w:val="single" w:sz="6" w:space="0" w:color="auto"/>
            </w:tcBorders>
            <w:vAlign w:val="center"/>
          </w:tcPr>
          <w:p w14:paraId="2B389852"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547,107</w:t>
            </w:r>
          </w:p>
        </w:tc>
        <w:tc>
          <w:tcPr>
            <w:tcW w:w="945" w:type="dxa"/>
            <w:tcBorders>
              <w:top w:val="single" w:sz="6" w:space="0" w:color="auto"/>
              <w:left w:val="single" w:sz="6" w:space="0" w:color="auto"/>
              <w:bottom w:val="single" w:sz="6" w:space="0" w:color="auto"/>
              <w:right w:val="single" w:sz="6" w:space="0" w:color="auto"/>
            </w:tcBorders>
            <w:vAlign w:val="center"/>
          </w:tcPr>
          <w:p w14:paraId="353849F2"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3,494,506</w:t>
            </w:r>
          </w:p>
        </w:tc>
        <w:tc>
          <w:tcPr>
            <w:tcW w:w="1029" w:type="dxa"/>
            <w:tcBorders>
              <w:top w:val="single" w:sz="6" w:space="0" w:color="auto"/>
              <w:left w:val="single" w:sz="6" w:space="0" w:color="auto"/>
              <w:bottom w:val="single" w:sz="6" w:space="0" w:color="auto"/>
              <w:right w:val="single" w:sz="6" w:space="0" w:color="auto"/>
            </w:tcBorders>
            <w:vAlign w:val="center"/>
          </w:tcPr>
          <w:p w14:paraId="4B799FAE"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13EFBD17"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108,537,068</w:t>
            </w:r>
          </w:p>
        </w:tc>
      </w:tr>
      <w:tr w:rsidR="00D868AB" w:rsidRPr="00D868AB" w14:paraId="727931AF" w14:textId="77777777" w:rsidTr="00A755A7">
        <w:trPr>
          <w:trHeight w:val="20"/>
        </w:trPr>
        <w:tc>
          <w:tcPr>
            <w:tcW w:w="1277" w:type="dxa"/>
            <w:tcBorders>
              <w:top w:val="single" w:sz="6" w:space="0" w:color="auto"/>
              <w:left w:val="single" w:sz="6" w:space="0" w:color="auto"/>
              <w:bottom w:val="single" w:sz="6" w:space="0" w:color="auto"/>
              <w:right w:val="single" w:sz="6" w:space="0" w:color="auto"/>
            </w:tcBorders>
            <w:shd w:val="solid" w:color="FFFFFF" w:fill="auto"/>
          </w:tcPr>
          <w:p w14:paraId="008E590F" w14:textId="77777777" w:rsidR="00D868AB" w:rsidRPr="00D868AB" w:rsidRDefault="00D868AB" w:rsidP="00D868AB">
            <w:pPr>
              <w:autoSpaceDE w:val="0"/>
              <w:autoSpaceDN w:val="0"/>
              <w:adjustRightInd w:val="0"/>
              <w:jc w:val="left"/>
              <w:rPr>
                <w:rFonts w:eastAsiaTheme="minorHAnsi" w:cs="Arial"/>
                <w:color w:val="000000"/>
                <w:sz w:val="14"/>
                <w:szCs w:val="14"/>
                <w:lang w:eastAsia="en-US"/>
              </w:rPr>
            </w:pPr>
            <w:r w:rsidRPr="00D868AB">
              <w:rPr>
                <w:rFonts w:eastAsiaTheme="minorHAnsi" w:cs="Arial"/>
                <w:color w:val="000000"/>
                <w:sz w:val="14"/>
                <w:szCs w:val="14"/>
                <w:lang w:eastAsia="en-US"/>
              </w:rPr>
              <w:t>Manzanillo</w:t>
            </w:r>
          </w:p>
        </w:tc>
        <w:tc>
          <w:tcPr>
            <w:tcW w:w="1148" w:type="dxa"/>
            <w:tcBorders>
              <w:top w:val="single" w:sz="6" w:space="0" w:color="auto"/>
              <w:left w:val="single" w:sz="6" w:space="0" w:color="auto"/>
              <w:bottom w:val="single" w:sz="6" w:space="0" w:color="auto"/>
              <w:right w:val="single" w:sz="6" w:space="0" w:color="auto"/>
            </w:tcBorders>
            <w:vAlign w:val="center"/>
          </w:tcPr>
          <w:p w14:paraId="6FFB5735"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249,634,118</w:t>
            </w:r>
          </w:p>
        </w:tc>
        <w:tc>
          <w:tcPr>
            <w:tcW w:w="945" w:type="dxa"/>
            <w:tcBorders>
              <w:top w:val="single" w:sz="6" w:space="0" w:color="auto"/>
              <w:left w:val="single" w:sz="6" w:space="0" w:color="auto"/>
              <w:bottom w:val="single" w:sz="6" w:space="0" w:color="auto"/>
              <w:right w:val="single" w:sz="6" w:space="0" w:color="auto"/>
            </w:tcBorders>
            <w:vAlign w:val="center"/>
          </w:tcPr>
          <w:p w14:paraId="184D8664"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85,233,710</w:t>
            </w:r>
          </w:p>
        </w:tc>
        <w:tc>
          <w:tcPr>
            <w:tcW w:w="865" w:type="dxa"/>
            <w:tcBorders>
              <w:top w:val="single" w:sz="6" w:space="0" w:color="auto"/>
              <w:left w:val="single" w:sz="6" w:space="0" w:color="auto"/>
              <w:bottom w:val="single" w:sz="6" w:space="0" w:color="auto"/>
              <w:right w:val="single" w:sz="6" w:space="0" w:color="auto"/>
            </w:tcBorders>
            <w:vAlign w:val="center"/>
          </w:tcPr>
          <w:p w14:paraId="71296C30"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11,495,048</w:t>
            </w:r>
          </w:p>
        </w:tc>
        <w:tc>
          <w:tcPr>
            <w:tcW w:w="865" w:type="dxa"/>
            <w:tcBorders>
              <w:top w:val="single" w:sz="6" w:space="0" w:color="auto"/>
              <w:left w:val="single" w:sz="6" w:space="0" w:color="auto"/>
              <w:bottom w:val="single" w:sz="6" w:space="0" w:color="auto"/>
              <w:right w:val="single" w:sz="6" w:space="0" w:color="auto"/>
            </w:tcBorders>
            <w:vAlign w:val="center"/>
          </w:tcPr>
          <w:p w14:paraId="5D2860AD"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5,089,115</w:t>
            </w:r>
          </w:p>
        </w:tc>
        <w:tc>
          <w:tcPr>
            <w:tcW w:w="865" w:type="dxa"/>
            <w:tcBorders>
              <w:top w:val="single" w:sz="6" w:space="0" w:color="auto"/>
              <w:left w:val="single" w:sz="6" w:space="0" w:color="auto"/>
              <w:bottom w:val="single" w:sz="6" w:space="0" w:color="auto"/>
              <w:right w:val="single" w:sz="6" w:space="0" w:color="auto"/>
            </w:tcBorders>
            <w:vAlign w:val="center"/>
          </w:tcPr>
          <w:p w14:paraId="7111B4C5"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11,697,216</w:t>
            </w:r>
          </w:p>
        </w:tc>
        <w:tc>
          <w:tcPr>
            <w:tcW w:w="945" w:type="dxa"/>
            <w:tcBorders>
              <w:top w:val="single" w:sz="6" w:space="0" w:color="auto"/>
              <w:left w:val="single" w:sz="6" w:space="0" w:color="auto"/>
              <w:bottom w:val="single" w:sz="6" w:space="0" w:color="auto"/>
              <w:right w:val="single" w:sz="6" w:space="0" w:color="auto"/>
            </w:tcBorders>
            <w:vAlign w:val="center"/>
          </w:tcPr>
          <w:p w14:paraId="4F50E74C"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53,424,478</w:t>
            </w:r>
          </w:p>
        </w:tc>
        <w:tc>
          <w:tcPr>
            <w:tcW w:w="1029" w:type="dxa"/>
            <w:tcBorders>
              <w:top w:val="single" w:sz="6" w:space="0" w:color="auto"/>
              <w:left w:val="single" w:sz="6" w:space="0" w:color="auto"/>
              <w:bottom w:val="single" w:sz="6" w:space="0" w:color="auto"/>
              <w:right w:val="single" w:sz="6" w:space="0" w:color="auto"/>
            </w:tcBorders>
            <w:vAlign w:val="center"/>
          </w:tcPr>
          <w:p w14:paraId="6DC620A7"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186,555,132</w:t>
            </w:r>
          </w:p>
        </w:tc>
        <w:tc>
          <w:tcPr>
            <w:tcW w:w="1134" w:type="dxa"/>
            <w:tcBorders>
              <w:top w:val="single" w:sz="6" w:space="0" w:color="auto"/>
              <w:left w:val="single" w:sz="6" w:space="0" w:color="auto"/>
              <w:bottom w:val="single" w:sz="6" w:space="0" w:color="auto"/>
              <w:right w:val="single" w:sz="6" w:space="0" w:color="auto"/>
            </w:tcBorders>
            <w:vAlign w:val="center"/>
          </w:tcPr>
          <w:p w14:paraId="64DFA2E6"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603,128,818</w:t>
            </w:r>
          </w:p>
        </w:tc>
      </w:tr>
      <w:tr w:rsidR="00D868AB" w:rsidRPr="00D868AB" w14:paraId="5911F65F" w14:textId="77777777" w:rsidTr="00A755A7">
        <w:trPr>
          <w:trHeight w:val="20"/>
        </w:trPr>
        <w:tc>
          <w:tcPr>
            <w:tcW w:w="1277" w:type="dxa"/>
            <w:tcBorders>
              <w:top w:val="single" w:sz="6" w:space="0" w:color="auto"/>
              <w:left w:val="single" w:sz="6" w:space="0" w:color="auto"/>
              <w:bottom w:val="single" w:sz="6" w:space="0" w:color="auto"/>
              <w:right w:val="single" w:sz="6" w:space="0" w:color="auto"/>
            </w:tcBorders>
            <w:shd w:val="solid" w:color="FFFFFF" w:fill="auto"/>
          </w:tcPr>
          <w:p w14:paraId="2E740880" w14:textId="77777777" w:rsidR="00D868AB" w:rsidRPr="00D868AB" w:rsidRDefault="00D868AB" w:rsidP="00D868AB">
            <w:pPr>
              <w:autoSpaceDE w:val="0"/>
              <w:autoSpaceDN w:val="0"/>
              <w:adjustRightInd w:val="0"/>
              <w:jc w:val="left"/>
              <w:rPr>
                <w:rFonts w:eastAsiaTheme="minorHAnsi" w:cs="Arial"/>
                <w:color w:val="000000"/>
                <w:sz w:val="14"/>
                <w:szCs w:val="14"/>
                <w:lang w:eastAsia="en-US"/>
              </w:rPr>
            </w:pPr>
            <w:r w:rsidRPr="00D868AB">
              <w:rPr>
                <w:rFonts w:eastAsiaTheme="minorHAnsi" w:cs="Arial"/>
                <w:color w:val="000000"/>
                <w:sz w:val="14"/>
                <w:szCs w:val="14"/>
                <w:lang w:eastAsia="en-US"/>
              </w:rPr>
              <w:t>Minatitlán</w:t>
            </w:r>
          </w:p>
        </w:tc>
        <w:tc>
          <w:tcPr>
            <w:tcW w:w="1148" w:type="dxa"/>
            <w:tcBorders>
              <w:top w:val="single" w:sz="6" w:space="0" w:color="auto"/>
              <w:left w:val="single" w:sz="6" w:space="0" w:color="auto"/>
              <w:bottom w:val="single" w:sz="6" w:space="0" w:color="auto"/>
              <w:right w:val="single" w:sz="6" w:space="0" w:color="auto"/>
            </w:tcBorders>
            <w:vAlign w:val="center"/>
          </w:tcPr>
          <w:p w14:paraId="3476EF24"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72,211,477</w:t>
            </w:r>
          </w:p>
        </w:tc>
        <w:tc>
          <w:tcPr>
            <w:tcW w:w="945" w:type="dxa"/>
            <w:tcBorders>
              <w:top w:val="single" w:sz="6" w:space="0" w:color="auto"/>
              <w:left w:val="single" w:sz="6" w:space="0" w:color="auto"/>
              <w:bottom w:val="single" w:sz="6" w:space="0" w:color="auto"/>
              <w:right w:val="single" w:sz="6" w:space="0" w:color="auto"/>
            </w:tcBorders>
            <w:vAlign w:val="center"/>
          </w:tcPr>
          <w:p w14:paraId="51C10D59"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16,844,109</w:t>
            </w:r>
          </w:p>
        </w:tc>
        <w:tc>
          <w:tcPr>
            <w:tcW w:w="865" w:type="dxa"/>
            <w:tcBorders>
              <w:top w:val="single" w:sz="6" w:space="0" w:color="auto"/>
              <w:left w:val="single" w:sz="6" w:space="0" w:color="auto"/>
              <w:bottom w:val="single" w:sz="6" w:space="0" w:color="auto"/>
              <w:right w:val="single" w:sz="6" w:space="0" w:color="auto"/>
            </w:tcBorders>
            <w:vAlign w:val="center"/>
          </w:tcPr>
          <w:p w14:paraId="7629DDEE"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4,133,480</w:t>
            </w:r>
          </w:p>
        </w:tc>
        <w:tc>
          <w:tcPr>
            <w:tcW w:w="865" w:type="dxa"/>
            <w:tcBorders>
              <w:top w:val="single" w:sz="6" w:space="0" w:color="auto"/>
              <w:left w:val="single" w:sz="6" w:space="0" w:color="auto"/>
              <w:bottom w:val="single" w:sz="6" w:space="0" w:color="auto"/>
              <w:right w:val="single" w:sz="6" w:space="0" w:color="auto"/>
            </w:tcBorders>
            <w:vAlign w:val="center"/>
          </w:tcPr>
          <w:p w14:paraId="3F33E20E"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3,010,195</w:t>
            </w:r>
          </w:p>
        </w:tc>
        <w:tc>
          <w:tcPr>
            <w:tcW w:w="865" w:type="dxa"/>
            <w:tcBorders>
              <w:top w:val="single" w:sz="6" w:space="0" w:color="auto"/>
              <w:left w:val="single" w:sz="6" w:space="0" w:color="auto"/>
              <w:bottom w:val="single" w:sz="6" w:space="0" w:color="auto"/>
              <w:right w:val="single" w:sz="6" w:space="0" w:color="auto"/>
            </w:tcBorders>
            <w:vAlign w:val="center"/>
          </w:tcPr>
          <w:p w14:paraId="447410D2"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2,064,897</w:t>
            </w:r>
          </w:p>
        </w:tc>
        <w:tc>
          <w:tcPr>
            <w:tcW w:w="945" w:type="dxa"/>
            <w:tcBorders>
              <w:top w:val="single" w:sz="6" w:space="0" w:color="auto"/>
              <w:left w:val="single" w:sz="6" w:space="0" w:color="auto"/>
              <w:bottom w:val="single" w:sz="6" w:space="0" w:color="auto"/>
              <w:right w:val="single" w:sz="6" w:space="0" w:color="auto"/>
            </w:tcBorders>
            <w:vAlign w:val="center"/>
          </w:tcPr>
          <w:p w14:paraId="33B62B0C"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2,628,071</w:t>
            </w:r>
          </w:p>
        </w:tc>
        <w:tc>
          <w:tcPr>
            <w:tcW w:w="1029" w:type="dxa"/>
            <w:tcBorders>
              <w:top w:val="single" w:sz="6" w:space="0" w:color="auto"/>
              <w:left w:val="single" w:sz="6" w:space="0" w:color="auto"/>
              <w:bottom w:val="single" w:sz="6" w:space="0" w:color="auto"/>
              <w:right w:val="single" w:sz="6" w:space="0" w:color="auto"/>
            </w:tcBorders>
            <w:vAlign w:val="center"/>
          </w:tcPr>
          <w:p w14:paraId="6E9E2E45"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4561EEC6"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100,892,228</w:t>
            </w:r>
          </w:p>
        </w:tc>
      </w:tr>
      <w:tr w:rsidR="00D868AB" w:rsidRPr="00D868AB" w14:paraId="08ECC81B" w14:textId="77777777" w:rsidTr="00A755A7">
        <w:trPr>
          <w:trHeight w:val="20"/>
        </w:trPr>
        <w:tc>
          <w:tcPr>
            <w:tcW w:w="1277" w:type="dxa"/>
            <w:tcBorders>
              <w:top w:val="single" w:sz="6" w:space="0" w:color="auto"/>
              <w:left w:val="single" w:sz="6" w:space="0" w:color="auto"/>
              <w:bottom w:val="single" w:sz="6" w:space="0" w:color="auto"/>
              <w:right w:val="single" w:sz="6" w:space="0" w:color="auto"/>
            </w:tcBorders>
            <w:shd w:val="solid" w:color="FFFFFF" w:fill="auto"/>
          </w:tcPr>
          <w:p w14:paraId="21258F8D" w14:textId="77777777" w:rsidR="00D868AB" w:rsidRPr="00D868AB" w:rsidRDefault="00D868AB" w:rsidP="00D868AB">
            <w:pPr>
              <w:autoSpaceDE w:val="0"/>
              <w:autoSpaceDN w:val="0"/>
              <w:adjustRightInd w:val="0"/>
              <w:jc w:val="left"/>
              <w:rPr>
                <w:rFonts w:eastAsiaTheme="minorHAnsi" w:cs="Arial"/>
                <w:color w:val="000000"/>
                <w:sz w:val="14"/>
                <w:szCs w:val="14"/>
                <w:lang w:eastAsia="en-US"/>
              </w:rPr>
            </w:pPr>
            <w:r w:rsidRPr="00D868AB">
              <w:rPr>
                <w:rFonts w:eastAsiaTheme="minorHAnsi" w:cs="Arial"/>
                <w:color w:val="000000"/>
                <w:sz w:val="14"/>
                <w:szCs w:val="14"/>
                <w:lang w:eastAsia="en-US"/>
              </w:rPr>
              <w:t>Tecomán</w:t>
            </w:r>
          </w:p>
        </w:tc>
        <w:tc>
          <w:tcPr>
            <w:tcW w:w="1148" w:type="dxa"/>
            <w:tcBorders>
              <w:top w:val="single" w:sz="6" w:space="0" w:color="auto"/>
              <w:left w:val="single" w:sz="6" w:space="0" w:color="auto"/>
              <w:bottom w:val="single" w:sz="6" w:space="0" w:color="auto"/>
              <w:right w:val="single" w:sz="6" w:space="0" w:color="auto"/>
            </w:tcBorders>
            <w:vAlign w:val="center"/>
          </w:tcPr>
          <w:p w14:paraId="3900E36C"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164,060,982</w:t>
            </w:r>
          </w:p>
        </w:tc>
        <w:tc>
          <w:tcPr>
            <w:tcW w:w="945" w:type="dxa"/>
            <w:tcBorders>
              <w:top w:val="single" w:sz="6" w:space="0" w:color="auto"/>
              <w:left w:val="single" w:sz="6" w:space="0" w:color="auto"/>
              <w:bottom w:val="single" w:sz="6" w:space="0" w:color="auto"/>
              <w:right w:val="single" w:sz="6" w:space="0" w:color="auto"/>
            </w:tcBorders>
            <w:vAlign w:val="center"/>
          </w:tcPr>
          <w:p w14:paraId="72217FD9"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53,259,231</w:t>
            </w:r>
          </w:p>
        </w:tc>
        <w:tc>
          <w:tcPr>
            <w:tcW w:w="865" w:type="dxa"/>
            <w:tcBorders>
              <w:top w:val="single" w:sz="6" w:space="0" w:color="auto"/>
              <w:left w:val="single" w:sz="6" w:space="0" w:color="auto"/>
              <w:bottom w:val="single" w:sz="6" w:space="0" w:color="auto"/>
              <w:right w:val="single" w:sz="6" w:space="0" w:color="auto"/>
            </w:tcBorders>
            <w:vAlign w:val="center"/>
          </w:tcPr>
          <w:p w14:paraId="0A328AF7"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7,256,053</w:t>
            </w:r>
          </w:p>
        </w:tc>
        <w:tc>
          <w:tcPr>
            <w:tcW w:w="865" w:type="dxa"/>
            <w:tcBorders>
              <w:top w:val="single" w:sz="6" w:space="0" w:color="auto"/>
              <w:left w:val="single" w:sz="6" w:space="0" w:color="auto"/>
              <w:bottom w:val="single" w:sz="6" w:space="0" w:color="auto"/>
              <w:right w:val="single" w:sz="6" w:space="0" w:color="auto"/>
            </w:tcBorders>
            <w:vAlign w:val="center"/>
          </w:tcPr>
          <w:p w14:paraId="5009E532"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3,887,211</w:t>
            </w:r>
          </w:p>
        </w:tc>
        <w:tc>
          <w:tcPr>
            <w:tcW w:w="865" w:type="dxa"/>
            <w:tcBorders>
              <w:top w:val="single" w:sz="6" w:space="0" w:color="auto"/>
              <w:left w:val="single" w:sz="6" w:space="0" w:color="auto"/>
              <w:bottom w:val="single" w:sz="6" w:space="0" w:color="auto"/>
              <w:right w:val="single" w:sz="6" w:space="0" w:color="auto"/>
            </w:tcBorders>
            <w:vAlign w:val="center"/>
          </w:tcPr>
          <w:p w14:paraId="26AA833C"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6,920,649</w:t>
            </w:r>
          </w:p>
        </w:tc>
        <w:tc>
          <w:tcPr>
            <w:tcW w:w="945" w:type="dxa"/>
            <w:tcBorders>
              <w:top w:val="single" w:sz="6" w:space="0" w:color="auto"/>
              <w:left w:val="single" w:sz="6" w:space="0" w:color="auto"/>
              <w:bottom w:val="single" w:sz="6" w:space="0" w:color="auto"/>
              <w:right w:val="single" w:sz="6" w:space="0" w:color="auto"/>
            </w:tcBorders>
            <w:vAlign w:val="center"/>
          </w:tcPr>
          <w:p w14:paraId="767966FD"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9,000,000</w:t>
            </w:r>
          </w:p>
        </w:tc>
        <w:tc>
          <w:tcPr>
            <w:tcW w:w="1029" w:type="dxa"/>
            <w:tcBorders>
              <w:top w:val="single" w:sz="6" w:space="0" w:color="auto"/>
              <w:left w:val="single" w:sz="6" w:space="0" w:color="auto"/>
              <w:bottom w:val="single" w:sz="6" w:space="0" w:color="auto"/>
              <w:right w:val="single" w:sz="6" w:space="0" w:color="auto"/>
            </w:tcBorders>
            <w:vAlign w:val="center"/>
          </w:tcPr>
          <w:p w14:paraId="2A710214"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4C699102"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244,384,126</w:t>
            </w:r>
          </w:p>
        </w:tc>
      </w:tr>
      <w:tr w:rsidR="00D868AB" w:rsidRPr="00D868AB" w14:paraId="251542AD" w14:textId="77777777" w:rsidTr="00A755A7">
        <w:trPr>
          <w:trHeight w:val="20"/>
        </w:trPr>
        <w:tc>
          <w:tcPr>
            <w:tcW w:w="1277" w:type="dxa"/>
            <w:tcBorders>
              <w:top w:val="single" w:sz="6" w:space="0" w:color="auto"/>
              <w:left w:val="single" w:sz="6" w:space="0" w:color="auto"/>
              <w:bottom w:val="single" w:sz="6" w:space="0" w:color="auto"/>
              <w:right w:val="single" w:sz="6" w:space="0" w:color="auto"/>
            </w:tcBorders>
            <w:shd w:val="solid" w:color="FFFFFF" w:fill="auto"/>
          </w:tcPr>
          <w:p w14:paraId="7EC56722" w14:textId="77777777" w:rsidR="00D868AB" w:rsidRPr="00D868AB" w:rsidRDefault="00D868AB" w:rsidP="00D868AB">
            <w:pPr>
              <w:autoSpaceDE w:val="0"/>
              <w:autoSpaceDN w:val="0"/>
              <w:adjustRightInd w:val="0"/>
              <w:jc w:val="left"/>
              <w:rPr>
                <w:rFonts w:eastAsiaTheme="minorHAnsi" w:cs="Arial"/>
                <w:color w:val="000000"/>
                <w:sz w:val="14"/>
                <w:szCs w:val="14"/>
                <w:lang w:eastAsia="en-US"/>
              </w:rPr>
            </w:pPr>
            <w:r w:rsidRPr="00D868AB">
              <w:rPr>
                <w:rFonts w:eastAsiaTheme="minorHAnsi" w:cs="Arial"/>
                <w:color w:val="000000"/>
                <w:sz w:val="14"/>
                <w:szCs w:val="14"/>
                <w:lang w:eastAsia="en-US"/>
              </w:rPr>
              <w:t>Villa de Álvarez</w:t>
            </w:r>
          </w:p>
        </w:tc>
        <w:tc>
          <w:tcPr>
            <w:tcW w:w="1148" w:type="dxa"/>
            <w:tcBorders>
              <w:top w:val="single" w:sz="6" w:space="0" w:color="auto"/>
              <w:left w:val="single" w:sz="6" w:space="0" w:color="auto"/>
              <w:bottom w:val="single" w:sz="6" w:space="0" w:color="auto"/>
              <w:right w:val="single" w:sz="6" w:space="0" w:color="auto"/>
            </w:tcBorders>
            <w:vAlign w:val="center"/>
          </w:tcPr>
          <w:p w14:paraId="76126D72"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159,439,911</w:t>
            </w:r>
          </w:p>
        </w:tc>
        <w:tc>
          <w:tcPr>
            <w:tcW w:w="945" w:type="dxa"/>
            <w:tcBorders>
              <w:top w:val="single" w:sz="6" w:space="0" w:color="auto"/>
              <w:left w:val="single" w:sz="6" w:space="0" w:color="auto"/>
              <w:bottom w:val="single" w:sz="6" w:space="0" w:color="auto"/>
              <w:right w:val="single" w:sz="6" w:space="0" w:color="auto"/>
            </w:tcBorders>
            <w:vAlign w:val="center"/>
          </w:tcPr>
          <w:p w14:paraId="3BFDB669"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49,393,545</w:t>
            </w:r>
          </w:p>
        </w:tc>
        <w:tc>
          <w:tcPr>
            <w:tcW w:w="865" w:type="dxa"/>
            <w:tcBorders>
              <w:top w:val="single" w:sz="6" w:space="0" w:color="auto"/>
              <w:left w:val="single" w:sz="6" w:space="0" w:color="auto"/>
              <w:bottom w:val="single" w:sz="6" w:space="0" w:color="auto"/>
              <w:right w:val="single" w:sz="6" w:space="0" w:color="auto"/>
            </w:tcBorders>
            <w:vAlign w:val="center"/>
          </w:tcPr>
          <w:p w14:paraId="0F4BA7B3"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8,142,825</w:t>
            </w:r>
          </w:p>
        </w:tc>
        <w:tc>
          <w:tcPr>
            <w:tcW w:w="865" w:type="dxa"/>
            <w:tcBorders>
              <w:top w:val="single" w:sz="6" w:space="0" w:color="auto"/>
              <w:left w:val="single" w:sz="6" w:space="0" w:color="auto"/>
              <w:bottom w:val="single" w:sz="6" w:space="0" w:color="auto"/>
              <w:right w:val="single" w:sz="6" w:space="0" w:color="auto"/>
            </w:tcBorders>
            <w:vAlign w:val="center"/>
          </w:tcPr>
          <w:p w14:paraId="646D316D"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4,474,742</w:t>
            </w:r>
          </w:p>
        </w:tc>
        <w:tc>
          <w:tcPr>
            <w:tcW w:w="865" w:type="dxa"/>
            <w:tcBorders>
              <w:top w:val="single" w:sz="6" w:space="0" w:color="auto"/>
              <w:left w:val="single" w:sz="6" w:space="0" w:color="auto"/>
              <w:bottom w:val="single" w:sz="6" w:space="0" w:color="auto"/>
              <w:right w:val="single" w:sz="6" w:space="0" w:color="auto"/>
            </w:tcBorders>
            <w:vAlign w:val="center"/>
          </w:tcPr>
          <w:p w14:paraId="4C0E13AA"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9,843,065</w:t>
            </w:r>
          </w:p>
        </w:tc>
        <w:tc>
          <w:tcPr>
            <w:tcW w:w="945" w:type="dxa"/>
            <w:tcBorders>
              <w:top w:val="single" w:sz="6" w:space="0" w:color="auto"/>
              <w:left w:val="single" w:sz="6" w:space="0" w:color="auto"/>
              <w:bottom w:val="single" w:sz="6" w:space="0" w:color="auto"/>
              <w:right w:val="single" w:sz="6" w:space="0" w:color="auto"/>
            </w:tcBorders>
            <w:vAlign w:val="center"/>
          </w:tcPr>
          <w:p w14:paraId="53153E44"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9,600</w:t>
            </w:r>
          </w:p>
        </w:tc>
        <w:tc>
          <w:tcPr>
            <w:tcW w:w="1029" w:type="dxa"/>
            <w:tcBorders>
              <w:top w:val="single" w:sz="6" w:space="0" w:color="auto"/>
              <w:left w:val="single" w:sz="6" w:space="0" w:color="auto"/>
              <w:bottom w:val="single" w:sz="6" w:space="0" w:color="auto"/>
              <w:right w:val="single" w:sz="6" w:space="0" w:color="auto"/>
            </w:tcBorders>
            <w:vAlign w:val="center"/>
          </w:tcPr>
          <w:p w14:paraId="7102AAEA"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p>
        </w:tc>
        <w:tc>
          <w:tcPr>
            <w:tcW w:w="1134" w:type="dxa"/>
            <w:tcBorders>
              <w:top w:val="single" w:sz="6" w:space="0" w:color="auto"/>
              <w:left w:val="single" w:sz="6" w:space="0" w:color="auto"/>
              <w:bottom w:val="single" w:sz="6" w:space="0" w:color="auto"/>
              <w:right w:val="single" w:sz="6" w:space="0" w:color="auto"/>
            </w:tcBorders>
            <w:vAlign w:val="center"/>
          </w:tcPr>
          <w:p w14:paraId="0E63C8A6" w14:textId="77777777" w:rsidR="00D868AB" w:rsidRPr="00D868AB" w:rsidRDefault="00D868AB" w:rsidP="00D868AB">
            <w:pPr>
              <w:autoSpaceDE w:val="0"/>
              <w:autoSpaceDN w:val="0"/>
              <w:adjustRightInd w:val="0"/>
              <w:jc w:val="right"/>
              <w:rPr>
                <w:rFonts w:eastAsiaTheme="minorHAnsi" w:cs="Arial"/>
                <w:color w:val="000000"/>
                <w:sz w:val="14"/>
                <w:szCs w:val="14"/>
                <w:lang w:eastAsia="en-US"/>
              </w:rPr>
            </w:pPr>
            <w:r w:rsidRPr="00D868AB">
              <w:rPr>
                <w:rFonts w:eastAsiaTheme="minorHAnsi" w:cs="Arial"/>
                <w:color w:val="000000"/>
                <w:sz w:val="14"/>
                <w:szCs w:val="14"/>
                <w:lang w:eastAsia="en-US"/>
              </w:rPr>
              <w:t>231,303,689</w:t>
            </w:r>
          </w:p>
        </w:tc>
      </w:tr>
      <w:tr w:rsidR="00D868AB" w:rsidRPr="00D868AB" w14:paraId="1652BEB6" w14:textId="77777777" w:rsidTr="00A755A7">
        <w:trPr>
          <w:trHeight w:val="20"/>
        </w:trPr>
        <w:tc>
          <w:tcPr>
            <w:tcW w:w="1277" w:type="dxa"/>
            <w:tcBorders>
              <w:top w:val="single" w:sz="6" w:space="0" w:color="auto"/>
              <w:left w:val="single" w:sz="6" w:space="0" w:color="auto"/>
              <w:bottom w:val="single" w:sz="6" w:space="0" w:color="auto"/>
              <w:right w:val="single" w:sz="6" w:space="0" w:color="auto"/>
            </w:tcBorders>
            <w:shd w:val="solid" w:color="FFFFFF" w:fill="auto"/>
          </w:tcPr>
          <w:p w14:paraId="3BABAD6E" w14:textId="77777777" w:rsidR="00D868AB" w:rsidRPr="00D868AB" w:rsidRDefault="00D868AB" w:rsidP="00D868AB">
            <w:pPr>
              <w:autoSpaceDE w:val="0"/>
              <w:autoSpaceDN w:val="0"/>
              <w:adjustRightInd w:val="0"/>
              <w:jc w:val="left"/>
              <w:rPr>
                <w:rFonts w:eastAsiaTheme="minorHAnsi" w:cs="Arial"/>
                <w:b/>
                <w:bCs/>
                <w:color w:val="000000"/>
                <w:sz w:val="14"/>
                <w:szCs w:val="14"/>
                <w:lang w:eastAsia="en-US"/>
              </w:rPr>
            </w:pPr>
            <w:r w:rsidRPr="00D868AB">
              <w:rPr>
                <w:rFonts w:eastAsiaTheme="minorHAnsi" w:cs="Arial"/>
                <w:b/>
                <w:bCs/>
                <w:color w:val="000000"/>
                <w:sz w:val="14"/>
                <w:szCs w:val="14"/>
                <w:lang w:eastAsia="en-US"/>
              </w:rPr>
              <w:t>Sumas Totales</w:t>
            </w:r>
          </w:p>
        </w:tc>
        <w:tc>
          <w:tcPr>
            <w:tcW w:w="1148" w:type="dxa"/>
            <w:tcBorders>
              <w:top w:val="single" w:sz="6" w:space="0" w:color="auto"/>
              <w:left w:val="single" w:sz="6" w:space="0" w:color="auto"/>
              <w:bottom w:val="single" w:sz="6" w:space="0" w:color="auto"/>
              <w:right w:val="single" w:sz="6" w:space="0" w:color="auto"/>
            </w:tcBorders>
            <w:vAlign w:val="center"/>
          </w:tcPr>
          <w:p w14:paraId="442932D9" w14:textId="77777777" w:rsidR="00D868AB" w:rsidRPr="00D868AB" w:rsidRDefault="00D868AB" w:rsidP="00D868AB">
            <w:pPr>
              <w:autoSpaceDE w:val="0"/>
              <w:autoSpaceDN w:val="0"/>
              <w:adjustRightInd w:val="0"/>
              <w:jc w:val="right"/>
              <w:rPr>
                <w:rFonts w:eastAsiaTheme="minorHAnsi" w:cs="Arial"/>
                <w:b/>
                <w:bCs/>
                <w:color w:val="000000"/>
                <w:sz w:val="14"/>
                <w:szCs w:val="14"/>
                <w:lang w:eastAsia="en-US"/>
              </w:rPr>
            </w:pPr>
            <w:r w:rsidRPr="00D868AB">
              <w:rPr>
                <w:rFonts w:eastAsiaTheme="minorHAnsi" w:cs="Arial"/>
                <w:b/>
                <w:bCs/>
                <w:color w:val="000000"/>
                <w:sz w:val="14"/>
                <w:szCs w:val="14"/>
                <w:lang w:eastAsia="en-US"/>
              </w:rPr>
              <w:t>1,184,640,848</w:t>
            </w:r>
          </w:p>
        </w:tc>
        <w:tc>
          <w:tcPr>
            <w:tcW w:w="945" w:type="dxa"/>
            <w:tcBorders>
              <w:top w:val="single" w:sz="6" w:space="0" w:color="auto"/>
              <w:left w:val="single" w:sz="6" w:space="0" w:color="auto"/>
              <w:bottom w:val="single" w:sz="6" w:space="0" w:color="auto"/>
              <w:right w:val="single" w:sz="6" w:space="0" w:color="auto"/>
            </w:tcBorders>
            <w:vAlign w:val="center"/>
          </w:tcPr>
          <w:p w14:paraId="7B907928" w14:textId="77777777" w:rsidR="00D868AB" w:rsidRPr="00D868AB" w:rsidRDefault="00D868AB" w:rsidP="00D868AB">
            <w:pPr>
              <w:autoSpaceDE w:val="0"/>
              <w:autoSpaceDN w:val="0"/>
              <w:adjustRightInd w:val="0"/>
              <w:jc w:val="right"/>
              <w:rPr>
                <w:rFonts w:eastAsiaTheme="minorHAnsi" w:cs="Arial"/>
                <w:b/>
                <w:bCs/>
                <w:color w:val="000000"/>
                <w:sz w:val="14"/>
                <w:szCs w:val="14"/>
                <w:lang w:eastAsia="en-US"/>
              </w:rPr>
            </w:pPr>
            <w:r w:rsidRPr="00D868AB">
              <w:rPr>
                <w:rFonts w:eastAsiaTheme="minorHAnsi" w:cs="Arial"/>
                <w:b/>
                <w:bCs/>
                <w:color w:val="000000"/>
                <w:sz w:val="14"/>
                <w:szCs w:val="14"/>
                <w:lang w:eastAsia="en-US"/>
              </w:rPr>
              <w:t>378,697,411</w:t>
            </w:r>
          </w:p>
        </w:tc>
        <w:tc>
          <w:tcPr>
            <w:tcW w:w="865" w:type="dxa"/>
            <w:tcBorders>
              <w:top w:val="single" w:sz="6" w:space="0" w:color="auto"/>
              <w:left w:val="single" w:sz="6" w:space="0" w:color="auto"/>
              <w:bottom w:val="single" w:sz="6" w:space="0" w:color="auto"/>
              <w:right w:val="single" w:sz="6" w:space="0" w:color="auto"/>
            </w:tcBorders>
            <w:vAlign w:val="center"/>
          </w:tcPr>
          <w:p w14:paraId="7084FAED" w14:textId="77777777" w:rsidR="00D868AB" w:rsidRPr="00D868AB" w:rsidRDefault="00D868AB" w:rsidP="00D868AB">
            <w:pPr>
              <w:autoSpaceDE w:val="0"/>
              <w:autoSpaceDN w:val="0"/>
              <w:adjustRightInd w:val="0"/>
              <w:jc w:val="right"/>
              <w:rPr>
                <w:rFonts w:eastAsiaTheme="minorHAnsi" w:cs="Arial"/>
                <w:b/>
                <w:bCs/>
                <w:color w:val="000000"/>
                <w:sz w:val="14"/>
                <w:szCs w:val="14"/>
                <w:lang w:eastAsia="en-US"/>
              </w:rPr>
            </w:pPr>
            <w:r w:rsidRPr="00D868AB">
              <w:rPr>
                <w:rFonts w:eastAsiaTheme="minorHAnsi" w:cs="Arial"/>
                <w:b/>
                <w:bCs/>
                <w:color w:val="000000"/>
                <w:sz w:val="14"/>
                <w:szCs w:val="14"/>
                <w:lang w:eastAsia="en-US"/>
              </w:rPr>
              <w:t>58,450,377</w:t>
            </w:r>
          </w:p>
        </w:tc>
        <w:tc>
          <w:tcPr>
            <w:tcW w:w="865" w:type="dxa"/>
            <w:tcBorders>
              <w:top w:val="single" w:sz="6" w:space="0" w:color="auto"/>
              <w:left w:val="single" w:sz="6" w:space="0" w:color="auto"/>
              <w:bottom w:val="single" w:sz="6" w:space="0" w:color="auto"/>
              <w:right w:val="single" w:sz="6" w:space="0" w:color="auto"/>
            </w:tcBorders>
            <w:vAlign w:val="center"/>
          </w:tcPr>
          <w:p w14:paraId="389B38A1" w14:textId="77777777" w:rsidR="00D868AB" w:rsidRPr="00D868AB" w:rsidRDefault="00D868AB" w:rsidP="00D868AB">
            <w:pPr>
              <w:autoSpaceDE w:val="0"/>
              <w:autoSpaceDN w:val="0"/>
              <w:adjustRightInd w:val="0"/>
              <w:jc w:val="right"/>
              <w:rPr>
                <w:rFonts w:eastAsiaTheme="minorHAnsi" w:cs="Arial"/>
                <w:b/>
                <w:bCs/>
                <w:color w:val="000000"/>
                <w:sz w:val="14"/>
                <w:szCs w:val="14"/>
                <w:lang w:eastAsia="en-US"/>
              </w:rPr>
            </w:pPr>
            <w:r w:rsidRPr="00D868AB">
              <w:rPr>
                <w:rFonts w:eastAsiaTheme="minorHAnsi" w:cs="Arial"/>
                <w:b/>
                <w:bCs/>
                <w:color w:val="000000"/>
                <w:sz w:val="14"/>
                <w:szCs w:val="14"/>
                <w:lang w:eastAsia="en-US"/>
              </w:rPr>
              <w:t>31,207,094</w:t>
            </w:r>
          </w:p>
        </w:tc>
        <w:tc>
          <w:tcPr>
            <w:tcW w:w="865" w:type="dxa"/>
            <w:tcBorders>
              <w:top w:val="single" w:sz="6" w:space="0" w:color="auto"/>
              <w:left w:val="single" w:sz="6" w:space="0" w:color="auto"/>
              <w:bottom w:val="single" w:sz="6" w:space="0" w:color="auto"/>
              <w:right w:val="single" w:sz="6" w:space="0" w:color="auto"/>
            </w:tcBorders>
            <w:vAlign w:val="center"/>
          </w:tcPr>
          <w:p w14:paraId="35D84CEF" w14:textId="77777777" w:rsidR="00D868AB" w:rsidRPr="00D868AB" w:rsidRDefault="00D868AB" w:rsidP="00D868AB">
            <w:pPr>
              <w:autoSpaceDE w:val="0"/>
              <w:autoSpaceDN w:val="0"/>
              <w:adjustRightInd w:val="0"/>
              <w:jc w:val="right"/>
              <w:rPr>
                <w:rFonts w:eastAsiaTheme="minorHAnsi" w:cs="Arial"/>
                <w:b/>
                <w:bCs/>
                <w:color w:val="000000"/>
                <w:sz w:val="14"/>
                <w:szCs w:val="14"/>
                <w:lang w:eastAsia="en-US"/>
              </w:rPr>
            </w:pPr>
            <w:r w:rsidRPr="00D868AB">
              <w:rPr>
                <w:rFonts w:eastAsiaTheme="minorHAnsi" w:cs="Arial"/>
                <w:b/>
                <w:bCs/>
                <w:color w:val="000000"/>
                <w:sz w:val="14"/>
                <w:szCs w:val="14"/>
                <w:lang w:eastAsia="en-US"/>
              </w:rPr>
              <w:t>53,991,638</w:t>
            </w:r>
          </w:p>
        </w:tc>
        <w:tc>
          <w:tcPr>
            <w:tcW w:w="945" w:type="dxa"/>
            <w:tcBorders>
              <w:top w:val="single" w:sz="6" w:space="0" w:color="auto"/>
              <w:left w:val="single" w:sz="6" w:space="0" w:color="auto"/>
              <w:bottom w:val="single" w:sz="6" w:space="0" w:color="auto"/>
              <w:right w:val="single" w:sz="6" w:space="0" w:color="auto"/>
            </w:tcBorders>
            <w:vAlign w:val="center"/>
          </w:tcPr>
          <w:p w14:paraId="460C3B80" w14:textId="77777777" w:rsidR="00D868AB" w:rsidRPr="00D868AB" w:rsidRDefault="00D868AB" w:rsidP="00D868AB">
            <w:pPr>
              <w:autoSpaceDE w:val="0"/>
              <w:autoSpaceDN w:val="0"/>
              <w:adjustRightInd w:val="0"/>
              <w:jc w:val="right"/>
              <w:rPr>
                <w:rFonts w:eastAsiaTheme="minorHAnsi" w:cs="Arial"/>
                <w:b/>
                <w:bCs/>
                <w:color w:val="000000"/>
                <w:sz w:val="14"/>
                <w:szCs w:val="14"/>
                <w:lang w:eastAsia="en-US"/>
              </w:rPr>
            </w:pPr>
            <w:r w:rsidRPr="00D868AB">
              <w:rPr>
                <w:rFonts w:eastAsiaTheme="minorHAnsi" w:cs="Arial"/>
                <w:b/>
                <w:bCs/>
                <w:color w:val="000000"/>
                <w:sz w:val="14"/>
                <w:szCs w:val="14"/>
                <w:lang w:eastAsia="en-US"/>
              </w:rPr>
              <w:t>114,868,417</w:t>
            </w:r>
          </w:p>
        </w:tc>
        <w:tc>
          <w:tcPr>
            <w:tcW w:w="1029" w:type="dxa"/>
            <w:tcBorders>
              <w:top w:val="single" w:sz="6" w:space="0" w:color="auto"/>
              <w:left w:val="single" w:sz="6" w:space="0" w:color="auto"/>
              <w:bottom w:val="single" w:sz="6" w:space="0" w:color="auto"/>
              <w:right w:val="single" w:sz="6" w:space="0" w:color="auto"/>
            </w:tcBorders>
            <w:vAlign w:val="center"/>
          </w:tcPr>
          <w:p w14:paraId="5E536CB3" w14:textId="77777777" w:rsidR="00D868AB" w:rsidRPr="00D868AB" w:rsidRDefault="00D868AB" w:rsidP="00D868AB">
            <w:pPr>
              <w:autoSpaceDE w:val="0"/>
              <w:autoSpaceDN w:val="0"/>
              <w:adjustRightInd w:val="0"/>
              <w:jc w:val="right"/>
              <w:rPr>
                <w:rFonts w:eastAsiaTheme="minorHAnsi" w:cs="Arial"/>
                <w:b/>
                <w:bCs/>
                <w:color w:val="000000"/>
                <w:sz w:val="14"/>
                <w:szCs w:val="14"/>
                <w:lang w:eastAsia="en-US"/>
              </w:rPr>
            </w:pPr>
            <w:r w:rsidRPr="00D868AB">
              <w:rPr>
                <w:rFonts w:eastAsiaTheme="minorHAnsi" w:cs="Arial"/>
                <w:b/>
                <w:bCs/>
                <w:color w:val="000000"/>
                <w:sz w:val="14"/>
                <w:szCs w:val="14"/>
                <w:lang w:eastAsia="en-US"/>
              </w:rPr>
              <w:t>186,555,132</w:t>
            </w:r>
          </w:p>
        </w:tc>
        <w:tc>
          <w:tcPr>
            <w:tcW w:w="1134" w:type="dxa"/>
            <w:tcBorders>
              <w:top w:val="single" w:sz="6" w:space="0" w:color="auto"/>
              <w:left w:val="single" w:sz="6" w:space="0" w:color="auto"/>
              <w:bottom w:val="single" w:sz="6" w:space="0" w:color="auto"/>
              <w:right w:val="single" w:sz="6" w:space="0" w:color="auto"/>
            </w:tcBorders>
            <w:vAlign w:val="center"/>
          </w:tcPr>
          <w:p w14:paraId="417DE8A4" w14:textId="77777777" w:rsidR="00D868AB" w:rsidRPr="00D868AB" w:rsidRDefault="00D868AB" w:rsidP="00D868AB">
            <w:pPr>
              <w:autoSpaceDE w:val="0"/>
              <w:autoSpaceDN w:val="0"/>
              <w:adjustRightInd w:val="0"/>
              <w:jc w:val="right"/>
              <w:rPr>
                <w:rFonts w:eastAsiaTheme="minorHAnsi" w:cs="Arial"/>
                <w:b/>
                <w:bCs/>
                <w:color w:val="000000"/>
                <w:sz w:val="14"/>
                <w:szCs w:val="14"/>
                <w:lang w:eastAsia="en-US"/>
              </w:rPr>
            </w:pPr>
            <w:r w:rsidRPr="00D868AB">
              <w:rPr>
                <w:rFonts w:eastAsiaTheme="minorHAnsi" w:cs="Arial"/>
                <w:b/>
                <w:bCs/>
                <w:color w:val="000000"/>
                <w:sz w:val="14"/>
                <w:szCs w:val="14"/>
                <w:lang w:eastAsia="en-US"/>
              </w:rPr>
              <w:t>2,008,410,916</w:t>
            </w:r>
          </w:p>
        </w:tc>
      </w:tr>
    </w:tbl>
    <w:p w14:paraId="7F6B0B81" w14:textId="77777777" w:rsidR="00D868AB" w:rsidRPr="00D868AB" w:rsidRDefault="00D868AB" w:rsidP="00D868AB">
      <w:pPr>
        <w:shd w:val="clear" w:color="auto" w:fill="FFFFFF"/>
        <w:ind w:left="142"/>
        <w:contextualSpacing/>
        <w:rPr>
          <w:rFonts w:eastAsia="Times New Roman" w:cs="Arial"/>
          <w:sz w:val="18"/>
          <w:lang w:val="es-ES" w:eastAsia="es-ES"/>
        </w:rPr>
      </w:pPr>
      <w:r w:rsidRPr="00D868AB">
        <w:rPr>
          <w:rFonts w:eastAsia="Times New Roman" w:cs="Arial"/>
          <w:b/>
          <w:sz w:val="18"/>
          <w:lang w:val="es-ES" w:eastAsia="es-ES"/>
        </w:rPr>
        <w:t>Nota</w:t>
      </w:r>
      <w:r w:rsidRPr="00D868AB">
        <w:rPr>
          <w:rFonts w:eastAsia="Times New Roman" w:cs="Arial"/>
          <w:sz w:val="18"/>
          <w:lang w:val="es-ES" w:eastAsia="es-ES"/>
        </w:rPr>
        <w:t>: La suma total podría no coincidir debido al redondeo</w:t>
      </w:r>
    </w:p>
    <w:p w14:paraId="48A54754" w14:textId="77777777" w:rsidR="00D868AB" w:rsidRPr="00D868AB" w:rsidRDefault="00D868AB" w:rsidP="00D868AB">
      <w:pPr>
        <w:shd w:val="clear" w:color="auto" w:fill="FFFFFF"/>
        <w:ind w:left="426" w:hanging="426"/>
        <w:contextualSpacing/>
        <w:rPr>
          <w:rFonts w:eastAsia="Times New Roman" w:cs="Arial"/>
          <w:lang w:val="es-ES" w:eastAsia="es-ES"/>
        </w:rPr>
      </w:pPr>
    </w:p>
    <w:p w14:paraId="07AE37E9" w14:textId="77777777" w:rsidR="00D868AB" w:rsidRPr="00D868AB" w:rsidRDefault="00D868AB" w:rsidP="00D868AB">
      <w:pPr>
        <w:shd w:val="clear" w:color="auto" w:fill="FFFFFF"/>
        <w:ind w:left="426" w:hanging="426"/>
        <w:contextualSpacing/>
        <w:rPr>
          <w:rFonts w:eastAsia="Times New Roman" w:cs="Arial"/>
          <w:lang w:val="es-ES" w:eastAsia="es-ES"/>
        </w:rPr>
      </w:pPr>
    </w:p>
    <w:p w14:paraId="41A3A9AE" w14:textId="77777777" w:rsidR="00D868AB" w:rsidRPr="00D868AB" w:rsidRDefault="00D868AB" w:rsidP="00D868AB">
      <w:pPr>
        <w:shd w:val="clear" w:color="auto" w:fill="FFFFFF"/>
        <w:ind w:left="426" w:hanging="426"/>
        <w:contextualSpacing/>
        <w:rPr>
          <w:rFonts w:eastAsia="Times New Roman" w:cs="Arial"/>
          <w:lang w:val="es-ES" w:eastAsia="es-ES"/>
        </w:rPr>
      </w:pPr>
      <w:r w:rsidRPr="00D868AB">
        <w:rPr>
          <w:rFonts w:eastAsia="Times New Roman" w:cs="Arial"/>
          <w:lang w:val="es-ES" w:eastAsia="es-ES"/>
        </w:rPr>
        <w:lastRenderedPageBreak/>
        <w:t>II.</w:t>
      </w:r>
      <w:r w:rsidRPr="00D868AB">
        <w:rPr>
          <w:rFonts w:eastAsia="Times New Roman" w:cs="Arial"/>
          <w:lang w:val="es-ES" w:eastAsia="es-ES"/>
        </w:rPr>
        <w:tab/>
        <w:t>Los recursos federales por concepto Incentivos derivados de la Colaboración Fiscal con la Federación, presentan la siguiente estimación:</w:t>
      </w:r>
    </w:p>
    <w:p w14:paraId="3EB14F5A" w14:textId="77777777" w:rsidR="00D868AB" w:rsidRPr="00D868AB" w:rsidRDefault="00D868AB" w:rsidP="00D868AB">
      <w:pPr>
        <w:keepNext/>
        <w:keepLines/>
        <w:outlineLvl w:val="1"/>
        <w:rPr>
          <w:rFonts w:eastAsiaTheme="majorEastAsia" w:cs="Arial"/>
          <w:b/>
          <w:lang w:val="es-ES"/>
        </w:rPr>
      </w:pPr>
    </w:p>
    <w:p w14:paraId="333E130D" w14:textId="77777777" w:rsidR="00D868AB" w:rsidRPr="00D868AB" w:rsidRDefault="00D868AB" w:rsidP="00D868AB">
      <w:pPr>
        <w:rPr>
          <w:lang w:val="es-ES"/>
        </w:rPr>
      </w:pPr>
    </w:p>
    <w:p w14:paraId="6F6DAE04" w14:textId="77777777" w:rsidR="00D868AB" w:rsidRPr="00D868AB" w:rsidRDefault="00D868AB" w:rsidP="00D868AB">
      <w:pPr>
        <w:rPr>
          <w:lang w:val="es-ES"/>
        </w:rPr>
      </w:pPr>
    </w:p>
    <w:tbl>
      <w:tblPr>
        <w:tblW w:w="8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958"/>
        <w:gridCol w:w="1530"/>
      </w:tblGrid>
      <w:tr w:rsidR="00D868AB" w:rsidRPr="00D868AB" w14:paraId="389D3D07" w14:textId="77777777" w:rsidTr="00A755A7">
        <w:trPr>
          <w:trHeight w:val="20"/>
          <w:tblHeader/>
          <w:jc w:val="center"/>
        </w:trPr>
        <w:tc>
          <w:tcPr>
            <w:tcW w:w="8488" w:type="dxa"/>
            <w:gridSpan w:val="2"/>
            <w:tcBorders>
              <w:top w:val="nil"/>
              <w:left w:val="nil"/>
              <w:bottom w:val="single" w:sz="4" w:space="0" w:color="auto"/>
              <w:right w:val="nil"/>
            </w:tcBorders>
            <w:shd w:val="clear" w:color="auto" w:fill="auto"/>
            <w:noWrap/>
            <w:vAlign w:val="center"/>
          </w:tcPr>
          <w:p w14:paraId="5DB9B68E" w14:textId="77777777" w:rsidR="00D868AB" w:rsidRPr="00D868AB" w:rsidRDefault="00D868AB" w:rsidP="00D868AB">
            <w:pPr>
              <w:jc w:val="center"/>
              <w:rPr>
                <w:rFonts w:eastAsia="Times New Roman" w:cs="Arial"/>
                <w:b/>
                <w:bCs/>
                <w:sz w:val="20"/>
                <w:lang w:val="es-ES"/>
              </w:rPr>
            </w:pPr>
            <w:bookmarkStart w:id="235" w:name="_Toc522869299"/>
            <w:bookmarkStart w:id="236" w:name="_Toc526757518"/>
            <w:bookmarkStart w:id="237" w:name="_Toc22021979"/>
            <w:bookmarkStart w:id="238" w:name="_Toc22983227"/>
            <w:r w:rsidRPr="00D868AB">
              <w:rPr>
                <w:rFonts w:eastAsia="Times New Roman" w:cs="Arial"/>
                <w:b/>
                <w:sz w:val="20"/>
                <w:lang w:val="es-ES"/>
              </w:rPr>
              <w:t xml:space="preserve">Tabla 52. </w:t>
            </w:r>
            <w:bookmarkEnd w:id="235"/>
            <w:bookmarkEnd w:id="236"/>
            <w:r w:rsidRPr="00D868AB">
              <w:rPr>
                <w:rFonts w:eastAsia="Times New Roman" w:cs="Arial"/>
                <w:b/>
                <w:sz w:val="20"/>
                <w:lang w:val="es-ES"/>
              </w:rPr>
              <w:t>Incentivos Derivados de la Colaboración Fiscal con la Federación</w:t>
            </w:r>
            <w:bookmarkEnd w:id="237"/>
            <w:bookmarkEnd w:id="238"/>
          </w:p>
        </w:tc>
      </w:tr>
      <w:tr w:rsidR="00D868AB" w:rsidRPr="00D868AB" w14:paraId="44199A3E" w14:textId="77777777" w:rsidTr="00A755A7">
        <w:trPr>
          <w:trHeight w:val="20"/>
          <w:tblHeader/>
          <w:jc w:val="center"/>
        </w:trPr>
        <w:tc>
          <w:tcPr>
            <w:tcW w:w="6958" w:type="dxa"/>
            <w:tcBorders>
              <w:top w:val="single" w:sz="4" w:space="0" w:color="auto"/>
            </w:tcBorders>
            <w:shd w:val="clear" w:color="auto" w:fill="auto"/>
            <w:noWrap/>
            <w:vAlign w:val="center"/>
            <w:hideMark/>
          </w:tcPr>
          <w:p w14:paraId="033B0E69" w14:textId="77777777" w:rsidR="00D868AB" w:rsidRPr="00D868AB" w:rsidRDefault="00D868AB" w:rsidP="00D868AB">
            <w:pPr>
              <w:jc w:val="center"/>
              <w:rPr>
                <w:rFonts w:eastAsia="Times New Roman" w:cs="Arial"/>
                <w:b/>
                <w:bCs/>
                <w:sz w:val="18"/>
              </w:rPr>
            </w:pPr>
            <w:r w:rsidRPr="00D868AB">
              <w:rPr>
                <w:rFonts w:eastAsia="Times New Roman" w:cs="Arial"/>
                <w:b/>
                <w:bCs/>
                <w:sz w:val="18"/>
                <w:lang w:val="es-ES"/>
              </w:rPr>
              <w:t>Concepto</w:t>
            </w:r>
          </w:p>
        </w:tc>
        <w:tc>
          <w:tcPr>
            <w:tcW w:w="1530" w:type="dxa"/>
            <w:tcBorders>
              <w:top w:val="single" w:sz="4" w:space="0" w:color="auto"/>
            </w:tcBorders>
            <w:shd w:val="clear" w:color="auto" w:fill="auto"/>
            <w:vAlign w:val="center"/>
            <w:hideMark/>
          </w:tcPr>
          <w:p w14:paraId="0BA495F5" w14:textId="77777777" w:rsidR="00D868AB" w:rsidRPr="00D868AB" w:rsidRDefault="00D868AB" w:rsidP="00D868AB">
            <w:pPr>
              <w:jc w:val="center"/>
              <w:rPr>
                <w:rFonts w:eastAsia="Times New Roman" w:cs="Arial"/>
                <w:b/>
                <w:bCs/>
                <w:sz w:val="18"/>
              </w:rPr>
            </w:pPr>
            <w:r w:rsidRPr="00D868AB">
              <w:rPr>
                <w:rFonts w:eastAsia="Times New Roman" w:cs="Arial"/>
                <w:b/>
                <w:bCs/>
                <w:sz w:val="18"/>
                <w:lang w:val="es-ES"/>
              </w:rPr>
              <w:t>Asignación Presupuestal</w:t>
            </w:r>
          </w:p>
        </w:tc>
      </w:tr>
      <w:tr w:rsidR="00D868AB" w:rsidRPr="00D868AB" w14:paraId="1466E032" w14:textId="77777777" w:rsidTr="00A755A7">
        <w:trPr>
          <w:trHeight w:val="20"/>
          <w:jc w:val="center"/>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F1CE0" w14:textId="77777777" w:rsidR="00D868AB" w:rsidRPr="00D868AB" w:rsidRDefault="00D868AB" w:rsidP="00D868AB">
            <w:pPr>
              <w:rPr>
                <w:rFonts w:eastAsia="Times New Roman" w:cs="Arial"/>
                <w:sz w:val="18"/>
              </w:rPr>
            </w:pPr>
            <w:r w:rsidRPr="00D868AB">
              <w:rPr>
                <w:rFonts w:eastAsia="Times New Roman" w:cs="Arial"/>
                <w:sz w:val="18"/>
              </w:rPr>
              <w:t>Impuesto Sobre Automóviles Nuevos (</w:t>
            </w:r>
            <w:r w:rsidRPr="00D868AB">
              <w:rPr>
                <w:rFonts w:eastAsia="Times New Roman" w:cs="Arial"/>
                <w:b/>
                <w:sz w:val="18"/>
              </w:rPr>
              <w:t>Incentivo ISAN</w:t>
            </w:r>
            <w:r w:rsidRPr="00D868AB">
              <w:rPr>
                <w:rFonts w:eastAsia="Times New Roman" w:cs="Arial"/>
                <w:sz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1437833" w14:textId="77777777" w:rsidR="00D868AB" w:rsidRPr="00D868AB" w:rsidRDefault="00D868AB" w:rsidP="00D868AB">
            <w:pPr>
              <w:jc w:val="right"/>
              <w:rPr>
                <w:rFonts w:eastAsia="Times New Roman" w:cs="Arial"/>
                <w:bCs/>
                <w:sz w:val="18"/>
                <w:lang w:val="es-ES"/>
              </w:rPr>
            </w:pPr>
            <w:r w:rsidRPr="00D868AB">
              <w:rPr>
                <w:rFonts w:eastAsia="Times New Roman" w:cs="Arial"/>
                <w:bCs/>
                <w:sz w:val="18"/>
                <w:lang w:val="es-ES"/>
              </w:rPr>
              <w:t>18,271,688</w:t>
            </w:r>
          </w:p>
        </w:tc>
      </w:tr>
      <w:tr w:rsidR="00D868AB" w:rsidRPr="00D868AB" w14:paraId="4E56D4F2" w14:textId="77777777" w:rsidTr="00A755A7">
        <w:trPr>
          <w:trHeight w:val="20"/>
          <w:jc w:val="center"/>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3A353" w14:textId="77777777" w:rsidR="00D868AB" w:rsidRPr="00D868AB" w:rsidRDefault="00D868AB" w:rsidP="00D868AB">
            <w:pPr>
              <w:rPr>
                <w:rFonts w:eastAsia="Times New Roman" w:cs="Arial"/>
                <w:sz w:val="18"/>
              </w:rPr>
            </w:pPr>
            <w:r w:rsidRPr="00D868AB">
              <w:rPr>
                <w:rFonts w:eastAsia="Times New Roman" w:cs="Arial"/>
                <w:sz w:val="18"/>
              </w:rPr>
              <w:t>Fondo de Compensación del Impuesto Sobre Automóviles Nuevos (</w:t>
            </w:r>
            <w:r w:rsidRPr="00D868AB">
              <w:rPr>
                <w:rFonts w:eastAsia="Times New Roman" w:cs="Arial"/>
                <w:b/>
                <w:sz w:val="18"/>
              </w:rPr>
              <w:t>FDO. CO. ISAN</w:t>
            </w:r>
            <w:r w:rsidRPr="00D868AB">
              <w:rPr>
                <w:rFonts w:eastAsia="Times New Roman" w:cs="Arial"/>
                <w:sz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8D7F3C" w14:textId="77777777" w:rsidR="00D868AB" w:rsidRPr="00D868AB" w:rsidRDefault="00D868AB" w:rsidP="00D868AB">
            <w:pPr>
              <w:jc w:val="right"/>
              <w:rPr>
                <w:rFonts w:eastAsia="Times New Roman" w:cs="Arial"/>
                <w:bCs/>
                <w:sz w:val="18"/>
                <w:lang w:val="es-ES"/>
              </w:rPr>
            </w:pPr>
            <w:r w:rsidRPr="00D868AB">
              <w:rPr>
                <w:rFonts w:eastAsia="Times New Roman" w:cs="Arial"/>
                <w:bCs/>
                <w:sz w:val="18"/>
                <w:lang w:val="es-ES"/>
              </w:rPr>
              <w:t>3,821,493</w:t>
            </w:r>
          </w:p>
        </w:tc>
      </w:tr>
      <w:tr w:rsidR="00D868AB" w:rsidRPr="00D868AB" w14:paraId="0F16E2F2" w14:textId="77777777" w:rsidTr="00A755A7">
        <w:trPr>
          <w:trHeight w:val="20"/>
          <w:jc w:val="center"/>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3431EF" w14:textId="77777777" w:rsidR="00D868AB" w:rsidRPr="00D868AB" w:rsidRDefault="00D868AB" w:rsidP="00D868AB">
            <w:pPr>
              <w:rPr>
                <w:rFonts w:eastAsia="Times New Roman" w:cs="Arial"/>
                <w:sz w:val="18"/>
              </w:rPr>
            </w:pPr>
            <w:r w:rsidRPr="00D868AB">
              <w:rPr>
                <w:rFonts w:cs="Arial"/>
                <w:sz w:val="18"/>
              </w:rPr>
              <w:t>ISR Enajenación de Bienes Inmuebles (</w:t>
            </w:r>
            <w:r w:rsidRPr="00D868AB">
              <w:rPr>
                <w:rFonts w:cs="Arial"/>
                <w:b/>
                <w:sz w:val="18"/>
              </w:rPr>
              <w:t>ISR. E.B.M.</w:t>
            </w:r>
            <w:r w:rsidRPr="00D868AB">
              <w:rPr>
                <w:rFonts w:cs="Arial"/>
                <w:sz w:val="18"/>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16C9EDB" w14:textId="77777777" w:rsidR="00D868AB" w:rsidRPr="00D868AB" w:rsidRDefault="00D868AB" w:rsidP="00D868AB">
            <w:pPr>
              <w:jc w:val="right"/>
              <w:rPr>
                <w:rFonts w:eastAsia="Times New Roman" w:cs="Arial"/>
                <w:bCs/>
                <w:sz w:val="18"/>
                <w:lang w:val="es-ES"/>
              </w:rPr>
            </w:pPr>
            <w:r w:rsidRPr="00D868AB">
              <w:rPr>
                <w:rFonts w:eastAsia="Times New Roman" w:cs="Arial"/>
                <w:bCs/>
                <w:sz w:val="18"/>
                <w:lang w:val="es-ES"/>
              </w:rPr>
              <w:t>10,688,345</w:t>
            </w:r>
          </w:p>
        </w:tc>
      </w:tr>
      <w:tr w:rsidR="00D868AB" w:rsidRPr="00D868AB" w14:paraId="497804F4" w14:textId="77777777" w:rsidTr="00A755A7">
        <w:trPr>
          <w:trHeight w:val="20"/>
          <w:jc w:val="center"/>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D17E8" w14:textId="77777777" w:rsidR="00D868AB" w:rsidRPr="00D868AB" w:rsidRDefault="00D868AB" w:rsidP="00D868AB">
            <w:pPr>
              <w:rPr>
                <w:rFonts w:cs="Arial"/>
                <w:sz w:val="18"/>
              </w:rPr>
            </w:pPr>
            <w:r w:rsidRPr="00D868AB">
              <w:rPr>
                <w:rFonts w:cs="Arial"/>
                <w:sz w:val="18"/>
              </w:rPr>
              <w:t>Zona Marítimo Terrestre.</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D5B0FC0" w14:textId="77777777" w:rsidR="00D868AB" w:rsidRPr="00D868AB" w:rsidRDefault="00D868AB" w:rsidP="00D868AB">
            <w:pPr>
              <w:jc w:val="right"/>
              <w:rPr>
                <w:rFonts w:eastAsia="Times New Roman" w:cs="Arial"/>
                <w:bCs/>
                <w:sz w:val="18"/>
                <w:lang w:val="es-ES"/>
              </w:rPr>
            </w:pPr>
            <w:r w:rsidRPr="00D868AB">
              <w:rPr>
                <w:rFonts w:eastAsia="Times New Roman" w:cs="Arial"/>
                <w:bCs/>
                <w:sz w:val="18"/>
                <w:lang w:val="es-ES"/>
              </w:rPr>
              <w:t>4,837,706</w:t>
            </w:r>
          </w:p>
        </w:tc>
      </w:tr>
      <w:tr w:rsidR="00D868AB" w:rsidRPr="00D868AB" w14:paraId="223F8BA6" w14:textId="77777777" w:rsidTr="00A755A7">
        <w:trPr>
          <w:trHeight w:val="20"/>
          <w:jc w:val="center"/>
        </w:trPr>
        <w:tc>
          <w:tcPr>
            <w:tcW w:w="69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2D411" w14:textId="77777777" w:rsidR="00D868AB" w:rsidRPr="00D868AB" w:rsidRDefault="00D868AB" w:rsidP="00D868AB">
            <w:pPr>
              <w:jc w:val="center"/>
              <w:rPr>
                <w:rFonts w:eastAsia="Times New Roman" w:cs="Arial"/>
                <w:b/>
                <w:bCs/>
                <w:sz w:val="18"/>
                <w:lang w:val="es-ES"/>
              </w:rPr>
            </w:pPr>
            <w:r w:rsidRPr="00D868AB">
              <w:rPr>
                <w:rFonts w:eastAsia="Times New Roman" w:cs="Arial"/>
                <w:b/>
                <w:bCs/>
                <w:sz w:val="18"/>
                <w:lang w:val="es-ES"/>
              </w:rPr>
              <w:t>Total</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66E5856" w14:textId="77777777" w:rsidR="00D868AB" w:rsidRPr="00D868AB" w:rsidRDefault="00D868AB" w:rsidP="00D868AB">
            <w:pPr>
              <w:jc w:val="right"/>
              <w:rPr>
                <w:rFonts w:eastAsia="Times New Roman" w:cs="Arial"/>
                <w:b/>
                <w:bCs/>
                <w:sz w:val="18"/>
                <w:lang w:val="es-ES"/>
              </w:rPr>
            </w:pPr>
            <w:r w:rsidRPr="00D868AB">
              <w:rPr>
                <w:rFonts w:eastAsia="Times New Roman" w:cs="Arial"/>
                <w:b/>
                <w:bCs/>
                <w:sz w:val="18"/>
                <w:lang w:val="es-ES"/>
              </w:rPr>
              <w:t>37,619,232</w:t>
            </w:r>
          </w:p>
        </w:tc>
      </w:tr>
    </w:tbl>
    <w:p w14:paraId="7ADD1FD1" w14:textId="77777777" w:rsidR="00D868AB" w:rsidRPr="00D868AB" w:rsidRDefault="00D868AB" w:rsidP="00D868AB">
      <w:pPr>
        <w:shd w:val="clear" w:color="auto" w:fill="FFFFFF"/>
        <w:ind w:left="142"/>
        <w:contextualSpacing/>
        <w:rPr>
          <w:rFonts w:eastAsia="Times New Roman" w:cs="Arial"/>
          <w:sz w:val="18"/>
          <w:lang w:val="es-ES" w:eastAsia="es-ES"/>
        </w:rPr>
      </w:pPr>
      <w:r w:rsidRPr="00D868AB">
        <w:rPr>
          <w:rFonts w:eastAsia="Times New Roman" w:cs="Arial"/>
          <w:b/>
          <w:sz w:val="18"/>
          <w:lang w:val="es-ES" w:eastAsia="es-ES"/>
        </w:rPr>
        <w:t>Nota</w:t>
      </w:r>
      <w:r w:rsidRPr="00D868AB">
        <w:rPr>
          <w:rFonts w:eastAsia="Times New Roman" w:cs="Arial"/>
          <w:sz w:val="18"/>
          <w:lang w:val="es-ES" w:eastAsia="es-ES"/>
        </w:rPr>
        <w:t>: La suma total podría no coincidir debido al redondeo</w:t>
      </w:r>
    </w:p>
    <w:p w14:paraId="101A7DD4" w14:textId="77777777" w:rsidR="00D868AB" w:rsidRPr="00D868AB" w:rsidRDefault="00D868AB" w:rsidP="00D868AB">
      <w:pPr>
        <w:jc w:val="center"/>
        <w:rPr>
          <w:rFonts w:cs="Arial"/>
          <w:lang w:val="es-ES"/>
        </w:rPr>
      </w:pPr>
    </w:p>
    <w:tbl>
      <w:tblPr>
        <w:tblW w:w="7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7"/>
        <w:gridCol w:w="1134"/>
        <w:gridCol w:w="1141"/>
        <w:gridCol w:w="1266"/>
        <w:gridCol w:w="1010"/>
        <w:gridCol w:w="1071"/>
        <w:gridCol w:w="80"/>
      </w:tblGrid>
      <w:tr w:rsidR="00D868AB" w:rsidRPr="00D868AB" w14:paraId="5FB17E2F" w14:textId="77777777" w:rsidTr="00A755A7">
        <w:trPr>
          <w:trHeight w:val="20"/>
          <w:tblHeader/>
          <w:jc w:val="center"/>
        </w:trPr>
        <w:tc>
          <w:tcPr>
            <w:tcW w:w="7129" w:type="dxa"/>
            <w:gridSpan w:val="7"/>
            <w:tcBorders>
              <w:top w:val="nil"/>
              <w:left w:val="nil"/>
              <w:bottom w:val="single" w:sz="4" w:space="0" w:color="auto"/>
              <w:right w:val="nil"/>
            </w:tcBorders>
            <w:shd w:val="clear" w:color="auto" w:fill="auto"/>
            <w:noWrap/>
            <w:vAlign w:val="center"/>
          </w:tcPr>
          <w:p w14:paraId="6359ECE1" w14:textId="77777777" w:rsidR="00D868AB" w:rsidRPr="00D868AB" w:rsidRDefault="00D868AB" w:rsidP="00D868AB">
            <w:pPr>
              <w:keepNext/>
              <w:keepLines/>
              <w:jc w:val="center"/>
              <w:outlineLvl w:val="1"/>
              <w:rPr>
                <w:rFonts w:eastAsia="Times New Roman" w:cs="Arial"/>
                <w:b/>
                <w:sz w:val="18"/>
                <w:szCs w:val="18"/>
                <w:lang w:val="es-ES"/>
              </w:rPr>
            </w:pPr>
            <w:bookmarkStart w:id="239" w:name="_Toc22021980"/>
            <w:bookmarkStart w:id="240" w:name="_Toc22983228"/>
            <w:r w:rsidRPr="00D868AB">
              <w:rPr>
                <w:rFonts w:eastAsia="Times New Roman" w:cs="Arial"/>
                <w:b/>
                <w:sz w:val="18"/>
                <w:szCs w:val="18"/>
                <w:lang w:val="es-ES"/>
              </w:rPr>
              <w:t>Tabla 53. Incentivos Derivados de la Colaboración Fiscal con la Federación</w:t>
            </w:r>
            <w:bookmarkEnd w:id="239"/>
            <w:bookmarkEnd w:id="240"/>
          </w:p>
          <w:p w14:paraId="0BE15CCB" w14:textId="77777777" w:rsidR="00D868AB" w:rsidRPr="00D868AB" w:rsidRDefault="00D868AB" w:rsidP="00D868AB">
            <w:pPr>
              <w:jc w:val="center"/>
              <w:rPr>
                <w:rFonts w:eastAsia="Times New Roman" w:cs="Arial"/>
                <w:b/>
                <w:bCs/>
                <w:sz w:val="18"/>
                <w:szCs w:val="18"/>
              </w:rPr>
            </w:pPr>
            <w:r w:rsidRPr="00D868AB">
              <w:rPr>
                <w:rFonts w:eastAsia="Times New Roman" w:cs="Arial"/>
                <w:b/>
                <w:sz w:val="18"/>
                <w:szCs w:val="18"/>
                <w:lang w:val="es-ES"/>
              </w:rPr>
              <w:t>(Desagregado Municipio)</w:t>
            </w:r>
          </w:p>
        </w:tc>
      </w:tr>
      <w:tr w:rsidR="00D868AB" w:rsidRPr="00D868AB" w14:paraId="364FA776" w14:textId="77777777" w:rsidTr="00A755A7">
        <w:trPr>
          <w:gridAfter w:val="1"/>
          <w:wAfter w:w="104" w:type="dxa"/>
          <w:trHeight w:val="20"/>
          <w:jc w:val="center"/>
        </w:trPr>
        <w:tc>
          <w:tcPr>
            <w:tcW w:w="1427" w:type="dxa"/>
            <w:tcBorders>
              <w:top w:val="single" w:sz="4" w:space="0" w:color="auto"/>
            </w:tcBorders>
            <w:shd w:val="clear" w:color="auto" w:fill="auto"/>
            <w:noWrap/>
            <w:vAlign w:val="center"/>
            <w:hideMark/>
          </w:tcPr>
          <w:p w14:paraId="3742B1E2" w14:textId="77777777" w:rsidR="00D868AB" w:rsidRPr="00D868AB" w:rsidRDefault="00D868AB" w:rsidP="00D868AB">
            <w:pPr>
              <w:jc w:val="center"/>
              <w:rPr>
                <w:rFonts w:eastAsia="Times New Roman" w:cs="Arial"/>
                <w:b/>
                <w:bCs/>
                <w:sz w:val="18"/>
                <w:szCs w:val="18"/>
              </w:rPr>
            </w:pPr>
            <w:r w:rsidRPr="00D868AB">
              <w:rPr>
                <w:rFonts w:eastAsia="Times New Roman" w:cs="Arial"/>
                <w:b/>
                <w:bCs/>
                <w:sz w:val="18"/>
                <w:szCs w:val="18"/>
              </w:rPr>
              <w:t>Municipio</w:t>
            </w:r>
          </w:p>
        </w:tc>
        <w:tc>
          <w:tcPr>
            <w:tcW w:w="1134" w:type="dxa"/>
            <w:tcBorders>
              <w:top w:val="single" w:sz="4" w:space="0" w:color="auto"/>
            </w:tcBorders>
            <w:shd w:val="clear" w:color="auto" w:fill="auto"/>
            <w:vAlign w:val="center"/>
            <w:hideMark/>
          </w:tcPr>
          <w:p w14:paraId="14AEF8A8" w14:textId="77777777" w:rsidR="00D868AB" w:rsidRPr="00D868AB" w:rsidRDefault="00D868AB" w:rsidP="00D868AB">
            <w:pPr>
              <w:jc w:val="center"/>
              <w:rPr>
                <w:rFonts w:eastAsia="Times New Roman" w:cs="Arial"/>
                <w:b/>
                <w:bCs/>
                <w:sz w:val="18"/>
                <w:szCs w:val="18"/>
              </w:rPr>
            </w:pPr>
            <w:r w:rsidRPr="00D868AB">
              <w:rPr>
                <w:rFonts w:eastAsia="Times New Roman" w:cs="Arial"/>
                <w:b/>
                <w:bCs/>
                <w:sz w:val="18"/>
                <w:szCs w:val="18"/>
              </w:rPr>
              <w:t>FDO. CO. ISAN</w:t>
            </w:r>
          </w:p>
        </w:tc>
        <w:tc>
          <w:tcPr>
            <w:tcW w:w="1141" w:type="dxa"/>
            <w:tcBorders>
              <w:top w:val="single" w:sz="4" w:space="0" w:color="auto"/>
            </w:tcBorders>
            <w:shd w:val="clear" w:color="auto" w:fill="auto"/>
            <w:vAlign w:val="center"/>
            <w:hideMark/>
          </w:tcPr>
          <w:p w14:paraId="1785F86F" w14:textId="77777777" w:rsidR="00D868AB" w:rsidRPr="00D868AB" w:rsidRDefault="00D868AB" w:rsidP="00D868AB">
            <w:pPr>
              <w:jc w:val="center"/>
              <w:rPr>
                <w:rFonts w:eastAsia="Times New Roman" w:cs="Arial"/>
                <w:b/>
                <w:bCs/>
                <w:sz w:val="18"/>
                <w:szCs w:val="18"/>
              </w:rPr>
            </w:pPr>
            <w:r w:rsidRPr="00D868AB">
              <w:rPr>
                <w:rFonts w:eastAsia="Times New Roman" w:cs="Arial"/>
                <w:b/>
                <w:bCs/>
                <w:sz w:val="18"/>
                <w:szCs w:val="18"/>
              </w:rPr>
              <w:t>Incentivo ISAN</w:t>
            </w:r>
          </w:p>
        </w:tc>
        <w:tc>
          <w:tcPr>
            <w:tcW w:w="1266" w:type="dxa"/>
            <w:tcBorders>
              <w:top w:val="single" w:sz="4" w:space="0" w:color="auto"/>
            </w:tcBorders>
            <w:shd w:val="clear" w:color="auto" w:fill="auto"/>
            <w:vAlign w:val="center"/>
            <w:hideMark/>
          </w:tcPr>
          <w:p w14:paraId="09988508" w14:textId="77777777" w:rsidR="00D868AB" w:rsidRPr="00D868AB" w:rsidRDefault="00D868AB" w:rsidP="00D868AB">
            <w:pPr>
              <w:jc w:val="center"/>
              <w:rPr>
                <w:rFonts w:eastAsia="Times New Roman" w:cs="Arial"/>
                <w:b/>
                <w:bCs/>
                <w:sz w:val="18"/>
                <w:szCs w:val="18"/>
              </w:rPr>
            </w:pPr>
            <w:r w:rsidRPr="00D868AB">
              <w:rPr>
                <w:rFonts w:eastAsia="Times New Roman" w:cs="Arial"/>
                <w:b/>
                <w:bCs/>
                <w:sz w:val="18"/>
                <w:szCs w:val="18"/>
              </w:rPr>
              <w:t xml:space="preserve">ISR. E.B.M. </w:t>
            </w:r>
          </w:p>
        </w:tc>
        <w:tc>
          <w:tcPr>
            <w:tcW w:w="986" w:type="dxa"/>
            <w:tcBorders>
              <w:top w:val="single" w:sz="4" w:space="0" w:color="auto"/>
            </w:tcBorders>
            <w:vAlign w:val="center"/>
          </w:tcPr>
          <w:p w14:paraId="3B343B0E" w14:textId="77777777" w:rsidR="00D868AB" w:rsidRPr="00D868AB" w:rsidRDefault="00D868AB" w:rsidP="00D868AB">
            <w:pPr>
              <w:jc w:val="center"/>
              <w:rPr>
                <w:rFonts w:eastAsia="Times New Roman" w:cs="Arial"/>
                <w:b/>
                <w:bCs/>
                <w:sz w:val="18"/>
                <w:szCs w:val="18"/>
              </w:rPr>
            </w:pPr>
            <w:r w:rsidRPr="00D868AB">
              <w:rPr>
                <w:rFonts w:eastAsia="Times New Roman" w:cs="Arial"/>
                <w:b/>
                <w:bCs/>
                <w:sz w:val="18"/>
                <w:szCs w:val="18"/>
              </w:rPr>
              <w:t>ZOFEMAT</w:t>
            </w:r>
          </w:p>
        </w:tc>
        <w:tc>
          <w:tcPr>
            <w:tcW w:w="1071" w:type="dxa"/>
            <w:tcBorders>
              <w:top w:val="single" w:sz="4" w:space="0" w:color="auto"/>
            </w:tcBorders>
            <w:shd w:val="clear" w:color="auto" w:fill="auto"/>
            <w:noWrap/>
            <w:vAlign w:val="center"/>
            <w:hideMark/>
          </w:tcPr>
          <w:p w14:paraId="5DCA55EF" w14:textId="77777777" w:rsidR="00D868AB" w:rsidRPr="00D868AB" w:rsidRDefault="00D868AB" w:rsidP="00D868AB">
            <w:pPr>
              <w:jc w:val="center"/>
              <w:rPr>
                <w:rFonts w:eastAsia="Times New Roman" w:cs="Arial"/>
                <w:b/>
                <w:bCs/>
                <w:sz w:val="18"/>
                <w:szCs w:val="18"/>
              </w:rPr>
            </w:pPr>
            <w:r w:rsidRPr="00D868AB">
              <w:rPr>
                <w:rFonts w:eastAsia="Times New Roman" w:cs="Arial"/>
                <w:b/>
                <w:bCs/>
                <w:sz w:val="18"/>
                <w:szCs w:val="18"/>
              </w:rPr>
              <w:t>Sumas Totales</w:t>
            </w:r>
          </w:p>
        </w:tc>
      </w:tr>
      <w:tr w:rsidR="00D868AB" w:rsidRPr="00D868AB" w14:paraId="3147B2D3" w14:textId="77777777" w:rsidTr="00A755A7">
        <w:trPr>
          <w:gridAfter w:val="1"/>
          <w:wAfter w:w="104" w:type="dxa"/>
          <w:trHeight w:val="20"/>
          <w:jc w:val="center"/>
        </w:trPr>
        <w:tc>
          <w:tcPr>
            <w:tcW w:w="1427" w:type="dxa"/>
            <w:shd w:val="clear" w:color="FFFFCC" w:fill="FFFFFF"/>
            <w:noWrap/>
            <w:vAlign w:val="center"/>
            <w:hideMark/>
          </w:tcPr>
          <w:p w14:paraId="28D83A74" w14:textId="77777777" w:rsidR="00D868AB" w:rsidRPr="00D868AB" w:rsidRDefault="00D868AB" w:rsidP="00D868AB">
            <w:pPr>
              <w:rPr>
                <w:rFonts w:eastAsia="Times New Roman" w:cs="Arial"/>
                <w:sz w:val="18"/>
                <w:szCs w:val="18"/>
              </w:rPr>
            </w:pPr>
            <w:r w:rsidRPr="00D868AB">
              <w:rPr>
                <w:rFonts w:eastAsia="Times New Roman" w:cs="Arial"/>
                <w:sz w:val="18"/>
                <w:szCs w:val="18"/>
              </w:rPr>
              <w:t>Armería</w:t>
            </w:r>
          </w:p>
        </w:tc>
        <w:tc>
          <w:tcPr>
            <w:tcW w:w="1134" w:type="dxa"/>
            <w:shd w:val="clear" w:color="auto" w:fill="auto"/>
            <w:noWrap/>
            <w:vAlign w:val="center"/>
          </w:tcPr>
          <w:p w14:paraId="0A472CCA" w14:textId="77777777" w:rsidR="00D868AB" w:rsidRPr="00D868AB" w:rsidRDefault="00D868AB" w:rsidP="00D868AB">
            <w:pPr>
              <w:jc w:val="right"/>
              <w:rPr>
                <w:rFonts w:eastAsia="Times New Roman" w:cs="Arial"/>
                <w:sz w:val="18"/>
                <w:szCs w:val="18"/>
              </w:rPr>
            </w:pPr>
            <w:r w:rsidRPr="00D868AB">
              <w:rPr>
                <w:rFonts w:cs="Arial"/>
                <w:sz w:val="18"/>
              </w:rPr>
              <w:t>197,921</w:t>
            </w:r>
          </w:p>
        </w:tc>
        <w:tc>
          <w:tcPr>
            <w:tcW w:w="1141" w:type="dxa"/>
            <w:shd w:val="clear" w:color="auto" w:fill="auto"/>
            <w:noWrap/>
            <w:vAlign w:val="center"/>
          </w:tcPr>
          <w:p w14:paraId="678E0125" w14:textId="77777777" w:rsidR="00D868AB" w:rsidRPr="00D868AB" w:rsidRDefault="00D868AB" w:rsidP="00D868AB">
            <w:pPr>
              <w:jc w:val="right"/>
              <w:rPr>
                <w:rFonts w:eastAsia="Times New Roman" w:cs="Arial"/>
                <w:sz w:val="18"/>
                <w:szCs w:val="18"/>
              </w:rPr>
            </w:pPr>
            <w:r w:rsidRPr="00D868AB">
              <w:rPr>
                <w:rFonts w:cs="Arial"/>
                <w:sz w:val="18"/>
              </w:rPr>
              <w:t>946,320</w:t>
            </w:r>
          </w:p>
        </w:tc>
        <w:tc>
          <w:tcPr>
            <w:tcW w:w="1266" w:type="dxa"/>
            <w:shd w:val="clear" w:color="auto" w:fill="auto"/>
            <w:noWrap/>
            <w:vAlign w:val="center"/>
          </w:tcPr>
          <w:p w14:paraId="4DCED862" w14:textId="77777777" w:rsidR="00D868AB" w:rsidRPr="00D868AB" w:rsidRDefault="00D868AB" w:rsidP="00D868AB">
            <w:pPr>
              <w:jc w:val="right"/>
              <w:rPr>
                <w:rFonts w:eastAsia="Times New Roman" w:cs="Arial"/>
                <w:sz w:val="18"/>
                <w:szCs w:val="18"/>
              </w:rPr>
            </w:pPr>
            <w:r w:rsidRPr="00D868AB">
              <w:rPr>
                <w:rFonts w:cs="Arial"/>
                <w:sz w:val="18"/>
              </w:rPr>
              <w:t>131,369</w:t>
            </w:r>
          </w:p>
        </w:tc>
        <w:tc>
          <w:tcPr>
            <w:tcW w:w="986" w:type="dxa"/>
            <w:vAlign w:val="center"/>
          </w:tcPr>
          <w:p w14:paraId="13500FAE" w14:textId="77777777" w:rsidR="00D868AB" w:rsidRPr="00D868AB" w:rsidRDefault="00D868AB" w:rsidP="00D868AB">
            <w:pPr>
              <w:jc w:val="right"/>
              <w:rPr>
                <w:rFonts w:cs="Arial"/>
                <w:sz w:val="18"/>
              </w:rPr>
            </w:pPr>
            <w:r w:rsidRPr="00D868AB">
              <w:rPr>
                <w:rFonts w:cs="Arial"/>
                <w:sz w:val="18"/>
              </w:rPr>
              <w:t>96,754</w:t>
            </w:r>
          </w:p>
        </w:tc>
        <w:tc>
          <w:tcPr>
            <w:tcW w:w="1071" w:type="dxa"/>
            <w:shd w:val="clear" w:color="auto" w:fill="auto"/>
            <w:noWrap/>
            <w:vAlign w:val="center"/>
          </w:tcPr>
          <w:p w14:paraId="01764528" w14:textId="77777777" w:rsidR="00D868AB" w:rsidRPr="00D868AB" w:rsidRDefault="00D868AB" w:rsidP="00D868AB">
            <w:pPr>
              <w:jc w:val="right"/>
              <w:rPr>
                <w:rFonts w:cs="Arial"/>
                <w:sz w:val="18"/>
              </w:rPr>
            </w:pPr>
            <w:r w:rsidRPr="00D868AB">
              <w:rPr>
                <w:rFonts w:cs="Arial"/>
                <w:sz w:val="18"/>
              </w:rPr>
              <w:t>1,372,364</w:t>
            </w:r>
          </w:p>
        </w:tc>
      </w:tr>
      <w:tr w:rsidR="00D868AB" w:rsidRPr="00D868AB" w14:paraId="32BE296C" w14:textId="77777777" w:rsidTr="00A755A7">
        <w:trPr>
          <w:gridAfter w:val="1"/>
          <w:wAfter w:w="104" w:type="dxa"/>
          <w:trHeight w:val="20"/>
          <w:jc w:val="center"/>
        </w:trPr>
        <w:tc>
          <w:tcPr>
            <w:tcW w:w="1427" w:type="dxa"/>
            <w:shd w:val="clear" w:color="FFFFCC" w:fill="FFFFFF"/>
            <w:noWrap/>
            <w:vAlign w:val="center"/>
            <w:hideMark/>
          </w:tcPr>
          <w:p w14:paraId="26A41156" w14:textId="77777777" w:rsidR="00D868AB" w:rsidRPr="00D868AB" w:rsidRDefault="00D868AB" w:rsidP="00D868AB">
            <w:pPr>
              <w:rPr>
                <w:rFonts w:eastAsia="Times New Roman" w:cs="Arial"/>
                <w:sz w:val="18"/>
                <w:szCs w:val="18"/>
              </w:rPr>
            </w:pPr>
            <w:r w:rsidRPr="00D868AB">
              <w:rPr>
                <w:rFonts w:eastAsia="Times New Roman" w:cs="Arial"/>
                <w:sz w:val="18"/>
                <w:szCs w:val="18"/>
              </w:rPr>
              <w:t>Colima</w:t>
            </w:r>
          </w:p>
        </w:tc>
        <w:tc>
          <w:tcPr>
            <w:tcW w:w="1134" w:type="dxa"/>
            <w:shd w:val="clear" w:color="auto" w:fill="auto"/>
            <w:noWrap/>
            <w:vAlign w:val="center"/>
          </w:tcPr>
          <w:p w14:paraId="7F39D68F" w14:textId="77777777" w:rsidR="00D868AB" w:rsidRPr="00D868AB" w:rsidRDefault="00D868AB" w:rsidP="00D868AB">
            <w:pPr>
              <w:jc w:val="right"/>
              <w:rPr>
                <w:rFonts w:eastAsia="Times New Roman" w:cs="Arial"/>
                <w:sz w:val="18"/>
                <w:szCs w:val="18"/>
              </w:rPr>
            </w:pPr>
            <w:r w:rsidRPr="00D868AB">
              <w:rPr>
                <w:rFonts w:cs="Arial"/>
                <w:sz w:val="18"/>
              </w:rPr>
              <w:t>606,089</w:t>
            </w:r>
          </w:p>
        </w:tc>
        <w:tc>
          <w:tcPr>
            <w:tcW w:w="1141" w:type="dxa"/>
            <w:shd w:val="clear" w:color="auto" w:fill="auto"/>
            <w:noWrap/>
            <w:vAlign w:val="center"/>
          </w:tcPr>
          <w:p w14:paraId="68E92AFD" w14:textId="77777777" w:rsidR="00D868AB" w:rsidRPr="00D868AB" w:rsidRDefault="00D868AB" w:rsidP="00D868AB">
            <w:pPr>
              <w:jc w:val="right"/>
              <w:rPr>
                <w:rFonts w:eastAsia="Times New Roman" w:cs="Arial"/>
                <w:sz w:val="18"/>
                <w:szCs w:val="18"/>
              </w:rPr>
            </w:pPr>
            <w:r w:rsidRPr="00D868AB">
              <w:rPr>
                <w:rFonts w:cs="Arial"/>
                <w:sz w:val="18"/>
              </w:rPr>
              <w:t>2,897,889</w:t>
            </w:r>
          </w:p>
        </w:tc>
        <w:tc>
          <w:tcPr>
            <w:tcW w:w="1266" w:type="dxa"/>
            <w:shd w:val="clear" w:color="auto" w:fill="auto"/>
            <w:noWrap/>
            <w:vAlign w:val="center"/>
          </w:tcPr>
          <w:p w14:paraId="542317E2" w14:textId="77777777" w:rsidR="00D868AB" w:rsidRPr="00D868AB" w:rsidRDefault="00D868AB" w:rsidP="00D868AB">
            <w:pPr>
              <w:jc w:val="right"/>
              <w:rPr>
                <w:rFonts w:eastAsia="Times New Roman" w:cs="Arial"/>
                <w:sz w:val="18"/>
                <w:szCs w:val="18"/>
              </w:rPr>
            </w:pPr>
            <w:r w:rsidRPr="00D868AB">
              <w:rPr>
                <w:rFonts w:cs="Arial"/>
                <w:sz w:val="18"/>
              </w:rPr>
              <w:t>3,238,006</w:t>
            </w:r>
          </w:p>
        </w:tc>
        <w:tc>
          <w:tcPr>
            <w:tcW w:w="986" w:type="dxa"/>
            <w:vAlign w:val="center"/>
          </w:tcPr>
          <w:p w14:paraId="61580920" w14:textId="77777777" w:rsidR="00D868AB" w:rsidRPr="00D868AB" w:rsidRDefault="00D868AB" w:rsidP="00D868AB">
            <w:pPr>
              <w:jc w:val="right"/>
              <w:rPr>
                <w:rFonts w:cs="Arial"/>
                <w:sz w:val="18"/>
              </w:rPr>
            </w:pPr>
            <w:r w:rsidRPr="00D868AB">
              <w:rPr>
                <w:rFonts w:cs="Arial"/>
                <w:sz w:val="18"/>
              </w:rPr>
              <w:t>0</w:t>
            </w:r>
          </w:p>
        </w:tc>
        <w:tc>
          <w:tcPr>
            <w:tcW w:w="1071" w:type="dxa"/>
            <w:shd w:val="clear" w:color="auto" w:fill="auto"/>
            <w:noWrap/>
            <w:vAlign w:val="center"/>
          </w:tcPr>
          <w:p w14:paraId="0962EA2B" w14:textId="77777777" w:rsidR="00D868AB" w:rsidRPr="00D868AB" w:rsidRDefault="00D868AB" w:rsidP="00D868AB">
            <w:pPr>
              <w:jc w:val="right"/>
              <w:rPr>
                <w:rFonts w:cs="Arial"/>
                <w:sz w:val="18"/>
              </w:rPr>
            </w:pPr>
            <w:r w:rsidRPr="00D868AB">
              <w:rPr>
                <w:rFonts w:cs="Arial"/>
                <w:sz w:val="18"/>
              </w:rPr>
              <w:t>6,741,984</w:t>
            </w:r>
          </w:p>
        </w:tc>
      </w:tr>
      <w:tr w:rsidR="00D868AB" w:rsidRPr="00D868AB" w14:paraId="56000A12" w14:textId="77777777" w:rsidTr="00A755A7">
        <w:trPr>
          <w:gridAfter w:val="1"/>
          <w:wAfter w:w="104" w:type="dxa"/>
          <w:trHeight w:val="20"/>
          <w:jc w:val="center"/>
        </w:trPr>
        <w:tc>
          <w:tcPr>
            <w:tcW w:w="1427" w:type="dxa"/>
            <w:shd w:val="clear" w:color="FFFFCC" w:fill="FFFFFF"/>
            <w:noWrap/>
            <w:vAlign w:val="center"/>
            <w:hideMark/>
          </w:tcPr>
          <w:p w14:paraId="4447D7BF" w14:textId="77777777" w:rsidR="00D868AB" w:rsidRPr="00D868AB" w:rsidRDefault="00D868AB" w:rsidP="00D868AB">
            <w:pPr>
              <w:rPr>
                <w:rFonts w:eastAsia="Times New Roman" w:cs="Arial"/>
                <w:sz w:val="18"/>
                <w:szCs w:val="18"/>
              </w:rPr>
            </w:pPr>
            <w:r w:rsidRPr="00D868AB">
              <w:rPr>
                <w:rFonts w:eastAsia="Times New Roman" w:cs="Arial"/>
                <w:sz w:val="18"/>
                <w:szCs w:val="18"/>
              </w:rPr>
              <w:t>Comala</w:t>
            </w:r>
          </w:p>
        </w:tc>
        <w:tc>
          <w:tcPr>
            <w:tcW w:w="1134" w:type="dxa"/>
            <w:shd w:val="clear" w:color="auto" w:fill="auto"/>
            <w:noWrap/>
            <w:vAlign w:val="center"/>
          </w:tcPr>
          <w:p w14:paraId="132C871E" w14:textId="77777777" w:rsidR="00D868AB" w:rsidRPr="00D868AB" w:rsidRDefault="00D868AB" w:rsidP="00D868AB">
            <w:pPr>
              <w:jc w:val="right"/>
              <w:rPr>
                <w:rFonts w:eastAsia="Times New Roman" w:cs="Arial"/>
                <w:sz w:val="18"/>
                <w:szCs w:val="18"/>
              </w:rPr>
            </w:pPr>
            <w:r w:rsidRPr="00D868AB">
              <w:rPr>
                <w:rFonts w:cs="Arial"/>
                <w:sz w:val="18"/>
              </w:rPr>
              <w:t>202,179</w:t>
            </w:r>
          </w:p>
        </w:tc>
        <w:tc>
          <w:tcPr>
            <w:tcW w:w="1141" w:type="dxa"/>
            <w:shd w:val="clear" w:color="auto" w:fill="auto"/>
            <w:noWrap/>
            <w:vAlign w:val="center"/>
          </w:tcPr>
          <w:p w14:paraId="2E483D60" w14:textId="77777777" w:rsidR="00D868AB" w:rsidRPr="00D868AB" w:rsidRDefault="00D868AB" w:rsidP="00D868AB">
            <w:pPr>
              <w:jc w:val="right"/>
              <w:rPr>
                <w:rFonts w:eastAsia="Times New Roman" w:cs="Arial"/>
                <w:sz w:val="18"/>
                <w:szCs w:val="18"/>
              </w:rPr>
            </w:pPr>
            <w:r w:rsidRPr="00D868AB">
              <w:rPr>
                <w:rFonts w:cs="Arial"/>
                <w:sz w:val="18"/>
              </w:rPr>
              <w:t>966,679</w:t>
            </w:r>
          </w:p>
        </w:tc>
        <w:tc>
          <w:tcPr>
            <w:tcW w:w="1266" w:type="dxa"/>
            <w:shd w:val="clear" w:color="auto" w:fill="auto"/>
            <w:noWrap/>
            <w:vAlign w:val="center"/>
          </w:tcPr>
          <w:p w14:paraId="24675D8D" w14:textId="77777777" w:rsidR="00D868AB" w:rsidRPr="00D868AB" w:rsidRDefault="00D868AB" w:rsidP="00D868AB">
            <w:pPr>
              <w:jc w:val="right"/>
              <w:rPr>
                <w:rFonts w:eastAsia="Times New Roman" w:cs="Arial"/>
                <w:sz w:val="18"/>
                <w:szCs w:val="18"/>
              </w:rPr>
            </w:pPr>
            <w:r w:rsidRPr="00D868AB">
              <w:rPr>
                <w:rFonts w:cs="Arial"/>
                <w:sz w:val="18"/>
              </w:rPr>
              <w:t>203,867</w:t>
            </w:r>
          </w:p>
        </w:tc>
        <w:tc>
          <w:tcPr>
            <w:tcW w:w="986" w:type="dxa"/>
            <w:vAlign w:val="center"/>
          </w:tcPr>
          <w:p w14:paraId="2C7C9D40" w14:textId="77777777" w:rsidR="00D868AB" w:rsidRPr="00D868AB" w:rsidRDefault="00D868AB" w:rsidP="00D868AB">
            <w:pPr>
              <w:jc w:val="right"/>
              <w:rPr>
                <w:rFonts w:cs="Arial"/>
                <w:sz w:val="18"/>
              </w:rPr>
            </w:pPr>
            <w:r w:rsidRPr="00D868AB">
              <w:rPr>
                <w:rFonts w:cs="Arial"/>
                <w:sz w:val="18"/>
              </w:rPr>
              <w:t>0</w:t>
            </w:r>
          </w:p>
        </w:tc>
        <w:tc>
          <w:tcPr>
            <w:tcW w:w="1071" w:type="dxa"/>
            <w:shd w:val="clear" w:color="auto" w:fill="auto"/>
            <w:noWrap/>
            <w:vAlign w:val="center"/>
          </w:tcPr>
          <w:p w14:paraId="43A96E7A" w14:textId="77777777" w:rsidR="00D868AB" w:rsidRPr="00D868AB" w:rsidRDefault="00D868AB" w:rsidP="00D868AB">
            <w:pPr>
              <w:jc w:val="right"/>
              <w:rPr>
                <w:rFonts w:cs="Arial"/>
                <w:sz w:val="18"/>
              </w:rPr>
            </w:pPr>
            <w:r w:rsidRPr="00D868AB">
              <w:rPr>
                <w:rFonts w:cs="Arial"/>
                <w:sz w:val="18"/>
              </w:rPr>
              <w:t>1,372,725</w:t>
            </w:r>
          </w:p>
        </w:tc>
      </w:tr>
      <w:tr w:rsidR="00D868AB" w:rsidRPr="00D868AB" w14:paraId="771E7E4E" w14:textId="77777777" w:rsidTr="00A755A7">
        <w:trPr>
          <w:gridAfter w:val="1"/>
          <w:wAfter w:w="104" w:type="dxa"/>
          <w:trHeight w:val="20"/>
          <w:jc w:val="center"/>
        </w:trPr>
        <w:tc>
          <w:tcPr>
            <w:tcW w:w="1427" w:type="dxa"/>
            <w:shd w:val="clear" w:color="FFFFCC" w:fill="FFFFFF"/>
            <w:noWrap/>
            <w:vAlign w:val="center"/>
            <w:hideMark/>
          </w:tcPr>
          <w:p w14:paraId="5A8F46E1" w14:textId="77777777" w:rsidR="00D868AB" w:rsidRPr="00D868AB" w:rsidRDefault="00D868AB" w:rsidP="00D868AB">
            <w:pPr>
              <w:rPr>
                <w:rFonts w:eastAsia="Times New Roman" w:cs="Arial"/>
                <w:sz w:val="18"/>
                <w:szCs w:val="18"/>
              </w:rPr>
            </w:pPr>
            <w:r w:rsidRPr="00D868AB">
              <w:rPr>
                <w:rFonts w:eastAsia="Times New Roman" w:cs="Arial"/>
                <w:sz w:val="18"/>
                <w:szCs w:val="18"/>
              </w:rPr>
              <w:t>Coquimatlán</w:t>
            </w:r>
          </w:p>
        </w:tc>
        <w:tc>
          <w:tcPr>
            <w:tcW w:w="1134" w:type="dxa"/>
            <w:shd w:val="clear" w:color="auto" w:fill="auto"/>
            <w:noWrap/>
            <w:vAlign w:val="center"/>
          </w:tcPr>
          <w:p w14:paraId="459F069F" w14:textId="77777777" w:rsidR="00D868AB" w:rsidRPr="00D868AB" w:rsidRDefault="00D868AB" w:rsidP="00D868AB">
            <w:pPr>
              <w:jc w:val="right"/>
              <w:rPr>
                <w:rFonts w:eastAsia="Times New Roman" w:cs="Arial"/>
                <w:sz w:val="18"/>
                <w:szCs w:val="18"/>
              </w:rPr>
            </w:pPr>
            <w:r w:rsidRPr="00D868AB">
              <w:rPr>
                <w:rFonts w:cs="Arial"/>
                <w:sz w:val="18"/>
              </w:rPr>
              <w:t>165,603</w:t>
            </w:r>
          </w:p>
        </w:tc>
        <w:tc>
          <w:tcPr>
            <w:tcW w:w="1141" w:type="dxa"/>
            <w:shd w:val="clear" w:color="auto" w:fill="auto"/>
            <w:noWrap/>
            <w:vAlign w:val="center"/>
          </w:tcPr>
          <w:p w14:paraId="00CDD649" w14:textId="77777777" w:rsidR="00D868AB" w:rsidRPr="00D868AB" w:rsidRDefault="00D868AB" w:rsidP="00D868AB">
            <w:pPr>
              <w:jc w:val="right"/>
              <w:rPr>
                <w:rFonts w:eastAsia="Times New Roman" w:cs="Arial"/>
                <w:sz w:val="18"/>
                <w:szCs w:val="18"/>
              </w:rPr>
            </w:pPr>
            <w:r w:rsidRPr="00D868AB">
              <w:rPr>
                <w:rFonts w:cs="Arial"/>
                <w:sz w:val="18"/>
              </w:rPr>
              <w:t>791,796</w:t>
            </w:r>
          </w:p>
        </w:tc>
        <w:tc>
          <w:tcPr>
            <w:tcW w:w="1266" w:type="dxa"/>
            <w:shd w:val="clear" w:color="auto" w:fill="auto"/>
            <w:noWrap/>
            <w:vAlign w:val="center"/>
          </w:tcPr>
          <w:p w14:paraId="73A25DCC" w14:textId="77777777" w:rsidR="00D868AB" w:rsidRPr="00D868AB" w:rsidRDefault="00D868AB" w:rsidP="00D868AB">
            <w:pPr>
              <w:jc w:val="right"/>
              <w:rPr>
                <w:rFonts w:eastAsia="Times New Roman" w:cs="Arial"/>
                <w:sz w:val="18"/>
                <w:szCs w:val="18"/>
              </w:rPr>
            </w:pPr>
            <w:r w:rsidRPr="00D868AB">
              <w:rPr>
                <w:rFonts w:cs="Arial"/>
                <w:sz w:val="18"/>
              </w:rPr>
              <w:t>60,032</w:t>
            </w:r>
          </w:p>
        </w:tc>
        <w:tc>
          <w:tcPr>
            <w:tcW w:w="986" w:type="dxa"/>
            <w:vAlign w:val="center"/>
          </w:tcPr>
          <w:p w14:paraId="36F54C8E" w14:textId="77777777" w:rsidR="00D868AB" w:rsidRPr="00D868AB" w:rsidRDefault="00D868AB" w:rsidP="00D868AB">
            <w:pPr>
              <w:jc w:val="right"/>
              <w:rPr>
                <w:rFonts w:cs="Arial"/>
                <w:sz w:val="18"/>
              </w:rPr>
            </w:pPr>
            <w:r w:rsidRPr="00D868AB">
              <w:rPr>
                <w:rFonts w:cs="Arial"/>
                <w:sz w:val="18"/>
              </w:rPr>
              <w:t>0</w:t>
            </w:r>
          </w:p>
        </w:tc>
        <w:tc>
          <w:tcPr>
            <w:tcW w:w="1071" w:type="dxa"/>
            <w:shd w:val="clear" w:color="auto" w:fill="auto"/>
            <w:noWrap/>
            <w:vAlign w:val="center"/>
          </w:tcPr>
          <w:p w14:paraId="7B86A2BF" w14:textId="77777777" w:rsidR="00D868AB" w:rsidRPr="00D868AB" w:rsidRDefault="00D868AB" w:rsidP="00D868AB">
            <w:pPr>
              <w:jc w:val="right"/>
              <w:rPr>
                <w:rFonts w:cs="Arial"/>
                <w:sz w:val="18"/>
              </w:rPr>
            </w:pPr>
            <w:r w:rsidRPr="00D868AB">
              <w:rPr>
                <w:rFonts w:cs="Arial"/>
                <w:sz w:val="18"/>
              </w:rPr>
              <w:t>1,017,431</w:t>
            </w:r>
          </w:p>
        </w:tc>
      </w:tr>
      <w:tr w:rsidR="00D868AB" w:rsidRPr="00D868AB" w14:paraId="27277B0E" w14:textId="77777777" w:rsidTr="00A755A7">
        <w:trPr>
          <w:gridAfter w:val="1"/>
          <w:wAfter w:w="104" w:type="dxa"/>
          <w:trHeight w:val="20"/>
          <w:jc w:val="center"/>
        </w:trPr>
        <w:tc>
          <w:tcPr>
            <w:tcW w:w="1427" w:type="dxa"/>
            <w:shd w:val="clear" w:color="FFFFCC" w:fill="FFFFFF"/>
            <w:noWrap/>
            <w:vAlign w:val="center"/>
            <w:hideMark/>
          </w:tcPr>
          <w:p w14:paraId="67E07F87" w14:textId="77777777" w:rsidR="00D868AB" w:rsidRPr="00D868AB" w:rsidRDefault="00D868AB" w:rsidP="00D868AB">
            <w:pPr>
              <w:rPr>
                <w:rFonts w:eastAsia="Times New Roman" w:cs="Arial"/>
                <w:sz w:val="18"/>
                <w:szCs w:val="18"/>
              </w:rPr>
            </w:pPr>
            <w:r w:rsidRPr="00D868AB">
              <w:rPr>
                <w:rFonts w:eastAsia="Times New Roman" w:cs="Arial"/>
                <w:sz w:val="18"/>
                <w:szCs w:val="18"/>
              </w:rPr>
              <w:t>Cuauhtémoc</w:t>
            </w:r>
          </w:p>
        </w:tc>
        <w:tc>
          <w:tcPr>
            <w:tcW w:w="1134" w:type="dxa"/>
            <w:shd w:val="clear" w:color="auto" w:fill="auto"/>
            <w:noWrap/>
            <w:vAlign w:val="center"/>
          </w:tcPr>
          <w:p w14:paraId="2A894E5D" w14:textId="77777777" w:rsidR="00D868AB" w:rsidRPr="00D868AB" w:rsidRDefault="00D868AB" w:rsidP="00D868AB">
            <w:pPr>
              <w:jc w:val="right"/>
              <w:rPr>
                <w:rFonts w:eastAsia="Times New Roman" w:cs="Arial"/>
                <w:sz w:val="18"/>
                <w:szCs w:val="18"/>
              </w:rPr>
            </w:pPr>
            <w:r w:rsidRPr="00D868AB">
              <w:rPr>
                <w:rFonts w:cs="Arial"/>
                <w:sz w:val="18"/>
              </w:rPr>
              <w:t>226,363</w:t>
            </w:r>
          </w:p>
        </w:tc>
        <w:tc>
          <w:tcPr>
            <w:tcW w:w="1141" w:type="dxa"/>
            <w:shd w:val="clear" w:color="auto" w:fill="auto"/>
            <w:noWrap/>
            <w:vAlign w:val="center"/>
          </w:tcPr>
          <w:p w14:paraId="709003F9" w14:textId="77777777" w:rsidR="00D868AB" w:rsidRPr="00D868AB" w:rsidRDefault="00D868AB" w:rsidP="00D868AB">
            <w:pPr>
              <w:jc w:val="right"/>
              <w:rPr>
                <w:rFonts w:eastAsia="Times New Roman" w:cs="Arial"/>
                <w:sz w:val="18"/>
                <w:szCs w:val="18"/>
              </w:rPr>
            </w:pPr>
            <w:r w:rsidRPr="00D868AB">
              <w:rPr>
                <w:rFonts w:cs="Arial"/>
                <w:sz w:val="18"/>
              </w:rPr>
              <w:t>1,082,306</w:t>
            </w:r>
          </w:p>
        </w:tc>
        <w:tc>
          <w:tcPr>
            <w:tcW w:w="1266" w:type="dxa"/>
            <w:shd w:val="clear" w:color="auto" w:fill="auto"/>
            <w:noWrap/>
            <w:vAlign w:val="center"/>
          </w:tcPr>
          <w:p w14:paraId="5FF55E84" w14:textId="77777777" w:rsidR="00D868AB" w:rsidRPr="00D868AB" w:rsidRDefault="00D868AB" w:rsidP="00D868AB">
            <w:pPr>
              <w:jc w:val="right"/>
              <w:rPr>
                <w:rFonts w:eastAsia="Times New Roman" w:cs="Arial"/>
                <w:sz w:val="18"/>
                <w:szCs w:val="18"/>
              </w:rPr>
            </w:pPr>
            <w:r w:rsidRPr="00D868AB">
              <w:rPr>
                <w:rFonts w:cs="Arial"/>
                <w:sz w:val="18"/>
              </w:rPr>
              <w:t>480,160</w:t>
            </w:r>
          </w:p>
        </w:tc>
        <w:tc>
          <w:tcPr>
            <w:tcW w:w="986" w:type="dxa"/>
            <w:vAlign w:val="center"/>
          </w:tcPr>
          <w:p w14:paraId="6337DFEB" w14:textId="77777777" w:rsidR="00D868AB" w:rsidRPr="00D868AB" w:rsidRDefault="00D868AB" w:rsidP="00D868AB">
            <w:pPr>
              <w:jc w:val="right"/>
              <w:rPr>
                <w:rFonts w:cs="Arial"/>
                <w:sz w:val="18"/>
              </w:rPr>
            </w:pPr>
            <w:r w:rsidRPr="00D868AB">
              <w:rPr>
                <w:rFonts w:cs="Arial"/>
                <w:sz w:val="18"/>
              </w:rPr>
              <w:t>0</w:t>
            </w:r>
          </w:p>
        </w:tc>
        <w:tc>
          <w:tcPr>
            <w:tcW w:w="1071" w:type="dxa"/>
            <w:shd w:val="clear" w:color="auto" w:fill="auto"/>
            <w:noWrap/>
            <w:vAlign w:val="center"/>
          </w:tcPr>
          <w:p w14:paraId="71961EC6" w14:textId="77777777" w:rsidR="00D868AB" w:rsidRPr="00D868AB" w:rsidRDefault="00D868AB" w:rsidP="00D868AB">
            <w:pPr>
              <w:jc w:val="right"/>
              <w:rPr>
                <w:rFonts w:cs="Arial"/>
                <w:sz w:val="18"/>
              </w:rPr>
            </w:pPr>
            <w:r w:rsidRPr="00D868AB">
              <w:rPr>
                <w:rFonts w:cs="Arial"/>
                <w:sz w:val="18"/>
              </w:rPr>
              <w:t>1,788,829</w:t>
            </w:r>
          </w:p>
        </w:tc>
      </w:tr>
      <w:tr w:rsidR="00D868AB" w:rsidRPr="00D868AB" w14:paraId="75805C08" w14:textId="77777777" w:rsidTr="00A755A7">
        <w:trPr>
          <w:gridAfter w:val="1"/>
          <w:wAfter w:w="104" w:type="dxa"/>
          <w:trHeight w:val="20"/>
          <w:jc w:val="center"/>
        </w:trPr>
        <w:tc>
          <w:tcPr>
            <w:tcW w:w="1427" w:type="dxa"/>
            <w:shd w:val="clear" w:color="FFFFCC" w:fill="FFFFFF"/>
            <w:noWrap/>
            <w:vAlign w:val="center"/>
            <w:hideMark/>
          </w:tcPr>
          <w:p w14:paraId="30A89BEF" w14:textId="77777777" w:rsidR="00D868AB" w:rsidRPr="00D868AB" w:rsidRDefault="00D868AB" w:rsidP="00D868AB">
            <w:pPr>
              <w:rPr>
                <w:rFonts w:eastAsia="Times New Roman" w:cs="Arial"/>
                <w:sz w:val="18"/>
                <w:szCs w:val="18"/>
              </w:rPr>
            </w:pPr>
            <w:r w:rsidRPr="00D868AB">
              <w:rPr>
                <w:rFonts w:eastAsia="Times New Roman" w:cs="Arial"/>
                <w:sz w:val="18"/>
                <w:szCs w:val="18"/>
              </w:rPr>
              <w:t>Ixtlahuacán</w:t>
            </w:r>
          </w:p>
        </w:tc>
        <w:tc>
          <w:tcPr>
            <w:tcW w:w="1134" w:type="dxa"/>
            <w:shd w:val="clear" w:color="auto" w:fill="auto"/>
            <w:noWrap/>
            <w:vAlign w:val="center"/>
          </w:tcPr>
          <w:p w14:paraId="4F72DD1D" w14:textId="77777777" w:rsidR="00D868AB" w:rsidRPr="00D868AB" w:rsidRDefault="00D868AB" w:rsidP="00D868AB">
            <w:pPr>
              <w:jc w:val="right"/>
              <w:rPr>
                <w:rFonts w:eastAsia="Times New Roman" w:cs="Arial"/>
                <w:sz w:val="18"/>
                <w:szCs w:val="18"/>
              </w:rPr>
            </w:pPr>
            <w:r w:rsidRPr="00D868AB">
              <w:rPr>
                <w:rFonts w:cs="Arial"/>
                <w:sz w:val="18"/>
              </w:rPr>
              <w:t>374,797</w:t>
            </w:r>
          </w:p>
        </w:tc>
        <w:tc>
          <w:tcPr>
            <w:tcW w:w="1141" w:type="dxa"/>
            <w:shd w:val="clear" w:color="auto" w:fill="auto"/>
            <w:noWrap/>
            <w:vAlign w:val="center"/>
          </w:tcPr>
          <w:p w14:paraId="049991B5" w14:textId="77777777" w:rsidR="00D868AB" w:rsidRPr="00D868AB" w:rsidRDefault="00D868AB" w:rsidP="00D868AB">
            <w:pPr>
              <w:jc w:val="right"/>
              <w:rPr>
                <w:rFonts w:eastAsia="Times New Roman" w:cs="Arial"/>
                <w:sz w:val="18"/>
                <w:szCs w:val="18"/>
              </w:rPr>
            </w:pPr>
            <w:r w:rsidRPr="00D868AB">
              <w:rPr>
                <w:rFonts w:cs="Arial"/>
                <w:sz w:val="18"/>
              </w:rPr>
              <w:t>1,792,014</w:t>
            </w:r>
          </w:p>
        </w:tc>
        <w:tc>
          <w:tcPr>
            <w:tcW w:w="1266" w:type="dxa"/>
            <w:shd w:val="clear" w:color="auto" w:fill="auto"/>
            <w:noWrap/>
            <w:vAlign w:val="center"/>
          </w:tcPr>
          <w:p w14:paraId="12777D03" w14:textId="77777777" w:rsidR="00D868AB" w:rsidRPr="00D868AB" w:rsidRDefault="00D868AB" w:rsidP="00D868AB">
            <w:pPr>
              <w:jc w:val="right"/>
              <w:rPr>
                <w:rFonts w:eastAsia="Times New Roman" w:cs="Arial"/>
                <w:sz w:val="18"/>
                <w:szCs w:val="18"/>
              </w:rPr>
            </w:pPr>
            <w:r w:rsidRPr="00D868AB">
              <w:rPr>
                <w:rFonts w:cs="Arial"/>
                <w:sz w:val="18"/>
              </w:rPr>
              <w:t>5,405</w:t>
            </w:r>
          </w:p>
        </w:tc>
        <w:tc>
          <w:tcPr>
            <w:tcW w:w="986" w:type="dxa"/>
            <w:vAlign w:val="center"/>
          </w:tcPr>
          <w:p w14:paraId="0D038EAB" w14:textId="77777777" w:rsidR="00D868AB" w:rsidRPr="00D868AB" w:rsidRDefault="00D868AB" w:rsidP="00D868AB">
            <w:pPr>
              <w:jc w:val="right"/>
              <w:rPr>
                <w:rFonts w:cs="Arial"/>
                <w:sz w:val="18"/>
              </w:rPr>
            </w:pPr>
            <w:r w:rsidRPr="00D868AB">
              <w:rPr>
                <w:rFonts w:cs="Arial"/>
                <w:sz w:val="18"/>
              </w:rPr>
              <w:t>0</w:t>
            </w:r>
          </w:p>
        </w:tc>
        <w:tc>
          <w:tcPr>
            <w:tcW w:w="1071" w:type="dxa"/>
            <w:shd w:val="clear" w:color="auto" w:fill="auto"/>
            <w:noWrap/>
            <w:vAlign w:val="center"/>
          </w:tcPr>
          <w:p w14:paraId="5C8500E6" w14:textId="77777777" w:rsidR="00D868AB" w:rsidRPr="00D868AB" w:rsidRDefault="00D868AB" w:rsidP="00D868AB">
            <w:pPr>
              <w:jc w:val="right"/>
              <w:rPr>
                <w:rFonts w:cs="Arial"/>
                <w:sz w:val="18"/>
              </w:rPr>
            </w:pPr>
            <w:r w:rsidRPr="00D868AB">
              <w:rPr>
                <w:rFonts w:cs="Arial"/>
                <w:sz w:val="18"/>
              </w:rPr>
              <w:t>2,172,216</w:t>
            </w:r>
          </w:p>
        </w:tc>
      </w:tr>
      <w:tr w:rsidR="00D868AB" w:rsidRPr="00D868AB" w14:paraId="18C6F0C7" w14:textId="77777777" w:rsidTr="00A755A7">
        <w:trPr>
          <w:gridAfter w:val="1"/>
          <w:wAfter w:w="104" w:type="dxa"/>
          <w:trHeight w:val="20"/>
          <w:jc w:val="center"/>
        </w:trPr>
        <w:tc>
          <w:tcPr>
            <w:tcW w:w="1427" w:type="dxa"/>
            <w:shd w:val="clear" w:color="FFFFCC" w:fill="FFFFFF"/>
            <w:noWrap/>
            <w:vAlign w:val="center"/>
            <w:hideMark/>
          </w:tcPr>
          <w:p w14:paraId="58578EFF" w14:textId="77777777" w:rsidR="00D868AB" w:rsidRPr="00D868AB" w:rsidRDefault="00D868AB" w:rsidP="00D868AB">
            <w:pPr>
              <w:rPr>
                <w:rFonts w:eastAsia="Times New Roman" w:cs="Arial"/>
                <w:sz w:val="18"/>
                <w:szCs w:val="18"/>
              </w:rPr>
            </w:pPr>
            <w:r w:rsidRPr="00D868AB">
              <w:rPr>
                <w:rFonts w:eastAsia="Times New Roman" w:cs="Arial"/>
                <w:sz w:val="18"/>
                <w:szCs w:val="18"/>
              </w:rPr>
              <w:t>Manzanillo</w:t>
            </w:r>
          </w:p>
        </w:tc>
        <w:tc>
          <w:tcPr>
            <w:tcW w:w="1134" w:type="dxa"/>
            <w:shd w:val="clear" w:color="auto" w:fill="auto"/>
            <w:noWrap/>
            <w:vAlign w:val="center"/>
          </w:tcPr>
          <w:p w14:paraId="3215C2A6" w14:textId="77777777" w:rsidR="00D868AB" w:rsidRPr="00D868AB" w:rsidRDefault="00D868AB" w:rsidP="00D868AB">
            <w:pPr>
              <w:jc w:val="right"/>
              <w:rPr>
                <w:rFonts w:eastAsia="Times New Roman" w:cs="Arial"/>
                <w:sz w:val="18"/>
                <w:szCs w:val="18"/>
              </w:rPr>
            </w:pPr>
            <w:r w:rsidRPr="00D868AB">
              <w:rPr>
                <w:rFonts w:cs="Arial"/>
                <w:sz w:val="18"/>
              </w:rPr>
              <w:t>693,816</w:t>
            </w:r>
          </w:p>
        </w:tc>
        <w:tc>
          <w:tcPr>
            <w:tcW w:w="1141" w:type="dxa"/>
            <w:shd w:val="clear" w:color="auto" w:fill="auto"/>
            <w:noWrap/>
            <w:vAlign w:val="center"/>
          </w:tcPr>
          <w:p w14:paraId="07D9375F" w14:textId="77777777" w:rsidR="00D868AB" w:rsidRPr="00D868AB" w:rsidRDefault="00D868AB" w:rsidP="00D868AB">
            <w:pPr>
              <w:jc w:val="right"/>
              <w:rPr>
                <w:rFonts w:eastAsia="Times New Roman" w:cs="Arial"/>
                <w:sz w:val="18"/>
                <w:szCs w:val="18"/>
              </w:rPr>
            </w:pPr>
            <w:r w:rsidRPr="00D868AB">
              <w:rPr>
                <w:rFonts w:cs="Arial"/>
                <w:sz w:val="18"/>
              </w:rPr>
              <w:t>3,317,342</w:t>
            </w:r>
          </w:p>
        </w:tc>
        <w:tc>
          <w:tcPr>
            <w:tcW w:w="1266" w:type="dxa"/>
            <w:shd w:val="clear" w:color="auto" w:fill="auto"/>
            <w:noWrap/>
            <w:vAlign w:val="center"/>
          </w:tcPr>
          <w:p w14:paraId="332DDB8E" w14:textId="77777777" w:rsidR="00D868AB" w:rsidRPr="00D868AB" w:rsidRDefault="00D868AB" w:rsidP="00D868AB">
            <w:pPr>
              <w:jc w:val="right"/>
              <w:rPr>
                <w:rFonts w:eastAsia="Times New Roman" w:cs="Arial"/>
                <w:sz w:val="18"/>
                <w:szCs w:val="18"/>
              </w:rPr>
            </w:pPr>
            <w:r w:rsidRPr="00D868AB">
              <w:rPr>
                <w:rFonts w:cs="Arial"/>
                <w:sz w:val="18"/>
              </w:rPr>
              <w:t>3,888,058</w:t>
            </w:r>
          </w:p>
        </w:tc>
        <w:tc>
          <w:tcPr>
            <w:tcW w:w="986" w:type="dxa"/>
            <w:vAlign w:val="center"/>
          </w:tcPr>
          <w:p w14:paraId="014C983A" w14:textId="77777777" w:rsidR="00D868AB" w:rsidRPr="00D868AB" w:rsidRDefault="00D868AB" w:rsidP="00D868AB">
            <w:pPr>
              <w:jc w:val="right"/>
              <w:rPr>
                <w:rFonts w:cs="Arial"/>
                <w:sz w:val="18"/>
              </w:rPr>
            </w:pPr>
            <w:r w:rsidRPr="00D868AB">
              <w:rPr>
                <w:rFonts w:cs="Arial"/>
                <w:sz w:val="18"/>
              </w:rPr>
              <w:t>4,547,444</w:t>
            </w:r>
          </w:p>
        </w:tc>
        <w:tc>
          <w:tcPr>
            <w:tcW w:w="1071" w:type="dxa"/>
            <w:shd w:val="clear" w:color="auto" w:fill="auto"/>
            <w:noWrap/>
            <w:vAlign w:val="center"/>
          </w:tcPr>
          <w:p w14:paraId="7278A10A" w14:textId="77777777" w:rsidR="00D868AB" w:rsidRPr="00D868AB" w:rsidRDefault="00D868AB" w:rsidP="00D868AB">
            <w:pPr>
              <w:jc w:val="right"/>
              <w:rPr>
                <w:rFonts w:cs="Arial"/>
                <w:sz w:val="18"/>
              </w:rPr>
            </w:pPr>
            <w:r w:rsidRPr="00D868AB">
              <w:rPr>
                <w:rFonts w:cs="Arial"/>
                <w:sz w:val="18"/>
              </w:rPr>
              <w:t>12,446,660</w:t>
            </w:r>
          </w:p>
        </w:tc>
      </w:tr>
      <w:tr w:rsidR="00D868AB" w:rsidRPr="00D868AB" w14:paraId="50E8CC20" w14:textId="77777777" w:rsidTr="00A755A7">
        <w:trPr>
          <w:gridAfter w:val="1"/>
          <w:wAfter w:w="104" w:type="dxa"/>
          <w:trHeight w:val="20"/>
          <w:jc w:val="center"/>
        </w:trPr>
        <w:tc>
          <w:tcPr>
            <w:tcW w:w="1427" w:type="dxa"/>
            <w:shd w:val="clear" w:color="FFFFCC" w:fill="FFFFFF"/>
            <w:noWrap/>
            <w:vAlign w:val="center"/>
            <w:hideMark/>
          </w:tcPr>
          <w:p w14:paraId="230FAFC7" w14:textId="77777777" w:rsidR="00D868AB" w:rsidRPr="00D868AB" w:rsidRDefault="00D868AB" w:rsidP="00D868AB">
            <w:pPr>
              <w:rPr>
                <w:rFonts w:eastAsia="Times New Roman" w:cs="Arial"/>
                <w:sz w:val="18"/>
                <w:szCs w:val="18"/>
              </w:rPr>
            </w:pPr>
            <w:r w:rsidRPr="00D868AB">
              <w:rPr>
                <w:rFonts w:eastAsia="Times New Roman" w:cs="Arial"/>
                <w:sz w:val="18"/>
                <w:szCs w:val="18"/>
              </w:rPr>
              <w:t>Minatitlán</w:t>
            </w:r>
          </w:p>
        </w:tc>
        <w:tc>
          <w:tcPr>
            <w:tcW w:w="1134" w:type="dxa"/>
            <w:shd w:val="clear" w:color="auto" w:fill="auto"/>
            <w:noWrap/>
            <w:vAlign w:val="center"/>
          </w:tcPr>
          <w:p w14:paraId="2BD72296" w14:textId="77777777" w:rsidR="00D868AB" w:rsidRPr="00D868AB" w:rsidRDefault="00D868AB" w:rsidP="00D868AB">
            <w:pPr>
              <w:jc w:val="right"/>
              <w:rPr>
                <w:rFonts w:eastAsia="Times New Roman" w:cs="Arial"/>
                <w:sz w:val="18"/>
                <w:szCs w:val="18"/>
              </w:rPr>
            </w:pPr>
            <w:r w:rsidRPr="00D868AB">
              <w:rPr>
                <w:rFonts w:cs="Arial"/>
                <w:sz w:val="18"/>
              </w:rPr>
              <w:t>341,774</w:t>
            </w:r>
          </w:p>
        </w:tc>
        <w:tc>
          <w:tcPr>
            <w:tcW w:w="1141" w:type="dxa"/>
            <w:shd w:val="clear" w:color="auto" w:fill="auto"/>
            <w:noWrap/>
            <w:vAlign w:val="center"/>
          </w:tcPr>
          <w:p w14:paraId="77569E4B" w14:textId="77777777" w:rsidR="00D868AB" w:rsidRPr="00D868AB" w:rsidRDefault="00D868AB" w:rsidP="00D868AB">
            <w:pPr>
              <w:jc w:val="right"/>
              <w:rPr>
                <w:rFonts w:eastAsia="Times New Roman" w:cs="Arial"/>
                <w:sz w:val="18"/>
                <w:szCs w:val="18"/>
              </w:rPr>
            </w:pPr>
            <w:r w:rsidRPr="00D868AB">
              <w:rPr>
                <w:rFonts w:cs="Arial"/>
                <w:sz w:val="18"/>
              </w:rPr>
              <w:t>1,634,124</w:t>
            </w:r>
          </w:p>
        </w:tc>
        <w:tc>
          <w:tcPr>
            <w:tcW w:w="1266" w:type="dxa"/>
            <w:shd w:val="clear" w:color="auto" w:fill="auto"/>
            <w:noWrap/>
            <w:vAlign w:val="center"/>
          </w:tcPr>
          <w:p w14:paraId="5103A03A" w14:textId="77777777" w:rsidR="00D868AB" w:rsidRPr="00D868AB" w:rsidRDefault="00D868AB" w:rsidP="00D868AB">
            <w:pPr>
              <w:jc w:val="right"/>
              <w:rPr>
                <w:rFonts w:eastAsia="Times New Roman" w:cs="Arial"/>
                <w:sz w:val="18"/>
                <w:szCs w:val="18"/>
              </w:rPr>
            </w:pPr>
            <w:r w:rsidRPr="00D868AB">
              <w:rPr>
                <w:rFonts w:cs="Arial"/>
                <w:sz w:val="18"/>
              </w:rPr>
              <w:t>23,462</w:t>
            </w:r>
          </w:p>
        </w:tc>
        <w:tc>
          <w:tcPr>
            <w:tcW w:w="986" w:type="dxa"/>
            <w:vAlign w:val="center"/>
          </w:tcPr>
          <w:p w14:paraId="1326AA03" w14:textId="77777777" w:rsidR="00D868AB" w:rsidRPr="00D868AB" w:rsidRDefault="00D868AB" w:rsidP="00D868AB">
            <w:pPr>
              <w:jc w:val="right"/>
              <w:rPr>
                <w:rFonts w:cs="Arial"/>
                <w:sz w:val="18"/>
              </w:rPr>
            </w:pPr>
            <w:r w:rsidRPr="00D868AB">
              <w:rPr>
                <w:rFonts w:cs="Arial"/>
                <w:sz w:val="18"/>
              </w:rPr>
              <w:t>0</w:t>
            </w:r>
          </w:p>
        </w:tc>
        <w:tc>
          <w:tcPr>
            <w:tcW w:w="1071" w:type="dxa"/>
            <w:shd w:val="clear" w:color="auto" w:fill="auto"/>
            <w:noWrap/>
            <w:vAlign w:val="center"/>
          </w:tcPr>
          <w:p w14:paraId="4D54FFDE" w14:textId="77777777" w:rsidR="00D868AB" w:rsidRPr="00D868AB" w:rsidRDefault="00D868AB" w:rsidP="00D868AB">
            <w:pPr>
              <w:jc w:val="right"/>
              <w:rPr>
                <w:rFonts w:cs="Arial"/>
                <w:sz w:val="18"/>
              </w:rPr>
            </w:pPr>
            <w:r w:rsidRPr="00D868AB">
              <w:rPr>
                <w:rFonts w:cs="Arial"/>
                <w:sz w:val="18"/>
              </w:rPr>
              <w:t>1,999,360</w:t>
            </w:r>
          </w:p>
        </w:tc>
      </w:tr>
      <w:tr w:rsidR="00D868AB" w:rsidRPr="00D868AB" w14:paraId="2535F4A2" w14:textId="77777777" w:rsidTr="00A755A7">
        <w:trPr>
          <w:gridAfter w:val="1"/>
          <w:wAfter w:w="104" w:type="dxa"/>
          <w:trHeight w:val="20"/>
          <w:jc w:val="center"/>
        </w:trPr>
        <w:tc>
          <w:tcPr>
            <w:tcW w:w="1427" w:type="dxa"/>
            <w:shd w:val="clear" w:color="FFFFCC" w:fill="FFFFFF"/>
            <w:noWrap/>
            <w:vAlign w:val="center"/>
            <w:hideMark/>
          </w:tcPr>
          <w:p w14:paraId="0DEBD7B9" w14:textId="77777777" w:rsidR="00D868AB" w:rsidRPr="00D868AB" w:rsidRDefault="00D868AB" w:rsidP="00D868AB">
            <w:pPr>
              <w:rPr>
                <w:rFonts w:eastAsia="Times New Roman" w:cs="Arial"/>
                <w:sz w:val="18"/>
                <w:szCs w:val="18"/>
              </w:rPr>
            </w:pPr>
            <w:r w:rsidRPr="00D868AB">
              <w:rPr>
                <w:rFonts w:eastAsia="Times New Roman" w:cs="Arial"/>
                <w:sz w:val="18"/>
                <w:szCs w:val="18"/>
              </w:rPr>
              <w:t>Tecomán</w:t>
            </w:r>
          </w:p>
        </w:tc>
        <w:tc>
          <w:tcPr>
            <w:tcW w:w="1134" w:type="dxa"/>
            <w:shd w:val="clear" w:color="auto" w:fill="auto"/>
            <w:noWrap/>
            <w:vAlign w:val="center"/>
          </w:tcPr>
          <w:p w14:paraId="2BBF7D7E" w14:textId="77777777" w:rsidR="00D868AB" w:rsidRPr="00D868AB" w:rsidRDefault="00D868AB" w:rsidP="00D868AB">
            <w:pPr>
              <w:jc w:val="right"/>
              <w:rPr>
                <w:rFonts w:eastAsia="Times New Roman" w:cs="Arial"/>
                <w:sz w:val="18"/>
                <w:szCs w:val="18"/>
              </w:rPr>
            </w:pPr>
            <w:r w:rsidRPr="00D868AB">
              <w:rPr>
                <w:rFonts w:cs="Arial"/>
                <w:sz w:val="18"/>
              </w:rPr>
              <w:t>472,955</w:t>
            </w:r>
          </w:p>
        </w:tc>
        <w:tc>
          <w:tcPr>
            <w:tcW w:w="1141" w:type="dxa"/>
            <w:shd w:val="clear" w:color="auto" w:fill="auto"/>
            <w:noWrap/>
            <w:vAlign w:val="center"/>
          </w:tcPr>
          <w:p w14:paraId="6C3E27D5" w14:textId="77777777" w:rsidR="00D868AB" w:rsidRPr="00D868AB" w:rsidRDefault="00D868AB" w:rsidP="00D868AB">
            <w:pPr>
              <w:jc w:val="right"/>
              <w:rPr>
                <w:rFonts w:eastAsia="Times New Roman" w:cs="Arial"/>
                <w:sz w:val="18"/>
                <w:szCs w:val="18"/>
              </w:rPr>
            </w:pPr>
            <w:r w:rsidRPr="00D868AB">
              <w:rPr>
                <w:rFonts w:cs="Arial"/>
                <w:sz w:val="18"/>
              </w:rPr>
              <w:t>2,261,336</w:t>
            </w:r>
          </w:p>
        </w:tc>
        <w:tc>
          <w:tcPr>
            <w:tcW w:w="1266" w:type="dxa"/>
            <w:shd w:val="clear" w:color="auto" w:fill="auto"/>
            <w:noWrap/>
            <w:vAlign w:val="center"/>
          </w:tcPr>
          <w:p w14:paraId="278B0726" w14:textId="77777777" w:rsidR="00D868AB" w:rsidRPr="00D868AB" w:rsidRDefault="00D868AB" w:rsidP="00D868AB">
            <w:pPr>
              <w:jc w:val="right"/>
              <w:rPr>
                <w:rFonts w:eastAsia="Times New Roman" w:cs="Arial"/>
                <w:sz w:val="18"/>
                <w:szCs w:val="18"/>
              </w:rPr>
            </w:pPr>
            <w:r w:rsidRPr="00D868AB">
              <w:rPr>
                <w:rFonts w:cs="Arial"/>
                <w:sz w:val="18"/>
              </w:rPr>
              <w:t>565,015</w:t>
            </w:r>
          </w:p>
        </w:tc>
        <w:tc>
          <w:tcPr>
            <w:tcW w:w="986" w:type="dxa"/>
            <w:vAlign w:val="center"/>
          </w:tcPr>
          <w:p w14:paraId="1B9DFE85" w14:textId="77777777" w:rsidR="00D868AB" w:rsidRPr="00D868AB" w:rsidRDefault="00D868AB" w:rsidP="00D868AB">
            <w:pPr>
              <w:jc w:val="right"/>
              <w:rPr>
                <w:rFonts w:cs="Arial"/>
                <w:sz w:val="18"/>
              </w:rPr>
            </w:pPr>
            <w:r w:rsidRPr="00D868AB">
              <w:rPr>
                <w:rFonts w:cs="Arial"/>
                <w:sz w:val="18"/>
              </w:rPr>
              <w:t>193,508</w:t>
            </w:r>
          </w:p>
        </w:tc>
        <w:tc>
          <w:tcPr>
            <w:tcW w:w="1071" w:type="dxa"/>
            <w:shd w:val="clear" w:color="auto" w:fill="auto"/>
            <w:noWrap/>
            <w:vAlign w:val="center"/>
          </w:tcPr>
          <w:p w14:paraId="1739F342" w14:textId="77777777" w:rsidR="00D868AB" w:rsidRPr="00D868AB" w:rsidRDefault="00D868AB" w:rsidP="00D868AB">
            <w:pPr>
              <w:jc w:val="right"/>
              <w:rPr>
                <w:rFonts w:cs="Arial"/>
                <w:sz w:val="18"/>
              </w:rPr>
            </w:pPr>
            <w:r w:rsidRPr="00D868AB">
              <w:rPr>
                <w:rFonts w:cs="Arial"/>
                <w:sz w:val="18"/>
              </w:rPr>
              <w:t>3,492,814</w:t>
            </w:r>
          </w:p>
        </w:tc>
      </w:tr>
      <w:tr w:rsidR="00D868AB" w:rsidRPr="00D868AB" w14:paraId="1F212A2A" w14:textId="77777777" w:rsidTr="00A755A7">
        <w:trPr>
          <w:gridAfter w:val="1"/>
          <w:wAfter w:w="104" w:type="dxa"/>
          <w:trHeight w:val="20"/>
          <w:jc w:val="center"/>
        </w:trPr>
        <w:tc>
          <w:tcPr>
            <w:tcW w:w="1427" w:type="dxa"/>
            <w:shd w:val="clear" w:color="FFFFCC" w:fill="FFFFFF"/>
            <w:noWrap/>
            <w:vAlign w:val="center"/>
            <w:hideMark/>
          </w:tcPr>
          <w:p w14:paraId="21F6B389" w14:textId="77777777" w:rsidR="00D868AB" w:rsidRPr="00D868AB" w:rsidRDefault="00D868AB" w:rsidP="00D868AB">
            <w:pPr>
              <w:rPr>
                <w:rFonts w:eastAsia="Times New Roman" w:cs="Arial"/>
                <w:sz w:val="18"/>
                <w:szCs w:val="18"/>
              </w:rPr>
            </w:pPr>
            <w:r w:rsidRPr="00D868AB">
              <w:rPr>
                <w:rFonts w:eastAsia="Times New Roman" w:cs="Arial"/>
                <w:sz w:val="18"/>
                <w:szCs w:val="18"/>
              </w:rPr>
              <w:t>Villa de Álvarez</w:t>
            </w:r>
          </w:p>
        </w:tc>
        <w:tc>
          <w:tcPr>
            <w:tcW w:w="1134" w:type="dxa"/>
            <w:shd w:val="clear" w:color="auto" w:fill="auto"/>
            <w:noWrap/>
            <w:vAlign w:val="center"/>
          </w:tcPr>
          <w:p w14:paraId="10524997" w14:textId="77777777" w:rsidR="00D868AB" w:rsidRPr="00D868AB" w:rsidRDefault="00D868AB" w:rsidP="00D868AB">
            <w:pPr>
              <w:jc w:val="right"/>
              <w:rPr>
                <w:rFonts w:eastAsia="Times New Roman" w:cs="Arial"/>
                <w:sz w:val="18"/>
                <w:szCs w:val="18"/>
              </w:rPr>
            </w:pPr>
            <w:r w:rsidRPr="00D868AB">
              <w:rPr>
                <w:rFonts w:cs="Arial"/>
                <w:sz w:val="18"/>
              </w:rPr>
              <w:t>539,996</w:t>
            </w:r>
          </w:p>
        </w:tc>
        <w:tc>
          <w:tcPr>
            <w:tcW w:w="1141" w:type="dxa"/>
            <w:shd w:val="clear" w:color="auto" w:fill="auto"/>
            <w:noWrap/>
            <w:vAlign w:val="center"/>
          </w:tcPr>
          <w:p w14:paraId="3FDDEFE3" w14:textId="77777777" w:rsidR="00D868AB" w:rsidRPr="00D868AB" w:rsidRDefault="00D868AB" w:rsidP="00D868AB">
            <w:pPr>
              <w:jc w:val="right"/>
              <w:rPr>
                <w:rFonts w:eastAsia="Times New Roman" w:cs="Arial"/>
                <w:sz w:val="18"/>
                <w:szCs w:val="18"/>
              </w:rPr>
            </w:pPr>
            <w:r w:rsidRPr="00D868AB">
              <w:rPr>
                <w:rFonts w:cs="Arial"/>
                <w:sz w:val="18"/>
              </w:rPr>
              <w:t>2,581,882</w:t>
            </w:r>
          </w:p>
        </w:tc>
        <w:tc>
          <w:tcPr>
            <w:tcW w:w="1266" w:type="dxa"/>
            <w:shd w:val="clear" w:color="auto" w:fill="auto"/>
            <w:noWrap/>
            <w:vAlign w:val="center"/>
          </w:tcPr>
          <w:p w14:paraId="40489CA0" w14:textId="77777777" w:rsidR="00D868AB" w:rsidRPr="00D868AB" w:rsidRDefault="00D868AB" w:rsidP="00D868AB">
            <w:pPr>
              <w:jc w:val="right"/>
              <w:rPr>
                <w:rFonts w:eastAsia="Times New Roman" w:cs="Arial"/>
                <w:sz w:val="18"/>
                <w:szCs w:val="18"/>
              </w:rPr>
            </w:pPr>
            <w:r w:rsidRPr="00D868AB">
              <w:rPr>
                <w:rFonts w:cs="Arial"/>
                <w:sz w:val="18"/>
              </w:rPr>
              <w:t>2,092,971</w:t>
            </w:r>
          </w:p>
        </w:tc>
        <w:tc>
          <w:tcPr>
            <w:tcW w:w="986" w:type="dxa"/>
            <w:vAlign w:val="center"/>
          </w:tcPr>
          <w:p w14:paraId="3CAD72B4" w14:textId="77777777" w:rsidR="00D868AB" w:rsidRPr="00D868AB" w:rsidRDefault="00D868AB" w:rsidP="00D868AB">
            <w:pPr>
              <w:jc w:val="right"/>
              <w:rPr>
                <w:rFonts w:cs="Arial"/>
                <w:sz w:val="18"/>
              </w:rPr>
            </w:pPr>
            <w:r w:rsidRPr="00D868AB">
              <w:rPr>
                <w:rFonts w:cs="Arial"/>
                <w:sz w:val="18"/>
              </w:rPr>
              <w:t>0</w:t>
            </w:r>
          </w:p>
        </w:tc>
        <w:tc>
          <w:tcPr>
            <w:tcW w:w="1071" w:type="dxa"/>
            <w:shd w:val="clear" w:color="auto" w:fill="auto"/>
            <w:noWrap/>
            <w:vAlign w:val="center"/>
          </w:tcPr>
          <w:p w14:paraId="65162F4B" w14:textId="77777777" w:rsidR="00D868AB" w:rsidRPr="00D868AB" w:rsidRDefault="00D868AB" w:rsidP="00D868AB">
            <w:pPr>
              <w:jc w:val="right"/>
              <w:rPr>
                <w:rFonts w:cs="Arial"/>
                <w:sz w:val="18"/>
              </w:rPr>
            </w:pPr>
            <w:r w:rsidRPr="00D868AB">
              <w:rPr>
                <w:rFonts w:cs="Arial"/>
                <w:sz w:val="18"/>
              </w:rPr>
              <w:t>5,214,849</w:t>
            </w:r>
          </w:p>
        </w:tc>
      </w:tr>
      <w:tr w:rsidR="00D868AB" w:rsidRPr="00D868AB" w14:paraId="7FB51822" w14:textId="77777777" w:rsidTr="00A755A7">
        <w:trPr>
          <w:gridAfter w:val="1"/>
          <w:wAfter w:w="104" w:type="dxa"/>
          <w:trHeight w:val="20"/>
          <w:jc w:val="center"/>
        </w:trPr>
        <w:tc>
          <w:tcPr>
            <w:tcW w:w="1427" w:type="dxa"/>
            <w:shd w:val="clear" w:color="auto" w:fill="auto"/>
            <w:noWrap/>
            <w:vAlign w:val="center"/>
            <w:hideMark/>
          </w:tcPr>
          <w:p w14:paraId="565B3F89" w14:textId="77777777" w:rsidR="00D868AB" w:rsidRPr="00D868AB" w:rsidRDefault="00D868AB" w:rsidP="00D868AB">
            <w:pPr>
              <w:jc w:val="center"/>
              <w:rPr>
                <w:rFonts w:eastAsia="Times New Roman" w:cs="Arial"/>
                <w:b/>
                <w:bCs/>
                <w:sz w:val="18"/>
                <w:szCs w:val="18"/>
              </w:rPr>
            </w:pPr>
            <w:r w:rsidRPr="00D868AB">
              <w:rPr>
                <w:rFonts w:eastAsia="Times New Roman" w:cs="Arial"/>
                <w:b/>
                <w:bCs/>
                <w:sz w:val="18"/>
                <w:szCs w:val="18"/>
              </w:rPr>
              <w:t>Totales</w:t>
            </w:r>
          </w:p>
        </w:tc>
        <w:tc>
          <w:tcPr>
            <w:tcW w:w="1134" w:type="dxa"/>
            <w:shd w:val="clear" w:color="auto" w:fill="auto"/>
            <w:noWrap/>
            <w:vAlign w:val="center"/>
          </w:tcPr>
          <w:p w14:paraId="05A1400B" w14:textId="77777777" w:rsidR="00D868AB" w:rsidRPr="00D868AB" w:rsidRDefault="00D868AB" w:rsidP="00D868AB">
            <w:pPr>
              <w:jc w:val="right"/>
              <w:rPr>
                <w:rFonts w:eastAsia="Times New Roman" w:cs="Arial"/>
                <w:b/>
                <w:bCs/>
                <w:sz w:val="18"/>
                <w:szCs w:val="18"/>
              </w:rPr>
            </w:pPr>
            <w:r w:rsidRPr="00D868AB">
              <w:rPr>
                <w:rFonts w:cs="Arial"/>
                <w:b/>
                <w:sz w:val="18"/>
              </w:rPr>
              <w:t>3,821,493</w:t>
            </w:r>
          </w:p>
        </w:tc>
        <w:tc>
          <w:tcPr>
            <w:tcW w:w="1141" w:type="dxa"/>
            <w:shd w:val="clear" w:color="auto" w:fill="auto"/>
            <w:noWrap/>
            <w:vAlign w:val="center"/>
          </w:tcPr>
          <w:p w14:paraId="16228E3C" w14:textId="77777777" w:rsidR="00D868AB" w:rsidRPr="00D868AB" w:rsidRDefault="00D868AB" w:rsidP="00D868AB">
            <w:pPr>
              <w:jc w:val="right"/>
              <w:rPr>
                <w:rFonts w:eastAsia="Times New Roman" w:cs="Arial"/>
                <w:b/>
                <w:bCs/>
                <w:sz w:val="18"/>
                <w:szCs w:val="18"/>
              </w:rPr>
            </w:pPr>
            <w:r w:rsidRPr="00D868AB">
              <w:rPr>
                <w:rFonts w:cs="Arial"/>
                <w:b/>
                <w:sz w:val="18"/>
              </w:rPr>
              <w:t>18,271,688</w:t>
            </w:r>
          </w:p>
        </w:tc>
        <w:tc>
          <w:tcPr>
            <w:tcW w:w="1266" w:type="dxa"/>
            <w:shd w:val="clear" w:color="auto" w:fill="auto"/>
            <w:noWrap/>
            <w:vAlign w:val="center"/>
          </w:tcPr>
          <w:p w14:paraId="46B75C07" w14:textId="77777777" w:rsidR="00D868AB" w:rsidRPr="00D868AB" w:rsidRDefault="00D868AB" w:rsidP="00D868AB">
            <w:pPr>
              <w:jc w:val="right"/>
              <w:rPr>
                <w:rFonts w:eastAsia="Times New Roman" w:cs="Arial"/>
                <w:b/>
                <w:bCs/>
                <w:sz w:val="18"/>
                <w:szCs w:val="18"/>
              </w:rPr>
            </w:pPr>
            <w:r w:rsidRPr="00D868AB">
              <w:rPr>
                <w:rFonts w:cs="Arial"/>
                <w:b/>
                <w:sz w:val="18"/>
              </w:rPr>
              <w:t>10,688,345</w:t>
            </w:r>
          </w:p>
        </w:tc>
        <w:tc>
          <w:tcPr>
            <w:tcW w:w="986" w:type="dxa"/>
            <w:vAlign w:val="center"/>
          </w:tcPr>
          <w:p w14:paraId="03525648" w14:textId="77777777" w:rsidR="00D868AB" w:rsidRPr="00D868AB" w:rsidRDefault="00D868AB" w:rsidP="00D868AB">
            <w:pPr>
              <w:jc w:val="right"/>
              <w:rPr>
                <w:rFonts w:cs="Arial"/>
                <w:b/>
                <w:sz w:val="18"/>
              </w:rPr>
            </w:pPr>
            <w:r w:rsidRPr="00D868AB">
              <w:rPr>
                <w:rFonts w:cs="Arial"/>
                <w:b/>
                <w:sz w:val="18"/>
              </w:rPr>
              <w:t>4,837,706</w:t>
            </w:r>
          </w:p>
        </w:tc>
        <w:tc>
          <w:tcPr>
            <w:tcW w:w="1071" w:type="dxa"/>
            <w:shd w:val="clear" w:color="auto" w:fill="auto"/>
            <w:noWrap/>
            <w:vAlign w:val="center"/>
          </w:tcPr>
          <w:p w14:paraId="08C4C48D" w14:textId="77777777" w:rsidR="00D868AB" w:rsidRPr="00D868AB" w:rsidRDefault="00D868AB" w:rsidP="00D868AB">
            <w:pPr>
              <w:jc w:val="right"/>
              <w:rPr>
                <w:rFonts w:cs="Arial"/>
                <w:b/>
                <w:bCs/>
                <w:sz w:val="18"/>
                <w:szCs w:val="18"/>
              </w:rPr>
            </w:pPr>
            <w:r w:rsidRPr="00D868AB">
              <w:rPr>
                <w:rFonts w:cs="Arial"/>
                <w:b/>
                <w:bCs/>
                <w:sz w:val="18"/>
                <w:szCs w:val="18"/>
              </w:rPr>
              <w:t>37,619,232</w:t>
            </w:r>
          </w:p>
        </w:tc>
      </w:tr>
    </w:tbl>
    <w:p w14:paraId="616BC90D" w14:textId="77777777" w:rsidR="00D868AB" w:rsidRPr="00D868AB" w:rsidRDefault="00D868AB" w:rsidP="00D868AB">
      <w:pPr>
        <w:ind w:left="567"/>
        <w:rPr>
          <w:rFonts w:cs="Arial"/>
          <w:sz w:val="18"/>
          <w:lang w:val="es-ES"/>
        </w:rPr>
      </w:pPr>
      <w:r w:rsidRPr="00D868AB">
        <w:rPr>
          <w:rFonts w:cs="Arial"/>
          <w:b/>
          <w:sz w:val="18"/>
          <w:lang w:val="es-ES"/>
        </w:rPr>
        <w:t>Nota</w:t>
      </w:r>
      <w:r w:rsidRPr="00D868AB">
        <w:rPr>
          <w:rFonts w:cs="Arial"/>
          <w:sz w:val="18"/>
          <w:lang w:val="es-ES"/>
        </w:rPr>
        <w:t>: La suma de los parciales puede no coincidir con el total debido al redondeo de cifras</w:t>
      </w:r>
    </w:p>
    <w:p w14:paraId="7F0CDA40" w14:textId="77777777" w:rsidR="00D868AB" w:rsidRPr="00D868AB" w:rsidRDefault="00D868AB" w:rsidP="00D868AB">
      <w:pPr>
        <w:rPr>
          <w:rFonts w:cs="Arial"/>
          <w:lang w:val="es-ES"/>
        </w:rPr>
      </w:pPr>
    </w:p>
    <w:p w14:paraId="2B1DC3FC" w14:textId="77777777" w:rsidR="00D868AB" w:rsidRPr="00D868AB" w:rsidRDefault="00D868AB" w:rsidP="00D868AB">
      <w:pPr>
        <w:rPr>
          <w:rFonts w:cs="Arial"/>
          <w:lang w:val="es-ES"/>
        </w:rPr>
      </w:pPr>
    </w:p>
    <w:p w14:paraId="2FF46268" w14:textId="77777777" w:rsidR="00D868AB" w:rsidRPr="00D868AB" w:rsidRDefault="00D868AB" w:rsidP="00D868AB">
      <w:pPr>
        <w:shd w:val="clear" w:color="auto" w:fill="FFFFFF"/>
        <w:ind w:left="426" w:hanging="426"/>
        <w:contextualSpacing/>
        <w:rPr>
          <w:rFonts w:eastAsia="Times New Roman" w:cs="Arial"/>
          <w:lang w:val="es-ES" w:eastAsia="es-ES"/>
        </w:rPr>
      </w:pPr>
      <w:r w:rsidRPr="00D868AB">
        <w:rPr>
          <w:rFonts w:eastAsia="Times New Roman" w:cs="Arial"/>
          <w:lang w:val="es-ES" w:eastAsia="es-ES"/>
        </w:rPr>
        <w:t>III.</w:t>
      </w:r>
      <w:r w:rsidRPr="00D868AB">
        <w:rPr>
          <w:rFonts w:eastAsia="Times New Roman" w:cs="Arial"/>
          <w:lang w:val="es-ES" w:eastAsia="es-ES"/>
        </w:rPr>
        <w:tab/>
        <w:t>Los recursos provenientes del Ramo 33 Aportaciones Federales para Entidades Federativas y Municipios, que ejercerán los municipios del Estado, tendrán la siguiente distribución de acuerdo a los conceptos previstos en la Ley de Coordinación Fiscal:</w:t>
      </w:r>
    </w:p>
    <w:p w14:paraId="4D6FEAAD" w14:textId="77777777" w:rsidR="00D868AB" w:rsidRPr="00D868AB" w:rsidRDefault="00D868AB" w:rsidP="00D868AB">
      <w:pPr>
        <w:keepNext/>
        <w:keepLines/>
        <w:jc w:val="center"/>
        <w:outlineLvl w:val="1"/>
        <w:rPr>
          <w:rFonts w:eastAsia="Times New Roman" w:cs="Arial"/>
          <w:b/>
          <w:lang w:val="es-ES" w:eastAsia="es-ES"/>
        </w:rPr>
      </w:pPr>
    </w:p>
    <w:tbl>
      <w:tblPr>
        <w:tblW w:w="76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6"/>
        <w:gridCol w:w="1513"/>
      </w:tblGrid>
      <w:tr w:rsidR="00D868AB" w:rsidRPr="00D868AB" w14:paraId="3AEEA8DF" w14:textId="77777777" w:rsidTr="00A755A7">
        <w:trPr>
          <w:trHeight w:val="227"/>
          <w:tblHeader/>
          <w:jc w:val="center"/>
        </w:trPr>
        <w:tc>
          <w:tcPr>
            <w:tcW w:w="7699" w:type="dxa"/>
            <w:gridSpan w:val="2"/>
            <w:tcBorders>
              <w:top w:val="nil"/>
              <w:left w:val="nil"/>
              <w:bottom w:val="single" w:sz="4" w:space="0" w:color="auto"/>
              <w:right w:val="nil"/>
            </w:tcBorders>
            <w:shd w:val="clear" w:color="auto" w:fill="auto"/>
            <w:noWrap/>
            <w:vAlign w:val="center"/>
          </w:tcPr>
          <w:p w14:paraId="598ABFD8" w14:textId="77777777" w:rsidR="00D868AB" w:rsidRPr="00D868AB" w:rsidRDefault="00D868AB" w:rsidP="00D868AB">
            <w:pPr>
              <w:shd w:val="clear" w:color="auto" w:fill="FFFFFF"/>
              <w:jc w:val="center"/>
              <w:rPr>
                <w:rFonts w:cs="Arial"/>
                <w:b/>
                <w:bCs/>
                <w:sz w:val="20"/>
                <w:lang w:val="es-ES" w:eastAsia="es-ES"/>
              </w:rPr>
            </w:pPr>
            <w:bookmarkStart w:id="241" w:name="_Toc522869300"/>
            <w:bookmarkStart w:id="242" w:name="_Toc526757519"/>
            <w:bookmarkStart w:id="243" w:name="_Toc22021981"/>
            <w:r w:rsidRPr="00D868AB">
              <w:rPr>
                <w:rFonts w:eastAsia="Times New Roman" w:cs="Arial"/>
                <w:b/>
                <w:sz w:val="20"/>
                <w:lang w:val="es-ES"/>
              </w:rPr>
              <w:t xml:space="preserve">Tabla 54. Aportaciones Federales (Ramo 33) </w:t>
            </w:r>
            <w:r w:rsidRPr="00D868AB">
              <w:rPr>
                <w:rFonts w:eastAsia="Times New Roman" w:cs="Arial"/>
                <w:b/>
                <w:sz w:val="20"/>
                <w:lang w:val="es-ES" w:eastAsia="es-ES"/>
              </w:rPr>
              <w:t xml:space="preserve">a los Municipios </w:t>
            </w:r>
            <w:r w:rsidRPr="00D868AB">
              <w:rPr>
                <w:rFonts w:eastAsia="Times New Roman" w:cs="Arial"/>
                <w:b/>
                <w:sz w:val="20"/>
                <w:lang w:val="es-ES" w:eastAsia="es-ES"/>
              </w:rPr>
              <w:br/>
              <w:t>(Agregado)</w:t>
            </w:r>
            <w:bookmarkEnd w:id="241"/>
            <w:bookmarkEnd w:id="242"/>
            <w:bookmarkEnd w:id="243"/>
          </w:p>
        </w:tc>
      </w:tr>
      <w:tr w:rsidR="00D868AB" w:rsidRPr="00D868AB" w14:paraId="713DB0FE" w14:textId="77777777" w:rsidTr="00A755A7">
        <w:trPr>
          <w:trHeight w:val="227"/>
          <w:tblHeader/>
          <w:jc w:val="center"/>
        </w:trPr>
        <w:tc>
          <w:tcPr>
            <w:tcW w:w="618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13FF6" w14:textId="77777777" w:rsidR="00D868AB" w:rsidRPr="00D868AB" w:rsidRDefault="00D868AB" w:rsidP="00D868AB">
            <w:pPr>
              <w:shd w:val="clear" w:color="auto" w:fill="FFFFFF"/>
              <w:jc w:val="center"/>
              <w:rPr>
                <w:rFonts w:cs="Arial"/>
                <w:b/>
                <w:bCs/>
                <w:sz w:val="18"/>
                <w:lang w:val="es-ES" w:eastAsia="es-ES"/>
              </w:rPr>
            </w:pPr>
            <w:r w:rsidRPr="00D868AB">
              <w:rPr>
                <w:rFonts w:cs="Arial"/>
                <w:b/>
                <w:bCs/>
                <w:sz w:val="18"/>
                <w:lang w:val="es-ES" w:eastAsia="es-ES"/>
              </w:rPr>
              <w:t>Concepto</w:t>
            </w:r>
          </w:p>
        </w:tc>
        <w:tc>
          <w:tcPr>
            <w:tcW w:w="15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FAF1D" w14:textId="77777777" w:rsidR="00D868AB" w:rsidRPr="00D868AB" w:rsidRDefault="00D868AB" w:rsidP="00D868AB">
            <w:pPr>
              <w:shd w:val="clear" w:color="auto" w:fill="FFFFFF"/>
              <w:jc w:val="center"/>
              <w:rPr>
                <w:rFonts w:cs="Arial"/>
                <w:b/>
                <w:bCs/>
                <w:sz w:val="18"/>
                <w:lang w:val="es-ES" w:eastAsia="es-ES"/>
              </w:rPr>
            </w:pPr>
            <w:r w:rsidRPr="00D868AB">
              <w:rPr>
                <w:rFonts w:cs="Arial"/>
                <w:b/>
                <w:bCs/>
                <w:sz w:val="18"/>
                <w:lang w:val="es-ES" w:eastAsia="es-ES"/>
              </w:rPr>
              <w:t>Asignación Presupuestal</w:t>
            </w:r>
          </w:p>
        </w:tc>
      </w:tr>
      <w:tr w:rsidR="00D868AB" w:rsidRPr="00D868AB" w14:paraId="7BA59F10" w14:textId="77777777" w:rsidTr="00A755A7">
        <w:trPr>
          <w:trHeight w:val="227"/>
          <w:jc w:val="center"/>
        </w:trPr>
        <w:tc>
          <w:tcPr>
            <w:tcW w:w="6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BBE8B9" w14:textId="77777777" w:rsidR="00D868AB" w:rsidRPr="00D868AB" w:rsidRDefault="00D868AB" w:rsidP="00D868AB">
            <w:pPr>
              <w:shd w:val="clear" w:color="auto" w:fill="FFFFFF"/>
              <w:rPr>
                <w:rFonts w:cs="Arial"/>
                <w:sz w:val="18"/>
                <w:lang w:val="es-ES" w:eastAsia="es-ES"/>
              </w:rPr>
            </w:pPr>
            <w:r w:rsidRPr="00D868AB">
              <w:rPr>
                <w:rFonts w:cs="Arial"/>
                <w:sz w:val="18"/>
                <w:lang w:val="es-ES" w:eastAsia="es-ES"/>
              </w:rPr>
              <w:t>Fondo de Aportaciones para la Infraestructura Social Municipal (</w:t>
            </w:r>
            <w:r w:rsidRPr="00D868AB">
              <w:rPr>
                <w:rFonts w:cs="Arial"/>
                <w:b/>
                <w:sz w:val="18"/>
                <w:lang w:val="es-ES" w:eastAsia="es-ES"/>
              </w:rPr>
              <w:t>FISMDF</w:t>
            </w:r>
            <w:r w:rsidRPr="00D868AB">
              <w:rPr>
                <w:rFonts w:cs="Arial"/>
                <w:sz w:val="18"/>
                <w:lang w:val="es-ES" w:eastAsia="es-ES"/>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BE323" w14:textId="77777777" w:rsidR="00D868AB" w:rsidRPr="00D868AB" w:rsidRDefault="00D868AB" w:rsidP="00D868AB">
            <w:pPr>
              <w:jc w:val="right"/>
              <w:rPr>
                <w:rFonts w:cs="Arial"/>
                <w:sz w:val="18"/>
                <w:lang w:val="es-ES"/>
              </w:rPr>
            </w:pPr>
            <w:r w:rsidRPr="00D868AB">
              <w:rPr>
                <w:rFonts w:cs="Arial"/>
                <w:sz w:val="18"/>
                <w:lang w:val="es-ES"/>
              </w:rPr>
              <w:t>576,694,191</w:t>
            </w:r>
          </w:p>
        </w:tc>
      </w:tr>
      <w:tr w:rsidR="00D868AB" w:rsidRPr="00D868AB" w14:paraId="3D51B338" w14:textId="77777777" w:rsidTr="00A755A7">
        <w:trPr>
          <w:trHeight w:val="227"/>
          <w:jc w:val="center"/>
        </w:trPr>
        <w:tc>
          <w:tcPr>
            <w:tcW w:w="6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4117D" w14:textId="77777777" w:rsidR="00D868AB" w:rsidRPr="00D868AB" w:rsidRDefault="00D868AB" w:rsidP="00D868AB">
            <w:pPr>
              <w:shd w:val="clear" w:color="auto" w:fill="FFFFFF"/>
              <w:rPr>
                <w:rFonts w:cs="Arial"/>
                <w:sz w:val="18"/>
                <w:lang w:val="es-ES" w:eastAsia="es-ES"/>
              </w:rPr>
            </w:pPr>
            <w:r w:rsidRPr="00D868AB">
              <w:rPr>
                <w:rFonts w:cs="Arial"/>
                <w:sz w:val="18"/>
                <w:lang w:val="es-ES" w:eastAsia="es-ES"/>
              </w:rPr>
              <w:t>Fondo de Aportaciones para el Fortalecimiento de los Municipios y de las Demarcaciones Territoriales del Distrito Federal (</w:t>
            </w:r>
            <w:r w:rsidRPr="00D868AB">
              <w:rPr>
                <w:rFonts w:cs="Arial"/>
                <w:b/>
                <w:sz w:val="18"/>
                <w:lang w:val="es-ES" w:eastAsia="es-ES"/>
              </w:rPr>
              <w:t>FORTAMUN</w:t>
            </w:r>
            <w:r w:rsidRPr="00D868AB">
              <w:rPr>
                <w:rFonts w:cs="Arial"/>
                <w:sz w:val="18"/>
                <w:lang w:val="es-ES" w:eastAsia="es-ES"/>
              </w:rPr>
              <w:t>).</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FB8CF" w14:textId="77777777" w:rsidR="00D868AB" w:rsidRPr="00D868AB" w:rsidRDefault="00D868AB" w:rsidP="00D868AB">
            <w:pPr>
              <w:jc w:val="right"/>
              <w:rPr>
                <w:rFonts w:cs="Arial"/>
                <w:sz w:val="18"/>
                <w:lang w:val="es-ES"/>
              </w:rPr>
            </w:pPr>
            <w:r w:rsidRPr="00D868AB">
              <w:rPr>
                <w:rFonts w:cs="Arial"/>
                <w:sz w:val="18"/>
                <w:lang w:val="es-ES"/>
              </w:rPr>
              <w:t>672,481,068</w:t>
            </w:r>
          </w:p>
        </w:tc>
      </w:tr>
      <w:tr w:rsidR="00D868AB" w:rsidRPr="00D868AB" w14:paraId="0CCFA476" w14:textId="77777777" w:rsidTr="00A755A7">
        <w:trPr>
          <w:trHeight w:val="227"/>
          <w:jc w:val="center"/>
        </w:trPr>
        <w:tc>
          <w:tcPr>
            <w:tcW w:w="61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5532E8" w14:textId="77777777" w:rsidR="00D868AB" w:rsidRPr="00D868AB" w:rsidRDefault="00D868AB" w:rsidP="00D868AB">
            <w:pPr>
              <w:shd w:val="clear" w:color="auto" w:fill="FFFFFF"/>
              <w:jc w:val="center"/>
              <w:rPr>
                <w:rFonts w:cs="Arial"/>
                <w:b/>
                <w:sz w:val="18"/>
                <w:lang w:val="es-ES" w:eastAsia="es-ES"/>
              </w:rPr>
            </w:pPr>
            <w:r w:rsidRPr="00D868AB">
              <w:rPr>
                <w:rFonts w:cs="Arial"/>
                <w:b/>
                <w:sz w:val="18"/>
                <w:lang w:val="es-ES" w:eastAsia="es-ES"/>
              </w:rPr>
              <w:t>Total</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E8D4E" w14:textId="77777777" w:rsidR="00D868AB" w:rsidRPr="00D868AB" w:rsidRDefault="00D868AB" w:rsidP="00D868AB">
            <w:pPr>
              <w:jc w:val="right"/>
              <w:rPr>
                <w:rFonts w:cs="Arial"/>
                <w:b/>
                <w:bCs/>
                <w:sz w:val="18"/>
                <w:lang w:val="es-ES"/>
              </w:rPr>
            </w:pPr>
            <w:r w:rsidRPr="00D868AB">
              <w:rPr>
                <w:rFonts w:cs="Arial"/>
                <w:b/>
                <w:bCs/>
                <w:sz w:val="18"/>
                <w:lang w:val="es-ES"/>
              </w:rPr>
              <w:t>1,249,175,259</w:t>
            </w:r>
          </w:p>
        </w:tc>
      </w:tr>
    </w:tbl>
    <w:p w14:paraId="14E4F30D" w14:textId="77777777" w:rsidR="00D868AB" w:rsidRPr="00D868AB" w:rsidRDefault="00D868AB" w:rsidP="00D868AB">
      <w:pPr>
        <w:rPr>
          <w:rFonts w:cs="Arial"/>
          <w:lang w:val="es-ES" w:eastAsia="es-ES"/>
        </w:rPr>
      </w:pPr>
    </w:p>
    <w:p w14:paraId="2E4CE555" w14:textId="77777777" w:rsidR="00D868AB" w:rsidRPr="00D868AB" w:rsidRDefault="00D868AB" w:rsidP="00D868AB">
      <w:pPr>
        <w:keepNext/>
        <w:keepLines/>
        <w:outlineLvl w:val="2"/>
        <w:rPr>
          <w:rFonts w:eastAsia="Times New Roman" w:cs="Times New Roman"/>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276"/>
        <w:gridCol w:w="1275"/>
        <w:gridCol w:w="1368"/>
      </w:tblGrid>
      <w:tr w:rsidR="00D868AB" w:rsidRPr="00D868AB" w14:paraId="38850266" w14:textId="77777777" w:rsidTr="00A755A7">
        <w:trPr>
          <w:trHeight w:val="20"/>
          <w:tblHeader/>
          <w:jc w:val="center"/>
        </w:trPr>
        <w:tc>
          <w:tcPr>
            <w:tcW w:w="6379" w:type="dxa"/>
            <w:gridSpan w:val="4"/>
            <w:tcBorders>
              <w:top w:val="nil"/>
              <w:left w:val="nil"/>
              <w:bottom w:val="single" w:sz="4" w:space="0" w:color="auto"/>
              <w:right w:val="nil"/>
            </w:tcBorders>
            <w:shd w:val="clear" w:color="auto" w:fill="auto"/>
            <w:vAlign w:val="center"/>
          </w:tcPr>
          <w:p w14:paraId="5706BCC7" w14:textId="77777777" w:rsidR="00D868AB" w:rsidRPr="00D868AB" w:rsidRDefault="00D868AB" w:rsidP="00D868AB">
            <w:pPr>
              <w:jc w:val="center"/>
              <w:rPr>
                <w:rFonts w:cs="Arial"/>
                <w:b/>
                <w:sz w:val="20"/>
                <w:szCs w:val="18"/>
                <w:lang w:val="es-ES"/>
              </w:rPr>
            </w:pPr>
            <w:bookmarkStart w:id="244" w:name="_Toc522869301"/>
            <w:bookmarkStart w:id="245" w:name="_Toc526757520"/>
            <w:bookmarkStart w:id="246" w:name="_Toc22021982"/>
            <w:r w:rsidRPr="00D868AB">
              <w:rPr>
                <w:rFonts w:eastAsia="Times New Roman" w:cs="Arial"/>
                <w:b/>
                <w:sz w:val="20"/>
                <w:szCs w:val="18"/>
                <w:lang w:val="es-ES"/>
              </w:rPr>
              <w:t xml:space="preserve">Tabla 55. Aportaciones Federales (Ramo 33) </w:t>
            </w:r>
            <w:r w:rsidRPr="00D868AB">
              <w:rPr>
                <w:rFonts w:eastAsia="Times New Roman" w:cs="Arial"/>
                <w:b/>
                <w:sz w:val="20"/>
                <w:szCs w:val="18"/>
                <w:lang w:val="es-ES" w:eastAsia="es-ES"/>
              </w:rPr>
              <w:t>a los Municipios</w:t>
            </w:r>
            <w:bookmarkEnd w:id="244"/>
            <w:bookmarkEnd w:id="245"/>
            <w:bookmarkEnd w:id="246"/>
          </w:p>
        </w:tc>
      </w:tr>
      <w:tr w:rsidR="00D868AB" w:rsidRPr="00D868AB" w14:paraId="5E8472A9" w14:textId="77777777" w:rsidTr="00A755A7">
        <w:trPr>
          <w:trHeight w:val="20"/>
          <w:tblHeader/>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9D04E"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Municipios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792497" w14:textId="77777777" w:rsidR="00D868AB" w:rsidRPr="00D868AB" w:rsidRDefault="00D868AB" w:rsidP="00D868AB">
            <w:pPr>
              <w:jc w:val="center"/>
              <w:rPr>
                <w:rFonts w:cs="Arial"/>
                <w:b/>
                <w:sz w:val="18"/>
                <w:szCs w:val="18"/>
                <w:lang w:val="es-ES"/>
              </w:rPr>
            </w:pPr>
            <w:r w:rsidRPr="00D868AB">
              <w:rPr>
                <w:rFonts w:cs="Arial"/>
                <w:b/>
                <w:sz w:val="18"/>
                <w:szCs w:val="18"/>
                <w:lang w:val="es-ES"/>
              </w:rPr>
              <w:t>FISMDF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27D900B" w14:textId="77777777" w:rsidR="00D868AB" w:rsidRPr="00D868AB" w:rsidRDefault="00D868AB" w:rsidP="00D868AB">
            <w:pPr>
              <w:jc w:val="center"/>
              <w:rPr>
                <w:rFonts w:cs="Arial"/>
                <w:b/>
                <w:sz w:val="18"/>
                <w:szCs w:val="18"/>
                <w:lang w:val="es-ES"/>
              </w:rPr>
            </w:pPr>
            <w:r w:rsidRPr="00D868AB">
              <w:rPr>
                <w:rFonts w:cs="Arial"/>
                <w:b/>
                <w:sz w:val="18"/>
                <w:szCs w:val="18"/>
                <w:lang w:val="es-ES"/>
              </w:rPr>
              <w:t>FORTAMUN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0BD203" w14:textId="77777777" w:rsidR="00D868AB" w:rsidRPr="00D868AB" w:rsidRDefault="00D868AB" w:rsidP="00D868AB">
            <w:pPr>
              <w:jc w:val="center"/>
              <w:rPr>
                <w:rFonts w:cs="Arial"/>
                <w:b/>
                <w:sz w:val="18"/>
                <w:szCs w:val="18"/>
                <w:lang w:val="es-ES"/>
              </w:rPr>
            </w:pPr>
            <w:r w:rsidRPr="00D868AB">
              <w:rPr>
                <w:rFonts w:cs="Arial"/>
                <w:b/>
                <w:sz w:val="18"/>
                <w:szCs w:val="18"/>
                <w:lang w:val="es-ES"/>
              </w:rPr>
              <w:t>Asignación Presupuestal</w:t>
            </w:r>
          </w:p>
        </w:tc>
      </w:tr>
      <w:tr w:rsidR="00D868AB" w:rsidRPr="00D868AB" w14:paraId="5F5FF89F"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2FB8BB" w14:textId="77777777" w:rsidR="00D868AB" w:rsidRPr="00D868AB" w:rsidRDefault="00D868AB" w:rsidP="00D868AB">
            <w:pPr>
              <w:rPr>
                <w:rFonts w:cs="Arial"/>
                <w:sz w:val="18"/>
                <w:szCs w:val="18"/>
                <w:lang w:val="es-ES"/>
              </w:rPr>
            </w:pPr>
            <w:r w:rsidRPr="00D868AB">
              <w:rPr>
                <w:rFonts w:cs="Arial"/>
                <w:sz w:val="18"/>
                <w:szCs w:val="18"/>
                <w:lang w:val="es-ES"/>
              </w:rPr>
              <w:t>Armería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3CE90A9" w14:textId="77777777" w:rsidR="00D868AB" w:rsidRPr="00D868AB" w:rsidRDefault="00D868AB" w:rsidP="00D868AB">
            <w:pPr>
              <w:jc w:val="right"/>
              <w:rPr>
                <w:rFonts w:cs="Arial"/>
                <w:sz w:val="18"/>
                <w:szCs w:val="18"/>
                <w:lang w:val="es-ES"/>
              </w:rPr>
            </w:pPr>
            <w:r w:rsidRPr="00D868AB">
              <w:rPr>
                <w:rFonts w:cs="Arial"/>
                <w:sz w:val="18"/>
              </w:rPr>
              <w:t>43,917,140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907C1D" w14:textId="77777777" w:rsidR="00D868AB" w:rsidRPr="00D868AB" w:rsidRDefault="00D868AB" w:rsidP="00D868AB">
            <w:pPr>
              <w:jc w:val="right"/>
              <w:rPr>
                <w:rFonts w:cs="Arial"/>
                <w:sz w:val="18"/>
                <w:szCs w:val="18"/>
                <w:lang w:val="es-ES"/>
              </w:rPr>
            </w:pPr>
            <w:r w:rsidRPr="00D868AB">
              <w:rPr>
                <w:rFonts w:cs="Arial"/>
                <w:sz w:val="18"/>
              </w:rPr>
              <w:t>25,400,862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F61A69" w14:textId="77777777" w:rsidR="00D868AB" w:rsidRPr="00D868AB" w:rsidRDefault="00D868AB" w:rsidP="00D868AB">
            <w:pPr>
              <w:jc w:val="right"/>
              <w:rPr>
                <w:rFonts w:cs="Arial"/>
                <w:b/>
                <w:sz w:val="18"/>
                <w:szCs w:val="18"/>
                <w:lang w:val="es-ES"/>
              </w:rPr>
            </w:pPr>
            <w:r w:rsidRPr="00D868AB">
              <w:rPr>
                <w:rFonts w:cs="Arial"/>
                <w:b/>
                <w:sz w:val="18"/>
              </w:rPr>
              <w:t>69,318,002</w:t>
            </w:r>
          </w:p>
        </w:tc>
      </w:tr>
      <w:tr w:rsidR="00D868AB" w:rsidRPr="00D868AB" w14:paraId="1E84D5A2"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1DABA" w14:textId="77777777" w:rsidR="00D868AB" w:rsidRPr="00D868AB" w:rsidRDefault="00D868AB" w:rsidP="00D868AB">
            <w:pPr>
              <w:rPr>
                <w:rFonts w:cs="Arial"/>
                <w:sz w:val="18"/>
                <w:szCs w:val="18"/>
                <w:lang w:val="es-ES"/>
              </w:rPr>
            </w:pPr>
            <w:r w:rsidRPr="00D868AB">
              <w:rPr>
                <w:rFonts w:cs="Arial"/>
                <w:sz w:val="18"/>
                <w:szCs w:val="18"/>
                <w:lang w:val="es-ES"/>
              </w:rPr>
              <w:t>Colima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C11226" w14:textId="77777777" w:rsidR="00D868AB" w:rsidRPr="00D868AB" w:rsidRDefault="00D868AB" w:rsidP="00D868AB">
            <w:pPr>
              <w:jc w:val="right"/>
              <w:rPr>
                <w:rFonts w:cs="Arial"/>
                <w:sz w:val="18"/>
                <w:szCs w:val="18"/>
                <w:lang w:val="es-ES"/>
              </w:rPr>
            </w:pPr>
            <w:r w:rsidRPr="00D868AB">
              <w:rPr>
                <w:rFonts w:cs="Arial"/>
                <w:sz w:val="18"/>
              </w:rPr>
              <w:t>91,622,992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E209F4" w14:textId="77777777" w:rsidR="00D868AB" w:rsidRPr="00D868AB" w:rsidRDefault="00D868AB" w:rsidP="00D868AB">
            <w:pPr>
              <w:jc w:val="right"/>
              <w:rPr>
                <w:rFonts w:cs="Arial"/>
                <w:sz w:val="18"/>
                <w:szCs w:val="18"/>
                <w:lang w:val="es-ES"/>
              </w:rPr>
            </w:pPr>
            <w:r w:rsidRPr="00D868AB">
              <w:rPr>
                <w:rFonts w:cs="Arial"/>
                <w:sz w:val="18"/>
              </w:rPr>
              <w:t>144,398,559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4C0C9" w14:textId="77777777" w:rsidR="00D868AB" w:rsidRPr="00D868AB" w:rsidRDefault="00D868AB" w:rsidP="00D868AB">
            <w:pPr>
              <w:jc w:val="right"/>
              <w:rPr>
                <w:rFonts w:cs="Arial"/>
                <w:b/>
                <w:sz w:val="18"/>
                <w:szCs w:val="18"/>
                <w:lang w:val="es-ES"/>
              </w:rPr>
            </w:pPr>
            <w:r w:rsidRPr="00D868AB">
              <w:rPr>
                <w:rFonts w:cs="Arial"/>
                <w:b/>
                <w:sz w:val="18"/>
              </w:rPr>
              <w:t>236,021,551</w:t>
            </w:r>
          </w:p>
        </w:tc>
      </w:tr>
      <w:tr w:rsidR="00D868AB" w:rsidRPr="00D868AB" w14:paraId="3789DC1F"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47001" w14:textId="77777777" w:rsidR="00D868AB" w:rsidRPr="00D868AB" w:rsidRDefault="00D868AB" w:rsidP="00D868AB">
            <w:pPr>
              <w:rPr>
                <w:rFonts w:cs="Arial"/>
                <w:sz w:val="18"/>
                <w:szCs w:val="18"/>
                <w:lang w:val="es-ES"/>
              </w:rPr>
            </w:pPr>
            <w:r w:rsidRPr="00D868AB">
              <w:rPr>
                <w:rFonts w:cs="Arial"/>
                <w:sz w:val="18"/>
                <w:szCs w:val="18"/>
                <w:lang w:val="es-ES"/>
              </w:rPr>
              <w:t>Comala</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49D37E" w14:textId="77777777" w:rsidR="00D868AB" w:rsidRPr="00D868AB" w:rsidRDefault="00D868AB" w:rsidP="00D868AB">
            <w:pPr>
              <w:jc w:val="right"/>
              <w:rPr>
                <w:rFonts w:cs="Arial"/>
                <w:sz w:val="18"/>
                <w:szCs w:val="18"/>
                <w:lang w:val="es-ES"/>
              </w:rPr>
            </w:pPr>
            <w:r w:rsidRPr="00D868AB">
              <w:rPr>
                <w:rFonts w:cs="Arial"/>
                <w:sz w:val="18"/>
              </w:rPr>
              <w:t>48,450,325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436FA7" w14:textId="77777777" w:rsidR="00D868AB" w:rsidRPr="00D868AB" w:rsidRDefault="00D868AB" w:rsidP="00D868AB">
            <w:pPr>
              <w:jc w:val="right"/>
              <w:rPr>
                <w:rFonts w:cs="Arial"/>
                <w:sz w:val="18"/>
                <w:szCs w:val="18"/>
                <w:lang w:val="es-ES"/>
              </w:rPr>
            </w:pPr>
            <w:r w:rsidRPr="00D868AB">
              <w:rPr>
                <w:rFonts w:cs="Arial"/>
                <w:sz w:val="18"/>
              </w:rPr>
              <w:t>19,916,313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1F1C35" w14:textId="77777777" w:rsidR="00D868AB" w:rsidRPr="00D868AB" w:rsidRDefault="00D868AB" w:rsidP="00D868AB">
            <w:pPr>
              <w:jc w:val="right"/>
              <w:rPr>
                <w:rFonts w:cs="Arial"/>
                <w:b/>
                <w:sz w:val="18"/>
                <w:szCs w:val="18"/>
                <w:lang w:val="es-ES"/>
              </w:rPr>
            </w:pPr>
            <w:r w:rsidRPr="00D868AB">
              <w:rPr>
                <w:rFonts w:cs="Arial"/>
                <w:b/>
                <w:sz w:val="18"/>
              </w:rPr>
              <w:t>68,366,639</w:t>
            </w:r>
          </w:p>
        </w:tc>
      </w:tr>
      <w:tr w:rsidR="00D868AB" w:rsidRPr="00D868AB" w14:paraId="540D3FE7"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CE53F3" w14:textId="77777777" w:rsidR="00D868AB" w:rsidRPr="00D868AB" w:rsidRDefault="00D868AB" w:rsidP="00D868AB">
            <w:pPr>
              <w:rPr>
                <w:rFonts w:cs="Arial"/>
                <w:sz w:val="18"/>
                <w:szCs w:val="18"/>
                <w:lang w:val="es-ES"/>
              </w:rPr>
            </w:pPr>
            <w:r w:rsidRPr="00D868AB">
              <w:rPr>
                <w:rFonts w:cs="Arial"/>
                <w:sz w:val="18"/>
                <w:szCs w:val="18"/>
                <w:lang w:val="es-ES"/>
              </w:rPr>
              <w:t>Coquimatlán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775E15" w14:textId="77777777" w:rsidR="00D868AB" w:rsidRPr="00D868AB" w:rsidRDefault="00D868AB" w:rsidP="00D868AB">
            <w:pPr>
              <w:jc w:val="right"/>
              <w:rPr>
                <w:rFonts w:cs="Arial"/>
                <w:sz w:val="18"/>
                <w:szCs w:val="18"/>
                <w:lang w:val="es-ES"/>
              </w:rPr>
            </w:pPr>
            <w:r w:rsidRPr="00D868AB">
              <w:rPr>
                <w:rFonts w:cs="Arial"/>
                <w:sz w:val="18"/>
              </w:rPr>
              <w:t>36,482,357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610612" w14:textId="77777777" w:rsidR="00D868AB" w:rsidRPr="00D868AB" w:rsidRDefault="00D868AB" w:rsidP="00D868AB">
            <w:pPr>
              <w:jc w:val="right"/>
              <w:rPr>
                <w:rFonts w:cs="Arial"/>
                <w:sz w:val="18"/>
                <w:szCs w:val="18"/>
                <w:lang w:val="es-ES"/>
              </w:rPr>
            </w:pPr>
            <w:r w:rsidRPr="00D868AB">
              <w:rPr>
                <w:rFonts w:cs="Arial"/>
                <w:sz w:val="18"/>
              </w:rPr>
              <w:t>19,158,683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32D474" w14:textId="77777777" w:rsidR="00D868AB" w:rsidRPr="00D868AB" w:rsidRDefault="00D868AB" w:rsidP="00D868AB">
            <w:pPr>
              <w:jc w:val="right"/>
              <w:rPr>
                <w:rFonts w:cs="Arial"/>
                <w:b/>
                <w:sz w:val="18"/>
                <w:szCs w:val="18"/>
                <w:lang w:val="es-ES"/>
              </w:rPr>
            </w:pPr>
            <w:r w:rsidRPr="00D868AB">
              <w:rPr>
                <w:rFonts w:cs="Arial"/>
                <w:b/>
                <w:sz w:val="18"/>
              </w:rPr>
              <w:t>55,641,039</w:t>
            </w:r>
          </w:p>
        </w:tc>
      </w:tr>
      <w:tr w:rsidR="00D868AB" w:rsidRPr="00D868AB" w14:paraId="57D04178"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5971FD" w14:textId="77777777" w:rsidR="00D868AB" w:rsidRPr="00D868AB" w:rsidRDefault="00D868AB" w:rsidP="00D868AB">
            <w:pPr>
              <w:rPr>
                <w:rFonts w:cs="Arial"/>
                <w:sz w:val="18"/>
                <w:szCs w:val="18"/>
                <w:lang w:val="es-ES"/>
              </w:rPr>
            </w:pPr>
            <w:r w:rsidRPr="00D868AB">
              <w:rPr>
                <w:rFonts w:cs="Arial"/>
                <w:sz w:val="18"/>
                <w:szCs w:val="18"/>
                <w:lang w:val="es-ES"/>
              </w:rPr>
              <w:t>Cuauhtémoc</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76AE0F" w14:textId="77777777" w:rsidR="00D868AB" w:rsidRPr="00D868AB" w:rsidRDefault="00D868AB" w:rsidP="00D868AB">
            <w:pPr>
              <w:jc w:val="right"/>
              <w:rPr>
                <w:rFonts w:cs="Arial"/>
                <w:sz w:val="18"/>
                <w:szCs w:val="18"/>
                <w:lang w:val="es-ES"/>
              </w:rPr>
            </w:pPr>
            <w:r w:rsidRPr="00D868AB">
              <w:rPr>
                <w:rFonts w:cs="Arial"/>
                <w:sz w:val="18"/>
              </w:rPr>
              <w:t>21,845,760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00434D" w14:textId="77777777" w:rsidR="00D868AB" w:rsidRPr="00D868AB" w:rsidRDefault="00D868AB" w:rsidP="00D868AB">
            <w:pPr>
              <w:jc w:val="right"/>
              <w:rPr>
                <w:rFonts w:cs="Arial"/>
                <w:sz w:val="18"/>
                <w:szCs w:val="18"/>
                <w:lang w:val="es-ES"/>
              </w:rPr>
            </w:pPr>
            <w:r w:rsidRPr="00D868AB">
              <w:rPr>
                <w:rFonts w:cs="Arial"/>
                <w:sz w:val="18"/>
              </w:rPr>
              <w:t>28,748,598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22B040" w14:textId="77777777" w:rsidR="00D868AB" w:rsidRPr="00D868AB" w:rsidRDefault="00D868AB" w:rsidP="00D868AB">
            <w:pPr>
              <w:jc w:val="right"/>
              <w:rPr>
                <w:rFonts w:cs="Arial"/>
                <w:b/>
                <w:sz w:val="18"/>
                <w:szCs w:val="18"/>
                <w:lang w:val="es-ES"/>
              </w:rPr>
            </w:pPr>
            <w:r w:rsidRPr="00D868AB">
              <w:rPr>
                <w:rFonts w:cs="Arial"/>
                <w:b/>
                <w:sz w:val="18"/>
              </w:rPr>
              <w:t>50,594,358</w:t>
            </w:r>
          </w:p>
        </w:tc>
      </w:tr>
      <w:tr w:rsidR="00D868AB" w:rsidRPr="00D868AB" w14:paraId="1AE8DAAD"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C779A" w14:textId="77777777" w:rsidR="00D868AB" w:rsidRPr="00D868AB" w:rsidRDefault="00D868AB" w:rsidP="00D868AB">
            <w:pPr>
              <w:rPr>
                <w:rFonts w:cs="Arial"/>
                <w:sz w:val="18"/>
                <w:szCs w:val="18"/>
                <w:lang w:val="es-ES"/>
              </w:rPr>
            </w:pPr>
            <w:r w:rsidRPr="00D868AB">
              <w:rPr>
                <w:rFonts w:cs="Arial"/>
                <w:sz w:val="18"/>
                <w:szCs w:val="18"/>
                <w:lang w:val="es-ES"/>
              </w:rPr>
              <w:t>Ixtlahuacán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353513" w14:textId="77777777" w:rsidR="00D868AB" w:rsidRPr="00D868AB" w:rsidRDefault="00D868AB" w:rsidP="00D868AB">
            <w:pPr>
              <w:jc w:val="right"/>
              <w:rPr>
                <w:rFonts w:cs="Arial"/>
                <w:sz w:val="18"/>
                <w:szCs w:val="18"/>
                <w:lang w:val="es-ES"/>
              </w:rPr>
            </w:pPr>
            <w:r w:rsidRPr="00D868AB">
              <w:rPr>
                <w:rFonts w:cs="Arial"/>
                <w:sz w:val="18"/>
              </w:rPr>
              <w:t>22,760,853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41E390" w14:textId="77777777" w:rsidR="00D868AB" w:rsidRPr="00D868AB" w:rsidRDefault="00D868AB" w:rsidP="00D868AB">
            <w:pPr>
              <w:jc w:val="right"/>
              <w:rPr>
                <w:rFonts w:cs="Arial"/>
                <w:sz w:val="18"/>
                <w:szCs w:val="18"/>
                <w:lang w:val="es-ES"/>
              </w:rPr>
            </w:pPr>
            <w:r w:rsidRPr="00D868AB">
              <w:rPr>
                <w:rFonts w:cs="Arial"/>
                <w:sz w:val="18"/>
              </w:rPr>
              <w:t>5,170,095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3ADA2" w14:textId="77777777" w:rsidR="00D868AB" w:rsidRPr="00D868AB" w:rsidRDefault="00D868AB" w:rsidP="00D868AB">
            <w:pPr>
              <w:jc w:val="right"/>
              <w:rPr>
                <w:rFonts w:cs="Arial"/>
                <w:b/>
                <w:sz w:val="18"/>
                <w:szCs w:val="18"/>
                <w:lang w:val="es-ES"/>
              </w:rPr>
            </w:pPr>
            <w:r w:rsidRPr="00D868AB">
              <w:rPr>
                <w:rFonts w:cs="Arial"/>
                <w:b/>
                <w:sz w:val="18"/>
              </w:rPr>
              <w:t>27,930,948</w:t>
            </w:r>
          </w:p>
        </w:tc>
      </w:tr>
      <w:tr w:rsidR="00D868AB" w:rsidRPr="00D868AB" w14:paraId="3FC600AA"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19D984" w14:textId="77777777" w:rsidR="00D868AB" w:rsidRPr="00D868AB" w:rsidRDefault="00D868AB" w:rsidP="00D868AB">
            <w:pPr>
              <w:rPr>
                <w:rFonts w:cs="Arial"/>
                <w:sz w:val="18"/>
                <w:szCs w:val="18"/>
                <w:lang w:val="es-ES"/>
              </w:rPr>
            </w:pPr>
            <w:r w:rsidRPr="00D868AB">
              <w:rPr>
                <w:rFonts w:cs="Arial"/>
                <w:sz w:val="18"/>
                <w:szCs w:val="18"/>
                <w:lang w:val="es-ES"/>
              </w:rPr>
              <w:t>Manzanillo</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BA7F68" w14:textId="77777777" w:rsidR="00D868AB" w:rsidRPr="00D868AB" w:rsidRDefault="00D868AB" w:rsidP="00D868AB">
            <w:pPr>
              <w:jc w:val="right"/>
              <w:rPr>
                <w:rFonts w:cs="Arial"/>
                <w:sz w:val="18"/>
                <w:szCs w:val="18"/>
                <w:lang w:val="es-ES"/>
              </w:rPr>
            </w:pPr>
            <w:r w:rsidRPr="00D868AB">
              <w:rPr>
                <w:rFonts w:cs="Arial"/>
                <w:sz w:val="18"/>
              </w:rPr>
              <w:t>84,912,528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1B6ACB2" w14:textId="77777777" w:rsidR="00D868AB" w:rsidRPr="00D868AB" w:rsidRDefault="00D868AB" w:rsidP="00D868AB">
            <w:pPr>
              <w:jc w:val="right"/>
              <w:rPr>
                <w:rFonts w:cs="Arial"/>
                <w:sz w:val="18"/>
                <w:szCs w:val="18"/>
                <w:lang w:val="es-ES"/>
              </w:rPr>
            </w:pPr>
            <w:r w:rsidRPr="00D868AB">
              <w:rPr>
                <w:rFonts w:cs="Arial"/>
                <w:sz w:val="18"/>
              </w:rPr>
              <w:t>175,644,397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0C026E" w14:textId="77777777" w:rsidR="00D868AB" w:rsidRPr="00D868AB" w:rsidRDefault="00D868AB" w:rsidP="00D868AB">
            <w:pPr>
              <w:jc w:val="right"/>
              <w:rPr>
                <w:rFonts w:cs="Arial"/>
                <w:b/>
                <w:sz w:val="18"/>
                <w:szCs w:val="18"/>
                <w:lang w:val="es-ES"/>
              </w:rPr>
            </w:pPr>
            <w:r w:rsidRPr="00D868AB">
              <w:rPr>
                <w:rFonts w:cs="Arial"/>
                <w:b/>
                <w:sz w:val="18"/>
              </w:rPr>
              <w:t>260,556,924</w:t>
            </w:r>
          </w:p>
        </w:tc>
      </w:tr>
      <w:tr w:rsidR="00D868AB" w:rsidRPr="00D868AB" w14:paraId="04F856B1"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145745" w14:textId="77777777" w:rsidR="00D868AB" w:rsidRPr="00D868AB" w:rsidRDefault="00D868AB" w:rsidP="00D868AB">
            <w:pPr>
              <w:rPr>
                <w:rFonts w:cs="Arial"/>
                <w:sz w:val="18"/>
                <w:szCs w:val="18"/>
                <w:lang w:val="es-ES"/>
              </w:rPr>
            </w:pPr>
            <w:r w:rsidRPr="00D868AB">
              <w:rPr>
                <w:rFonts w:cs="Arial"/>
                <w:sz w:val="18"/>
                <w:szCs w:val="18"/>
                <w:lang w:val="es-ES"/>
              </w:rPr>
              <w:t>Minatitlán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64BFEA" w14:textId="77777777" w:rsidR="00D868AB" w:rsidRPr="00D868AB" w:rsidRDefault="00D868AB" w:rsidP="00D868AB">
            <w:pPr>
              <w:jc w:val="right"/>
              <w:rPr>
                <w:rFonts w:cs="Arial"/>
                <w:sz w:val="18"/>
                <w:szCs w:val="18"/>
                <w:lang w:val="es-ES"/>
              </w:rPr>
            </w:pPr>
            <w:r w:rsidRPr="00D868AB">
              <w:rPr>
                <w:rFonts w:cs="Arial"/>
                <w:sz w:val="18"/>
              </w:rPr>
              <w:t>28,988,004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92369A5" w14:textId="77777777" w:rsidR="00D868AB" w:rsidRPr="00D868AB" w:rsidRDefault="00D868AB" w:rsidP="00D868AB">
            <w:pPr>
              <w:jc w:val="right"/>
              <w:rPr>
                <w:rFonts w:cs="Arial"/>
                <w:sz w:val="18"/>
                <w:szCs w:val="18"/>
                <w:lang w:val="es-ES"/>
              </w:rPr>
            </w:pPr>
            <w:r w:rsidRPr="00D868AB">
              <w:rPr>
                <w:rFonts w:cs="Arial"/>
                <w:sz w:val="18"/>
              </w:rPr>
              <w:t>9,406,943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98BF86" w14:textId="77777777" w:rsidR="00D868AB" w:rsidRPr="00D868AB" w:rsidRDefault="00D868AB" w:rsidP="00D868AB">
            <w:pPr>
              <w:jc w:val="right"/>
              <w:rPr>
                <w:rFonts w:cs="Arial"/>
                <w:b/>
                <w:sz w:val="18"/>
                <w:szCs w:val="18"/>
                <w:lang w:val="es-ES"/>
              </w:rPr>
            </w:pPr>
            <w:r w:rsidRPr="00D868AB">
              <w:rPr>
                <w:rFonts w:cs="Arial"/>
                <w:b/>
                <w:sz w:val="18"/>
              </w:rPr>
              <w:t>38,394,948</w:t>
            </w:r>
          </w:p>
        </w:tc>
      </w:tr>
      <w:tr w:rsidR="00D868AB" w:rsidRPr="00D868AB" w14:paraId="041321AF"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28411" w14:textId="77777777" w:rsidR="00D868AB" w:rsidRPr="00D868AB" w:rsidRDefault="00D868AB" w:rsidP="00D868AB">
            <w:pPr>
              <w:rPr>
                <w:rFonts w:cs="Arial"/>
                <w:sz w:val="18"/>
                <w:szCs w:val="18"/>
                <w:lang w:val="es-ES"/>
              </w:rPr>
            </w:pPr>
            <w:r w:rsidRPr="00D868AB">
              <w:rPr>
                <w:rFonts w:cs="Arial"/>
                <w:sz w:val="18"/>
                <w:szCs w:val="18"/>
                <w:lang w:val="es-ES"/>
              </w:rPr>
              <w:t>Tecomán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3149C2" w14:textId="77777777" w:rsidR="00D868AB" w:rsidRPr="00D868AB" w:rsidRDefault="00D868AB" w:rsidP="00D868AB">
            <w:pPr>
              <w:jc w:val="right"/>
              <w:rPr>
                <w:rFonts w:cs="Arial"/>
                <w:sz w:val="18"/>
                <w:szCs w:val="18"/>
                <w:lang w:val="es-ES"/>
              </w:rPr>
            </w:pPr>
            <w:r w:rsidRPr="00D868AB">
              <w:rPr>
                <w:rFonts w:cs="Arial"/>
                <w:sz w:val="18"/>
              </w:rPr>
              <w:t>157,490,100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E75930" w14:textId="77777777" w:rsidR="00D868AB" w:rsidRPr="00D868AB" w:rsidRDefault="00D868AB" w:rsidP="00D868AB">
            <w:pPr>
              <w:jc w:val="right"/>
              <w:rPr>
                <w:rFonts w:cs="Arial"/>
                <w:sz w:val="18"/>
                <w:szCs w:val="18"/>
                <w:lang w:val="es-ES"/>
              </w:rPr>
            </w:pPr>
            <w:r w:rsidRPr="00D868AB">
              <w:rPr>
                <w:rFonts w:cs="Arial"/>
                <w:sz w:val="18"/>
              </w:rPr>
              <w:t>106,937,207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556BBD" w14:textId="77777777" w:rsidR="00D868AB" w:rsidRPr="00D868AB" w:rsidRDefault="00D868AB" w:rsidP="00D868AB">
            <w:pPr>
              <w:jc w:val="right"/>
              <w:rPr>
                <w:rFonts w:cs="Arial"/>
                <w:b/>
                <w:sz w:val="18"/>
                <w:szCs w:val="18"/>
                <w:lang w:val="es-ES"/>
              </w:rPr>
            </w:pPr>
            <w:r w:rsidRPr="00D868AB">
              <w:rPr>
                <w:rFonts w:cs="Arial"/>
                <w:b/>
                <w:sz w:val="18"/>
              </w:rPr>
              <w:t>264,427,307</w:t>
            </w:r>
          </w:p>
        </w:tc>
      </w:tr>
      <w:tr w:rsidR="00D868AB" w:rsidRPr="00D868AB" w14:paraId="14F360B4"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FFD8E4" w14:textId="77777777" w:rsidR="00D868AB" w:rsidRPr="00D868AB" w:rsidRDefault="00D868AB" w:rsidP="00D868AB">
            <w:pPr>
              <w:rPr>
                <w:rFonts w:cs="Arial"/>
                <w:sz w:val="18"/>
                <w:szCs w:val="18"/>
                <w:lang w:val="es-ES"/>
              </w:rPr>
            </w:pPr>
            <w:r w:rsidRPr="00D868AB">
              <w:rPr>
                <w:rFonts w:cs="Arial"/>
                <w:sz w:val="18"/>
                <w:szCs w:val="18"/>
                <w:lang w:val="es-ES"/>
              </w:rPr>
              <w:t>Villa de Álvarez</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308403" w14:textId="77777777" w:rsidR="00D868AB" w:rsidRPr="00D868AB" w:rsidRDefault="00D868AB" w:rsidP="00D868AB">
            <w:pPr>
              <w:jc w:val="right"/>
              <w:rPr>
                <w:rFonts w:cs="Arial"/>
                <w:sz w:val="18"/>
                <w:szCs w:val="18"/>
                <w:lang w:val="es-ES"/>
              </w:rPr>
            </w:pPr>
            <w:r w:rsidRPr="00D868AB">
              <w:rPr>
                <w:rFonts w:cs="Arial"/>
                <w:sz w:val="18"/>
              </w:rPr>
              <w:t>40,224,133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6453132" w14:textId="77777777" w:rsidR="00D868AB" w:rsidRPr="00D868AB" w:rsidRDefault="00D868AB" w:rsidP="00D868AB">
            <w:pPr>
              <w:jc w:val="right"/>
              <w:rPr>
                <w:rFonts w:cs="Arial"/>
                <w:sz w:val="18"/>
                <w:szCs w:val="18"/>
                <w:lang w:val="es-ES"/>
              </w:rPr>
            </w:pPr>
            <w:r w:rsidRPr="00D868AB">
              <w:rPr>
                <w:rFonts w:cs="Arial"/>
                <w:sz w:val="18"/>
              </w:rPr>
              <w:t>137,699,411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7D174A" w14:textId="77777777" w:rsidR="00D868AB" w:rsidRPr="00D868AB" w:rsidRDefault="00D868AB" w:rsidP="00D868AB">
            <w:pPr>
              <w:jc w:val="right"/>
              <w:rPr>
                <w:rFonts w:cs="Arial"/>
                <w:b/>
                <w:sz w:val="18"/>
                <w:szCs w:val="18"/>
                <w:lang w:val="es-ES"/>
              </w:rPr>
            </w:pPr>
            <w:r w:rsidRPr="00D868AB">
              <w:rPr>
                <w:rFonts w:cs="Arial"/>
                <w:b/>
                <w:sz w:val="18"/>
              </w:rPr>
              <w:t>177,923,544</w:t>
            </w:r>
          </w:p>
        </w:tc>
      </w:tr>
      <w:tr w:rsidR="00D868AB" w:rsidRPr="00D868AB" w14:paraId="156CF073" w14:textId="77777777" w:rsidTr="00A755A7">
        <w:trPr>
          <w:trHeight w:val="20"/>
          <w:jc w:val="center"/>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D1A5BE"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Totales</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0D04763" w14:textId="77777777" w:rsidR="00D868AB" w:rsidRPr="00D868AB" w:rsidRDefault="00D868AB" w:rsidP="00D868AB">
            <w:pPr>
              <w:jc w:val="right"/>
              <w:rPr>
                <w:rFonts w:cs="Arial"/>
                <w:b/>
                <w:sz w:val="18"/>
                <w:szCs w:val="18"/>
                <w:lang w:val="es-ES"/>
              </w:rPr>
            </w:pPr>
            <w:r w:rsidRPr="00D868AB">
              <w:rPr>
                <w:rFonts w:cs="Arial"/>
                <w:b/>
                <w:sz w:val="18"/>
              </w:rPr>
              <w:t>576,694,191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14F60E0" w14:textId="77777777" w:rsidR="00D868AB" w:rsidRPr="00D868AB" w:rsidRDefault="00D868AB" w:rsidP="00D868AB">
            <w:pPr>
              <w:jc w:val="right"/>
              <w:rPr>
                <w:rFonts w:cs="Arial"/>
                <w:b/>
                <w:sz w:val="18"/>
                <w:szCs w:val="18"/>
                <w:lang w:val="es-ES"/>
              </w:rPr>
            </w:pPr>
            <w:r w:rsidRPr="00D868AB">
              <w:rPr>
                <w:rFonts w:cs="Arial"/>
                <w:b/>
                <w:sz w:val="18"/>
              </w:rPr>
              <w:t>672,481,068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46F42" w14:textId="77777777" w:rsidR="00D868AB" w:rsidRPr="00D868AB" w:rsidRDefault="00D868AB" w:rsidP="00D868AB">
            <w:pPr>
              <w:jc w:val="right"/>
              <w:rPr>
                <w:rFonts w:cs="Arial"/>
                <w:b/>
                <w:sz w:val="18"/>
                <w:szCs w:val="18"/>
                <w:lang w:val="es-ES"/>
              </w:rPr>
            </w:pPr>
            <w:r w:rsidRPr="00D868AB">
              <w:rPr>
                <w:rFonts w:cs="Arial"/>
                <w:b/>
                <w:sz w:val="18"/>
              </w:rPr>
              <w:t>1,249,175,259</w:t>
            </w:r>
          </w:p>
        </w:tc>
      </w:tr>
    </w:tbl>
    <w:p w14:paraId="0F512B78" w14:textId="77777777" w:rsidR="00D868AB" w:rsidRPr="00D868AB" w:rsidRDefault="00D868AB" w:rsidP="00D868AB">
      <w:pPr>
        <w:ind w:left="993"/>
        <w:rPr>
          <w:rFonts w:cs="Arial"/>
          <w:sz w:val="16"/>
          <w:szCs w:val="20"/>
          <w:lang w:val="es-ES"/>
        </w:rPr>
      </w:pPr>
      <w:r w:rsidRPr="00D868AB">
        <w:rPr>
          <w:rFonts w:cs="Arial"/>
          <w:b/>
          <w:sz w:val="16"/>
          <w:szCs w:val="20"/>
          <w:lang w:val="es-ES"/>
        </w:rPr>
        <w:t>Nota</w:t>
      </w:r>
      <w:r w:rsidRPr="00D868AB">
        <w:rPr>
          <w:rFonts w:cs="Arial"/>
          <w:sz w:val="16"/>
          <w:szCs w:val="20"/>
          <w:lang w:val="es-ES"/>
        </w:rPr>
        <w:t>: La suma de los parciales puede no coincidir con el total debido al redondeo de cifras</w:t>
      </w:r>
    </w:p>
    <w:p w14:paraId="37FD5D35" w14:textId="77777777" w:rsidR="00D868AB" w:rsidRPr="00D868AB" w:rsidRDefault="00D868AB" w:rsidP="00D868AB">
      <w:pPr>
        <w:jc w:val="left"/>
        <w:rPr>
          <w:rFonts w:eastAsia="Calibri" w:cs="Arial"/>
          <w:lang w:val="es-ES" w:eastAsia="en-US"/>
        </w:rPr>
      </w:pPr>
    </w:p>
    <w:p w14:paraId="0DED8017" w14:textId="77777777" w:rsidR="00D868AB" w:rsidRPr="00D868AB" w:rsidRDefault="00D868AB" w:rsidP="00D868AB">
      <w:pPr>
        <w:shd w:val="clear" w:color="auto" w:fill="FFFFFF"/>
        <w:ind w:left="426" w:hanging="426"/>
        <w:contextualSpacing/>
        <w:rPr>
          <w:rFonts w:eastAsia="Times New Roman" w:cs="Arial"/>
          <w:lang w:val="es-ES" w:eastAsia="es-ES"/>
        </w:rPr>
      </w:pPr>
      <w:r w:rsidRPr="00D868AB">
        <w:rPr>
          <w:rFonts w:eastAsia="Times New Roman" w:cs="Arial"/>
          <w:lang w:val="es-ES" w:eastAsia="es-ES"/>
        </w:rPr>
        <w:t xml:space="preserve">IV. </w:t>
      </w:r>
      <w:r w:rsidRPr="00D868AB">
        <w:rPr>
          <w:rFonts w:eastAsia="Times New Roman" w:cs="Arial"/>
          <w:lang w:val="es-ES" w:eastAsia="es-ES"/>
        </w:rPr>
        <w:tab/>
        <w:t>Los recursos provenientes de Participaciones, Incentivos y Aportaciones Federales que serán destinados a los Municipios, tendrán la siguiente distribución:</w:t>
      </w:r>
    </w:p>
    <w:p w14:paraId="6B57B0EB" w14:textId="77777777" w:rsidR="00D868AB" w:rsidRPr="00D868AB" w:rsidRDefault="00D868AB" w:rsidP="00D868AB">
      <w:pPr>
        <w:rPr>
          <w:rFonts w:cs="Arial"/>
          <w:lang w:val="es-ES"/>
        </w:rPr>
      </w:pPr>
    </w:p>
    <w:tbl>
      <w:tblPr>
        <w:tblW w:w="6945" w:type="dxa"/>
        <w:jc w:val="center"/>
        <w:tblCellMar>
          <w:left w:w="70" w:type="dxa"/>
          <w:right w:w="70" w:type="dxa"/>
        </w:tblCellMar>
        <w:tblLook w:val="04A0" w:firstRow="1" w:lastRow="0" w:firstColumn="1" w:lastColumn="0" w:noHBand="0" w:noVBand="1"/>
      </w:tblPr>
      <w:tblGrid>
        <w:gridCol w:w="1673"/>
        <w:gridCol w:w="1471"/>
        <w:gridCol w:w="1114"/>
        <w:gridCol w:w="1292"/>
        <w:gridCol w:w="1395"/>
      </w:tblGrid>
      <w:tr w:rsidR="00D868AB" w:rsidRPr="00D868AB" w14:paraId="76B43A14" w14:textId="77777777" w:rsidTr="00A755A7">
        <w:trPr>
          <w:trHeight w:val="20"/>
          <w:tblHeader/>
          <w:jc w:val="center"/>
        </w:trPr>
        <w:tc>
          <w:tcPr>
            <w:tcW w:w="6945" w:type="dxa"/>
            <w:gridSpan w:val="5"/>
            <w:tcBorders>
              <w:bottom w:val="single" w:sz="4" w:space="0" w:color="auto"/>
            </w:tcBorders>
            <w:shd w:val="clear" w:color="auto" w:fill="auto"/>
            <w:noWrap/>
            <w:vAlign w:val="center"/>
          </w:tcPr>
          <w:p w14:paraId="1E2B1AEA" w14:textId="77777777" w:rsidR="00D868AB" w:rsidRPr="00D868AB" w:rsidRDefault="00D868AB" w:rsidP="00D868AB">
            <w:pPr>
              <w:jc w:val="center"/>
              <w:rPr>
                <w:rFonts w:eastAsia="Times New Roman" w:cs="Arial"/>
                <w:b/>
                <w:bCs/>
                <w:sz w:val="20"/>
                <w:szCs w:val="16"/>
              </w:rPr>
            </w:pPr>
            <w:r w:rsidRPr="00D868AB">
              <w:rPr>
                <w:rFonts w:eastAsia="Times New Roman" w:cs="Arial"/>
                <w:b/>
                <w:sz w:val="20"/>
                <w:szCs w:val="16"/>
                <w:lang w:val="es-ES"/>
              </w:rPr>
              <w:t>Tabla 56. Monto Total de recursos destinados a los Municipios</w:t>
            </w:r>
          </w:p>
        </w:tc>
      </w:tr>
      <w:tr w:rsidR="00D868AB" w:rsidRPr="00D868AB" w14:paraId="728F20B5"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blHeader/>
          <w:jc w:val="center"/>
        </w:trPr>
        <w:tc>
          <w:tcPr>
            <w:tcW w:w="1673" w:type="dxa"/>
            <w:shd w:val="clear" w:color="auto" w:fill="auto"/>
            <w:noWrap/>
            <w:vAlign w:val="center"/>
            <w:hideMark/>
          </w:tcPr>
          <w:p w14:paraId="7B24FE82" w14:textId="77777777" w:rsidR="00D868AB" w:rsidRPr="00D868AB" w:rsidRDefault="00D868AB" w:rsidP="00D868AB">
            <w:pPr>
              <w:jc w:val="center"/>
              <w:rPr>
                <w:rFonts w:eastAsia="Times New Roman" w:cs="Arial"/>
                <w:b/>
                <w:bCs/>
                <w:sz w:val="18"/>
                <w:szCs w:val="16"/>
              </w:rPr>
            </w:pPr>
            <w:r w:rsidRPr="00D868AB">
              <w:rPr>
                <w:rFonts w:eastAsia="Times New Roman" w:cs="Arial"/>
                <w:b/>
                <w:bCs/>
                <w:sz w:val="18"/>
                <w:szCs w:val="16"/>
              </w:rPr>
              <w:t>Municipio</w:t>
            </w:r>
          </w:p>
        </w:tc>
        <w:tc>
          <w:tcPr>
            <w:tcW w:w="1471" w:type="dxa"/>
            <w:shd w:val="clear" w:color="auto" w:fill="auto"/>
            <w:noWrap/>
            <w:vAlign w:val="center"/>
            <w:hideMark/>
          </w:tcPr>
          <w:p w14:paraId="5544BB22" w14:textId="77777777" w:rsidR="00D868AB" w:rsidRPr="00D868AB" w:rsidRDefault="00D868AB" w:rsidP="00D868AB">
            <w:pPr>
              <w:jc w:val="center"/>
              <w:rPr>
                <w:rFonts w:eastAsia="Times New Roman" w:cs="Arial"/>
                <w:b/>
                <w:bCs/>
                <w:sz w:val="18"/>
                <w:szCs w:val="16"/>
              </w:rPr>
            </w:pPr>
            <w:r w:rsidRPr="00D868AB">
              <w:rPr>
                <w:rFonts w:eastAsia="Times New Roman" w:cs="Arial"/>
                <w:b/>
                <w:bCs/>
                <w:sz w:val="18"/>
                <w:szCs w:val="16"/>
              </w:rPr>
              <w:t>Participaciones</w:t>
            </w:r>
          </w:p>
        </w:tc>
        <w:tc>
          <w:tcPr>
            <w:tcW w:w="1114" w:type="dxa"/>
            <w:shd w:val="clear" w:color="auto" w:fill="auto"/>
            <w:vAlign w:val="center"/>
            <w:hideMark/>
          </w:tcPr>
          <w:p w14:paraId="48CBF592" w14:textId="77777777" w:rsidR="00D868AB" w:rsidRPr="00D868AB" w:rsidRDefault="00D868AB" w:rsidP="00D868AB">
            <w:pPr>
              <w:jc w:val="center"/>
              <w:rPr>
                <w:rFonts w:eastAsia="Times New Roman" w:cs="Arial"/>
                <w:b/>
                <w:bCs/>
                <w:sz w:val="18"/>
                <w:szCs w:val="16"/>
              </w:rPr>
            </w:pPr>
            <w:r w:rsidRPr="00D868AB">
              <w:rPr>
                <w:rFonts w:cs="Arial"/>
                <w:b/>
                <w:bCs/>
                <w:sz w:val="18"/>
                <w:szCs w:val="16"/>
              </w:rPr>
              <w:t>Incentivos Derivados de la C.F.F</w:t>
            </w:r>
          </w:p>
        </w:tc>
        <w:tc>
          <w:tcPr>
            <w:tcW w:w="1292" w:type="dxa"/>
            <w:shd w:val="clear" w:color="auto" w:fill="auto"/>
            <w:vAlign w:val="center"/>
            <w:hideMark/>
          </w:tcPr>
          <w:p w14:paraId="5398C34C" w14:textId="77777777" w:rsidR="00D868AB" w:rsidRPr="00D868AB" w:rsidRDefault="00D868AB" w:rsidP="00D868AB">
            <w:pPr>
              <w:jc w:val="center"/>
              <w:rPr>
                <w:rFonts w:eastAsia="Times New Roman" w:cs="Arial"/>
                <w:b/>
                <w:bCs/>
                <w:sz w:val="18"/>
                <w:szCs w:val="16"/>
              </w:rPr>
            </w:pPr>
            <w:r w:rsidRPr="00D868AB">
              <w:rPr>
                <w:rFonts w:cs="Arial"/>
                <w:b/>
                <w:bCs/>
                <w:sz w:val="18"/>
                <w:szCs w:val="16"/>
              </w:rPr>
              <w:t>Aportaciones Federales (Ramo 33)</w:t>
            </w:r>
          </w:p>
        </w:tc>
        <w:tc>
          <w:tcPr>
            <w:tcW w:w="1395" w:type="dxa"/>
            <w:shd w:val="clear" w:color="auto" w:fill="auto"/>
            <w:vAlign w:val="center"/>
            <w:hideMark/>
          </w:tcPr>
          <w:p w14:paraId="26890B9C" w14:textId="77777777" w:rsidR="00D868AB" w:rsidRPr="00D868AB" w:rsidRDefault="00D868AB" w:rsidP="00D868AB">
            <w:pPr>
              <w:jc w:val="center"/>
              <w:rPr>
                <w:rFonts w:eastAsia="Times New Roman" w:cs="Arial"/>
                <w:b/>
                <w:bCs/>
                <w:sz w:val="18"/>
                <w:szCs w:val="16"/>
              </w:rPr>
            </w:pPr>
            <w:r w:rsidRPr="00D868AB">
              <w:rPr>
                <w:rFonts w:eastAsia="Times New Roman" w:cs="Arial"/>
                <w:b/>
                <w:bCs/>
                <w:sz w:val="18"/>
                <w:szCs w:val="16"/>
              </w:rPr>
              <w:t>Asignación Presupuestal</w:t>
            </w:r>
          </w:p>
        </w:tc>
      </w:tr>
      <w:tr w:rsidR="00D868AB" w:rsidRPr="00D868AB" w14:paraId="65B1CA7C"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77E6B311" w14:textId="77777777" w:rsidR="00D868AB" w:rsidRPr="00D868AB" w:rsidRDefault="00D868AB" w:rsidP="00D868AB">
            <w:pPr>
              <w:rPr>
                <w:rFonts w:eastAsia="Times New Roman" w:cs="Arial"/>
                <w:sz w:val="18"/>
                <w:szCs w:val="16"/>
              </w:rPr>
            </w:pPr>
            <w:r w:rsidRPr="00D868AB">
              <w:rPr>
                <w:rFonts w:eastAsia="Times New Roman" w:cs="Arial"/>
                <w:sz w:val="18"/>
                <w:szCs w:val="16"/>
              </w:rPr>
              <w:t>Armería</w:t>
            </w:r>
          </w:p>
        </w:tc>
        <w:tc>
          <w:tcPr>
            <w:tcW w:w="1471" w:type="dxa"/>
            <w:shd w:val="clear" w:color="auto" w:fill="auto"/>
            <w:noWrap/>
            <w:vAlign w:val="center"/>
          </w:tcPr>
          <w:p w14:paraId="687081FE" w14:textId="77777777" w:rsidR="00D868AB" w:rsidRPr="00D868AB" w:rsidRDefault="00D868AB" w:rsidP="00D868AB">
            <w:pPr>
              <w:jc w:val="right"/>
              <w:rPr>
                <w:rFonts w:eastAsia="Times New Roman" w:cs="Arial"/>
                <w:sz w:val="18"/>
                <w:szCs w:val="18"/>
              </w:rPr>
            </w:pPr>
            <w:r w:rsidRPr="00D868AB">
              <w:rPr>
                <w:rFonts w:cs="Arial"/>
                <w:color w:val="000000"/>
                <w:sz w:val="18"/>
                <w:szCs w:val="18"/>
              </w:rPr>
              <w:t>93,017,891</w:t>
            </w:r>
          </w:p>
        </w:tc>
        <w:tc>
          <w:tcPr>
            <w:tcW w:w="1114" w:type="dxa"/>
            <w:shd w:val="clear" w:color="auto" w:fill="auto"/>
            <w:noWrap/>
            <w:vAlign w:val="center"/>
          </w:tcPr>
          <w:p w14:paraId="3F37DFFD" w14:textId="77777777" w:rsidR="00D868AB" w:rsidRPr="00D868AB" w:rsidRDefault="00D868AB" w:rsidP="00D868AB">
            <w:pPr>
              <w:jc w:val="right"/>
              <w:rPr>
                <w:rFonts w:eastAsia="Times New Roman" w:cs="Arial"/>
                <w:sz w:val="18"/>
                <w:szCs w:val="18"/>
              </w:rPr>
            </w:pPr>
            <w:r w:rsidRPr="00D868AB">
              <w:rPr>
                <w:rFonts w:cs="Arial"/>
                <w:color w:val="000000"/>
                <w:sz w:val="18"/>
                <w:szCs w:val="18"/>
              </w:rPr>
              <w:t>1,372,364</w:t>
            </w:r>
          </w:p>
        </w:tc>
        <w:tc>
          <w:tcPr>
            <w:tcW w:w="1292" w:type="dxa"/>
            <w:shd w:val="clear" w:color="auto" w:fill="auto"/>
            <w:noWrap/>
            <w:vAlign w:val="center"/>
          </w:tcPr>
          <w:p w14:paraId="5D98CA45" w14:textId="77777777" w:rsidR="00D868AB" w:rsidRPr="00D868AB" w:rsidRDefault="00D868AB" w:rsidP="00D868AB">
            <w:pPr>
              <w:jc w:val="right"/>
              <w:rPr>
                <w:rFonts w:eastAsia="Times New Roman" w:cs="Arial"/>
                <w:sz w:val="18"/>
                <w:szCs w:val="18"/>
              </w:rPr>
            </w:pPr>
            <w:r w:rsidRPr="00D868AB">
              <w:rPr>
                <w:rFonts w:cs="Arial"/>
                <w:color w:val="000000"/>
                <w:sz w:val="18"/>
                <w:szCs w:val="18"/>
              </w:rPr>
              <w:t>69,318,002</w:t>
            </w:r>
          </w:p>
        </w:tc>
        <w:tc>
          <w:tcPr>
            <w:tcW w:w="1395" w:type="dxa"/>
            <w:shd w:val="clear" w:color="auto" w:fill="auto"/>
            <w:noWrap/>
            <w:vAlign w:val="center"/>
          </w:tcPr>
          <w:p w14:paraId="49949F58"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163,708,257</w:t>
            </w:r>
          </w:p>
        </w:tc>
      </w:tr>
      <w:tr w:rsidR="00D868AB" w:rsidRPr="00D868AB" w14:paraId="797EFDF7"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70B1D6E1" w14:textId="77777777" w:rsidR="00D868AB" w:rsidRPr="00D868AB" w:rsidRDefault="00D868AB" w:rsidP="00D868AB">
            <w:pPr>
              <w:rPr>
                <w:rFonts w:eastAsia="Times New Roman" w:cs="Arial"/>
                <w:sz w:val="18"/>
                <w:szCs w:val="16"/>
              </w:rPr>
            </w:pPr>
            <w:r w:rsidRPr="00D868AB">
              <w:rPr>
                <w:rFonts w:eastAsia="Times New Roman" w:cs="Arial"/>
                <w:sz w:val="18"/>
                <w:szCs w:val="16"/>
              </w:rPr>
              <w:t>Colima</w:t>
            </w:r>
          </w:p>
        </w:tc>
        <w:tc>
          <w:tcPr>
            <w:tcW w:w="1471" w:type="dxa"/>
            <w:shd w:val="clear" w:color="auto" w:fill="auto"/>
            <w:noWrap/>
            <w:vAlign w:val="center"/>
          </w:tcPr>
          <w:p w14:paraId="718D5BCA" w14:textId="77777777" w:rsidR="00D868AB" w:rsidRPr="00D868AB" w:rsidRDefault="00D868AB" w:rsidP="00D868AB">
            <w:pPr>
              <w:jc w:val="right"/>
              <w:rPr>
                <w:rFonts w:eastAsia="Times New Roman" w:cs="Arial"/>
                <w:sz w:val="18"/>
                <w:szCs w:val="18"/>
              </w:rPr>
            </w:pPr>
            <w:r w:rsidRPr="00D868AB">
              <w:rPr>
                <w:rFonts w:cs="Arial"/>
                <w:color w:val="000000"/>
                <w:sz w:val="18"/>
                <w:szCs w:val="18"/>
              </w:rPr>
              <w:t>354,850,316</w:t>
            </w:r>
          </w:p>
        </w:tc>
        <w:tc>
          <w:tcPr>
            <w:tcW w:w="1114" w:type="dxa"/>
            <w:shd w:val="clear" w:color="auto" w:fill="auto"/>
            <w:noWrap/>
            <w:vAlign w:val="center"/>
          </w:tcPr>
          <w:p w14:paraId="57073D82" w14:textId="77777777" w:rsidR="00D868AB" w:rsidRPr="00D868AB" w:rsidRDefault="00D868AB" w:rsidP="00D868AB">
            <w:pPr>
              <w:jc w:val="right"/>
              <w:rPr>
                <w:rFonts w:eastAsia="Times New Roman" w:cs="Arial"/>
                <w:sz w:val="18"/>
                <w:szCs w:val="18"/>
              </w:rPr>
            </w:pPr>
            <w:r w:rsidRPr="00D868AB">
              <w:rPr>
                <w:rFonts w:cs="Arial"/>
                <w:color w:val="000000"/>
                <w:sz w:val="18"/>
                <w:szCs w:val="18"/>
              </w:rPr>
              <w:t>6,741,984</w:t>
            </w:r>
          </w:p>
        </w:tc>
        <w:tc>
          <w:tcPr>
            <w:tcW w:w="1292" w:type="dxa"/>
            <w:shd w:val="clear" w:color="auto" w:fill="auto"/>
            <w:noWrap/>
            <w:vAlign w:val="center"/>
          </w:tcPr>
          <w:p w14:paraId="4BCF7812" w14:textId="77777777" w:rsidR="00D868AB" w:rsidRPr="00D868AB" w:rsidRDefault="00D868AB" w:rsidP="00D868AB">
            <w:pPr>
              <w:jc w:val="right"/>
              <w:rPr>
                <w:rFonts w:eastAsia="Times New Roman" w:cs="Arial"/>
                <w:sz w:val="18"/>
                <w:szCs w:val="18"/>
              </w:rPr>
            </w:pPr>
            <w:r w:rsidRPr="00D868AB">
              <w:rPr>
                <w:rFonts w:cs="Arial"/>
                <w:color w:val="000000"/>
                <w:sz w:val="18"/>
                <w:szCs w:val="18"/>
              </w:rPr>
              <w:t>236,021,551</w:t>
            </w:r>
          </w:p>
        </w:tc>
        <w:tc>
          <w:tcPr>
            <w:tcW w:w="1395" w:type="dxa"/>
            <w:shd w:val="clear" w:color="auto" w:fill="auto"/>
            <w:noWrap/>
            <w:vAlign w:val="center"/>
          </w:tcPr>
          <w:p w14:paraId="713E2E31"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597,613,851</w:t>
            </w:r>
          </w:p>
        </w:tc>
      </w:tr>
      <w:tr w:rsidR="00D868AB" w:rsidRPr="00D868AB" w14:paraId="42CFAF91"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17E1E9CA" w14:textId="77777777" w:rsidR="00D868AB" w:rsidRPr="00D868AB" w:rsidRDefault="00D868AB" w:rsidP="00D868AB">
            <w:pPr>
              <w:rPr>
                <w:rFonts w:eastAsia="Times New Roman" w:cs="Arial"/>
                <w:sz w:val="18"/>
                <w:szCs w:val="16"/>
              </w:rPr>
            </w:pPr>
            <w:r w:rsidRPr="00D868AB">
              <w:rPr>
                <w:rFonts w:eastAsia="Times New Roman" w:cs="Arial"/>
                <w:sz w:val="18"/>
                <w:szCs w:val="16"/>
              </w:rPr>
              <w:t>Comala</w:t>
            </w:r>
          </w:p>
        </w:tc>
        <w:tc>
          <w:tcPr>
            <w:tcW w:w="1471" w:type="dxa"/>
            <w:shd w:val="clear" w:color="auto" w:fill="auto"/>
            <w:noWrap/>
            <w:vAlign w:val="center"/>
          </w:tcPr>
          <w:p w14:paraId="50D2A401" w14:textId="77777777" w:rsidR="00D868AB" w:rsidRPr="00D868AB" w:rsidRDefault="00D868AB" w:rsidP="00D868AB">
            <w:pPr>
              <w:jc w:val="right"/>
              <w:rPr>
                <w:rFonts w:eastAsia="Times New Roman" w:cs="Arial"/>
                <w:sz w:val="18"/>
                <w:szCs w:val="18"/>
              </w:rPr>
            </w:pPr>
            <w:r w:rsidRPr="00D868AB">
              <w:rPr>
                <w:rFonts w:cs="Arial"/>
                <w:color w:val="000000"/>
                <w:sz w:val="18"/>
                <w:szCs w:val="18"/>
              </w:rPr>
              <w:t>93,185,828</w:t>
            </w:r>
          </w:p>
        </w:tc>
        <w:tc>
          <w:tcPr>
            <w:tcW w:w="1114" w:type="dxa"/>
            <w:shd w:val="clear" w:color="auto" w:fill="auto"/>
            <w:noWrap/>
            <w:vAlign w:val="center"/>
          </w:tcPr>
          <w:p w14:paraId="3BEA87FD" w14:textId="77777777" w:rsidR="00D868AB" w:rsidRPr="00D868AB" w:rsidRDefault="00D868AB" w:rsidP="00D868AB">
            <w:pPr>
              <w:jc w:val="right"/>
              <w:rPr>
                <w:rFonts w:eastAsia="Times New Roman" w:cs="Arial"/>
                <w:sz w:val="18"/>
                <w:szCs w:val="18"/>
              </w:rPr>
            </w:pPr>
            <w:r w:rsidRPr="00D868AB">
              <w:rPr>
                <w:rFonts w:cs="Arial"/>
                <w:color w:val="000000"/>
                <w:sz w:val="18"/>
                <w:szCs w:val="18"/>
              </w:rPr>
              <w:t>1,372,725</w:t>
            </w:r>
          </w:p>
        </w:tc>
        <w:tc>
          <w:tcPr>
            <w:tcW w:w="1292" w:type="dxa"/>
            <w:shd w:val="clear" w:color="auto" w:fill="auto"/>
            <w:noWrap/>
            <w:vAlign w:val="center"/>
          </w:tcPr>
          <w:p w14:paraId="2F6FD5A5" w14:textId="77777777" w:rsidR="00D868AB" w:rsidRPr="00D868AB" w:rsidRDefault="00D868AB" w:rsidP="00D868AB">
            <w:pPr>
              <w:jc w:val="right"/>
              <w:rPr>
                <w:rFonts w:eastAsia="Times New Roman" w:cs="Arial"/>
                <w:sz w:val="18"/>
                <w:szCs w:val="18"/>
              </w:rPr>
            </w:pPr>
            <w:r w:rsidRPr="00D868AB">
              <w:rPr>
                <w:rFonts w:cs="Arial"/>
                <w:color w:val="000000"/>
                <w:sz w:val="18"/>
                <w:szCs w:val="18"/>
              </w:rPr>
              <w:t>68,366,639</w:t>
            </w:r>
          </w:p>
        </w:tc>
        <w:tc>
          <w:tcPr>
            <w:tcW w:w="1395" w:type="dxa"/>
            <w:shd w:val="clear" w:color="auto" w:fill="auto"/>
            <w:noWrap/>
            <w:vAlign w:val="center"/>
          </w:tcPr>
          <w:p w14:paraId="7063E185"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162,925,192</w:t>
            </w:r>
          </w:p>
        </w:tc>
      </w:tr>
      <w:tr w:rsidR="00D868AB" w:rsidRPr="00D868AB" w14:paraId="329D0D5F"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348F1815" w14:textId="77777777" w:rsidR="00D868AB" w:rsidRPr="00D868AB" w:rsidRDefault="00D868AB" w:rsidP="00D868AB">
            <w:pPr>
              <w:rPr>
                <w:rFonts w:eastAsia="Times New Roman" w:cs="Arial"/>
                <w:sz w:val="18"/>
                <w:szCs w:val="16"/>
              </w:rPr>
            </w:pPr>
            <w:r w:rsidRPr="00D868AB">
              <w:rPr>
                <w:rFonts w:eastAsia="Times New Roman" w:cs="Arial"/>
                <w:sz w:val="18"/>
                <w:szCs w:val="16"/>
              </w:rPr>
              <w:t>Coquimatlán</w:t>
            </w:r>
          </w:p>
        </w:tc>
        <w:tc>
          <w:tcPr>
            <w:tcW w:w="1471" w:type="dxa"/>
            <w:shd w:val="clear" w:color="auto" w:fill="auto"/>
            <w:noWrap/>
            <w:vAlign w:val="center"/>
          </w:tcPr>
          <w:p w14:paraId="709B9F43" w14:textId="77777777" w:rsidR="00D868AB" w:rsidRPr="00D868AB" w:rsidRDefault="00D868AB" w:rsidP="00D868AB">
            <w:pPr>
              <w:jc w:val="right"/>
              <w:rPr>
                <w:rFonts w:eastAsia="Times New Roman" w:cs="Arial"/>
                <w:sz w:val="18"/>
                <w:szCs w:val="18"/>
              </w:rPr>
            </w:pPr>
            <w:r w:rsidRPr="00D868AB">
              <w:rPr>
                <w:rFonts w:cs="Arial"/>
                <w:color w:val="000000"/>
                <w:sz w:val="18"/>
                <w:szCs w:val="18"/>
              </w:rPr>
              <w:t>76,231,627</w:t>
            </w:r>
          </w:p>
        </w:tc>
        <w:tc>
          <w:tcPr>
            <w:tcW w:w="1114" w:type="dxa"/>
            <w:shd w:val="clear" w:color="auto" w:fill="auto"/>
            <w:noWrap/>
            <w:vAlign w:val="center"/>
          </w:tcPr>
          <w:p w14:paraId="1D39D20A" w14:textId="77777777" w:rsidR="00D868AB" w:rsidRPr="00D868AB" w:rsidRDefault="00D868AB" w:rsidP="00D868AB">
            <w:pPr>
              <w:jc w:val="right"/>
              <w:rPr>
                <w:rFonts w:eastAsia="Times New Roman" w:cs="Arial"/>
                <w:sz w:val="18"/>
                <w:szCs w:val="18"/>
              </w:rPr>
            </w:pPr>
            <w:r w:rsidRPr="00D868AB">
              <w:rPr>
                <w:rFonts w:cs="Arial"/>
                <w:color w:val="000000"/>
                <w:sz w:val="18"/>
                <w:szCs w:val="18"/>
              </w:rPr>
              <w:t>1,017,431</w:t>
            </w:r>
          </w:p>
        </w:tc>
        <w:tc>
          <w:tcPr>
            <w:tcW w:w="1292" w:type="dxa"/>
            <w:shd w:val="clear" w:color="auto" w:fill="auto"/>
            <w:noWrap/>
            <w:vAlign w:val="center"/>
          </w:tcPr>
          <w:p w14:paraId="4E3B977C" w14:textId="77777777" w:rsidR="00D868AB" w:rsidRPr="00D868AB" w:rsidRDefault="00D868AB" w:rsidP="00D868AB">
            <w:pPr>
              <w:jc w:val="right"/>
              <w:rPr>
                <w:rFonts w:eastAsia="Times New Roman" w:cs="Arial"/>
                <w:sz w:val="18"/>
                <w:szCs w:val="18"/>
              </w:rPr>
            </w:pPr>
            <w:r w:rsidRPr="00D868AB">
              <w:rPr>
                <w:rFonts w:cs="Arial"/>
                <w:color w:val="000000"/>
                <w:sz w:val="18"/>
                <w:szCs w:val="18"/>
              </w:rPr>
              <w:t>55,641,039</w:t>
            </w:r>
          </w:p>
        </w:tc>
        <w:tc>
          <w:tcPr>
            <w:tcW w:w="1395" w:type="dxa"/>
            <w:shd w:val="clear" w:color="auto" w:fill="auto"/>
            <w:noWrap/>
            <w:vAlign w:val="center"/>
          </w:tcPr>
          <w:p w14:paraId="5F2F3F52"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132,890,097</w:t>
            </w:r>
          </w:p>
        </w:tc>
      </w:tr>
      <w:tr w:rsidR="00D868AB" w:rsidRPr="00D868AB" w14:paraId="357C0BDF"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4E16D485" w14:textId="77777777" w:rsidR="00D868AB" w:rsidRPr="00D868AB" w:rsidRDefault="00D868AB" w:rsidP="00D868AB">
            <w:pPr>
              <w:rPr>
                <w:rFonts w:eastAsia="Times New Roman" w:cs="Arial"/>
                <w:sz w:val="18"/>
                <w:szCs w:val="16"/>
              </w:rPr>
            </w:pPr>
            <w:r w:rsidRPr="00D868AB">
              <w:rPr>
                <w:rFonts w:eastAsia="Times New Roman" w:cs="Arial"/>
                <w:sz w:val="18"/>
                <w:szCs w:val="16"/>
              </w:rPr>
              <w:t>Cuauhtémoc</w:t>
            </w:r>
          </w:p>
        </w:tc>
        <w:tc>
          <w:tcPr>
            <w:tcW w:w="1471" w:type="dxa"/>
            <w:shd w:val="clear" w:color="auto" w:fill="auto"/>
            <w:noWrap/>
            <w:vAlign w:val="center"/>
          </w:tcPr>
          <w:p w14:paraId="5CE3D871" w14:textId="77777777" w:rsidR="00D868AB" w:rsidRPr="00D868AB" w:rsidRDefault="00D868AB" w:rsidP="00D868AB">
            <w:pPr>
              <w:jc w:val="right"/>
              <w:rPr>
                <w:rFonts w:eastAsia="Times New Roman" w:cs="Arial"/>
                <w:sz w:val="18"/>
                <w:szCs w:val="18"/>
              </w:rPr>
            </w:pPr>
            <w:r w:rsidRPr="00D868AB">
              <w:rPr>
                <w:rFonts w:cs="Arial"/>
                <w:color w:val="000000"/>
                <w:sz w:val="18"/>
                <w:szCs w:val="18"/>
              </w:rPr>
              <w:t>102,879,326</w:t>
            </w:r>
          </w:p>
        </w:tc>
        <w:tc>
          <w:tcPr>
            <w:tcW w:w="1114" w:type="dxa"/>
            <w:shd w:val="clear" w:color="auto" w:fill="auto"/>
            <w:noWrap/>
            <w:vAlign w:val="center"/>
          </w:tcPr>
          <w:p w14:paraId="2BF356FF" w14:textId="77777777" w:rsidR="00D868AB" w:rsidRPr="00D868AB" w:rsidRDefault="00D868AB" w:rsidP="00D868AB">
            <w:pPr>
              <w:jc w:val="right"/>
              <w:rPr>
                <w:rFonts w:eastAsia="Times New Roman" w:cs="Arial"/>
                <w:sz w:val="18"/>
                <w:szCs w:val="18"/>
              </w:rPr>
            </w:pPr>
            <w:r w:rsidRPr="00D868AB">
              <w:rPr>
                <w:rFonts w:cs="Arial"/>
                <w:color w:val="000000"/>
                <w:sz w:val="18"/>
                <w:szCs w:val="18"/>
              </w:rPr>
              <w:t>1,788,829</w:t>
            </w:r>
          </w:p>
        </w:tc>
        <w:tc>
          <w:tcPr>
            <w:tcW w:w="1292" w:type="dxa"/>
            <w:shd w:val="clear" w:color="auto" w:fill="auto"/>
            <w:noWrap/>
            <w:vAlign w:val="center"/>
          </w:tcPr>
          <w:p w14:paraId="315D365A" w14:textId="77777777" w:rsidR="00D868AB" w:rsidRPr="00D868AB" w:rsidRDefault="00D868AB" w:rsidP="00D868AB">
            <w:pPr>
              <w:jc w:val="right"/>
              <w:rPr>
                <w:rFonts w:eastAsia="Times New Roman" w:cs="Arial"/>
                <w:sz w:val="18"/>
                <w:szCs w:val="18"/>
              </w:rPr>
            </w:pPr>
            <w:r w:rsidRPr="00D868AB">
              <w:rPr>
                <w:rFonts w:cs="Arial"/>
                <w:color w:val="000000"/>
                <w:sz w:val="18"/>
                <w:szCs w:val="18"/>
              </w:rPr>
              <w:t>50,594,358</w:t>
            </w:r>
          </w:p>
        </w:tc>
        <w:tc>
          <w:tcPr>
            <w:tcW w:w="1395" w:type="dxa"/>
            <w:shd w:val="clear" w:color="auto" w:fill="auto"/>
            <w:noWrap/>
            <w:vAlign w:val="center"/>
          </w:tcPr>
          <w:p w14:paraId="5FFAD9A2"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155,262,513</w:t>
            </w:r>
          </w:p>
        </w:tc>
      </w:tr>
      <w:tr w:rsidR="00D868AB" w:rsidRPr="00D868AB" w14:paraId="20CD5488"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72E032B0" w14:textId="77777777" w:rsidR="00D868AB" w:rsidRPr="00D868AB" w:rsidRDefault="00D868AB" w:rsidP="00D868AB">
            <w:pPr>
              <w:rPr>
                <w:rFonts w:eastAsia="Times New Roman" w:cs="Arial"/>
                <w:sz w:val="18"/>
                <w:szCs w:val="16"/>
              </w:rPr>
            </w:pPr>
            <w:r w:rsidRPr="00D868AB">
              <w:rPr>
                <w:rFonts w:eastAsia="Times New Roman" w:cs="Arial"/>
                <w:sz w:val="18"/>
                <w:szCs w:val="16"/>
              </w:rPr>
              <w:t>Ixtlahuacán</w:t>
            </w:r>
          </w:p>
        </w:tc>
        <w:tc>
          <w:tcPr>
            <w:tcW w:w="1471" w:type="dxa"/>
            <w:shd w:val="clear" w:color="auto" w:fill="auto"/>
            <w:noWrap/>
            <w:vAlign w:val="center"/>
          </w:tcPr>
          <w:p w14:paraId="1E05917C" w14:textId="77777777" w:rsidR="00D868AB" w:rsidRPr="00D868AB" w:rsidRDefault="00D868AB" w:rsidP="00D868AB">
            <w:pPr>
              <w:jc w:val="right"/>
              <w:rPr>
                <w:rFonts w:eastAsia="Times New Roman" w:cs="Arial"/>
                <w:sz w:val="18"/>
                <w:szCs w:val="18"/>
              </w:rPr>
            </w:pPr>
            <w:r w:rsidRPr="00D868AB">
              <w:rPr>
                <w:rFonts w:cs="Arial"/>
                <w:color w:val="000000"/>
                <w:sz w:val="18"/>
                <w:szCs w:val="18"/>
              </w:rPr>
              <w:t>108,537,068</w:t>
            </w:r>
          </w:p>
        </w:tc>
        <w:tc>
          <w:tcPr>
            <w:tcW w:w="1114" w:type="dxa"/>
            <w:shd w:val="clear" w:color="auto" w:fill="auto"/>
            <w:noWrap/>
            <w:vAlign w:val="center"/>
          </w:tcPr>
          <w:p w14:paraId="56AB0C26" w14:textId="77777777" w:rsidR="00D868AB" w:rsidRPr="00D868AB" w:rsidRDefault="00D868AB" w:rsidP="00D868AB">
            <w:pPr>
              <w:jc w:val="right"/>
              <w:rPr>
                <w:rFonts w:eastAsia="Times New Roman" w:cs="Arial"/>
                <w:sz w:val="18"/>
                <w:szCs w:val="18"/>
              </w:rPr>
            </w:pPr>
            <w:r w:rsidRPr="00D868AB">
              <w:rPr>
                <w:rFonts w:cs="Arial"/>
                <w:color w:val="000000"/>
                <w:sz w:val="18"/>
                <w:szCs w:val="18"/>
              </w:rPr>
              <w:t>2,172,216</w:t>
            </w:r>
          </w:p>
        </w:tc>
        <w:tc>
          <w:tcPr>
            <w:tcW w:w="1292" w:type="dxa"/>
            <w:shd w:val="clear" w:color="auto" w:fill="auto"/>
            <w:noWrap/>
            <w:vAlign w:val="center"/>
          </w:tcPr>
          <w:p w14:paraId="7AFE004B" w14:textId="77777777" w:rsidR="00D868AB" w:rsidRPr="00D868AB" w:rsidRDefault="00D868AB" w:rsidP="00D868AB">
            <w:pPr>
              <w:jc w:val="right"/>
              <w:rPr>
                <w:rFonts w:eastAsia="Times New Roman" w:cs="Arial"/>
                <w:sz w:val="18"/>
                <w:szCs w:val="18"/>
              </w:rPr>
            </w:pPr>
            <w:r w:rsidRPr="00D868AB">
              <w:rPr>
                <w:rFonts w:cs="Arial"/>
                <w:color w:val="000000"/>
                <w:sz w:val="18"/>
                <w:szCs w:val="18"/>
              </w:rPr>
              <w:t>27,930,948</w:t>
            </w:r>
          </w:p>
        </w:tc>
        <w:tc>
          <w:tcPr>
            <w:tcW w:w="1395" w:type="dxa"/>
            <w:shd w:val="clear" w:color="auto" w:fill="auto"/>
            <w:noWrap/>
            <w:vAlign w:val="center"/>
          </w:tcPr>
          <w:p w14:paraId="7D5E2C10"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138,640,232</w:t>
            </w:r>
          </w:p>
        </w:tc>
      </w:tr>
      <w:tr w:rsidR="00D868AB" w:rsidRPr="00D868AB" w14:paraId="4E376CBF"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00309C7C" w14:textId="77777777" w:rsidR="00D868AB" w:rsidRPr="00D868AB" w:rsidRDefault="00D868AB" w:rsidP="00D868AB">
            <w:pPr>
              <w:rPr>
                <w:rFonts w:eastAsia="Times New Roman" w:cs="Arial"/>
                <w:sz w:val="18"/>
                <w:szCs w:val="16"/>
              </w:rPr>
            </w:pPr>
            <w:r w:rsidRPr="00D868AB">
              <w:rPr>
                <w:rFonts w:eastAsia="Times New Roman" w:cs="Arial"/>
                <w:sz w:val="18"/>
                <w:szCs w:val="16"/>
              </w:rPr>
              <w:t>Manzanillo</w:t>
            </w:r>
          </w:p>
        </w:tc>
        <w:tc>
          <w:tcPr>
            <w:tcW w:w="1471" w:type="dxa"/>
            <w:shd w:val="clear" w:color="auto" w:fill="auto"/>
            <w:noWrap/>
            <w:vAlign w:val="center"/>
          </w:tcPr>
          <w:p w14:paraId="63EFE190" w14:textId="77777777" w:rsidR="00D868AB" w:rsidRPr="00D868AB" w:rsidRDefault="00D868AB" w:rsidP="00D868AB">
            <w:pPr>
              <w:jc w:val="right"/>
              <w:rPr>
                <w:rFonts w:eastAsia="Times New Roman" w:cs="Arial"/>
                <w:sz w:val="18"/>
                <w:szCs w:val="18"/>
              </w:rPr>
            </w:pPr>
            <w:r w:rsidRPr="00D868AB">
              <w:rPr>
                <w:rFonts w:cs="Arial"/>
                <w:color w:val="000000"/>
                <w:sz w:val="18"/>
                <w:szCs w:val="18"/>
              </w:rPr>
              <w:t>603,128,818</w:t>
            </w:r>
          </w:p>
        </w:tc>
        <w:tc>
          <w:tcPr>
            <w:tcW w:w="1114" w:type="dxa"/>
            <w:shd w:val="clear" w:color="auto" w:fill="auto"/>
            <w:noWrap/>
            <w:vAlign w:val="center"/>
          </w:tcPr>
          <w:p w14:paraId="04AD4B14" w14:textId="77777777" w:rsidR="00D868AB" w:rsidRPr="00D868AB" w:rsidRDefault="00D868AB" w:rsidP="00D868AB">
            <w:pPr>
              <w:jc w:val="right"/>
              <w:rPr>
                <w:rFonts w:eastAsia="Times New Roman" w:cs="Arial"/>
                <w:sz w:val="18"/>
                <w:szCs w:val="18"/>
              </w:rPr>
            </w:pPr>
            <w:r w:rsidRPr="00D868AB">
              <w:rPr>
                <w:rFonts w:cs="Arial"/>
                <w:color w:val="000000"/>
                <w:sz w:val="18"/>
                <w:szCs w:val="18"/>
              </w:rPr>
              <w:t>12,446,660</w:t>
            </w:r>
          </w:p>
        </w:tc>
        <w:tc>
          <w:tcPr>
            <w:tcW w:w="1292" w:type="dxa"/>
            <w:shd w:val="clear" w:color="auto" w:fill="auto"/>
            <w:noWrap/>
            <w:vAlign w:val="center"/>
          </w:tcPr>
          <w:p w14:paraId="0725E023" w14:textId="77777777" w:rsidR="00D868AB" w:rsidRPr="00D868AB" w:rsidRDefault="00D868AB" w:rsidP="00D868AB">
            <w:pPr>
              <w:jc w:val="right"/>
              <w:rPr>
                <w:rFonts w:eastAsia="Times New Roman" w:cs="Arial"/>
                <w:sz w:val="18"/>
                <w:szCs w:val="18"/>
              </w:rPr>
            </w:pPr>
            <w:r w:rsidRPr="00D868AB">
              <w:rPr>
                <w:rFonts w:cs="Arial"/>
                <w:color w:val="000000"/>
                <w:sz w:val="18"/>
                <w:szCs w:val="18"/>
              </w:rPr>
              <w:t>260,556,924</w:t>
            </w:r>
          </w:p>
        </w:tc>
        <w:tc>
          <w:tcPr>
            <w:tcW w:w="1395" w:type="dxa"/>
            <w:shd w:val="clear" w:color="auto" w:fill="auto"/>
            <w:noWrap/>
            <w:vAlign w:val="center"/>
          </w:tcPr>
          <w:p w14:paraId="53145616"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876,132,402</w:t>
            </w:r>
          </w:p>
        </w:tc>
      </w:tr>
      <w:tr w:rsidR="00D868AB" w:rsidRPr="00D868AB" w14:paraId="20ACEA2C"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3F53C4A9" w14:textId="77777777" w:rsidR="00D868AB" w:rsidRPr="00D868AB" w:rsidRDefault="00D868AB" w:rsidP="00D868AB">
            <w:pPr>
              <w:rPr>
                <w:rFonts w:eastAsia="Times New Roman" w:cs="Arial"/>
                <w:sz w:val="18"/>
                <w:szCs w:val="16"/>
              </w:rPr>
            </w:pPr>
            <w:r w:rsidRPr="00D868AB">
              <w:rPr>
                <w:rFonts w:eastAsia="Times New Roman" w:cs="Arial"/>
                <w:sz w:val="18"/>
                <w:szCs w:val="16"/>
              </w:rPr>
              <w:t>Minatitlán</w:t>
            </w:r>
          </w:p>
        </w:tc>
        <w:tc>
          <w:tcPr>
            <w:tcW w:w="1471" w:type="dxa"/>
            <w:shd w:val="clear" w:color="auto" w:fill="auto"/>
            <w:noWrap/>
            <w:vAlign w:val="center"/>
          </w:tcPr>
          <w:p w14:paraId="0BAC691B" w14:textId="77777777" w:rsidR="00D868AB" w:rsidRPr="00D868AB" w:rsidRDefault="00D868AB" w:rsidP="00D868AB">
            <w:pPr>
              <w:jc w:val="right"/>
              <w:rPr>
                <w:rFonts w:eastAsia="Times New Roman" w:cs="Arial"/>
                <w:sz w:val="18"/>
                <w:szCs w:val="18"/>
              </w:rPr>
            </w:pPr>
            <w:r w:rsidRPr="00D868AB">
              <w:rPr>
                <w:rFonts w:cs="Arial"/>
                <w:color w:val="000000"/>
                <w:sz w:val="18"/>
                <w:szCs w:val="18"/>
              </w:rPr>
              <w:t>100,892,228</w:t>
            </w:r>
          </w:p>
        </w:tc>
        <w:tc>
          <w:tcPr>
            <w:tcW w:w="1114" w:type="dxa"/>
            <w:shd w:val="clear" w:color="auto" w:fill="auto"/>
            <w:noWrap/>
            <w:vAlign w:val="center"/>
          </w:tcPr>
          <w:p w14:paraId="7048DEE3" w14:textId="77777777" w:rsidR="00D868AB" w:rsidRPr="00D868AB" w:rsidRDefault="00D868AB" w:rsidP="00D868AB">
            <w:pPr>
              <w:jc w:val="right"/>
              <w:rPr>
                <w:rFonts w:eastAsia="Times New Roman" w:cs="Arial"/>
                <w:sz w:val="18"/>
                <w:szCs w:val="18"/>
              </w:rPr>
            </w:pPr>
            <w:r w:rsidRPr="00D868AB">
              <w:rPr>
                <w:rFonts w:cs="Arial"/>
                <w:color w:val="000000"/>
                <w:sz w:val="18"/>
                <w:szCs w:val="18"/>
              </w:rPr>
              <w:t>1,999,360</w:t>
            </w:r>
          </w:p>
        </w:tc>
        <w:tc>
          <w:tcPr>
            <w:tcW w:w="1292" w:type="dxa"/>
            <w:shd w:val="clear" w:color="auto" w:fill="auto"/>
            <w:noWrap/>
            <w:vAlign w:val="center"/>
          </w:tcPr>
          <w:p w14:paraId="369B9F81" w14:textId="77777777" w:rsidR="00D868AB" w:rsidRPr="00D868AB" w:rsidRDefault="00D868AB" w:rsidP="00D868AB">
            <w:pPr>
              <w:jc w:val="right"/>
              <w:rPr>
                <w:rFonts w:eastAsia="Times New Roman" w:cs="Arial"/>
                <w:sz w:val="18"/>
                <w:szCs w:val="18"/>
              </w:rPr>
            </w:pPr>
            <w:r w:rsidRPr="00D868AB">
              <w:rPr>
                <w:rFonts w:cs="Arial"/>
                <w:color w:val="000000"/>
                <w:sz w:val="18"/>
                <w:szCs w:val="18"/>
              </w:rPr>
              <w:t>38,394,948</w:t>
            </w:r>
          </w:p>
        </w:tc>
        <w:tc>
          <w:tcPr>
            <w:tcW w:w="1395" w:type="dxa"/>
            <w:shd w:val="clear" w:color="auto" w:fill="auto"/>
            <w:noWrap/>
            <w:vAlign w:val="center"/>
          </w:tcPr>
          <w:p w14:paraId="0B42E737"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141,286,536</w:t>
            </w:r>
          </w:p>
        </w:tc>
      </w:tr>
      <w:tr w:rsidR="00D868AB" w:rsidRPr="00D868AB" w14:paraId="1071FBF1"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24A04E83" w14:textId="77777777" w:rsidR="00D868AB" w:rsidRPr="00D868AB" w:rsidRDefault="00D868AB" w:rsidP="00D868AB">
            <w:pPr>
              <w:rPr>
                <w:rFonts w:eastAsia="Times New Roman" w:cs="Arial"/>
                <w:sz w:val="18"/>
                <w:szCs w:val="16"/>
              </w:rPr>
            </w:pPr>
            <w:r w:rsidRPr="00D868AB">
              <w:rPr>
                <w:rFonts w:eastAsia="Times New Roman" w:cs="Arial"/>
                <w:sz w:val="18"/>
                <w:szCs w:val="16"/>
              </w:rPr>
              <w:t>Tecomán</w:t>
            </w:r>
          </w:p>
        </w:tc>
        <w:tc>
          <w:tcPr>
            <w:tcW w:w="1471" w:type="dxa"/>
            <w:shd w:val="clear" w:color="auto" w:fill="auto"/>
            <w:noWrap/>
            <w:vAlign w:val="center"/>
          </w:tcPr>
          <w:p w14:paraId="34F0B7BB" w14:textId="77777777" w:rsidR="00D868AB" w:rsidRPr="00D868AB" w:rsidRDefault="00D868AB" w:rsidP="00D868AB">
            <w:pPr>
              <w:jc w:val="right"/>
              <w:rPr>
                <w:rFonts w:eastAsia="Times New Roman" w:cs="Arial"/>
                <w:sz w:val="18"/>
                <w:szCs w:val="18"/>
              </w:rPr>
            </w:pPr>
            <w:r w:rsidRPr="00D868AB">
              <w:rPr>
                <w:rFonts w:cs="Arial"/>
                <w:color w:val="000000"/>
                <w:sz w:val="18"/>
                <w:szCs w:val="18"/>
              </w:rPr>
              <w:t>244,384,126</w:t>
            </w:r>
          </w:p>
        </w:tc>
        <w:tc>
          <w:tcPr>
            <w:tcW w:w="1114" w:type="dxa"/>
            <w:shd w:val="clear" w:color="auto" w:fill="auto"/>
            <w:noWrap/>
            <w:vAlign w:val="center"/>
          </w:tcPr>
          <w:p w14:paraId="11C546FF" w14:textId="77777777" w:rsidR="00D868AB" w:rsidRPr="00D868AB" w:rsidRDefault="00D868AB" w:rsidP="00D868AB">
            <w:pPr>
              <w:jc w:val="right"/>
              <w:rPr>
                <w:rFonts w:eastAsia="Times New Roman" w:cs="Arial"/>
                <w:sz w:val="18"/>
                <w:szCs w:val="18"/>
              </w:rPr>
            </w:pPr>
            <w:r w:rsidRPr="00D868AB">
              <w:rPr>
                <w:rFonts w:cs="Arial"/>
                <w:color w:val="000000"/>
                <w:sz w:val="18"/>
                <w:szCs w:val="18"/>
              </w:rPr>
              <w:t>3,492,814</w:t>
            </w:r>
          </w:p>
        </w:tc>
        <w:tc>
          <w:tcPr>
            <w:tcW w:w="1292" w:type="dxa"/>
            <w:shd w:val="clear" w:color="auto" w:fill="auto"/>
            <w:noWrap/>
            <w:vAlign w:val="center"/>
          </w:tcPr>
          <w:p w14:paraId="584151BE" w14:textId="77777777" w:rsidR="00D868AB" w:rsidRPr="00D868AB" w:rsidRDefault="00D868AB" w:rsidP="00D868AB">
            <w:pPr>
              <w:jc w:val="right"/>
              <w:rPr>
                <w:rFonts w:eastAsia="Times New Roman" w:cs="Arial"/>
                <w:sz w:val="18"/>
                <w:szCs w:val="18"/>
              </w:rPr>
            </w:pPr>
            <w:r w:rsidRPr="00D868AB">
              <w:rPr>
                <w:rFonts w:cs="Arial"/>
                <w:color w:val="000000"/>
                <w:sz w:val="18"/>
                <w:szCs w:val="18"/>
              </w:rPr>
              <w:t>264,427,307</w:t>
            </w:r>
          </w:p>
        </w:tc>
        <w:tc>
          <w:tcPr>
            <w:tcW w:w="1395" w:type="dxa"/>
            <w:shd w:val="clear" w:color="auto" w:fill="auto"/>
            <w:noWrap/>
            <w:vAlign w:val="center"/>
          </w:tcPr>
          <w:p w14:paraId="5CE9CD33"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512,304,247</w:t>
            </w:r>
          </w:p>
        </w:tc>
      </w:tr>
      <w:tr w:rsidR="00D868AB" w:rsidRPr="00D868AB" w14:paraId="2650FA41"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7FDAFAEE" w14:textId="77777777" w:rsidR="00D868AB" w:rsidRPr="00D868AB" w:rsidRDefault="00D868AB" w:rsidP="00D868AB">
            <w:pPr>
              <w:rPr>
                <w:rFonts w:eastAsia="Times New Roman" w:cs="Arial"/>
                <w:sz w:val="18"/>
                <w:szCs w:val="16"/>
              </w:rPr>
            </w:pPr>
            <w:r w:rsidRPr="00D868AB">
              <w:rPr>
                <w:rFonts w:eastAsia="Times New Roman" w:cs="Arial"/>
                <w:sz w:val="18"/>
                <w:szCs w:val="16"/>
              </w:rPr>
              <w:t>Villa de Álvarez</w:t>
            </w:r>
          </w:p>
        </w:tc>
        <w:tc>
          <w:tcPr>
            <w:tcW w:w="1471" w:type="dxa"/>
            <w:shd w:val="clear" w:color="auto" w:fill="auto"/>
            <w:noWrap/>
            <w:vAlign w:val="center"/>
          </w:tcPr>
          <w:p w14:paraId="0ED96703" w14:textId="77777777" w:rsidR="00D868AB" w:rsidRPr="00D868AB" w:rsidRDefault="00D868AB" w:rsidP="00D868AB">
            <w:pPr>
              <w:jc w:val="right"/>
              <w:rPr>
                <w:rFonts w:eastAsia="Times New Roman" w:cs="Arial"/>
                <w:sz w:val="18"/>
                <w:szCs w:val="18"/>
              </w:rPr>
            </w:pPr>
            <w:r w:rsidRPr="00D868AB">
              <w:rPr>
                <w:rFonts w:cs="Arial"/>
                <w:color w:val="000000"/>
                <w:sz w:val="18"/>
                <w:szCs w:val="18"/>
              </w:rPr>
              <w:t>231,303,689</w:t>
            </w:r>
          </w:p>
        </w:tc>
        <w:tc>
          <w:tcPr>
            <w:tcW w:w="1114" w:type="dxa"/>
            <w:shd w:val="clear" w:color="auto" w:fill="auto"/>
            <w:noWrap/>
            <w:vAlign w:val="center"/>
          </w:tcPr>
          <w:p w14:paraId="45519CF4" w14:textId="77777777" w:rsidR="00D868AB" w:rsidRPr="00D868AB" w:rsidRDefault="00D868AB" w:rsidP="00D868AB">
            <w:pPr>
              <w:jc w:val="right"/>
              <w:rPr>
                <w:rFonts w:eastAsia="Times New Roman" w:cs="Arial"/>
                <w:sz w:val="18"/>
                <w:szCs w:val="18"/>
              </w:rPr>
            </w:pPr>
            <w:r w:rsidRPr="00D868AB">
              <w:rPr>
                <w:rFonts w:cs="Arial"/>
                <w:color w:val="000000"/>
                <w:sz w:val="18"/>
                <w:szCs w:val="18"/>
              </w:rPr>
              <w:t>5,214,849</w:t>
            </w:r>
          </w:p>
        </w:tc>
        <w:tc>
          <w:tcPr>
            <w:tcW w:w="1292" w:type="dxa"/>
            <w:shd w:val="clear" w:color="auto" w:fill="auto"/>
            <w:noWrap/>
            <w:vAlign w:val="center"/>
          </w:tcPr>
          <w:p w14:paraId="66FF25B0" w14:textId="77777777" w:rsidR="00D868AB" w:rsidRPr="00D868AB" w:rsidRDefault="00D868AB" w:rsidP="00D868AB">
            <w:pPr>
              <w:jc w:val="right"/>
              <w:rPr>
                <w:rFonts w:eastAsia="Times New Roman" w:cs="Arial"/>
                <w:sz w:val="18"/>
                <w:szCs w:val="18"/>
              </w:rPr>
            </w:pPr>
            <w:r w:rsidRPr="00D868AB">
              <w:rPr>
                <w:rFonts w:cs="Arial"/>
                <w:color w:val="000000"/>
                <w:sz w:val="18"/>
                <w:szCs w:val="18"/>
              </w:rPr>
              <w:t>177,923,544</w:t>
            </w:r>
          </w:p>
        </w:tc>
        <w:tc>
          <w:tcPr>
            <w:tcW w:w="1395" w:type="dxa"/>
            <w:shd w:val="clear" w:color="auto" w:fill="auto"/>
            <w:noWrap/>
            <w:vAlign w:val="center"/>
          </w:tcPr>
          <w:p w14:paraId="6555C41A"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414,442,082</w:t>
            </w:r>
          </w:p>
        </w:tc>
      </w:tr>
      <w:tr w:rsidR="00D868AB" w:rsidRPr="00D868AB" w14:paraId="76DCE8BC" w14:textId="77777777" w:rsidTr="00A755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1673" w:type="dxa"/>
            <w:shd w:val="clear" w:color="auto" w:fill="auto"/>
            <w:noWrap/>
            <w:vAlign w:val="center"/>
            <w:hideMark/>
          </w:tcPr>
          <w:p w14:paraId="0B9D5D2B" w14:textId="77777777" w:rsidR="00D868AB" w:rsidRPr="00D868AB" w:rsidRDefault="00D868AB" w:rsidP="00D868AB">
            <w:pPr>
              <w:jc w:val="center"/>
              <w:rPr>
                <w:rFonts w:eastAsia="Times New Roman" w:cs="Arial"/>
                <w:b/>
                <w:bCs/>
                <w:sz w:val="18"/>
                <w:szCs w:val="16"/>
              </w:rPr>
            </w:pPr>
            <w:r w:rsidRPr="00D868AB">
              <w:rPr>
                <w:rFonts w:eastAsia="Times New Roman" w:cs="Arial"/>
                <w:b/>
                <w:bCs/>
                <w:sz w:val="18"/>
                <w:szCs w:val="16"/>
              </w:rPr>
              <w:t>Totales</w:t>
            </w:r>
          </w:p>
        </w:tc>
        <w:tc>
          <w:tcPr>
            <w:tcW w:w="1471" w:type="dxa"/>
            <w:shd w:val="clear" w:color="auto" w:fill="auto"/>
            <w:noWrap/>
            <w:vAlign w:val="center"/>
          </w:tcPr>
          <w:p w14:paraId="2F0BEE06" w14:textId="77777777" w:rsidR="00D868AB" w:rsidRPr="00D868AB" w:rsidRDefault="00D868AB" w:rsidP="00D868AB">
            <w:pPr>
              <w:jc w:val="right"/>
              <w:rPr>
                <w:rFonts w:eastAsia="Times New Roman" w:cs="Arial"/>
                <w:b/>
                <w:sz w:val="18"/>
                <w:szCs w:val="18"/>
              </w:rPr>
            </w:pPr>
            <w:r w:rsidRPr="00D868AB">
              <w:rPr>
                <w:rFonts w:cs="Arial"/>
                <w:b/>
                <w:bCs/>
                <w:color w:val="000000"/>
                <w:sz w:val="18"/>
                <w:szCs w:val="18"/>
              </w:rPr>
              <w:t>2,008,410,916</w:t>
            </w:r>
          </w:p>
        </w:tc>
        <w:tc>
          <w:tcPr>
            <w:tcW w:w="1114" w:type="dxa"/>
            <w:shd w:val="clear" w:color="auto" w:fill="auto"/>
            <w:noWrap/>
            <w:vAlign w:val="center"/>
          </w:tcPr>
          <w:p w14:paraId="77B726E1"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37,619,232</w:t>
            </w:r>
          </w:p>
        </w:tc>
        <w:tc>
          <w:tcPr>
            <w:tcW w:w="1292" w:type="dxa"/>
            <w:shd w:val="clear" w:color="auto" w:fill="auto"/>
            <w:noWrap/>
            <w:vAlign w:val="center"/>
          </w:tcPr>
          <w:p w14:paraId="485B899D" w14:textId="77777777" w:rsidR="00D868AB" w:rsidRPr="00D868AB" w:rsidRDefault="00D868AB" w:rsidP="00D868AB">
            <w:pPr>
              <w:jc w:val="right"/>
              <w:rPr>
                <w:rFonts w:eastAsia="Times New Roman" w:cs="Arial"/>
                <w:b/>
                <w:sz w:val="18"/>
                <w:szCs w:val="18"/>
              </w:rPr>
            </w:pPr>
            <w:r w:rsidRPr="00D868AB">
              <w:rPr>
                <w:rFonts w:cs="Arial"/>
                <w:b/>
                <w:bCs/>
                <w:color w:val="000000"/>
                <w:sz w:val="18"/>
                <w:szCs w:val="18"/>
              </w:rPr>
              <w:t>1,249,175,260</w:t>
            </w:r>
          </w:p>
        </w:tc>
        <w:tc>
          <w:tcPr>
            <w:tcW w:w="1395" w:type="dxa"/>
            <w:shd w:val="clear" w:color="auto" w:fill="auto"/>
            <w:noWrap/>
            <w:vAlign w:val="center"/>
          </w:tcPr>
          <w:p w14:paraId="7ABB19E2" w14:textId="77777777" w:rsidR="00D868AB" w:rsidRPr="00D868AB" w:rsidRDefault="00D868AB" w:rsidP="00D868AB">
            <w:pPr>
              <w:jc w:val="right"/>
              <w:rPr>
                <w:rFonts w:eastAsia="Times New Roman" w:cs="Arial"/>
                <w:b/>
                <w:bCs/>
                <w:sz w:val="18"/>
                <w:szCs w:val="18"/>
              </w:rPr>
            </w:pPr>
            <w:r w:rsidRPr="00D868AB">
              <w:rPr>
                <w:rFonts w:cs="Arial"/>
                <w:b/>
                <w:bCs/>
                <w:color w:val="000000"/>
                <w:sz w:val="18"/>
                <w:szCs w:val="18"/>
              </w:rPr>
              <w:t>3,295,205,408</w:t>
            </w:r>
          </w:p>
        </w:tc>
      </w:tr>
    </w:tbl>
    <w:p w14:paraId="13D97B65" w14:textId="77777777" w:rsidR="00D868AB" w:rsidRPr="00D868AB" w:rsidRDefault="00D868AB" w:rsidP="00D868AB">
      <w:pPr>
        <w:ind w:left="851"/>
        <w:rPr>
          <w:rFonts w:cs="Arial"/>
          <w:sz w:val="16"/>
          <w:lang w:val="es-ES"/>
        </w:rPr>
      </w:pPr>
      <w:r w:rsidRPr="00D868AB">
        <w:rPr>
          <w:rFonts w:cs="Arial"/>
          <w:b/>
          <w:sz w:val="16"/>
          <w:lang w:val="es-ES"/>
        </w:rPr>
        <w:t>Nota</w:t>
      </w:r>
      <w:r w:rsidRPr="00D868AB">
        <w:rPr>
          <w:rFonts w:cs="Arial"/>
          <w:sz w:val="16"/>
          <w:lang w:val="es-ES"/>
        </w:rPr>
        <w:t>: La suma de los parciales puede no coincidir con el total debido al redondeo de cifras</w:t>
      </w:r>
    </w:p>
    <w:p w14:paraId="03647331" w14:textId="54A576EB" w:rsidR="00D868AB" w:rsidRPr="00D868AB" w:rsidRDefault="00D868AB" w:rsidP="00D868AB">
      <w:pPr>
        <w:rPr>
          <w:rFonts w:cs="Arial"/>
          <w:lang w:val="es-ES"/>
        </w:rPr>
      </w:pPr>
    </w:p>
    <w:p w14:paraId="3FA3BEA5" w14:textId="77777777" w:rsidR="00D868AB" w:rsidRPr="00D868AB" w:rsidRDefault="00D868AB" w:rsidP="00D868AB">
      <w:pPr>
        <w:jc w:val="center"/>
        <w:rPr>
          <w:rFonts w:eastAsia="Times New Roman" w:cs="Arial"/>
          <w:b/>
          <w:lang w:val="es-ES"/>
        </w:rPr>
      </w:pPr>
      <w:bookmarkStart w:id="247" w:name="_Toc22021983"/>
      <w:bookmarkStart w:id="248" w:name="_Toc22983230"/>
      <w:r w:rsidRPr="00D868AB">
        <w:rPr>
          <w:rFonts w:eastAsia="Times New Roman" w:cs="Arial"/>
          <w:b/>
          <w:lang w:val="es-ES"/>
        </w:rPr>
        <w:t>CAPÍTULO</w:t>
      </w:r>
      <w:bookmarkEnd w:id="247"/>
      <w:bookmarkEnd w:id="248"/>
      <w:r w:rsidRPr="00D868AB">
        <w:rPr>
          <w:rFonts w:eastAsia="Times New Roman" w:cs="Arial"/>
          <w:b/>
          <w:lang w:val="es-ES"/>
        </w:rPr>
        <w:t xml:space="preserve"> III</w:t>
      </w:r>
    </w:p>
    <w:p w14:paraId="07D5A15A" w14:textId="77777777" w:rsidR="00D868AB" w:rsidRPr="00D868AB" w:rsidRDefault="00D868AB" w:rsidP="00D868AB">
      <w:pPr>
        <w:keepNext/>
        <w:keepLines/>
        <w:jc w:val="center"/>
        <w:outlineLvl w:val="0"/>
        <w:rPr>
          <w:rFonts w:eastAsia="Times New Roman" w:cs="Arial"/>
          <w:b/>
          <w:szCs w:val="32"/>
          <w:lang w:val="es-ES"/>
        </w:rPr>
      </w:pPr>
      <w:bookmarkStart w:id="249" w:name="_Toc22021984"/>
      <w:bookmarkStart w:id="250" w:name="_Toc22983231"/>
      <w:r w:rsidRPr="00D868AB">
        <w:rPr>
          <w:rFonts w:eastAsia="Times New Roman" w:cs="Arial"/>
          <w:b/>
          <w:szCs w:val="32"/>
          <w:lang w:val="es-ES"/>
        </w:rPr>
        <w:t>DE LOS CONVENIOS Y SUBSIDIOS FEDERALES TRANSFERIDOS</w:t>
      </w:r>
      <w:bookmarkEnd w:id="249"/>
      <w:bookmarkEnd w:id="250"/>
    </w:p>
    <w:p w14:paraId="299BB245" w14:textId="77777777" w:rsidR="00D868AB" w:rsidRPr="00D868AB" w:rsidRDefault="00D868AB" w:rsidP="00D868AB">
      <w:pPr>
        <w:rPr>
          <w:rFonts w:cs="Arial"/>
          <w:b/>
          <w:lang w:val="es-ES"/>
        </w:rPr>
      </w:pPr>
    </w:p>
    <w:p w14:paraId="5512B9DC" w14:textId="77777777" w:rsidR="00D868AB" w:rsidRPr="00D868AB" w:rsidRDefault="00D868AB" w:rsidP="00D868AB">
      <w:pPr>
        <w:rPr>
          <w:rFonts w:cs="Arial"/>
          <w:lang w:val="es-ES"/>
        </w:rPr>
      </w:pPr>
      <w:r w:rsidRPr="00D868AB">
        <w:rPr>
          <w:rFonts w:cs="Arial"/>
          <w:b/>
          <w:lang w:val="es-ES"/>
        </w:rPr>
        <w:t>Artículo 66</w:t>
      </w:r>
      <w:r w:rsidRPr="00D868AB">
        <w:rPr>
          <w:rFonts w:cs="Arial"/>
          <w:lang w:val="es-ES"/>
        </w:rPr>
        <w:t>. En el apartado de Convenios derivada de programas con Fuente de Financiamiento de Recursos Federales, mismos que se destinarán a fines específicos como se señala a continuación:</w:t>
      </w:r>
    </w:p>
    <w:p w14:paraId="4A7120FC" w14:textId="77777777" w:rsidR="00D868AB" w:rsidRPr="00D868AB" w:rsidRDefault="00D868AB" w:rsidP="00D868AB">
      <w:pPr>
        <w:keepNext/>
        <w:keepLines/>
        <w:outlineLvl w:val="2"/>
        <w:rPr>
          <w:rFonts w:eastAsia="Times New Roman" w:cs="Arial"/>
          <w:b/>
          <w:szCs w:val="24"/>
          <w:lang w:val="es-ES" w:eastAsia="en-US"/>
        </w:rPr>
      </w:pPr>
    </w:p>
    <w:tbl>
      <w:tblPr>
        <w:tblW w:w="8510" w:type="dxa"/>
        <w:jc w:val="center"/>
        <w:tblCellMar>
          <w:left w:w="70" w:type="dxa"/>
          <w:right w:w="70" w:type="dxa"/>
        </w:tblCellMar>
        <w:tblLook w:val="04A0" w:firstRow="1" w:lastRow="0" w:firstColumn="1" w:lastColumn="0" w:noHBand="0" w:noVBand="1"/>
      </w:tblPr>
      <w:tblGrid>
        <w:gridCol w:w="844"/>
        <w:gridCol w:w="6"/>
        <w:gridCol w:w="5243"/>
        <w:gridCol w:w="6"/>
        <w:gridCol w:w="1242"/>
        <w:gridCol w:w="1169"/>
      </w:tblGrid>
      <w:tr w:rsidR="00D868AB" w:rsidRPr="00D868AB" w14:paraId="595298B6" w14:textId="77777777" w:rsidTr="00A755A7">
        <w:trPr>
          <w:trHeight w:val="20"/>
          <w:tblHeader/>
          <w:jc w:val="center"/>
        </w:trPr>
        <w:tc>
          <w:tcPr>
            <w:tcW w:w="8510" w:type="dxa"/>
            <w:gridSpan w:val="6"/>
            <w:tcBorders>
              <w:bottom w:val="single" w:sz="4" w:space="0" w:color="auto"/>
            </w:tcBorders>
            <w:shd w:val="clear" w:color="auto" w:fill="auto"/>
            <w:vAlign w:val="center"/>
          </w:tcPr>
          <w:p w14:paraId="710B4B3F" w14:textId="77777777" w:rsidR="00D868AB" w:rsidRPr="00D868AB" w:rsidRDefault="00D868AB" w:rsidP="00D868AB">
            <w:pPr>
              <w:jc w:val="center"/>
              <w:rPr>
                <w:rFonts w:cs="Arial"/>
                <w:b/>
                <w:bCs/>
                <w:sz w:val="16"/>
                <w:szCs w:val="16"/>
              </w:rPr>
            </w:pPr>
            <w:r w:rsidRPr="00D868AB">
              <w:rPr>
                <w:rFonts w:eastAsia="Times New Roman" w:cs="Arial"/>
                <w:b/>
                <w:bCs/>
                <w:sz w:val="20"/>
                <w:szCs w:val="18"/>
              </w:rPr>
              <w:t>Tabla 57. Convenios y Subsidios Federales Transferidos</w:t>
            </w:r>
          </w:p>
        </w:tc>
      </w:tr>
      <w:tr w:rsidR="00D868AB" w:rsidRPr="00D868AB" w14:paraId="18DE0ABB" w14:textId="77777777" w:rsidTr="00A755A7">
        <w:trPr>
          <w:trHeight w:val="20"/>
          <w:tblHeader/>
          <w:jc w:val="center"/>
        </w:trPr>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B95C74"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Clave</w:t>
            </w:r>
          </w:p>
        </w:tc>
        <w:tc>
          <w:tcPr>
            <w:tcW w:w="52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1C9BEA"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 xml:space="preserve">Convenios / Dependencia </w:t>
            </w:r>
          </w:p>
        </w:tc>
        <w:tc>
          <w:tcPr>
            <w:tcW w:w="1248" w:type="dxa"/>
            <w:gridSpan w:val="2"/>
            <w:tcBorders>
              <w:top w:val="single" w:sz="4" w:space="0" w:color="auto"/>
              <w:left w:val="nil"/>
              <w:bottom w:val="single" w:sz="4" w:space="0" w:color="auto"/>
              <w:right w:val="single" w:sz="4" w:space="0" w:color="auto"/>
            </w:tcBorders>
            <w:shd w:val="clear" w:color="auto" w:fill="auto"/>
            <w:noWrap/>
            <w:vAlign w:val="center"/>
          </w:tcPr>
          <w:p w14:paraId="4E964EAD" w14:textId="77777777" w:rsidR="00D868AB" w:rsidRPr="00D868AB" w:rsidRDefault="00D868AB" w:rsidP="00D868AB">
            <w:pPr>
              <w:jc w:val="center"/>
              <w:rPr>
                <w:rFonts w:cs="Arial"/>
                <w:b/>
                <w:bCs/>
                <w:sz w:val="16"/>
                <w:szCs w:val="16"/>
              </w:rPr>
            </w:pPr>
            <w:r w:rsidRPr="00D868AB">
              <w:rPr>
                <w:rFonts w:cs="Arial"/>
                <w:b/>
                <w:bCs/>
                <w:sz w:val="16"/>
                <w:szCs w:val="16"/>
              </w:rPr>
              <w:t>Aportación Estatal</w:t>
            </w:r>
          </w:p>
        </w:tc>
        <w:tc>
          <w:tcPr>
            <w:tcW w:w="1169" w:type="dxa"/>
            <w:tcBorders>
              <w:top w:val="single" w:sz="4" w:space="0" w:color="auto"/>
              <w:left w:val="nil"/>
              <w:bottom w:val="single" w:sz="4" w:space="0" w:color="auto"/>
              <w:right w:val="single" w:sz="4" w:space="0" w:color="auto"/>
            </w:tcBorders>
            <w:shd w:val="clear" w:color="auto" w:fill="auto"/>
            <w:noWrap/>
            <w:vAlign w:val="center"/>
          </w:tcPr>
          <w:p w14:paraId="775527A0" w14:textId="77777777" w:rsidR="00D868AB" w:rsidRPr="00D868AB" w:rsidRDefault="00D868AB" w:rsidP="00D868AB">
            <w:pPr>
              <w:jc w:val="center"/>
              <w:rPr>
                <w:rFonts w:cs="Arial"/>
                <w:b/>
                <w:bCs/>
                <w:sz w:val="16"/>
                <w:szCs w:val="16"/>
              </w:rPr>
            </w:pPr>
            <w:r w:rsidRPr="00D868AB">
              <w:rPr>
                <w:rFonts w:cs="Arial"/>
                <w:b/>
                <w:bCs/>
                <w:sz w:val="16"/>
                <w:szCs w:val="16"/>
              </w:rPr>
              <w:t>Aportación Federal</w:t>
            </w:r>
          </w:p>
        </w:tc>
      </w:tr>
      <w:tr w:rsidR="00D868AB" w:rsidRPr="00D868AB" w14:paraId="53BA4BDB" w14:textId="77777777" w:rsidTr="00A755A7">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4E671A" w14:textId="77777777" w:rsidR="00D868AB" w:rsidRPr="00D868AB" w:rsidRDefault="00D868AB" w:rsidP="00D868AB">
            <w:pPr>
              <w:jc w:val="center"/>
              <w:rPr>
                <w:rFonts w:eastAsia="Times New Roman" w:cs="Arial"/>
                <w:b/>
                <w:bCs/>
                <w:color w:val="000000"/>
                <w:sz w:val="16"/>
                <w:szCs w:val="16"/>
              </w:rPr>
            </w:pPr>
          </w:p>
        </w:tc>
        <w:tc>
          <w:tcPr>
            <w:tcW w:w="524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D608A4"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Secretaría de Educación Pública / Secretaría de Educación</w:t>
            </w:r>
          </w:p>
        </w:tc>
        <w:tc>
          <w:tcPr>
            <w:tcW w:w="1242" w:type="dxa"/>
            <w:tcBorders>
              <w:top w:val="single" w:sz="4" w:space="0" w:color="auto"/>
              <w:bottom w:val="single" w:sz="4" w:space="0" w:color="auto"/>
              <w:right w:val="single" w:sz="4" w:space="0" w:color="auto"/>
            </w:tcBorders>
            <w:shd w:val="clear" w:color="auto" w:fill="auto"/>
            <w:vAlign w:val="center"/>
          </w:tcPr>
          <w:p w14:paraId="01165E43"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22AEC5B" w14:textId="77777777" w:rsidR="00D868AB" w:rsidRPr="00D868AB" w:rsidRDefault="00D868AB" w:rsidP="00D868AB">
            <w:pPr>
              <w:jc w:val="right"/>
              <w:rPr>
                <w:rFonts w:cs="Arial"/>
                <w:b/>
                <w:bCs/>
                <w:iCs/>
                <w:color w:val="000000"/>
                <w:sz w:val="16"/>
                <w:szCs w:val="16"/>
              </w:rPr>
            </w:pPr>
          </w:p>
        </w:tc>
      </w:tr>
      <w:tr w:rsidR="00D868AB" w:rsidRPr="00D868AB" w14:paraId="38162076"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CFCEBF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25811-23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7DF57A02"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Fortalecimiento de los Servicios de Educación Especial.</w:t>
            </w:r>
          </w:p>
        </w:tc>
        <w:tc>
          <w:tcPr>
            <w:tcW w:w="1242" w:type="dxa"/>
            <w:tcBorders>
              <w:top w:val="single" w:sz="4" w:space="0" w:color="auto"/>
              <w:bottom w:val="single" w:sz="4" w:space="0" w:color="auto"/>
              <w:right w:val="single" w:sz="4" w:space="0" w:color="auto"/>
            </w:tcBorders>
            <w:shd w:val="clear" w:color="auto" w:fill="auto"/>
            <w:vAlign w:val="center"/>
          </w:tcPr>
          <w:p w14:paraId="4D5694AA"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0D921401"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4,172,000</w:t>
            </w:r>
          </w:p>
        </w:tc>
      </w:tr>
      <w:tr w:rsidR="00D868AB" w:rsidRPr="00D868AB" w14:paraId="4CDC9EC6"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3E82E4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25506-23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3D432FDB"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Nacional de Inglés.</w:t>
            </w:r>
          </w:p>
        </w:tc>
        <w:tc>
          <w:tcPr>
            <w:tcW w:w="1242" w:type="dxa"/>
            <w:tcBorders>
              <w:top w:val="single" w:sz="4" w:space="0" w:color="auto"/>
              <w:bottom w:val="single" w:sz="4" w:space="0" w:color="auto"/>
              <w:right w:val="single" w:sz="4" w:space="0" w:color="auto"/>
            </w:tcBorders>
            <w:shd w:val="clear" w:color="auto" w:fill="auto"/>
            <w:vAlign w:val="center"/>
          </w:tcPr>
          <w:p w14:paraId="558FBFE5"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06C19E25"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15,964,000</w:t>
            </w:r>
          </w:p>
        </w:tc>
      </w:tr>
      <w:tr w:rsidR="00D868AB" w:rsidRPr="00D868AB" w14:paraId="20B5C83D"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C3E7A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25401-23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649A9D59"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 xml:space="preserve">Programa Telebachillerato Comunitario. </w:t>
            </w:r>
          </w:p>
        </w:tc>
        <w:tc>
          <w:tcPr>
            <w:tcW w:w="1242" w:type="dxa"/>
            <w:tcBorders>
              <w:top w:val="single" w:sz="4" w:space="0" w:color="auto"/>
              <w:bottom w:val="single" w:sz="4" w:space="0" w:color="auto"/>
              <w:right w:val="single" w:sz="4" w:space="0" w:color="auto"/>
            </w:tcBorders>
            <w:shd w:val="clear" w:color="auto" w:fill="auto"/>
            <w:vAlign w:val="center"/>
          </w:tcPr>
          <w:p w14:paraId="1A935B91"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10,490,757</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22C834C"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8,338,757</w:t>
            </w:r>
          </w:p>
        </w:tc>
      </w:tr>
      <w:tr w:rsidR="00D868AB" w:rsidRPr="00D868AB" w14:paraId="0A5051A8"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CF868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25402-23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4C68D5FD"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 xml:space="preserve">Centros de Educación Media Superior a Distancia.  </w:t>
            </w:r>
          </w:p>
        </w:tc>
        <w:tc>
          <w:tcPr>
            <w:tcW w:w="1242" w:type="dxa"/>
            <w:tcBorders>
              <w:top w:val="single" w:sz="4" w:space="0" w:color="auto"/>
              <w:bottom w:val="single" w:sz="4" w:space="0" w:color="auto"/>
              <w:right w:val="single" w:sz="4" w:space="0" w:color="auto"/>
            </w:tcBorders>
            <w:shd w:val="clear" w:color="auto" w:fill="auto"/>
            <w:vAlign w:val="center"/>
          </w:tcPr>
          <w:p w14:paraId="6CE628F1"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25,656,343</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4BDA42E"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23,126,583</w:t>
            </w:r>
          </w:p>
        </w:tc>
      </w:tr>
      <w:tr w:rsidR="00D868AB" w:rsidRPr="00D868AB" w14:paraId="6A62CAA9"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593E7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25815-23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68BD7FE4"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Fortalecimiento a la Excelencia Educativa.</w:t>
            </w:r>
          </w:p>
        </w:tc>
        <w:tc>
          <w:tcPr>
            <w:tcW w:w="1242" w:type="dxa"/>
            <w:tcBorders>
              <w:top w:val="single" w:sz="4" w:space="0" w:color="auto"/>
              <w:bottom w:val="single" w:sz="4" w:space="0" w:color="auto"/>
              <w:right w:val="single" w:sz="4" w:space="0" w:color="auto"/>
            </w:tcBorders>
            <w:shd w:val="clear" w:color="auto" w:fill="auto"/>
            <w:vAlign w:val="center"/>
          </w:tcPr>
          <w:p w14:paraId="48E03DEC"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DB45662"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11,000,716</w:t>
            </w:r>
          </w:p>
        </w:tc>
      </w:tr>
      <w:tr w:rsidR="00D868AB" w:rsidRPr="00D868AB" w14:paraId="4E40D198"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B05A62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25586-23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52C45AE5"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 xml:space="preserve">Programa Expansión de la Educación Inicial. </w:t>
            </w:r>
          </w:p>
        </w:tc>
        <w:tc>
          <w:tcPr>
            <w:tcW w:w="1242" w:type="dxa"/>
            <w:tcBorders>
              <w:top w:val="single" w:sz="4" w:space="0" w:color="auto"/>
              <w:bottom w:val="single" w:sz="4" w:space="0" w:color="auto"/>
              <w:right w:val="single" w:sz="4" w:space="0" w:color="auto"/>
            </w:tcBorders>
            <w:shd w:val="clear" w:color="auto" w:fill="auto"/>
            <w:vAlign w:val="center"/>
          </w:tcPr>
          <w:p w14:paraId="51DFE186"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4DBC5D2"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59,883,000</w:t>
            </w:r>
          </w:p>
        </w:tc>
      </w:tr>
      <w:tr w:rsidR="00D868AB" w:rsidRPr="00D868AB" w14:paraId="0A350E31"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B598E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25511-23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7CB8745E"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para el Desarrollo Profesional Docente.</w:t>
            </w:r>
          </w:p>
        </w:tc>
        <w:tc>
          <w:tcPr>
            <w:tcW w:w="1242" w:type="dxa"/>
            <w:tcBorders>
              <w:top w:val="single" w:sz="4" w:space="0" w:color="auto"/>
              <w:bottom w:val="single" w:sz="4" w:space="0" w:color="auto"/>
              <w:right w:val="single" w:sz="4" w:space="0" w:color="auto"/>
            </w:tcBorders>
            <w:shd w:val="clear" w:color="auto" w:fill="auto"/>
            <w:vAlign w:val="center"/>
          </w:tcPr>
          <w:p w14:paraId="4B5523CC"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C4B2772"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1,347,000</w:t>
            </w:r>
          </w:p>
        </w:tc>
      </w:tr>
      <w:tr w:rsidR="00D868AB" w:rsidRPr="00D868AB" w14:paraId="20AAEB3F"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tcPr>
          <w:p w14:paraId="306E361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25513-23</w:t>
            </w:r>
          </w:p>
        </w:tc>
        <w:tc>
          <w:tcPr>
            <w:tcW w:w="5249" w:type="dxa"/>
            <w:gridSpan w:val="2"/>
            <w:tcBorders>
              <w:top w:val="nil"/>
              <w:left w:val="nil"/>
              <w:bottom w:val="single" w:sz="4" w:space="0" w:color="auto"/>
              <w:right w:val="single" w:sz="4" w:space="0" w:color="auto"/>
            </w:tcBorders>
            <w:shd w:val="clear" w:color="auto" w:fill="auto"/>
            <w:noWrap/>
            <w:vAlign w:val="center"/>
          </w:tcPr>
          <w:p w14:paraId="0F1E8E84"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 xml:space="preserve">U080 Apoyo a Centros y Organizaciones de Educación. </w:t>
            </w:r>
          </w:p>
        </w:tc>
        <w:tc>
          <w:tcPr>
            <w:tcW w:w="1242" w:type="dxa"/>
            <w:tcBorders>
              <w:top w:val="single" w:sz="4" w:space="0" w:color="auto"/>
              <w:bottom w:val="single" w:sz="4" w:space="0" w:color="auto"/>
              <w:right w:val="single" w:sz="4" w:space="0" w:color="auto"/>
            </w:tcBorders>
            <w:shd w:val="clear" w:color="auto" w:fill="auto"/>
            <w:vAlign w:val="center"/>
          </w:tcPr>
          <w:p w14:paraId="224E163A"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8B7725C"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233,000,000</w:t>
            </w:r>
          </w:p>
        </w:tc>
      </w:tr>
      <w:tr w:rsidR="00D868AB" w:rsidRPr="00D868AB" w14:paraId="5AA3C882"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0F8FB9" w14:textId="77777777" w:rsidR="00D868AB" w:rsidRPr="00D868AB" w:rsidRDefault="00D868AB" w:rsidP="00D868AB">
            <w:pPr>
              <w:jc w:val="center"/>
              <w:rPr>
                <w:rFonts w:eastAsia="Times New Roman" w:cs="Arial"/>
                <w:b/>
                <w:bCs/>
                <w:color w:val="000000"/>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6809A31E"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 xml:space="preserve">Secretaría de Salud / Secretaría de Salud </w:t>
            </w:r>
          </w:p>
        </w:tc>
        <w:tc>
          <w:tcPr>
            <w:tcW w:w="1242" w:type="dxa"/>
            <w:tcBorders>
              <w:top w:val="single" w:sz="4" w:space="0" w:color="auto"/>
              <w:bottom w:val="single" w:sz="4" w:space="0" w:color="auto"/>
              <w:right w:val="single" w:sz="4" w:space="0" w:color="auto"/>
            </w:tcBorders>
            <w:shd w:val="clear" w:color="auto" w:fill="auto"/>
            <w:vAlign w:val="center"/>
          </w:tcPr>
          <w:p w14:paraId="54C399DA"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EF225DF" w14:textId="77777777" w:rsidR="00D868AB" w:rsidRPr="00D868AB" w:rsidRDefault="00D868AB" w:rsidP="00D868AB">
            <w:pPr>
              <w:jc w:val="right"/>
              <w:rPr>
                <w:rFonts w:cs="Arial"/>
                <w:b/>
                <w:bCs/>
                <w:iCs/>
                <w:color w:val="000000"/>
                <w:sz w:val="16"/>
                <w:szCs w:val="16"/>
              </w:rPr>
            </w:pPr>
          </w:p>
        </w:tc>
      </w:tr>
      <w:tr w:rsidR="00D868AB" w:rsidRPr="00D868AB" w14:paraId="601A7B87"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84FFDA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25517-23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0FC345D1"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Fortalecimiento a la Atención Medica (FAM).</w:t>
            </w:r>
          </w:p>
        </w:tc>
        <w:tc>
          <w:tcPr>
            <w:tcW w:w="1242" w:type="dxa"/>
            <w:tcBorders>
              <w:top w:val="single" w:sz="4" w:space="0" w:color="auto"/>
              <w:bottom w:val="single" w:sz="4" w:space="0" w:color="auto"/>
              <w:right w:val="single" w:sz="4" w:space="0" w:color="auto"/>
            </w:tcBorders>
            <w:shd w:val="clear" w:color="auto" w:fill="auto"/>
            <w:vAlign w:val="center"/>
          </w:tcPr>
          <w:p w14:paraId="515A1B59"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08D7F68F"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359,051</w:t>
            </w:r>
          </w:p>
        </w:tc>
      </w:tr>
      <w:tr w:rsidR="00D868AB" w:rsidRPr="00D868AB" w14:paraId="4E0ECBAC"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301D0F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25516-23</w:t>
            </w:r>
          </w:p>
        </w:tc>
        <w:tc>
          <w:tcPr>
            <w:tcW w:w="5249" w:type="dxa"/>
            <w:gridSpan w:val="2"/>
            <w:tcBorders>
              <w:top w:val="nil"/>
              <w:left w:val="nil"/>
              <w:bottom w:val="single" w:sz="4" w:space="0" w:color="auto"/>
              <w:right w:val="single" w:sz="4" w:space="0" w:color="auto"/>
            </w:tcBorders>
            <w:shd w:val="clear" w:color="auto" w:fill="auto"/>
            <w:vAlign w:val="center"/>
            <w:hideMark/>
          </w:tcPr>
          <w:p w14:paraId="27BB9025"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Fortalecimiento de Acciones de Salud Pública en las Entidades. Federativas (AFASPE).</w:t>
            </w:r>
          </w:p>
        </w:tc>
        <w:tc>
          <w:tcPr>
            <w:tcW w:w="1242" w:type="dxa"/>
            <w:tcBorders>
              <w:top w:val="single" w:sz="4" w:space="0" w:color="auto"/>
              <w:bottom w:val="single" w:sz="4" w:space="0" w:color="auto"/>
              <w:right w:val="single" w:sz="4" w:space="0" w:color="auto"/>
            </w:tcBorders>
            <w:shd w:val="clear" w:color="auto" w:fill="auto"/>
            <w:vAlign w:val="center"/>
          </w:tcPr>
          <w:p w14:paraId="61959642"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42B2525F"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57,990,614</w:t>
            </w:r>
          </w:p>
        </w:tc>
      </w:tr>
      <w:tr w:rsidR="00D868AB" w:rsidRPr="00D868AB" w14:paraId="56CF9E25"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8A8521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25515-23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5C60FBB7"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Comisión Estatal Contra Riesgos Sanitarios (COESPRIS-FASS-C).</w:t>
            </w:r>
          </w:p>
        </w:tc>
        <w:tc>
          <w:tcPr>
            <w:tcW w:w="1242" w:type="dxa"/>
            <w:tcBorders>
              <w:top w:val="single" w:sz="4" w:space="0" w:color="auto"/>
              <w:bottom w:val="single" w:sz="4" w:space="0" w:color="auto"/>
              <w:right w:val="single" w:sz="4" w:space="0" w:color="auto"/>
            </w:tcBorders>
            <w:shd w:val="clear" w:color="auto" w:fill="auto"/>
            <w:vAlign w:val="center"/>
          </w:tcPr>
          <w:p w14:paraId="0FA57566"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9957C55"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1,833,873</w:t>
            </w:r>
          </w:p>
        </w:tc>
      </w:tr>
      <w:tr w:rsidR="00D868AB" w:rsidRPr="00D868AB" w14:paraId="47C6DF0F"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F2E66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25518-23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027DEC04" w14:textId="77777777" w:rsidR="00D868AB" w:rsidRPr="00D868AB" w:rsidRDefault="00D868AB" w:rsidP="00D868AB">
            <w:pPr>
              <w:ind w:left="72" w:firstLineChars="1" w:firstLine="2"/>
              <w:rPr>
                <w:rFonts w:eastAsia="Times New Roman" w:cs="Arial"/>
                <w:iCs/>
                <w:color w:val="000000"/>
                <w:sz w:val="16"/>
                <w:szCs w:val="16"/>
              </w:rPr>
            </w:pPr>
            <w:r w:rsidRPr="00D868AB">
              <w:rPr>
                <w:rFonts w:eastAsia="Times New Roman" w:cs="Arial"/>
                <w:iCs/>
                <w:color w:val="000000"/>
                <w:sz w:val="16"/>
                <w:szCs w:val="16"/>
              </w:rPr>
              <w:t>Programa de Acción Específico Prevención y Atención Integral de Adicciones (CONADIC).</w:t>
            </w:r>
          </w:p>
        </w:tc>
        <w:tc>
          <w:tcPr>
            <w:tcW w:w="1242" w:type="dxa"/>
            <w:tcBorders>
              <w:top w:val="single" w:sz="4" w:space="0" w:color="auto"/>
              <w:bottom w:val="single" w:sz="4" w:space="0" w:color="auto"/>
              <w:right w:val="single" w:sz="4" w:space="0" w:color="auto"/>
            </w:tcBorders>
            <w:shd w:val="clear" w:color="auto" w:fill="auto"/>
            <w:vAlign w:val="center"/>
          </w:tcPr>
          <w:p w14:paraId="33D40CD4"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8FCDD68"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3,029,500</w:t>
            </w:r>
          </w:p>
        </w:tc>
      </w:tr>
      <w:tr w:rsidR="00D868AB" w:rsidRPr="00D868AB" w14:paraId="2FE7B736"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3681B1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25207-23</w:t>
            </w:r>
          </w:p>
        </w:tc>
        <w:tc>
          <w:tcPr>
            <w:tcW w:w="5249" w:type="dxa"/>
            <w:gridSpan w:val="2"/>
            <w:tcBorders>
              <w:top w:val="nil"/>
              <w:left w:val="nil"/>
              <w:bottom w:val="single" w:sz="4" w:space="0" w:color="auto"/>
              <w:right w:val="single" w:sz="4" w:space="0" w:color="auto"/>
            </w:tcBorders>
            <w:shd w:val="clear" w:color="auto" w:fill="auto"/>
            <w:vAlign w:val="center"/>
            <w:hideMark/>
          </w:tcPr>
          <w:p w14:paraId="3BE416A0" w14:textId="77777777" w:rsidR="00D868AB" w:rsidRPr="00D868AB" w:rsidRDefault="00D868AB" w:rsidP="00D868AB">
            <w:pPr>
              <w:ind w:left="72" w:firstLineChars="1" w:firstLine="2"/>
              <w:rPr>
                <w:rFonts w:eastAsia="Times New Roman" w:cs="Arial"/>
                <w:iCs/>
                <w:color w:val="000000"/>
                <w:sz w:val="16"/>
                <w:szCs w:val="16"/>
              </w:rPr>
            </w:pPr>
            <w:r w:rsidRPr="00D868AB">
              <w:rPr>
                <w:rFonts w:eastAsia="Times New Roman" w:cs="Arial"/>
                <w:iCs/>
                <w:color w:val="000000"/>
                <w:sz w:val="16"/>
                <w:szCs w:val="16"/>
              </w:rPr>
              <w:t>INSABI (Prestación Gratuita de Servicios Públicos en Salud, Medicamentos y Demás Insumos Asociados).</w:t>
            </w:r>
          </w:p>
        </w:tc>
        <w:tc>
          <w:tcPr>
            <w:tcW w:w="1242" w:type="dxa"/>
            <w:tcBorders>
              <w:top w:val="single" w:sz="4" w:space="0" w:color="auto"/>
              <w:bottom w:val="single" w:sz="4" w:space="0" w:color="auto"/>
              <w:right w:val="single" w:sz="4" w:space="0" w:color="auto"/>
            </w:tcBorders>
            <w:shd w:val="clear" w:color="auto" w:fill="auto"/>
            <w:vAlign w:val="center"/>
          </w:tcPr>
          <w:p w14:paraId="3844C6BA"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418895CD"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172,339,925</w:t>
            </w:r>
          </w:p>
        </w:tc>
      </w:tr>
      <w:tr w:rsidR="00D868AB" w:rsidRPr="00D868AB" w14:paraId="43B14D34"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6C4F0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25823-23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411FE900"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E023 "Atención a la Salud".</w:t>
            </w:r>
          </w:p>
        </w:tc>
        <w:tc>
          <w:tcPr>
            <w:tcW w:w="1242" w:type="dxa"/>
            <w:tcBorders>
              <w:top w:val="single" w:sz="4" w:space="0" w:color="auto"/>
              <w:bottom w:val="single" w:sz="4" w:space="0" w:color="auto"/>
              <w:right w:val="single" w:sz="4" w:space="0" w:color="auto"/>
            </w:tcBorders>
            <w:shd w:val="clear" w:color="auto" w:fill="auto"/>
            <w:vAlign w:val="center"/>
          </w:tcPr>
          <w:p w14:paraId="003A86B6"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04EA232"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9,352,612</w:t>
            </w:r>
          </w:p>
        </w:tc>
      </w:tr>
      <w:tr w:rsidR="00D868AB" w:rsidRPr="00D868AB" w14:paraId="08706D49"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3EBA17B" w14:textId="77777777" w:rsidR="00D868AB" w:rsidRPr="00D868AB" w:rsidRDefault="00D868AB" w:rsidP="00D868AB">
            <w:pPr>
              <w:jc w:val="center"/>
              <w:rPr>
                <w:rFonts w:eastAsia="Times New Roman" w:cs="Arial"/>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019E9A25"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Secretaría del Trabajo y Previsión Social / Subsecretaría del Trabajo</w:t>
            </w:r>
          </w:p>
        </w:tc>
        <w:tc>
          <w:tcPr>
            <w:tcW w:w="1242" w:type="dxa"/>
            <w:tcBorders>
              <w:top w:val="single" w:sz="4" w:space="0" w:color="auto"/>
              <w:bottom w:val="single" w:sz="4" w:space="0" w:color="auto"/>
              <w:right w:val="single" w:sz="4" w:space="0" w:color="auto"/>
            </w:tcBorders>
            <w:shd w:val="clear" w:color="auto" w:fill="auto"/>
            <w:vAlign w:val="center"/>
          </w:tcPr>
          <w:p w14:paraId="3C8C223B"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70A1264" w14:textId="77777777" w:rsidR="00D868AB" w:rsidRPr="00D868AB" w:rsidRDefault="00D868AB" w:rsidP="00D868AB">
            <w:pPr>
              <w:jc w:val="right"/>
              <w:rPr>
                <w:rFonts w:cs="Arial"/>
                <w:b/>
                <w:bCs/>
                <w:iCs/>
                <w:color w:val="000000"/>
                <w:sz w:val="16"/>
                <w:szCs w:val="16"/>
              </w:rPr>
            </w:pPr>
          </w:p>
        </w:tc>
      </w:tr>
      <w:tr w:rsidR="00D868AB" w:rsidRPr="00D868AB" w14:paraId="7A264D70"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C1D2CA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25421-23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66473080" w14:textId="77777777" w:rsidR="00D868AB" w:rsidRPr="00D868AB" w:rsidRDefault="00D868AB" w:rsidP="00D868AB">
            <w:pPr>
              <w:ind w:left="72" w:firstLineChars="1" w:firstLine="2"/>
              <w:rPr>
                <w:rFonts w:eastAsia="Times New Roman" w:cs="Arial"/>
                <w:iCs/>
                <w:color w:val="000000"/>
                <w:sz w:val="16"/>
                <w:szCs w:val="16"/>
              </w:rPr>
            </w:pPr>
            <w:r w:rsidRPr="00D868AB">
              <w:rPr>
                <w:rFonts w:eastAsia="Times New Roman" w:cs="Arial"/>
                <w:iCs/>
                <w:color w:val="000000"/>
                <w:sz w:val="16"/>
                <w:szCs w:val="16"/>
              </w:rPr>
              <w:t>Programa de Apoyo al Empleo.</w:t>
            </w:r>
          </w:p>
        </w:tc>
        <w:tc>
          <w:tcPr>
            <w:tcW w:w="1242" w:type="dxa"/>
            <w:tcBorders>
              <w:top w:val="single" w:sz="4" w:space="0" w:color="auto"/>
              <w:bottom w:val="single" w:sz="4" w:space="0" w:color="auto"/>
              <w:right w:val="single" w:sz="4" w:space="0" w:color="auto"/>
            </w:tcBorders>
            <w:shd w:val="clear" w:color="auto" w:fill="auto"/>
            <w:vAlign w:val="center"/>
          </w:tcPr>
          <w:p w14:paraId="541C87EC"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1,500,000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5975860" w14:textId="77777777" w:rsidR="00D868AB" w:rsidRPr="00D868AB" w:rsidRDefault="00D868AB" w:rsidP="00D868AB">
            <w:pPr>
              <w:jc w:val="right"/>
              <w:rPr>
                <w:rFonts w:cs="Arial"/>
                <w:iCs/>
                <w:sz w:val="16"/>
                <w:szCs w:val="16"/>
              </w:rPr>
            </w:pPr>
            <w:r w:rsidRPr="00D868AB">
              <w:rPr>
                <w:rFonts w:cs="Arial"/>
                <w:iCs/>
                <w:sz w:val="16"/>
                <w:szCs w:val="16"/>
              </w:rPr>
              <w:t>3,685,187</w:t>
            </w:r>
          </w:p>
        </w:tc>
      </w:tr>
      <w:tr w:rsidR="00D868AB" w:rsidRPr="00D868AB" w14:paraId="20A57104"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A75B77A" w14:textId="77777777" w:rsidR="00D868AB" w:rsidRPr="00D868AB" w:rsidRDefault="00D868AB" w:rsidP="00D868AB">
            <w:pPr>
              <w:jc w:val="center"/>
              <w:rPr>
                <w:rFonts w:eastAsia="Times New Roman" w:cs="Arial"/>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010C8B7B"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Secretaría de Gobernación / Secretaría General de Gobierno</w:t>
            </w:r>
          </w:p>
        </w:tc>
        <w:tc>
          <w:tcPr>
            <w:tcW w:w="1242" w:type="dxa"/>
            <w:tcBorders>
              <w:top w:val="single" w:sz="4" w:space="0" w:color="auto"/>
              <w:bottom w:val="single" w:sz="4" w:space="0" w:color="auto"/>
              <w:right w:val="single" w:sz="4" w:space="0" w:color="auto"/>
            </w:tcBorders>
            <w:shd w:val="clear" w:color="auto" w:fill="auto"/>
            <w:vAlign w:val="center"/>
          </w:tcPr>
          <w:p w14:paraId="594F9E16"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E7098DE" w14:textId="77777777" w:rsidR="00D868AB" w:rsidRPr="00D868AB" w:rsidRDefault="00D868AB" w:rsidP="00D868AB">
            <w:pPr>
              <w:jc w:val="right"/>
              <w:rPr>
                <w:rFonts w:cs="Arial"/>
                <w:b/>
                <w:bCs/>
                <w:iCs/>
                <w:color w:val="000000"/>
                <w:sz w:val="16"/>
                <w:szCs w:val="16"/>
              </w:rPr>
            </w:pPr>
          </w:p>
        </w:tc>
      </w:tr>
      <w:tr w:rsidR="00D868AB" w:rsidRPr="00D868AB" w14:paraId="2555175A"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5ED5D4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25481-23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7E212B4F" w14:textId="77777777" w:rsidR="00D868AB" w:rsidRPr="00D868AB" w:rsidRDefault="00D868AB" w:rsidP="00D868AB">
            <w:pPr>
              <w:ind w:left="72" w:firstLineChars="1" w:firstLine="2"/>
              <w:rPr>
                <w:rFonts w:eastAsia="Times New Roman" w:cs="Arial"/>
                <w:iCs/>
                <w:color w:val="000000"/>
                <w:sz w:val="16"/>
                <w:szCs w:val="16"/>
              </w:rPr>
            </w:pPr>
            <w:r w:rsidRPr="00D868AB">
              <w:rPr>
                <w:rFonts w:eastAsia="Times New Roman" w:cs="Arial"/>
                <w:iCs/>
                <w:color w:val="000000"/>
                <w:sz w:val="16"/>
                <w:szCs w:val="16"/>
              </w:rPr>
              <w:t>Subsidio Federal para Realizar Acciones de Búsqueda de Personas.</w:t>
            </w:r>
          </w:p>
        </w:tc>
        <w:tc>
          <w:tcPr>
            <w:tcW w:w="1242" w:type="dxa"/>
            <w:tcBorders>
              <w:top w:val="single" w:sz="4" w:space="0" w:color="auto"/>
              <w:bottom w:val="single" w:sz="4" w:space="0" w:color="auto"/>
              <w:right w:val="single" w:sz="4" w:space="0" w:color="auto"/>
            </w:tcBorders>
            <w:shd w:val="clear" w:color="auto" w:fill="auto"/>
            <w:vAlign w:val="center"/>
          </w:tcPr>
          <w:p w14:paraId="59877BD2" w14:textId="77777777" w:rsidR="00D868AB" w:rsidRPr="00D868AB" w:rsidRDefault="00D868AB" w:rsidP="00D868AB">
            <w:pPr>
              <w:jc w:val="right"/>
              <w:rPr>
                <w:rFonts w:cs="Arial"/>
                <w:iCs/>
                <w:color w:val="000000"/>
                <w:sz w:val="16"/>
                <w:szCs w:val="16"/>
              </w:rPr>
            </w:pPr>
            <w:r w:rsidRPr="00D868AB">
              <w:rPr>
                <w:rFonts w:cs="Arial"/>
                <w:iCs/>
                <w:sz w:val="16"/>
                <w:szCs w:val="16"/>
              </w:rPr>
              <w:t>1,800,000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3DA60686" w14:textId="77777777" w:rsidR="00D868AB" w:rsidRPr="00D868AB" w:rsidRDefault="00D868AB" w:rsidP="00D868AB">
            <w:pPr>
              <w:jc w:val="right"/>
              <w:rPr>
                <w:rFonts w:cs="Arial"/>
                <w:iCs/>
                <w:sz w:val="16"/>
                <w:szCs w:val="16"/>
              </w:rPr>
            </w:pPr>
            <w:r w:rsidRPr="00D868AB">
              <w:rPr>
                <w:rFonts w:cs="Arial"/>
                <w:iCs/>
                <w:sz w:val="16"/>
                <w:szCs w:val="16"/>
              </w:rPr>
              <w:t>18,000,000</w:t>
            </w:r>
          </w:p>
        </w:tc>
      </w:tr>
      <w:tr w:rsidR="00D868AB" w:rsidRPr="00D868AB" w14:paraId="11EEFF98"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6D94E9" w14:textId="77777777" w:rsidR="00D868AB" w:rsidRPr="00D868AB" w:rsidRDefault="00D868AB" w:rsidP="00D868AB">
            <w:pPr>
              <w:jc w:val="center"/>
              <w:rPr>
                <w:rFonts w:eastAsia="Times New Roman" w:cs="Arial"/>
                <w:b/>
                <w:bCs/>
                <w:color w:val="000000"/>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22F697D9" w14:textId="77777777" w:rsidR="00D868AB" w:rsidRPr="00D868AB" w:rsidRDefault="00D868AB" w:rsidP="00D868AB">
            <w:pPr>
              <w:ind w:left="72"/>
              <w:rPr>
                <w:rFonts w:eastAsia="Times New Roman" w:cs="Arial"/>
                <w:b/>
                <w:bCs/>
                <w:iCs/>
                <w:sz w:val="16"/>
                <w:szCs w:val="16"/>
              </w:rPr>
            </w:pPr>
            <w:r w:rsidRPr="00D868AB">
              <w:rPr>
                <w:rFonts w:eastAsia="Times New Roman" w:cs="Arial"/>
                <w:b/>
                <w:bCs/>
                <w:iCs/>
                <w:sz w:val="16"/>
                <w:szCs w:val="16"/>
              </w:rPr>
              <w:t>Secretaria de Agricultura y Desarrollo Rural / Subsecretaría de Desarrollo Rural</w:t>
            </w:r>
          </w:p>
        </w:tc>
        <w:tc>
          <w:tcPr>
            <w:tcW w:w="1242" w:type="dxa"/>
            <w:tcBorders>
              <w:top w:val="single" w:sz="4" w:space="0" w:color="auto"/>
              <w:bottom w:val="single" w:sz="4" w:space="0" w:color="auto"/>
              <w:right w:val="single" w:sz="4" w:space="0" w:color="auto"/>
            </w:tcBorders>
            <w:shd w:val="clear" w:color="auto" w:fill="auto"/>
            <w:vAlign w:val="center"/>
          </w:tcPr>
          <w:p w14:paraId="692C1434"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B100DD1" w14:textId="77777777" w:rsidR="00D868AB" w:rsidRPr="00D868AB" w:rsidRDefault="00D868AB" w:rsidP="00D868AB">
            <w:pPr>
              <w:jc w:val="right"/>
              <w:rPr>
                <w:rFonts w:cs="Arial"/>
                <w:b/>
                <w:bCs/>
                <w:iCs/>
                <w:color w:val="000000"/>
                <w:sz w:val="16"/>
                <w:szCs w:val="16"/>
              </w:rPr>
            </w:pPr>
          </w:p>
        </w:tc>
      </w:tr>
      <w:tr w:rsidR="00D868AB" w:rsidRPr="00D868AB" w14:paraId="67BF55F7"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8D0169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25448-23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01FEF3A0" w14:textId="77777777" w:rsidR="00D868AB" w:rsidRPr="00D868AB" w:rsidRDefault="00D868AB" w:rsidP="00D868AB">
            <w:pPr>
              <w:ind w:left="72" w:firstLineChars="1" w:firstLine="2"/>
              <w:rPr>
                <w:rFonts w:eastAsia="Times New Roman" w:cs="Arial"/>
                <w:iCs/>
                <w:color w:val="000000"/>
                <w:sz w:val="16"/>
                <w:szCs w:val="16"/>
              </w:rPr>
            </w:pPr>
            <w:r w:rsidRPr="00D868AB">
              <w:rPr>
                <w:rFonts w:eastAsia="Times New Roman" w:cs="Arial"/>
                <w:iCs/>
                <w:color w:val="000000"/>
                <w:sz w:val="16"/>
                <w:szCs w:val="16"/>
              </w:rPr>
              <w:t>Programa de Sanidad e Inocuidad Agroalimentaria.</w:t>
            </w:r>
          </w:p>
        </w:tc>
        <w:tc>
          <w:tcPr>
            <w:tcW w:w="1242" w:type="dxa"/>
            <w:tcBorders>
              <w:top w:val="single" w:sz="4" w:space="0" w:color="auto"/>
              <w:bottom w:val="single" w:sz="4" w:space="0" w:color="auto"/>
              <w:right w:val="single" w:sz="4" w:space="0" w:color="auto"/>
            </w:tcBorders>
            <w:shd w:val="clear" w:color="auto" w:fill="auto"/>
            <w:vAlign w:val="center"/>
          </w:tcPr>
          <w:p w14:paraId="2CD4FC05"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01D51CD2"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27,439,020</w:t>
            </w:r>
          </w:p>
        </w:tc>
      </w:tr>
      <w:tr w:rsidR="00D868AB" w:rsidRPr="00D868AB" w14:paraId="041A0DF5"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251CEFB" w14:textId="77777777" w:rsidR="00D868AB" w:rsidRPr="00D868AB" w:rsidRDefault="00D868AB" w:rsidP="00D868AB">
            <w:pPr>
              <w:jc w:val="center"/>
              <w:rPr>
                <w:rFonts w:eastAsia="Times New Roman" w:cs="Arial"/>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077E5365" w14:textId="77777777" w:rsidR="00D868AB" w:rsidRPr="00D868AB" w:rsidRDefault="00D868AB" w:rsidP="00D868AB">
            <w:pPr>
              <w:ind w:left="72"/>
              <w:rPr>
                <w:rFonts w:eastAsia="Times New Roman" w:cs="Arial"/>
                <w:b/>
                <w:bCs/>
                <w:iCs/>
                <w:color w:val="000000"/>
                <w:sz w:val="16"/>
                <w:szCs w:val="16"/>
              </w:rPr>
            </w:pPr>
            <w:r w:rsidRPr="00D868AB">
              <w:rPr>
                <w:rFonts w:eastAsia="Times New Roman" w:cs="Arial"/>
                <w:b/>
                <w:bCs/>
                <w:iCs/>
                <w:color w:val="000000"/>
                <w:sz w:val="16"/>
                <w:szCs w:val="16"/>
              </w:rPr>
              <w:t>Comisión Nacional de Cultura Física y Deporte / Instituto Colimense del Deporte</w:t>
            </w:r>
          </w:p>
        </w:tc>
        <w:tc>
          <w:tcPr>
            <w:tcW w:w="1242" w:type="dxa"/>
            <w:tcBorders>
              <w:top w:val="single" w:sz="4" w:space="0" w:color="auto"/>
              <w:bottom w:val="single" w:sz="4" w:space="0" w:color="auto"/>
              <w:right w:val="single" w:sz="4" w:space="0" w:color="auto"/>
            </w:tcBorders>
            <w:shd w:val="clear" w:color="auto" w:fill="auto"/>
            <w:vAlign w:val="center"/>
          </w:tcPr>
          <w:p w14:paraId="145205DD"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9B79D4B" w14:textId="77777777" w:rsidR="00D868AB" w:rsidRPr="00D868AB" w:rsidRDefault="00D868AB" w:rsidP="00D868AB">
            <w:pPr>
              <w:jc w:val="right"/>
              <w:rPr>
                <w:rFonts w:cs="Arial"/>
                <w:b/>
                <w:bCs/>
                <w:iCs/>
                <w:color w:val="000000"/>
                <w:sz w:val="16"/>
                <w:szCs w:val="16"/>
              </w:rPr>
            </w:pPr>
          </w:p>
        </w:tc>
      </w:tr>
      <w:tr w:rsidR="00D868AB" w:rsidRPr="00D868AB" w14:paraId="3BADDBC6"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6961CF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25538-23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77E1E29B"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Premio Estatal del Deporte.</w:t>
            </w:r>
          </w:p>
        </w:tc>
        <w:tc>
          <w:tcPr>
            <w:tcW w:w="1242" w:type="dxa"/>
            <w:tcBorders>
              <w:top w:val="single" w:sz="4" w:space="0" w:color="auto"/>
              <w:bottom w:val="single" w:sz="4" w:space="0" w:color="auto"/>
              <w:right w:val="single" w:sz="4" w:space="0" w:color="auto"/>
            </w:tcBorders>
            <w:shd w:val="clear" w:color="auto" w:fill="auto"/>
            <w:vAlign w:val="center"/>
          </w:tcPr>
          <w:p w14:paraId="2FBF3B09"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648A34E"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110,000</w:t>
            </w:r>
          </w:p>
        </w:tc>
      </w:tr>
      <w:tr w:rsidR="00D868AB" w:rsidRPr="00D868AB" w14:paraId="56799F73"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D51F1D" w14:textId="77777777" w:rsidR="00D868AB" w:rsidRPr="00D868AB" w:rsidRDefault="00D868AB" w:rsidP="00D868AB">
            <w:pPr>
              <w:jc w:val="center"/>
              <w:rPr>
                <w:rFonts w:eastAsia="Times New Roman" w:cs="Arial"/>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66174964"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Consejo Nacional para la Cultura y las Artes / Subsecretaría de Cultura</w:t>
            </w:r>
          </w:p>
        </w:tc>
        <w:tc>
          <w:tcPr>
            <w:tcW w:w="1242" w:type="dxa"/>
            <w:tcBorders>
              <w:top w:val="single" w:sz="4" w:space="0" w:color="auto"/>
              <w:bottom w:val="single" w:sz="4" w:space="0" w:color="auto"/>
              <w:right w:val="single" w:sz="4" w:space="0" w:color="auto"/>
            </w:tcBorders>
            <w:shd w:val="clear" w:color="auto" w:fill="auto"/>
            <w:vAlign w:val="center"/>
          </w:tcPr>
          <w:p w14:paraId="26676177"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712C76D" w14:textId="77777777" w:rsidR="00D868AB" w:rsidRPr="00D868AB" w:rsidRDefault="00D868AB" w:rsidP="00D868AB">
            <w:pPr>
              <w:jc w:val="right"/>
              <w:rPr>
                <w:rFonts w:cs="Arial"/>
                <w:b/>
                <w:bCs/>
                <w:iCs/>
                <w:color w:val="000000"/>
                <w:sz w:val="16"/>
                <w:szCs w:val="16"/>
              </w:rPr>
            </w:pPr>
          </w:p>
        </w:tc>
      </w:tr>
      <w:tr w:rsidR="00D868AB" w:rsidRPr="00D868AB" w14:paraId="7F31AA8C"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2E6EC7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25540-23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400AB4CD" w14:textId="77777777" w:rsidR="00D868AB" w:rsidRPr="00D868AB" w:rsidRDefault="00D868AB" w:rsidP="00D868AB">
            <w:pPr>
              <w:ind w:left="72" w:firstLineChars="1" w:firstLine="2"/>
              <w:rPr>
                <w:rFonts w:eastAsia="Times New Roman" w:cs="Arial"/>
                <w:iCs/>
                <w:color w:val="000000"/>
                <w:sz w:val="16"/>
                <w:szCs w:val="16"/>
              </w:rPr>
            </w:pPr>
            <w:r w:rsidRPr="00D868AB">
              <w:rPr>
                <w:rFonts w:eastAsia="Times New Roman" w:cs="Arial"/>
                <w:iCs/>
                <w:color w:val="000000"/>
                <w:sz w:val="16"/>
                <w:szCs w:val="16"/>
              </w:rPr>
              <w:t xml:space="preserve"> Programa de Apoyo a Instituciones Estatales de Cultura (AIEC).</w:t>
            </w:r>
          </w:p>
        </w:tc>
        <w:tc>
          <w:tcPr>
            <w:tcW w:w="1242" w:type="dxa"/>
            <w:tcBorders>
              <w:top w:val="single" w:sz="4" w:space="0" w:color="auto"/>
              <w:bottom w:val="single" w:sz="4" w:space="0" w:color="auto"/>
              <w:right w:val="single" w:sz="4" w:space="0" w:color="auto"/>
            </w:tcBorders>
            <w:shd w:val="clear" w:color="auto" w:fill="auto"/>
            <w:vAlign w:val="center"/>
          </w:tcPr>
          <w:p w14:paraId="75C6E3F4"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A23EC6B"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10,000,000</w:t>
            </w:r>
          </w:p>
        </w:tc>
      </w:tr>
      <w:tr w:rsidR="00D868AB" w:rsidRPr="00D868AB" w14:paraId="53AAD6CA"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F68A95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25433-23</w:t>
            </w:r>
          </w:p>
        </w:tc>
        <w:tc>
          <w:tcPr>
            <w:tcW w:w="5249" w:type="dxa"/>
            <w:gridSpan w:val="2"/>
            <w:tcBorders>
              <w:top w:val="nil"/>
              <w:left w:val="nil"/>
              <w:bottom w:val="single" w:sz="4" w:space="0" w:color="auto"/>
              <w:right w:val="single" w:sz="4" w:space="0" w:color="auto"/>
            </w:tcBorders>
            <w:shd w:val="clear" w:color="auto" w:fill="auto"/>
            <w:vAlign w:val="center"/>
            <w:hideMark/>
          </w:tcPr>
          <w:p w14:paraId="5D35E27F"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Apoyo a la Infraestructura Cultural de los Estados (PAICE).</w:t>
            </w:r>
          </w:p>
        </w:tc>
        <w:tc>
          <w:tcPr>
            <w:tcW w:w="1242" w:type="dxa"/>
            <w:tcBorders>
              <w:top w:val="single" w:sz="4" w:space="0" w:color="auto"/>
              <w:bottom w:val="single" w:sz="4" w:space="0" w:color="auto"/>
              <w:right w:val="single" w:sz="4" w:space="0" w:color="auto"/>
            </w:tcBorders>
            <w:shd w:val="clear" w:color="auto" w:fill="auto"/>
            <w:vAlign w:val="center"/>
          </w:tcPr>
          <w:p w14:paraId="773F0530"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47B70796"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5,000,000</w:t>
            </w:r>
          </w:p>
        </w:tc>
      </w:tr>
      <w:tr w:rsidR="00D868AB" w:rsidRPr="00D868AB" w14:paraId="71CB575C"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BFEE04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25431-23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5BEF8013"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Acciones Culturales Multilingües y Comunitarias (PACMYC).</w:t>
            </w:r>
          </w:p>
        </w:tc>
        <w:tc>
          <w:tcPr>
            <w:tcW w:w="1242" w:type="dxa"/>
            <w:tcBorders>
              <w:top w:val="single" w:sz="4" w:space="0" w:color="auto"/>
              <w:bottom w:val="single" w:sz="4" w:space="0" w:color="auto"/>
              <w:right w:val="single" w:sz="4" w:space="0" w:color="auto"/>
            </w:tcBorders>
            <w:shd w:val="clear" w:color="auto" w:fill="auto"/>
            <w:vAlign w:val="center"/>
          </w:tcPr>
          <w:p w14:paraId="0E114926"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482FEE07"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1,200,000</w:t>
            </w:r>
          </w:p>
        </w:tc>
      </w:tr>
      <w:tr w:rsidR="00D868AB" w:rsidRPr="00D868AB" w14:paraId="4B9D4134"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0E355F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25427-23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4C64B938"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Estímulo a la Creación y Desarrollo Artístico (PECDA).</w:t>
            </w:r>
          </w:p>
        </w:tc>
        <w:tc>
          <w:tcPr>
            <w:tcW w:w="1242" w:type="dxa"/>
            <w:tcBorders>
              <w:top w:val="single" w:sz="4" w:space="0" w:color="auto"/>
              <w:bottom w:val="single" w:sz="4" w:space="0" w:color="auto"/>
              <w:right w:val="single" w:sz="4" w:space="0" w:color="auto"/>
            </w:tcBorders>
            <w:shd w:val="clear" w:color="auto" w:fill="auto"/>
            <w:vAlign w:val="center"/>
          </w:tcPr>
          <w:p w14:paraId="4F227BCD"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8F434DF"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1,400,000</w:t>
            </w:r>
          </w:p>
        </w:tc>
      </w:tr>
      <w:tr w:rsidR="00D868AB" w:rsidRPr="00D868AB" w14:paraId="2C698312"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ADB3AD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25429-23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776D0080"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Fondo Regional para la Cultura y las Artes de la Zona Centro Occidente (FORCA).</w:t>
            </w:r>
          </w:p>
        </w:tc>
        <w:tc>
          <w:tcPr>
            <w:tcW w:w="1242" w:type="dxa"/>
            <w:tcBorders>
              <w:top w:val="single" w:sz="4" w:space="0" w:color="auto"/>
              <w:bottom w:val="single" w:sz="4" w:space="0" w:color="auto"/>
              <w:right w:val="single" w:sz="4" w:space="0" w:color="auto"/>
            </w:tcBorders>
            <w:shd w:val="clear" w:color="auto" w:fill="auto"/>
            <w:vAlign w:val="center"/>
          </w:tcPr>
          <w:p w14:paraId="2BB929E9"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9898969"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560,000</w:t>
            </w:r>
          </w:p>
        </w:tc>
      </w:tr>
      <w:tr w:rsidR="00D868AB" w:rsidRPr="00D868AB" w14:paraId="07F5C1FD"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6D6222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25476-23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3FEA13FB"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Apoyo a Festivales Culturales y Artísticos (PROFEST).</w:t>
            </w:r>
          </w:p>
        </w:tc>
        <w:tc>
          <w:tcPr>
            <w:tcW w:w="1242" w:type="dxa"/>
            <w:tcBorders>
              <w:top w:val="single" w:sz="4" w:space="0" w:color="auto"/>
              <w:bottom w:val="single" w:sz="4" w:space="0" w:color="auto"/>
              <w:right w:val="single" w:sz="4" w:space="0" w:color="auto"/>
            </w:tcBorders>
            <w:shd w:val="clear" w:color="auto" w:fill="auto"/>
            <w:vAlign w:val="center"/>
          </w:tcPr>
          <w:p w14:paraId="120D52C9"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42DB141"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1,400,000</w:t>
            </w:r>
          </w:p>
        </w:tc>
      </w:tr>
      <w:tr w:rsidR="00D868AB" w:rsidRPr="00D868AB" w14:paraId="6123D552"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A1FC34D" w14:textId="77777777" w:rsidR="00D868AB" w:rsidRPr="00D868AB" w:rsidRDefault="00D868AB" w:rsidP="00D868AB">
            <w:pPr>
              <w:jc w:val="center"/>
              <w:rPr>
                <w:rFonts w:eastAsia="Times New Roman" w:cs="Arial"/>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2F944A40"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Sistema Nacional para el Desarrollo Integral de la Familia / DIF Estatal Colima</w:t>
            </w:r>
          </w:p>
        </w:tc>
        <w:tc>
          <w:tcPr>
            <w:tcW w:w="1242" w:type="dxa"/>
            <w:tcBorders>
              <w:top w:val="single" w:sz="4" w:space="0" w:color="auto"/>
              <w:bottom w:val="single" w:sz="4" w:space="0" w:color="auto"/>
              <w:right w:val="single" w:sz="4" w:space="0" w:color="auto"/>
            </w:tcBorders>
            <w:shd w:val="clear" w:color="auto" w:fill="auto"/>
            <w:vAlign w:val="center"/>
          </w:tcPr>
          <w:p w14:paraId="66F134AB"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4E7E5F88" w14:textId="77777777" w:rsidR="00D868AB" w:rsidRPr="00D868AB" w:rsidRDefault="00D868AB" w:rsidP="00D868AB">
            <w:pPr>
              <w:jc w:val="right"/>
              <w:rPr>
                <w:rFonts w:cs="Arial"/>
                <w:b/>
                <w:bCs/>
                <w:iCs/>
                <w:color w:val="000000"/>
                <w:sz w:val="16"/>
                <w:szCs w:val="16"/>
              </w:rPr>
            </w:pPr>
          </w:p>
        </w:tc>
      </w:tr>
      <w:tr w:rsidR="00D868AB" w:rsidRPr="00D868AB" w14:paraId="7403D882"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6BBA0B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25547-23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5711D5A9"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Atención a Personas con Discapacidad.</w:t>
            </w:r>
          </w:p>
        </w:tc>
        <w:tc>
          <w:tcPr>
            <w:tcW w:w="1242" w:type="dxa"/>
            <w:tcBorders>
              <w:top w:val="single" w:sz="4" w:space="0" w:color="auto"/>
              <w:bottom w:val="single" w:sz="4" w:space="0" w:color="auto"/>
              <w:right w:val="single" w:sz="4" w:space="0" w:color="auto"/>
            </w:tcBorders>
            <w:shd w:val="clear" w:color="auto" w:fill="auto"/>
            <w:vAlign w:val="center"/>
          </w:tcPr>
          <w:p w14:paraId="623EA948"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8F116C9"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600,000</w:t>
            </w:r>
          </w:p>
        </w:tc>
      </w:tr>
      <w:tr w:rsidR="00D868AB" w:rsidRPr="00D868AB" w14:paraId="4D5D85C5"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295FBF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25842-23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5EF045F7"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Servicios de Asistencia Social Integral.</w:t>
            </w:r>
          </w:p>
        </w:tc>
        <w:tc>
          <w:tcPr>
            <w:tcW w:w="1242" w:type="dxa"/>
            <w:tcBorders>
              <w:top w:val="single" w:sz="4" w:space="0" w:color="auto"/>
              <w:bottom w:val="single" w:sz="4" w:space="0" w:color="auto"/>
              <w:right w:val="single" w:sz="4" w:space="0" w:color="auto"/>
            </w:tcBorders>
            <w:shd w:val="clear" w:color="auto" w:fill="auto"/>
            <w:vAlign w:val="center"/>
          </w:tcPr>
          <w:p w14:paraId="42B8EBA6"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4B350DC1"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3,668,360</w:t>
            </w:r>
          </w:p>
        </w:tc>
      </w:tr>
      <w:tr w:rsidR="00D868AB" w:rsidRPr="00D868AB" w14:paraId="20577562"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7E1BC8C" w14:textId="77777777" w:rsidR="00D868AB" w:rsidRPr="00D868AB" w:rsidRDefault="00D868AB" w:rsidP="00D868AB">
            <w:pPr>
              <w:jc w:val="center"/>
              <w:rPr>
                <w:rFonts w:eastAsia="Times New Roman" w:cs="Arial"/>
                <w:color w:val="000000"/>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4A0B0281"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 xml:space="preserve">Secretaría de Bienestar / Secretaría de Bienestar, Inclusión Social y Mujeres </w:t>
            </w:r>
          </w:p>
        </w:tc>
        <w:tc>
          <w:tcPr>
            <w:tcW w:w="1242" w:type="dxa"/>
            <w:tcBorders>
              <w:top w:val="single" w:sz="4" w:space="0" w:color="auto"/>
              <w:bottom w:val="single" w:sz="4" w:space="0" w:color="auto"/>
              <w:right w:val="single" w:sz="4" w:space="0" w:color="auto"/>
            </w:tcBorders>
            <w:shd w:val="clear" w:color="auto" w:fill="auto"/>
            <w:vAlign w:val="center"/>
          </w:tcPr>
          <w:p w14:paraId="236BD8D2"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B69AE7A" w14:textId="77777777" w:rsidR="00D868AB" w:rsidRPr="00D868AB" w:rsidRDefault="00D868AB" w:rsidP="00D868AB">
            <w:pPr>
              <w:jc w:val="right"/>
              <w:rPr>
                <w:rFonts w:cs="Arial"/>
                <w:b/>
                <w:bCs/>
                <w:iCs/>
                <w:color w:val="000000"/>
                <w:sz w:val="16"/>
                <w:szCs w:val="16"/>
              </w:rPr>
            </w:pPr>
          </w:p>
        </w:tc>
      </w:tr>
      <w:tr w:rsidR="00D868AB" w:rsidRPr="00D868AB" w14:paraId="1A3F73D8"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63EFC3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25488-23</w:t>
            </w:r>
          </w:p>
        </w:tc>
        <w:tc>
          <w:tcPr>
            <w:tcW w:w="5249" w:type="dxa"/>
            <w:gridSpan w:val="2"/>
            <w:tcBorders>
              <w:top w:val="nil"/>
              <w:left w:val="nil"/>
              <w:bottom w:val="single" w:sz="4" w:space="0" w:color="auto"/>
              <w:right w:val="single" w:sz="4" w:space="0" w:color="auto"/>
            </w:tcBorders>
            <w:shd w:val="clear" w:color="auto" w:fill="auto"/>
            <w:vAlign w:val="center"/>
            <w:hideMark/>
          </w:tcPr>
          <w:p w14:paraId="495E3B4B"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 xml:space="preserve">Universalidad de la Pensión para el Bienestar de las Personas con Discapacidad. </w:t>
            </w:r>
          </w:p>
        </w:tc>
        <w:tc>
          <w:tcPr>
            <w:tcW w:w="1242" w:type="dxa"/>
            <w:tcBorders>
              <w:top w:val="single" w:sz="4" w:space="0" w:color="auto"/>
              <w:bottom w:val="single" w:sz="4" w:space="0" w:color="auto"/>
              <w:right w:val="single" w:sz="4" w:space="0" w:color="auto"/>
            </w:tcBorders>
            <w:shd w:val="clear" w:color="auto" w:fill="auto"/>
            <w:vAlign w:val="center"/>
          </w:tcPr>
          <w:p w14:paraId="3F15955F"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39,992,400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3A103148"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39,992,400</w:t>
            </w:r>
          </w:p>
        </w:tc>
      </w:tr>
      <w:tr w:rsidR="00D868AB" w:rsidRPr="00D868AB" w14:paraId="0C988358"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F4BF366" w14:textId="77777777" w:rsidR="00D868AB" w:rsidRPr="00D868AB" w:rsidRDefault="00D868AB" w:rsidP="00D868AB">
            <w:pPr>
              <w:jc w:val="center"/>
              <w:rPr>
                <w:rFonts w:eastAsia="Times New Roman" w:cs="Arial"/>
                <w:b/>
                <w:bCs/>
                <w:color w:val="000000"/>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6FC53FEE"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Instituto Nacional de las Mujeres / Instituto Colimense de las Mujeres</w:t>
            </w:r>
          </w:p>
        </w:tc>
        <w:tc>
          <w:tcPr>
            <w:tcW w:w="1242" w:type="dxa"/>
            <w:tcBorders>
              <w:top w:val="single" w:sz="4" w:space="0" w:color="auto"/>
              <w:bottom w:val="single" w:sz="4" w:space="0" w:color="auto"/>
              <w:right w:val="single" w:sz="4" w:space="0" w:color="auto"/>
            </w:tcBorders>
            <w:shd w:val="clear" w:color="auto" w:fill="auto"/>
            <w:vAlign w:val="center"/>
          </w:tcPr>
          <w:p w14:paraId="7D329048"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7D6200E" w14:textId="77777777" w:rsidR="00D868AB" w:rsidRPr="00D868AB" w:rsidRDefault="00D868AB" w:rsidP="00D868AB">
            <w:pPr>
              <w:jc w:val="right"/>
              <w:rPr>
                <w:rFonts w:cs="Arial"/>
                <w:b/>
                <w:bCs/>
                <w:iCs/>
                <w:color w:val="000000"/>
                <w:sz w:val="16"/>
                <w:szCs w:val="16"/>
              </w:rPr>
            </w:pPr>
          </w:p>
        </w:tc>
      </w:tr>
      <w:tr w:rsidR="00D868AB" w:rsidRPr="00D868AB" w14:paraId="4981A9E0"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51F37AA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25523-23</w:t>
            </w:r>
          </w:p>
        </w:tc>
        <w:tc>
          <w:tcPr>
            <w:tcW w:w="5249" w:type="dxa"/>
            <w:gridSpan w:val="2"/>
            <w:tcBorders>
              <w:top w:val="nil"/>
              <w:left w:val="nil"/>
              <w:bottom w:val="single" w:sz="4" w:space="0" w:color="auto"/>
              <w:right w:val="single" w:sz="4" w:space="0" w:color="auto"/>
            </w:tcBorders>
            <w:shd w:val="clear" w:color="auto" w:fill="auto"/>
            <w:vAlign w:val="center"/>
            <w:hideMark/>
          </w:tcPr>
          <w:p w14:paraId="04B5D8B4"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Fortalecimiento a la Transversalidad de la Perspectiva de Género.</w:t>
            </w:r>
          </w:p>
        </w:tc>
        <w:tc>
          <w:tcPr>
            <w:tcW w:w="1242" w:type="dxa"/>
            <w:tcBorders>
              <w:top w:val="single" w:sz="4" w:space="0" w:color="auto"/>
              <w:bottom w:val="single" w:sz="4" w:space="0" w:color="auto"/>
              <w:right w:val="single" w:sz="4" w:space="0" w:color="auto"/>
            </w:tcBorders>
            <w:shd w:val="clear" w:color="auto" w:fill="auto"/>
            <w:vAlign w:val="center"/>
          </w:tcPr>
          <w:p w14:paraId="4F47180E"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572A06F"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8,360,860</w:t>
            </w:r>
          </w:p>
        </w:tc>
      </w:tr>
      <w:tr w:rsidR="00D868AB" w:rsidRPr="00D868AB" w14:paraId="35EFE281"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5ED16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25803-23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66949D95"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Fondo para el Bienestar y el Avance de las Mujeres (FOBAM).</w:t>
            </w:r>
          </w:p>
        </w:tc>
        <w:tc>
          <w:tcPr>
            <w:tcW w:w="1242" w:type="dxa"/>
            <w:tcBorders>
              <w:top w:val="single" w:sz="4" w:space="0" w:color="auto"/>
              <w:bottom w:val="single" w:sz="4" w:space="0" w:color="auto"/>
              <w:right w:val="single" w:sz="4" w:space="0" w:color="auto"/>
            </w:tcBorders>
            <w:shd w:val="clear" w:color="auto" w:fill="auto"/>
            <w:vAlign w:val="center"/>
          </w:tcPr>
          <w:p w14:paraId="6E6E414E"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6CC47EC"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2,579,997</w:t>
            </w:r>
          </w:p>
        </w:tc>
      </w:tr>
      <w:tr w:rsidR="00D868AB" w:rsidRPr="00D868AB" w14:paraId="16646F24"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ED14A6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25839-23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4E211016"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Refugio Temporal "Mujeres Colima".</w:t>
            </w:r>
          </w:p>
        </w:tc>
        <w:tc>
          <w:tcPr>
            <w:tcW w:w="1242" w:type="dxa"/>
            <w:tcBorders>
              <w:top w:val="single" w:sz="4" w:space="0" w:color="auto"/>
              <w:bottom w:val="single" w:sz="4" w:space="0" w:color="auto"/>
              <w:right w:val="single" w:sz="4" w:space="0" w:color="auto"/>
            </w:tcBorders>
            <w:shd w:val="clear" w:color="auto" w:fill="auto"/>
            <w:vAlign w:val="center"/>
          </w:tcPr>
          <w:p w14:paraId="657309AF"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09477BC8"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3,056,324</w:t>
            </w:r>
          </w:p>
        </w:tc>
      </w:tr>
      <w:tr w:rsidR="00D868AB" w:rsidRPr="00D868AB" w14:paraId="60F51380"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608767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25840-23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2DB6A561"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Centro de Atención Externa "Caer".</w:t>
            </w:r>
          </w:p>
        </w:tc>
        <w:tc>
          <w:tcPr>
            <w:tcW w:w="1242" w:type="dxa"/>
            <w:tcBorders>
              <w:top w:val="single" w:sz="4" w:space="0" w:color="auto"/>
              <w:bottom w:val="single" w:sz="4" w:space="0" w:color="auto"/>
              <w:right w:val="single" w:sz="4" w:space="0" w:color="auto"/>
            </w:tcBorders>
            <w:shd w:val="clear" w:color="auto" w:fill="auto"/>
            <w:vAlign w:val="center"/>
          </w:tcPr>
          <w:p w14:paraId="52F33967"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7EE02FA"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768,611</w:t>
            </w:r>
          </w:p>
        </w:tc>
      </w:tr>
      <w:tr w:rsidR="00D868AB" w:rsidRPr="00D868AB" w14:paraId="1B11862A"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F9F7C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25522-23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74A47FA9"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Apoyo a las Instancias de las Mujeres en las Entidades Federativas PAIMEF.</w:t>
            </w:r>
          </w:p>
        </w:tc>
        <w:tc>
          <w:tcPr>
            <w:tcW w:w="1242" w:type="dxa"/>
            <w:tcBorders>
              <w:top w:val="single" w:sz="4" w:space="0" w:color="auto"/>
              <w:bottom w:val="single" w:sz="4" w:space="0" w:color="auto"/>
              <w:right w:val="single" w:sz="4" w:space="0" w:color="auto"/>
            </w:tcBorders>
            <w:shd w:val="clear" w:color="auto" w:fill="auto"/>
            <w:vAlign w:val="center"/>
          </w:tcPr>
          <w:p w14:paraId="65C270D3"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F6F475C"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8,798,258</w:t>
            </w:r>
          </w:p>
        </w:tc>
      </w:tr>
      <w:tr w:rsidR="00D868AB" w:rsidRPr="00D868AB" w14:paraId="72B42ADE"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A54C8E9" w14:textId="77777777" w:rsidR="00D868AB" w:rsidRPr="00D868AB" w:rsidRDefault="00D868AB" w:rsidP="00D868AB">
            <w:pPr>
              <w:jc w:val="center"/>
              <w:rPr>
                <w:rFonts w:eastAsia="Times New Roman" w:cs="Arial"/>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71AC4957"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 xml:space="preserve">Instituto Nacional de Educación para Adultos / Instituto Estatal de Educación </w:t>
            </w:r>
          </w:p>
        </w:tc>
        <w:tc>
          <w:tcPr>
            <w:tcW w:w="1242" w:type="dxa"/>
            <w:tcBorders>
              <w:top w:val="single" w:sz="4" w:space="0" w:color="auto"/>
              <w:bottom w:val="single" w:sz="4" w:space="0" w:color="auto"/>
              <w:right w:val="single" w:sz="4" w:space="0" w:color="auto"/>
            </w:tcBorders>
            <w:shd w:val="clear" w:color="auto" w:fill="auto"/>
            <w:vAlign w:val="center"/>
          </w:tcPr>
          <w:p w14:paraId="79867F5F"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37D14797" w14:textId="77777777" w:rsidR="00D868AB" w:rsidRPr="00D868AB" w:rsidRDefault="00D868AB" w:rsidP="00D868AB">
            <w:pPr>
              <w:jc w:val="right"/>
              <w:rPr>
                <w:rFonts w:cs="Arial"/>
                <w:b/>
                <w:bCs/>
                <w:iCs/>
                <w:color w:val="000000"/>
                <w:sz w:val="16"/>
                <w:szCs w:val="16"/>
              </w:rPr>
            </w:pPr>
          </w:p>
        </w:tc>
      </w:tr>
      <w:tr w:rsidR="00D868AB" w:rsidRPr="00D868AB" w14:paraId="4369A24A"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4DD7DA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25564-23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40299AC6"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Educación para Adultos (INEA).</w:t>
            </w:r>
          </w:p>
        </w:tc>
        <w:tc>
          <w:tcPr>
            <w:tcW w:w="1242" w:type="dxa"/>
            <w:tcBorders>
              <w:top w:val="single" w:sz="4" w:space="0" w:color="auto"/>
              <w:bottom w:val="single" w:sz="4" w:space="0" w:color="auto"/>
              <w:right w:val="single" w:sz="4" w:space="0" w:color="auto"/>
            </w:tcBorders>
            <w:shd w:val="clear" w:color="auto" w:fill="auto"/>
            <w:vAlign w:val="center"/>
          </w:tcPr>
          <w:p w14:paraId="17237F7D"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47DEA4EB"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4,765,601</w:t>
            </w:r>
          </w:p>
        </w:tc>
      </w:tr>
      <w:tr w:rsidR="00D868AB" w:rsidRPr="00D868AB" w14:paraId="549D5EA5"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683BF55" w14:textId="77777777" w:rsidR="00D868AB" w:rsidRPr="00D868AB" w:rsidRDefault="00D868AB" w:rsidP="00D868AB">
            <w:pPr>
              <w:jc w:val="center"/>
              <w:rPr>
                <w:rFonts w:eastAsia="Times New Roman" w:cs="Arial"/>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47500089"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Comisión Nacional del Agua / Subsecretaría de Desarrollo Rural</w:t>
            </w:r>
          </w:p>
        </w:tc>
        <w:tc>
          <w:tcPr>
            <w:tcW w:w="1242" w:type="dxa"/>
            <w:tcBorders>
              <w:top w:val="single" w:sz="4" w:space="0" w:color="auto"/>
              <w:bottom w:val="single" w:sz="4" w:space="0" w:color="auto"/>
              <w:right w:val="single" w:sz="4" w:space="0" w:color="auto"/>
            </w:tcBorders>
            <w:shd w:val="clear" w:color="auto" w:fill="auto"/>
            <w:vAlign w:val="center"/>
          </w:tcPr>
          <w:p w14:paraId="63316DBF"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A4C1A64" w14:textId="77777777" w:rsidR="00D868AB" w:rsidRPr="00D868AB" w:rsidRDefault="00D868AB" w:rsidP="00D868AB">
            <w:pPr>
              <w:jc w:val="right"/>
              <w:rPr>
                <w:rFonts w:cs="Arial"/>
                <w:b/>
                <w:bCs/>
                <w:iCs/>
                <w:color w:val="000000"/>
                <w:sz w:val="16"/>
                <w:szCs w:val="16"/>
              </w:rPr>
            </w:pPr>
          </w:p>
        </w:tc>
      </w:tr>
      <w:tr w:rsidR="00D868AB" w:rsidRPr="00D868AB" w14:paraId="0AA8981E"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444C49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25413-23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4D35ECB4"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Modernización y Tecnificación de Unidades de Riego.</w:t>
            </w:r>
          </w:p>
        </w:tc>
        <w:tc>
          <w:tcPr>
            <w:tcW w:w="1242" w:type="dxa"/>
            <w:tcBorders>
              <w:top w:val="single" w:sz="4" w:space="0" w:color="auto"/>
              <w:bottom w:val="single" w:sz="4" w:space="0" w:color="auto"/>
              <w:right w:val="single" w:sz="4" w:space="0" w:color="auto"/>
            </w:tcBorders>
            <w:shd w:val="clear" w:color="auto" w:fill="auto"/>
            <w:vAlign w:val="center"/>
          </w:tcPr>
          <w:p w14:paraId="28C6A32A"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76E39B4"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4,700,000</w:t>
            </w:r>
          </w:p>
        </w:tc>
      </w:tr>
      <w:tr w:rsidR="00D868AB" w:rsidRPr="00D868AB" w14:paraId="08EE9C02"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0E075B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25414-23</w:t>
            </w:r>
          </w:p>
        </w:tc>
        <w:tc>
          <w:tcPr>
            <w:tcW w:w="5249" w:type="dxa"/>
            <w:gridSpan w:val="2"/>
            <w:tcBorders>
              <w:top w:val="nil"/>
              <w:left w:val="nil"/>
              <w:bottom w:val="single" w:sz="4" w:space="0" w:color="auto"/>
              <w:right w:val="single" w:sz="4" w:space="0" w:color="auto"/>
            </w:tcBorders>
            <w:shd w:val="clear" w:color="auto" w:fill="auto"/>
            <w:vAlign w:val="center"/>
            <w:hideMark/>
          </w:tcPr>
          <w:p w14:paraId="3E0FC305"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Tecnificación, Modernización y Equipamiento de Distritos de Riego.</w:t>
            </w:r>
          </w:p>
        </w:tc>
        <w:tc>
          <w:tcPr>
            <w:tcW w:w="1242" w:type="dxa"/>
            <w:tcBorders>
              <w:top w:val="single" w:sz="4" w:space="0" w:color="auto"/>
              <w:bottom w:val="single" w:sz="4" w:space="0" w:color="auto"/>
              <w:right w:val="single" w:sz="4" w:space="0" w:color="auto"/>
            </w:tcBorders>
            <w:shd w:val="clear" w:color="auto" w:fill="auto"/>
            <w:vAlign w:val="center"/>
          </w:tcPr>
          <w:p w14:paraId="7DB967BD"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4CCDA98E"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11,950,000</w:t>
            </w:r>
          </w:p>
        </w:tc>
      </w:tr>
      <w:tr w:rsidR="00D868AB" w:rsidRPr="00D868AB" w14:paraId="4B07B90B"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4E3B00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25411-23</w:t>
            </w:r>
          </w:p>
        </w:tc>
        <w:tc>
          <w:tcPr>
            <w:tcW w:w="5249" w:type="dxa"/>
            <w:gridSpan w:val="2"/>
            <w:tcBorders>
              <w:top w:val="nil"/>
              <w:left w:val="nil"/>
              <w:bottom w:val="single" w:sz="4" w:space="0" w:color="auto"/>
              <w:right w:val="single" w:sz="4" w:space="0" w:color="auto"/>
            </w:tcBorders>
            <w:shd w:val="clear" w:color="auto" w:fill="auto"/>
            <w:vAlign w:val="center"/>
            <w:hideMark/>
          </w:tcPr>
          <w:p w14:paraId="6DE4B1F7"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para el Funcionamiento y Operación de la Cuenca del Río Ayuquila-Armería.</w:t>
            </w:r>
          </w:p>
        </w:tc>
        <w:tc>
          <w:tcPr>
            <w:tcW w:w="1242" w:type="dxa"/>
            <w:tcBorders>
              <w:top w:val="single" w:sz="4" w:space="0" w:color="auto"/>
              <w:bottom w:val="single" w:sz="4" w:space="0" w:color="auto"/>
              <w:right w:val="single" w:sz="4" w:space="0" w:color="auto"/>
            </w:tcBorders>
            <w:shd w:val="clear" w:color="auto" w:fill="auto"/>
            <w:vAlign w:val="center"/>
          </w:tcPr>
          <w:p w14:paraId="798C3E1F"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43832F6"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250,000</w:t>
            </w:r>
          </w:p>
        </w:tc>
      </w:tr>
      <w:tr w:rsidR="00D868AB" w:rsidRPr="00D868AB" w14:paraId="1166C185"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0252C54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25412-23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3C65CB18"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Consejo de Cuenca Costa Pacifico Centro (Jalisco, Colima, Nayarit y Michoacán).</w:t>
            </w:r>
          </w:p>
        </w:tc>
        <w:tc>
          <w:tcPr>
            <w:tcW w:w="1242" w:type="dxa"/>
            <w:tcBorders>
              <w:top w:val="single" w:sz="4" w:space="0" w:color="auto"/>
              <w:bottom w:val="single" w:sz="4" w:space="0" w:color="auto"/>
              <w:right w:val="single" w:sz="4" w:space="0" w:color="auto"/>
            </w:tcBorders>
            <w:shd w:val="clear" w:color="auto" w:fill="auto"/>
            <w:vAlign w:val="center"/>
          </w:tcPr>
          <w:p w14:paraId="282D1CF5"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5BCA730"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250,000</w:t>
            </w:r>
          </w:p>
        </w:tc>
      </w:tr>
      <w:tr w:rsidR="00D868AB" w:rsidRPr="00D868AB" w14:paraId="3E7C0CC7"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E1AC011" w14:textId="77777777" w:rsidR="00D868AB" w:rsidRPr="00D868AB" w:rsidRDefault="00D868AB" w:rsidP="00D868AB">
            <w:pPr>
              <w:jc w:val="center"/>
              <w:rPr>
                <w:rFonts w:eastAsia="Times New Roman" w:cs="Arial"/>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53472138"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Comisión Nacional del Agua / Comisión Estatal del Agua</w:t>
            </w:r>
          </w:p>
        </w:tc>
        <w:tc>
          <w:tcPr>
            <w:tcW w:w="1242" w:type="dxa"/>
            <w:tcBorders>
              <w:top w:val="single" w:sz="4" w:space="0" w:color="auto"/>
              <w:bottom w:val="single" w:sz="4" w:space="0" w:color="auto"/>
              <w:right w:val="single" w:sz="4" w:space="0" w:color="auto"/>
            </w:tcBorders>
            <w:shd w:val="clear" w:color="auto" w:fill="auto"/>
            <w:vAlign w:val="center"/>
          </w:tcPr>
          <w:p w14:paraId="6AD24166"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1F23E104" w14:textId="77777777" w:rsidR="00D868AB" w:rsidRPr="00D868AB" w:rsidRDefault="00D868AB" w:rsidP="00D868AB">
            <w:pPr>
              <w:jc w:val="right"/>
              <w:rPr>
                <w:rFonts w:cs="Arial"/>
                <w:b/>
                <w:bCs/>
                <w:iCs/>
                <w:color w:val="000000"/>
                <w:sz w:val="16"/>
                <w:szCs w:val="16"/>
              </w:rPr>
            </w:pPr>
          </w:p>
        </w:tc>
      </w:tr>
      <w:tr w:rsidR="00D868AB" w:rsidRPr="00D868AB" w14:paraId="3A6DDCC9"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3802FC3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25408-23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6592C696"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Devolución de Derechos PRODDER de la CONAGUA.</w:t>
            </w:r>
          </w:p>
        </w:tc>
        <w:tc>
          <w:tcPr>
            <w:tcW w:w="1242" w:type="dxa"/>
            <w:tcBorders>
              <w:top w:val="single" w:sz="4" w:space="0" w:color="auto"/>
              <w:bottom w:val="single" w:sz="4" w:space="0" w:color="auto"/>
              <w:right w:val="single" w:sz="4" w:space="0" w:color="auto"/>
            </w:tcBorders>
            <w:shd w:val="clear" w:color="auto" w:fill="auto"/>
            <w:vAlign w:val="center"/>
          </w:tcPr>
          <w:p w14:paraId="4AD944F4"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0C372407"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10,000,000</w:t>
            </w:r>
          </w:p>
        </w:tc>
      </w:tr>
      <w:tr w:rsidR="00D868AB" w:rsidRPr="00D868AB" w14:paraId="13E25D90"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23BBE65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25409-23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7A811B01"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PROAGUA Apartado Agua Limpia.</w:t>
            </w:r>
          </w:p>
        </w:tc>
        <w:tc>
          <w:tcPr>
            <w:tcW w:w="1242" w:type="dxa"/>
            <w:tcBorders>
              <w:top w:val="single" w:sz="4" w:space="0" w:color="auto"/>
              <w:bottom w:val="single" w:sz="4" w:space="0" w:color="auto"/>
              <w:right w:val="single" w:sz="4" w:space="0" w:color="auto"/>
            </w:tcBorders>
            <w:shd w:val="clear" w:color="auto" w:fill="auto"/>
            <w:vAlign w:val="center"/>
          </w:tcPr>
          <w:p w14:paraId="45F5EF6C"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06EED808"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8,000,000</w:t>
            </w:r>
          </w:p>
        </w:tc>
      </w:tr>
      <w:tr w:rsidR="00D868AB" w:rsidRPr="00D868AB" w14:paraId="4C01418B"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E2C08B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25410-23</w:t>
            </w:r>
          </w:p>
        </w:tc>
        <w:tc>
          <w:tcPr>
            <w:tcW w:w="5249" w:type="dxa"/>
            <w:gridSpan w:val="2"/>
            <w:tcBorders>
              <w:top w:val="nil"/>
              <w:left w:val="nil"/>
              <w:bottom w:val="single" w:sz="4" w:space="0" w:color="auto"/>
              <w:right w:val="single" w:sz="4" w:space="0" w:color="auto"/>
            </w:tcBorders>
            <w:shd w:val="clear" w:color="auto" w:fill="auto"/>
            <w:vAlign w:val="center"/>
            <w:hideMark/>
          </w:tcPr>
          <w:p w14:paraId="2A567506"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Capacitación Ambiental y Desarrollo Sustentable en Materia de Cultura del Agua.</w:t>
            </w:r>
          </w:p>
        </w:tc>
        <w:tc>
          <w:tcPr>
            <w:tcW w:w="1242" w:type="dxa"/>
            <w:tcBorders>
              <w:top w:val="single" w:sz="4" w:space="0" w:color="auto"/>
              <w:bottom w:val="single" w:sz="4" w:space="0" w:color="auto"/>
              <w:right w:val="single" w:sz="4" w:space="0" w:color="auto"/>
            </w:tcBorders>
            <w:shd w:val="clear" w:color="auto" w:fill="auto"/>
            <w:vAlign w:val="center"/>
          </w:tcPr>
          <w:p w14:paraId="51D4316F"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4794963"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300,000</w:t>
            </w:r>
          </w:p>
        </w:tc>
      </w:tr>
      <w:tr w:rsidR="00D868AB" w:rsidRPr="00D868AB" w14:paraId="632D8DCF"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73C3E85" w14:textId="77777777" w:rsidR="00D868AB" w:rsidRPr="00D868AB" w:rsidRDefault="00D868AB" w:rsidP="00D868AB">
            <w:pPr>
              <w:jc w:val="center"/>
              <w:rPr>
                <w:rFonts w:eastAsia="Times New Roman" w:cs="Arial"/>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0D376A08"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Comisión Nacional Forestal / Subsecretaría de Desarrollo Rural</w:t>
            </w:r>
          </w:p>
        </w:tc>
        <w:tc>
          <w:tcPr>
            <w:tcW w:w="1242" w:type="dxa"/>
            <w:tcBorders>
              <w:top w:val="single" w:sz="4" w:space="0" w:color="auto"/>
              <w:bottom w:val="single" w:sz="4" w:space="0" w:color="auto"/>
              <w:right w:val="single" w:sz="4" w:space="0" w:color="auto"/>
            </w:tcBorders>
            <w:shd w:val="clear" w:color="auto" w:fill="auto"/>
            <w:vAlign w:val="center"/>
          </w:tcPr>
          <w:p w14:paraId="21EB7619"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11E519B" w14:textId="77777777" w:rsidR="00D868AB" w:rsidRPr="00D868AB" w:rsidRDefault="00D868AB" w:rsidP="00D868AB">
            <w:pPr>
              <w:jc w:val="right"/>
              <w:rPr>
                <w:rFonts w:cs="Arial"/>
                <w:b/>
                <w:bCs/>
                <w:iCs/>
                <w:color w:val="000000"/>
                <w:sz w:val="16"/>
                <w:szCs w:val="16"/>
              </w:rPr>
            </w:pPr>
          </w:p>
        </w:tc>
      </w:tr>
      <w:tr w:rsidR="00D868AB" w:rsidRPr="00D868AB" w14:paraId="52AA985F"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65A62A9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25435-23</w:t>
            </w:r>
          </w:p>
        </w:tc>
        <w:tc>
          <w:tcPr>
            <w:tcW w:w="5249" w:type="dxa"/>
            <w:gridSpan w:val="2"/>
            <w:tcBorders>
              <w:top w:val="nil"/>
              <w:left w:val="nil"/>
              <w:bottom w:val="single" w:sz="4" w:space="0" w:color="auto"/>
              <w:right w:val="single" w:sz="4" w:space="0" w:color="auto"/>
            </w:tcBorders>
            <w:shd w:val="clear" w:color="auto" w:fill="auto"/>
            <w:vAlign w:val="center"/>
            <w:hideMark/>
          </w:tcPr>
          <w:p w14:paraId="32BDE93C"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Programa de Apoyos para el Desarrollo Forestal Sustentable (Brigadas Rurales de Incendios Forestales).</w:t>
            </w:r>
          </w:p>
        </w:tc>
        <w:tc>
          <w:tcPr>
            <w:tcW w:w="1242" w:type="dxa"/>
            <w:tcBorders>
              <w:top w:val="single" w:sz="4" w:space="0" w:color="auto"/>
              <w:bottom w:val="single" w:sz="4" w:space="0" w:color="auto"/>
              <w:right w:val="single" w:sz="4" w:space="0" w:color="auto"/>
            </w:tcBorders>
            <w:shd w:val="clear" w:color="auto" w:fill="auto"/>
            <w:vAlign w:val="center"/>
          </w:tcPr>
          <w:p w14:paraId="3AA9639C"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0F5F3616"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1,000,000</w:t>
            </w:r>
          </w:p>
        </w:tc>
      </w:tr>
      <w:tr w:rsidR="00D868AB" w:rsidRPr="00D868AB" w14:paraId="63A08159"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A45F0F" w14:textId="77777777" w:rsidR="00D868AB" w:rsidRPr="00D868AB" w:rsidRDefault="00D868AB" w:rsidP="00D868AB">
            <w:pPr>
              <w:jc w:val="center"/>
              <w:rPr>
                <w:rFonts w:eastAsia="Times New Roman" w:cs="Arial"/>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3DDFA787" w14:textId="77777777" w:rsidR="00D868AB" w:rsidRPr="00D868AB" w:rsidRDefault="00D868AB" w:rsidP="00D868AB">
            <w:pPr>
              <w:ind w:left="72"/>
              <w:jc w:val="left"/>
              <w:rPr>
                <w:rFonts w:eastAsia="Times New Roman" w:cs="Arial"/>
                <w:b/>
                <w:bCs/>
                <w:iCs/>
                <w:color w:val="000000"/>
                <w:sz w:val="16"/>
                <w:szCs w:val="16"/>
              </w:rPr>
            </w:pPr>
            <w:r w:rsidRPr="00D868AB">
              <w:rPr>
                <w:rFonts w:eastAsia="Times New Roman" w:cs="Arial"/>
                <w:b/>
                <w:bCs/>
                <w:iCs/>
                <w:color w:val="000000"/>
                <w:sz w:val="16"/>
                <w:szCs w:val="16"/>
              </w:rPr>
              <w:t>Secretaría de Educación Pública / Universidad de Colima</w:t>
            </w:r>
          </w:p>
        </w:tc>
        <w:tc>
          <w:tcPr>
            <w:tcW w:w="1242" w:type="dxa"/>
            <w:tcBorders>
              <w:top w:val="single" w:sz="4" w:space="0" w:color="auto"/>
              <w:bottom w:val="single" w:sz="4" w:space="0" w:color="auto"/>
              <w:right w:val="single" w:sz="4" w:space="0" w:color="auto"/>
            </w:tcBorders>
            <w:shd w:val="clear" w:color="auto" w:fill="auto"/>
            <w:vAlign w:val="center"/>
          </w:tcPr>
          <w:p w14:paraId="482AC13B" w14:textId="77777777" w:rsidR="00D868AB" w:rsidRPr="00D868AB" w:rsidRDefault="00D868AB" w:rsidP="00D868AB">
            <w:pPr>
              <w:jc w:val="right"/>
              <w:rPr>
                <w:rFonts w:cs="Arial"/>
                <w:b/>
                <w:bCs/>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B43D072" w14:textId="77777777" w:rsidR="00D868AB" w:rsidRPr="00D868AB" w:rsidRDefault="00D868AB" w:rsidP="00D868AB">
            <w:pPr>
              <w:jc w:val="right"/>
              <w:rPr>
                <w:rFonts w:cs="Arial"/>
                <w:b/>
                <w:bCs/>
                <w:iCs/>
                <w:color w:val="000000"/>
                <w:sz w:val="16"/>
                <w:szCs w:val="16"/>
              </w:rPr>
            </w:pPr>
          </w:p>
        </w:tc>
      </w:tr>
      <w:tr w:rsidR="00D868AB" w:rsidRPr="00D868AB" w14:paraId="60C2D1A2"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1F8F2EA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25701-23</w:t>
            </w:r>
          </w:p>
        </w:tc>
        <w:tc>
          <w:tcPr>
            <w:tcW w:w="5249" w:type="dxa"/>
            <w:gridSpan w:val="2"/>
            <w:tcBorders>
              <w:top w:val="nil"/>
              <w:left w:val="nil"/>
              <w:bottom w:val="single" w:sz="4" w:space="0" w:color="auto"/>
              <w:right w:val="single" w:sz="4" w:space="0" w:color="auto"/>
            </w:tcBorders>
            <w:shd w:val="clear" w:color="auto" w:fill="auto"/>
            <w:noWrap/>
            <w:vAlign w:val="center"/>
            <w:hideMark/>
          </w:tcPr>
          <w:p w14:paraId="52FE08D9"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U006 Subsidio Federal Ordinario y Extraordinario U de C.</w:t>
            </w:r>
          </w:p>
        </w:tc>
        <w:tc>
          <w:tcPr>
            <w:tcW w:w="1242" w:type="dxa"/>
            <w:tcBorders>
              <w:top w:val="single" w:sz="4" w:space="0" w:color="auto"/>
              <w:bottom w:val="single" w:sz="4" w:space="0" w:color="auto"/>
              <w:right w:val="single" w:sz="4" w:space="0" w:color="auto"/>
            </w:tcBorders>
            <w:shd w:val="clear" w:color="auto" w:fill="auto"/>
            <w:vAlign w:val="center"/>
          </w:tcPr>
          <w:p w14:paraId="76A6458B"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500,030,275</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3C6E818"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1,800,366,068</w:t>
            </w:r>
          </w:p>
        </w:tc>
      </w:tr>
      <w:tr w:rsidR="00D868AB" w:rsidRPr="00D868AB" w14:paraId="29DE2E94"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tcPr>
          <w:p w14:paraId="2CF129CA" w14:textId="77777777" w:rsidR="00D868AB" w:rsidRPr="00D868AB" w:rsidRDefault="00D868AB" w:rsidP="00D868AB">
            <w:pPr>
              <w:jc w:val="center"/>
              <w:rPr>
                <w:rFonts w:eastAsia="Times New Roman" w:cs="Arial"/>
                <w:color w:val="000000"/>
                <w:sz w:val="16"/>
                <w:szCs w:val="16"/>
              </w:rPr>
            </w:pPr>
          </w:p>
        </w:tc>
        <w:tc>
          <w:tcPr>
            <w:tcW w:w="5249" w:type="dxa"/>
            <w:gridSpan w:val="2"/>
            <w:tcBorders>
              <w:top w:val="nil"/>
              <w:left w:val="nil"/>
              <w:bottom w:val="single" w:sz="4" w:space="0" w:color="auto"/>
              <w:right w:val="single" w:sz="4" w:space="0" w:color="auto"/>
            </w:tcBorders>
            <w:shd w:val="clear" w:color="auto" w:fill="auto"/>
            <w:noWrap/>
            <w:vAlign w:val="center"/>
          </w:tcPr>
          <w:p w14:paraId="3ADD007A"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b/>
                <w:bCs/>
                <w:iCs/>
                <w:color w:val="000000"/>
                <w:sz w:val="16"/>
                <w:szCs w:val="16"/>
              </w:rPr>
              <w:t>Secretaría de Educación Pública / Universidad Tecnológica de Manzanillo</w:t>
            </w:r>
          </w:p>
        </w:tc>
        <w:tc>
          <w:tcPr>
            <w:tcW w:w="1242" w:type="dxa"/>
            <w:tcBorders>
              <w:top w:val="single" w:sz="4" w:space="0" w:color="auto"/>
              <w:bottom w:val="single" w:sz="4" w:space="0" w:color="auto"/>
              <w:right w:val="single" w:sz="4" w:space="0" w:color="auto"/>
            </w:tcBorders>
            <w:shd w:val="clear" w:color="auto" w:fill="auto"/>
            <w:vAlign w:val="center"/>
          </w:tcPr>
          <w:p w14:paraId="4B6816D8" w14:textId="77777777" w:rsidR="00D868AB" w:rsidRPr="00D868AB" w:rsidRDefault="00D868AB" w:rsidP="00D868AB">
            <w:pPr>
              <w:jc w:val="right"/>
              <w:rPr>
                <w:rFonts w:cs="Arial"/>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3414417" w14:textId="77777777" w:rsidR="00D868AB" w:rsidRPr="00D868AB" w:rsidRDefault="00D868AB" w:rsidP="00D868AB">
            <w:pPr>
              <w:jc w:val="right"/>
              <w:rPr>
                <w:rFonts w:cs="Arial"/>
                <w:iCs/>
                <w:color w:val="000000"/>
                <w:sz w:val="16"/>
                <w:szCs w:val="16"/>
              </w:rPr>
            </w:pPr>
          </w:p>
        </w:tc>
      </w:tr>
      <w:tr w:rsidR="00D868AB" w:rsidRPr="00D868AB" w14:paraId="1888511F" w14:textId="77777777" w:rsidTr="00A755A7">
        <w:trPr>
          <w:trHeight w:val="20"/>
          <w:jc w:val="center"/>
        </w:trPr>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14:paraId="4BAD9FE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25702-23</w:t>
            </w:r>
          </w:p>
        </w:tc>
        <w:tc>
          <w:tcPr>
            <w:tcW w:w="5249" w:type="dxa"/>
            <w:gridSpan w:val="2"/>
            <w:tcBorders>
              <w:top w:val="nil"/>
              <w:left w:val="nil"/>
              <w:bottom w:val="single" w:sz="4" w:space="0" w:color="auto"/>
              <w:right w:val="single" w:sz="4" w:space="0" w:color="auto"/>
            </w:tcBorders>
            <w:shd w:val="clear" w:color="auto" w:fill="auto"/>
            <w:vAlign w:val="center"/>
            <w:hideMark/>
          </w:tcPr>
          <w:p w14:paraId="5EDD6831"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Universidad Tecnológica de Manzanillo Convenio Específico para la Asignación de Recursos.</w:t>
            </w:r>
          </w:p>
        </w:tc>
        <w:tc>
          <w:tcPr>
            <w:tcW w:w="1242" w:type="dxa"/>
            <w:tcBorders>
              <w:top w:val="single" w:sz="4" w:space="0" w:color="auto"/>
              <w:bottom w:val="single" w:sz="4" w:space="0" w:color="auto"/>
              <w:right w:val="single" w:sz="4" w:space="0" w:color="auto"/>
            </w:tcBorders>
            <w:shd w:val="clear" w:color="auto" w:fill="auto"/>
            <w:vAlign w:val="center"/>
          </w:tcPr>
          <w:p w14:paraId="6EF30DDE"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24,000,000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D67F754"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23,071,115</w:t>
            </w:r>
          </w:p>
        </w:tc>
      </w:tr>
      <w:tr w:rsidR="00D868AB" w:rsidRPr="00D868AB" w14:paraId="36117C77" w14:textId="77777777" w:rsidTr="00A755A7">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09CD2A0" w14:textId="77777777" w:rsidR="00D868AB" w:rsidRPr="00D868AB" w:rsidRDefault="00D868AB" w:rsidP="00D868AB">
            <w:pPr>
              <w:jc w:val="center"/>
              <w:rPr>
                <w:rFonts w:eastAsia="Times New Roman" w:cs="Arial"/>
                <w:b/>
                <w:color w:val="000000"/>
                <w:sz w:val="16"/>
                <w:szCs w:val="16"/>
              </w:rPr>
            </w:pPr>
          </w:p>
        </w:tc>
        <w:tc>
          <w:tcPr>
            <w:tcW w:w="5249" w:type="dxa"/>
            <w:gridSpan w:val="2"/>
            <w:tcBorders>
              <w:top w:val="single" w:sz="4" w:space="0" w:color="auto"/>
              <w:left w:val="nil"/>
              <w:bottom w:val="single" w:sz="4" w:space="0" w:color="auto"/>
              <w:right w:val="single" w:sz="4" w:space="0" w:color="auto"/>
            </w:tcBorders>
            <w:shd w:val="clear" w:color="auto" w:fill="auto"/>
            <w:vAlign w:val="center"/>
          </w:tcPr>
          <w:p w14:paraId="5B491F16" w14:textId="77777777" w:rsidR="00D868AB" w:rsidRPr="00D868AB" w:rsidRDefault="00D868AB" w:rsidP="00D868AB">
            <w:pPr>
              <w:ind w:left="72" w:firstLineChars="1" w:firstLine="2"/>
              <w:jc w:val="left"/>
              <w:rPr>
                <w:rFonts w:eastAsia="Times New Roman" w:cs="Arial"/>
                <w:b/>
                <w:iCs/>
                <w:color w:val="000000"/>
                <w:sz w:val="16"/>
                <w:szCs w:val="16"/>
              </w:rPr>
            </w:pPr>
            <w:r w:rsidRPr="00D868AB">
              <w:rPr>
                <w:rFonts w:eastAsia="Times New Roman" w:cs="Arial"/>
                <w:b/>
                <w:iCs/>
                <w:color w:val="000000"/>
                <w:sz w:val="16"/>
                <w:szCs w:val="16"/>
              </w:rPr>
              <w:t>Fondo de Aportaciones para la Seguridad Pública de los Estados y del Distrito Federal</w:t>
            </w:r>
          </w:p>
        </w:tc>
        <w:tc>
          <w:tcPr>
            <w:tcW w:w="1242" w:type="dxa"/>
            <w:tcBorders>
              <w:top w:val="single" w:sz="4" w:space="0" w:color="auto"/>
              <w:bottom w:val="single" w:sz="4" w:space="0" w:color="auto"/>
              <w:right w:val="single" w:sz="4" w:space="0" w:color="auto"/>
            </w:tcBorders>
            <w:shd w:val="clear" w:color="auto" w:fill="auto"/>
            <w:vAlign w:val="center"/>
          </w:tcPr>
          <w:p w14:paraId="1F3A7C77" w14:textId="77777777" w:rsidR="00D868AB" w:rsidRPr="00D868AB" w:rsidRDefault="00D868AB" w:rsidP="00D868AB">
            <w:pPr>
              <w:jc w:val="right"/>
              <w:rPr>
                <w:rFonts w:cs="Arial"/>
                <w:b/>
                <w:iCs/>
                <w:color w:val="000000"/>
                <w:sz w:val="16"/>
                <w:szCs w:val="16"/>
              </w:rPr>
            </w:pP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21C5A32B" w14:textId="77777777" w:rsidR="00D868AB" w:rsidRPr="00D868AB" w:rsidRDefault="00D868AB" w:rsidP="00D868AB">
            <w:pPr>
              <w:jc w:val="right"/>
              <w:rPr>
                <w:rFonts w:cs="Arial"/>
                <w:b/>
                <w:iCs/>
                <w:color w:val="000000"/>
                <w:sz w:val="16"/>
                <w:szCs w:val="16"/>
              </w:rPr>
            </w:pPr>
          </w:p>
        </w:tc>
      </w:tr>
      <w:tr w:rsidR="00D868AB" w:rsidRPr="00D868AB" w14:paraId="499F7BBB" w14:textId="77777777" w:rsidTr="00A755A7">
        <w:trPr>
          <w:trHeight w:val="20"/>
          <w:jc w:val="center"/>
        </w:trPr>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E0C4E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25109-23</w:t>
            </w:r>
          </w:p>
        </w:tc>
        <w:tc>
          <w:tcPr>
            <w:tcW w:w="5249" w:type="dxa"/>
            <w:gridSpan w:val="2"/>
            <w:tcBorders>
              <w:top w:val="single" w:sz="4" w:space="0" w:color="auto"/>
              <w:left w:val="nil"/>
              <w:bottom w:val="single" w:sz="4" w:space="0" w:color="auto"/>
              <w:right w:val="single" w:sz="4" w:space="0" w:color="auto"/>
            </w:tcBorders>
            <w:shd w:val="clear" w:color="auto" w:fill="auto"/>
            <w:vAlign w:val="center"/>
          </w:tcPr>
          <w:p w14:paraId="64EE0244" w14:textId="77777777" w:rsidR="00D868AB" w:rsidRPr="00D868AB" w:rsidRDefault="00D868AB" w:rsidP="00D868AB">
            <w:pPr>
              <w:ind w:left="72" w:firstLineChars="1" w:firstLine="2"/>
              <w:jc w:val="left"/>
              <w:rPr>
                <w:rFonts w:eastAsia="Times New Roman" w:cs="Arial"/>
                <w:iCs/>
                <w:color w:val="000000"/>
                <w:sz w:val="16"/>
                <w:szCs w:val="16"/>
              </w:rPr>
            </w:pPr>
            <w:r w:rsidRPr="00D868AB">
              <w:rPr>
                <w:rFonts w:eastAsia="Times New Roman" w:cs="Arial"/>
                <w:iCs/>
                <w:color w:val="000000"/>
                <w:sz w:val="16"/>
                <w:szCs w:val="16"/>
              </w:rPr>
              <w:t>Fondo de Aportaciones para la Seguridad Pública de los Estados y del Distrito Federal.</w:t>
            </w:r>
          </w:p>
        </w:tc>
        <w:tc>
          <w:tcPr>
            <w:tcW w:w="1242" w:type="dxa"/>
            <w:tcBorders>
              <w:top w:val="single" w:sz="4" w:space="0" w:color="auto"/>
              <w:bottom w:val="single" w:sz="4" w:space="0" w:color="auto"/>
              <w:right w:val="single" w:sz="4" w:space="0" w:color="auto"/>
            </w:tcBorders>
            <w:shd w:val="clear" w:color="auto" w:fill="auto"/>
            <w:vAlign w:val="center"/>
          </w:tcPr>
          <w:p w14:paraId="19D9E7B0" w14:textId="19EA83B0" w:rsidR="00D868AB" w:rsidRPr="00D868AB" w:rsidRDefault="00204845" w:rsidP="00D868AB">
            <w:pPr>
              <w:jc w:val="right"/>
              <w:rPr>
                <w:rFonts w:cs="Arial"/>
                <w:iCs/>
                <w:color w:val="000000"/>
                <w:sz w:val="16"/>
                <w:szCs w:val="16"/>
              </w:rPr>
            </w:pPr>
            <w:r>
              <w:rPr>
                <w:rFonts w:cs="Arial"/>
                <w:iCs/>
                <w:color w:val="000000"/>
                <w:sz w:val="16"/>
                <w:szCs w:val="16"/>
              </w:rPr>
              <w:t>116,000,000</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5799FD83" w14:textId="77777777" w:rsidR="00D868AB" w:rsidRPr="00D868AB" w:rsidRDefault="00D868AB" w:rsidP="00D868AB">
            <w:pPr>
              <w:jc w:val="right"/>
              <w:rPr>
                <w:rFonts w:cs="Arial"/>
                <w:iCs/>
                <w:color w:val="000000"/>
                <w:sz w:val="16"/>
                <w:szCs w:val="16"/>
              </w:rPr>
            </w:pPr>
            <w:r w:rsidRPr="00D868AB">
              <w:rPr>
                <w:rFonts w:cs="Arial"/>
                <w:iCs/>
                <w:color w:val="000000"/>
                <w:sz w:val="16"/>
                <w:szCs w:val="16"/>
              </w:rPr>
              <w:t>233,279,586</w:t>
            </w:r>
          </w:p>
        </w:tc>
      </w:tr>
    </w:tbl>
    <w:p w14:paraId="065A996B" w14:textId="77777777" w:rsidR="00D868AB" w:rsidRPr="00D868AB" w:rsidRDefault="00D868AB" w:rsidP="00D868AB">
      <w:pPr>
        <w:ind w:left="567" w:hanging="567"/>
        <w:rPr>
          <w:rFonts w:cs="Arial"/>
          <w:sz w:val="16"/>
          <w:lang w:val="es-ES"/>
        </w:rPr>
      </w:pPr>
      <w:r w:rsidRPr="00D868AB">
        <w:rPr>
          <w:rFonts w:cs="Arial"/>
          <w:b/>
          <w:sz w:val="16"/>
          <w:lang w:val="es-ES"/>
        </w:rPr>
        <w:t>Nota</w:t>
      </w:r>
      <w:r w:rsidRPr="00D868AB">
        <w:rPr>
          <w:rFonts w:cs="Arial"/>
          <w:sz w:val="16"/>
          <w:lang w:val="es-ES"/>
        </w:rPr>
        <w:t>:</w:t>
      </w:r>
      <w:r w:rsidRPr="00D868AB">
        <w:rPr>
          <w:rFonts w:cs="Arial"/>
          <w:sz w:val="16"/>
          <w:lang w:val="es-ES"/>
        </w:rPr>
        <w:tab/>
        <w:t xml:space="preserve">La Secretaría de Desarrollo Económico contará con $10,000,000.00 para realizar la aportación estatal a Convenios Federales. </w:t>
      </w:r>
    </w:p>
    <w:p w14:paraId="5CBC413C" w14:textId="686E020C" w:rsidR="00D868AB" w:rsidRDefault="00D868AB" w:rsidP="00D868AB">
      <w:pPr>
        <w:rPr>
          <w:rFonts w:cs="Arial"/>
          <w:lang w:val="es-ES"/>
        </w:rPr>
      </w:pPr>
    </w:p>
    <w:p w14:paraId="5F518450" w14:textId="6AC43E22" w:rsidR="00F33998" w:rsidRDefault="00F33998" w:rsidP="00D868AB">
      <w:pPr>
        <w:rPr>
          <w:rFonts w:cs="Arial"/>
          <w:lang w:val="es-ES"/>
        </w:rPr>
      </w:pPr>
    </w:p>
    <w:p w14:paraId="059089A7" w14:textId="65C77AE3" w:rsidR="00F33998" w:rsidRDefault="00F33998" w:rsidP="00D868AB">
      <w:pPr>
        <w:rPr>
          <w:rFonts w:cs="Arial"/>
          <w:lang w:val="es-ES"/>
        </w:rPr>
      </w:pPr>
    </w:p>
    <w:p w14:paraId="30C23ACC" w14:textId="5836ED0F" w:rsidR="00F33998" w:rsidRDefault="00F33998" w:rsidP="00D868AB">
      <w:pPr>
        <w:rPr>
          <w:rFonts w:cs="Arial"/>
          <w:lang w:val="es-ES"/>
        </w:rPr>
      </w:pPr>
    </w:p>
    <w:p w14:paraId="4E314F23" w14:textId="3BFAAA22" w:rsidR="00F33998" w:rsidRDefault="00F33998" w:rsidP="00D868AB">
      <w:pPr>
        <w:rPr>
          <w:rFonts w:cs="Arial"/>
          <w:lang w:val="es-ES"/>
        </w:rPr>
      </w:pPr>
    </w:p>
    <w:p w14:paraId="1A5DA26F" w14:textId="3214D675" w:rsidR="00F33998" w:rsidRDefault="00F33998" w:rsidP="00D868AB">
      <w:pPr>
        <w:rPr>
          <w:rFonts w:cs="Arial"/>
          <w:lang w:val="es-ES"/>
        </w:rPr>
      </w:pPr>
    </w:p>
    <w:p w14:paraId="64742104" w14:textId="5D754C0D" w:rsidR="00F33998" w:rsidRDefault="00F33998" w:rsidP="00D868AB">
      <w:pPr>
        <w:rPr>
          <w:rFonts w:cs="Arial"/>
          <w:lang w:val="es-ES"/>
        </w:rPr>
      </w:pPr>
    </w:p>
    <w:p w14:paraId="77F37080" w14:textId="77777777" w:rsidR="00F33998" w:rsidRPr="00D868AB" w:rsidRDefault="00F33998" w:rsidP="00D868AB">
      <w:pPr>
        <w:rPr>
          <w:rFonts w:cs="Arial"/>
          <w:lang w:val="es-ES"/>
        </w:rPr>
      </w:pPr>
    </w:p>
    <w:p w14:paraId="3D1F90CF" w14:textId="77777777" w:rsidR="00D868AB" w:rsidRPr="00D868AB" w:rsidRDefault="00D868AB" w:rsidP="00D868AB">
      <w:pPr>
        <w:jc w:val="center"/>
        <w:rPr>
          <w:rFonts w:eastAsia="Times New Roman" w:cs="Arial"/>
          <w:b/>
          <w:lang w:val="es-ES"/>
        </w:rPr>
      </w:pPr>
      <w:bookmarkStart w:id="251" w:name="_Toc522869310"/>
      <w:bookmarkStart w:id="252" w:name="_Toc526757529"/>
      <w:bookmarkStart w:id="253" w:name="_Toc22021992"/>
      <w:bookmarkStart w:id="254" w:name="_Toc22983237"/>
      <w:bookmarkStart w:id="255" w:name="_Toc465292960"/>
      <w:bookmarkStart w:id="256" w:name="_Toc465292888"/>
      <w:r w:rsidRPr="00D868AB">
        <w:rPr>
          <w:rFonts w:eastAsia="Times New Roman" w:cs="Arial"/>
          <w:b/>
          <w:lang w:val="es-ES"/>
        </w:rPr>
        <w:lastRenderedPageBreak/>
        <w:t>TÍTULO TERCERO</w:t>
      </w:r>
      <w:bookmarkEnd w:id="251"/>
      <w:bookmarkEnd w:id="252"/>
      <w:bookmarkEnd w:id="253"/>
      <w:bookmarkEnd w:id="254"/>
    </w:p>
    <w:p w14:paraId="7F033242" w14:textId="77777777" w:rsidR="00D868AB" w:rsidRPr="00D868AB" w:rsidRDefault="00D868AB" w:rsidP="00D868AB">
      <w:pPr>
        <w:keepNext/>
        <w:keepLines/>
        <w:jc w:val="center"/>
        <w:outlineLvl w:val="0"/>
        <w:rPr>
          <w:rFonts w:eastAsia="Times New Roman" w:cs="Arial"/>
          <w:b/>
          <w:szCs w:val="32"/>
          <w:lang w:val="es-ES"/>
        </w:rPr>
      </w:pPr>
      <w:bookmarkStart w:id="257" w:name="_Toc522869311"/>
      <w:bookmarkStart w:id="258" w:name="_Toc526757530"/>
      <w:bookmarkStart w:id="259" w:name="_Toc22021993"/>
      <w:bookmarkStart w:id="260" w:name="_Toc22983238"/>
      <w:r w:rsidRPr="00D868AB">
        <w:rPr>
          <w:rFonts w:eastAsia="Times New Roman" w:cs="Arial"/>
          <w:b/>
          <w:szCs w:val="32"/>
          <w:lang w:val="es-ES"/>
        </w:rPr>
        <w:t>DE LA DISCIPLINA PRESUPUESTARIA EN EL EJERCICIO DEL GASTO PÚBLICO</w:t>
      </w:r>
      <w:bookmarkEnd w:id="255"/>
      <w:bookmarkEnd w:id="256"/>
      <w:bookmarkEnd w:id="257"/>
      <w:bookmarkEnd w:id="258"/>
      <w:bookmarkEnd w:id="259"/>
      <w:bookmarkEnd w:id="260"/>
    </w:p>
    <w:p w14:paraId="38ABFEBF" w14:textId="77777777" w:rsidR="00D868AB" w:rsidRPr="00D868AB" w:rsidRDefault="00D868AB" w:rsidP="00D868AB">
      <w:pPr>
        <w:jc w:val="center"/>
        <w:rPr>
          <w:rFonts w:cs="Arial"/>
          <w:b/>
          <w:lang w:val="es-ES"/>
        </w:rPr>
      </w:pPr>
    </w:p>
    <w:p w14:paraId="3958A719" w14:textId="77777777" w:rsidR="00D868AB" w:rsidRPr="00D868AB" w:rsidRDefault="00D868AB" w:rsidP="00D868AB">
      <w:pPr>
        <w:jc w:val="center"/>
        <w:rPr>
          <w:rFonts w:cs="Arial"/>
          <w:b/>
          <w:lang w:val="es-ES"/>
        </w:rPr>
      </w:pPr>
      <w:r w:rsidRPr="00D868AB">
        <w:rPr>
          <w:rFonts w:cs="Arial"/>
          <w:b/>
          <w:lang w:val="es-ES"/>
        </w:rPr>
        <w:t>CAPÍTULO I</w:t>
      </w:r>
    </w:p>
    <w:p w14:paraId="190F4F63" w14:textId="77777777" w:rsidR="00D868AB" w:rsidRPr="00D868AB" w:rsidRDefault="00D868AB" w:rsidP="00D868AB">
      <w:pPr>
        <w:jc w:val="center"/>
        <w:rPr>
          <w:rFonts w:cs="Arial"/>
          <w:b/>
          <w:lang w:val="es-ES"/>
        </w:rPr>
      </w:pPr>
      <w:r w:rsidRPr="00D868AB">
        <w:rPr>
          <w:rFonts w:cs="Arial"/>
          <w:b/>
          <w:lang w:val="es-ES"/>
        </w:rPr>
        <w:t xml:space="preserve"> DISPOSICIONES GENERALES</w:t>
      </w:r>
    </w:p>
    <w:p w14:paraId="7B65529E" w14:textId="77777777" w:rsidR="00D868AB" w:rsidRPr="00D868AB" w:rsidRDefault="00D868AB" w:rsidP="00D868AB">
      <w:pPr>
        <w:rPr>
          <w:rFonts w:cs="Arial"/>
          <w:b/>
          <w:lang w:val="es-ES"/>
        </w:rPr>
      </w:pPr>
    </w:p>
    <w:p w14:paraId="791F6670" w14:textId="77777777" w:rsidR="00D868AB" w:rsidRPr="00D868AB" w:rsidRDefault="00D868AB" w:rsidP="00D868AB">
      <w:pPr>
        <w:rPr>
          <w:rFonts w:cs="Arial"/>
          <w:lang w:val="es-ES"/>
        </w:rPr>
      </w:pPr>
      <w:r w:rsidRPr="00D868AB">
        <w:rPr>
          <w:rFonts w:cs="Arial"/>
          <w:b/>
          <w:lang w:val="es-ES"/>
        </w:rPr>
        <w:t xml:space="preserve">Artículo 67. </w:t>
      </w:r>
      <w:r w:rsidRPr="00D868AB">
        <w:rPr>
          <w:rFonts w:cs="Arial"/>
          <w:lang w:val="es-ES"/>
        </w:rPr>
        <w:t>El gasto total propuesto por la persona Titular del Poder Ejecutivo en el proyecto de Presupuesto de Egresos, aquél que apruebe el Congreso del Estado y el que se ejerza en el año fiscal 2023, deberá contribuir a un Balance presupuestario sostenible, en los términos que señalan los artículos 6 y 7 de la Ley de Disciplina Financiera.</w:t>
      </w:r>
    </w:p>
    <w:p w14:paraId="44A9DE62" w14:textId="77777777" w:rsidR="00D868AB" w:rsidRPr="00D868AB" w:rsidRDefault="00D868AB" w:rsidP="00D868AB">
      <w:pPr>
        <w:rPr>
          <w:rFonts w:cs="Arial"/>
          <w:b/>
          <w:lang w:val="es-ES"/>
        </w:rPr>
      </w:pPr>
    </w:p>
    <w:p w14:paraId="43C52DA4" w14:textId="77777777" w:rsidR="00D868AB" w:rsidRPr="00D868AB" w:rsidRDefault="00D868AB" w:rsidP="00D868AB">
      <w:pPr>
        <w:rPr>
          <w:rFonts w:cs="Arial"/>
          <w:lang w:val="es-ES"/>
        </w:rPr>
      </w:pPr>
      <w:r w:rsidRPr="00D868AB">
        <w:rPr>
          <w:rFonts w:cs="Arial"/>
          <w:b/>
          <w:lang w:val="es-ES"/>
        </w:rPr>
        <w:t xml:space="preserve">Artículo 68. </w:t>
      </w:r>
      <w:r w:rsidRPr="00D868AB">
        <w:rPr>
          <w:rFonts w:cs="Arial"/>
          <w:lang w:val="es-ES"/>
        </w:rPr>
        <w:t>Para el ejercicio del gasto, se deberán observar las disposiciones señaladas en el artículo 13 de la Ley de Disciplina Financiera, en particular lo siguiente:</w:t>
      </w:r>
    </w:p>
    <w:p w14:paraId="7E74D6D3" w14:textId="77777777" w:rsidR="00D868AB" w:rsidRPr="00D868AB" w:rsidRDefault="00D868AB" w:rsidP="00D868AB">
      <w:pPr>
        <w:numPr>
          <w:ilvl w:val="0"/>
          <w:numId w:val="9"/>
        </w:numPr>
        <w:ind w:hanging="720"/>
        <w:contextualSpacing/>
        <w:rPr>
          <w:rFonts w:eastAsia="Times New Roman" w:cs="Arial"/>
        </w:rPr>
      </w:pPr>
      <w:r w:rsidRPr="00D868AB">
        <w:rPr>
          <w:rFonts w:eastAsia="Times New Roman" w:cs="Arial"/>
        </w:rPr>
        <w:t>Sólo podrán comprometer recursos con cargo al presupuesto autorizado, contando previamente con la suficiencia presupuestaria, identificando la fuente de ingresos; y</w:t>
      </w:r>
    </w:p>
    <w:p w14:paraId="63624C38" w14:textId="77777777" w:rsidR="00D868AB" w:rsidRPr="00D868AB" w:rsidRDefault="00D868AB" w:rsidP="00D868AB">
      <w:pPr>
        <w:numPr>
          <w:ilvl w:val="0"/>
          <w:numId w:val="9"/>
        </w:numPr>
        <w:ind w:hanging="720"/>
        <w:contextualSpacing/>
        <w:rPr>
          <w:rFonts w:eastAsia="Times New Roman" w:cs="Arial"/>
        </w:rPr>
      </w:pPr>
      <w:r w:rsidRPr="00D868AB">
        <w:rPr>
          <w:rFonts w:eastAsia="Times New Roman" w:cs="Arial"/>
        </w:rPr>
        <w:t>Sólo procederá hacer pagos con base en el Presupuesto de Egresos aprobado, y por los conceptos efectivamente devengados, siempre que se hubieren registrado y contabilizado debida y oportunamente las operaciones consideradas en éste.</w:t>
      </w:r>
    </w:p>
    <w:p w14:paraId="4D12EC04" w14:textId="77777777" w:rsidR="00D868AB" w:rsidRPr="00D868AB" w:rsidRDefault="00D868AB" w:rsidP="00D868AB">
      <w:pPr>
        <w:rPr>
          <w:rFonts w:cs="Arial"/>
          <w:lang w:val="es-ES"/>
        </w:rPr>
      </w:pPr>
    </w:p>
    <w:p w14:paraId="69F52FF7" w14:textId="77777777" w:rsidR="00D868AB" w:rsidRPr="00D868AB" w:rsidRDefault="00D868AB" w:rsidP="00D868AB">
      <w:pPr>
        <w:rPr>
          <w:rFonts w:cs="Arial"/>
          <w:lang w:val="es-ES"/>
        </w:rPr>
      </w:pPr>
      <w:r w:rsidRPr="00D868AB">
        <w:rPr>
          <w:rFonts w:cs="Arial"/>
          <w:b/>
          <w:lang w:val="es-ES"/>
        </w:rPr>
        <w:t xml:space="preserve">Artículo 69. </w:t>
      </w:r>
      <w:r w:rsidRPr="00D868AB">
        <w:rPr>
          <w:rFonts w:cs="Arial"/>
          <w:lang w:val="es-ES"/>
        </w:rPr>
        <w:t>Para el ejercicio del gasto, se podrán realizar erogaciones adicionales a las aprobadas con cargo a los ingresos excedentes que se obtengan, y con la autorización previa de la Secretaría, observando lo siguiente:</w:t>
      </w:r>
    </w:p>
    <w:p w14:paraId="7E3E00C0" w14:textId="77777777" w:rsidR="00D868AB" w:rsidRPr="00D868AB" w:rsidRDefault="00D868AB" w:rsidP="00D868AB">
      <w:pPr>
        <w:numPr>
          <w:ilvl w:val="0"/>
          <w:numId w:val="10"/>
        </w:numPr>
        <w:ind w:hanging="720"/>
        <w:contextualSpacing/>
        <w:rPr>
          <w:rFonts w:eastAsia="Times New Roman" w:cs="Arial"/>
        </w:rPr>
      </w:pPr>
      <w:r w:rsidRPr="00D868AB">
        <w:rPr>
          <w:rFonts w:eastAsia="Times New Roman" w:cs="Arial"/>
        </w:rPr>
        <w:t>Los ingresos excedentes derivados de Ingresos de Libre Disposición, deberán ser destinados a los conceptos señalados en el artículo 14 de la Ley de Disciplina Financiera; y</w:t>
      </w:r>
    </w:p>
    <w:p w14:paraId="2BAFC6C7" w14:textId="77777777" w:rsidR="00D868AB" w:rsidRPr="00D868AB" w:rsidRDefault="00D868AB" w:rsidP="00D868AB">
      <w:pPr>
        <w:numPr>
          <w:ilvl w:val="0"/>
          <w:numId w:val="10"/>
        </w:numPr>
        <w:ind w:hanging="720"/>
        <w:contextualSpacing/>
        <w:rPr>
          <w:rFonts w:eastAsia="Times New Roman" w:cs="Arial"/>
        </w:rPr>
      </w:pPr>
      <w:r w:rsidRPr="00D868AB">
        <w:rPr>
          <w:rFonts w:eastAsia="Times New Roman" w:cs="Arial"/>
        </w:rPr>
        <w:t xml:space="preserve">Los ingresos excedentes derivados de Transferencias Federales Etiquetadas, deberán ser destinados conforme a lo previsto en la legislación federal aplicable. Los recursos excedentes señalados en esta fracción se considerarán de ampliación automática.  </w:t>
      </w:r>
    </w:p>
    <w:p w14:paraId="1169920B" w14:textId="77777777" w:rsidR="00D868AB" w:rsidRPr="00D868AB" w:rsidRDefault="00D868AB" w:rsidP="00D868AB">
      <w:pPr>
        <w:ind w:hanging="720"/>
        <w:rPr>
          <w:rFonts w:cs="Arial"/>
          <w:b/>
          <w:lang w:val="es-ES"/>
        </w:rPr>
      </w:pPr>
    </w:p>
    <w:p w14:paraId="1A1469FE" w14:textId="77777777" w:rsidR="00D868AB" w:rsidRPr="00D868AB" w:rsidRDefault="00D868AB" w:rsidP="00D868AB">
      <w:pPr>
        <w:rPr>
          <w:rFonts w:cs="Arial"/>
          <w:lang w:val="es-ES"/>
        </w:rPr>
      </w:pPr>
      <w:r w:rsidRPr="00D868AB">
        <w:rPr>
          <w:rFonts w:cs="Arial"/>
          <w:b/>
          <w:lang w:val="es-ES"/>
        </w:rPr>
        <w:t xml:space="preserve">Artículo 70. </w:t>
      </w:r>
      <w:r w:rsidRPr="00D868AB">
        <w:rPr>
          <w:rFonts w:cs="Arial"/>
          <w:lang w:val="es-ES"/>
        </w:rPr>
        <w:t>En caso de que durante el ejercicio fiscal disminuyan los ingresos previstos en la Ley de Ingresos, la persona Titular del Ejecutivo, por conducto de la Secretaría, a efecto de cumplir con el principio de sostenibilidad del Balance Presupuestario y del Balance Presupuestario de Recursos Disponibles, deberá aplicar ajustes al Presupuesto de Egresos en los rubros de gasto señalados en el artículo 15 de Ley de Disciplina Financiera.</w:t>
      </w:r>
    </w:p>
    <w:p w14:paraId="1C32FF61" w14:textId="2347C16D" w:rsidR="00D868AB" w:rsidRDefault="00D868AB" w:rsidP="00D868AB">
      <w:pPr>
        <w:rPr>
          <w:rFonts w:cs="Arial"/>
          <w:lang w:val="es-ES"/>
        </w:rPr>
      </w:pPr>
    </w:p>
    <w:p w14:paraId="12D43AAF" w14:textId="1A1512BC" w:rsidR="007702CD" w:rsidRDefault="007702CD" w:rsidP="00D868AB">
      <w:pPr>
        <w:rPr>
          <w:rFonts w:cs="Arial"/>
          <w:lang w:val="es-ES"/>
        </w:rPr>
      </w:pPr>
    </w:p>
    <w:p w14:paraId="357C73F7" w14:textId="77777777" w:rsidR="007702CD" w:rsidRPr="00D868AB" w:rsidRDefault="007702CD" w:rsidP="00D868AB">
      <w:pPr>
        <w:rPr>
          <w:rFonts w:cs="Arial"/>
          <w:lang w:val="es-ES"/>
        </w:rPr>
      </w:pPr>
    </w:p>
    <w:p w14:paraId="11FD80BB" w14:textId="77777777" w:rsidR="002C6992" w:rsidRDefault="002C6992" w:rsidP="00D868AB">
      <w:pPr>
        <w:jc w:val="center"/>
        <w:rPr>
          <w:rFonts w:cs="Arial"/>
          <w:b/>
          <w:lang w:val="es-ES"/>
        </w:rPr>
      </w:pPr>
    </w:p>
    <w:p w14:paraId="5C0B0D3C" w14:textId="77777777" w:rsidR="00D85BE9" w:rsidRDefault="00D85BE9" w:rsidP="00D868AB">
      <w:pPr>
        <w:jc w:val="center"/>
        <w:rPr>
          <w:rFonts w:cs="Arial"/>
          <w:b/>
          <w:lang w:val="es-ES"/>
        </w:rPr>
      </w:pPr>
    </w:p>
    <w:p w14:paraId="6B7BF85D" w14:textId="34D7F627" w:rsidR="00D868AB" w:rsidRPr="00D868AB" w:rsidRDefault="00D868AB" w:rsidP="00D868AB">
      <w:pPr>
        <w:jc w:val="center"/>
        <w:rPr>
          <w:rFonts w:cs="Arial"/>
          <w:b/>
          <w:lang w:val="es-ES"/>
        </w:rPr>
      </w:pPr>
      <w:r w:rsidRPr="00D868AB">
        <w:rPr>
          <w:rFonts w:cs="Arial"/>
          <w:b/>
          <w:lang w:val="es-ES"/>
        </w:rPr>
        <w:lastRenderedPageBreak/>
        <w:t>CAPÍTULO II</w:t>
      </w:r>
    </w:p>
    <w:p w14:paraId="0DF3F69C" w14:textId="77777777" w:rsidR="00D868AB" w:rsidRPr="00D868AB" w:rsidRDefault="00D868AB" w:rsidP="00D868AB">
      <w:pPr>
        <w:jc w:val="center"/>
        <w:rPr>
          <w:rFonts w:cs="Arial"/>
          <w:b/>
          <w:lang w:val="es-ES"/>
        </w:rPr>
      </w:pPr>
      <w:r w:rsidRPr="00D868AB">
        <w:rPr>
          <w:rFonts w:cs="Arial"/>
          <w:b/>
          <w:lang w:val="es-ES"/>
        </w:rPr>
        <w:t>DE LA RACIONALIDAD, EFICIENTICA, EFICACIA, ECONOMÍA, TRANSPARENCIA Y HONRADEZ EN EL EJERCICIO DEL GASTO</w:t>
      </w:r>
    </w:p>
    <w:p w14:paraId="634864A9" w14:textId="77777777" w:rsidR="00D868AB" w:rsidRPr="00D868AB" w:rsidRDefault="00D868AB" w:rsidP="00D868AB">
      <w:pPr>
        <w:rPr>
          <w:rFonts w:cs="Arial"/>
          <w:b/>
          <w:lang w:val="es-ES"/>
        </w:rPr>
      </w:pPr>
    </w:p>
    <w:p w14:paraId="6B4A84C1" w14:textId="77777777" w:rsidR="00D868AB" w:rsidRPr="00D868AB" w:rsidRDefault="00D868AB" w:rsidP="00D868AB">
      <w:pPr>
        <w:rPr>
          <w:rFonts w:cs="Arial"/>
          <w:lang w:val="es-ES"/>
        </w:rPr>
      </w:pPr>
      <w:r w:rsidRPr="00D868AB">
        <w:rPr>
          <w:rFonts w:cs="Arial"/>
          <w:b/>
          <w:lang w:val="es-ES"/>
        </w:rPr>
        <w:t>Artículo 71</w:t>
      </w:r>
      <w:r w:rsidRPr="00D868AB">
        <w:rPr>
          <w:rFonts w:cs="Arial"/>
          <w:lang w:val="es-ES"/>
        </w:rPr>
        <w:t>. La Administración Pública Centralizada sólo podrá modificar sus estructuras orgánicas y laborales aprobadas para el Ejercicio Fiscal 2023, previa autorización de la persona Titular del Ejecutivo, y de conformidad con las normas aplicables, siempre que cuenten con los recursos presupuestarios suficientes.</w:t>
      </w:r>
    </w:p>
    <w:p w14:paraId="24D3C664" w14:textId="77777777" w:rsidR="00D868AB" w:rsidRPr="00D868AB" w:rsidRDefault="00D868AB" w:rsidP="00D868AB">
      <w:pPr>
        <w:rPr>
          <w:rFonts w:cs="Arial"/>
          <w:lang w:val="es-ES"/>
        </w:rPr>
      </w:pPr>
    </w:p>
    <w:p w14:paraId="6B6EC1EB" w14:textId="77777777" w:rsidR="00D868AB" w:rsidRPr="00D868AB" w:rsidRDefault="00D868AB" w:rsidP="00D868AB">
      <w:pPr>
        <w:rPr>
          <w:rFonts w:cs="Arial"/>
          <w:lang w:val="es-ES"/>
        </w:rPr>
      </w:pPr>
      <w:r w:rsidRPr="00D868AB">
        <w:rPr>
          <w:rFonts w:cs="Arial"/>
          <w:b/>
          <w:lang w:val="es-ES"/>
        </w:rPr>
        <w:t>Artículo 72</w:t>
      </w:r>
      <w:r w:rsidRPr="00D868AB">
        <w:rPr>
          <w:rFonts w:cs="Arial"/>
          <w:lang w:val="es-ES"/>
        </w:rPr>
        <w:t xml:space="preserve">. En el ejercicio del Presupuesto de Egresos, </w:t>
      </w:r>
      <w:r w:rsidRPr="00D868AB">
        <w:rPr>
          <w:rFonts w:eastAsia="Times New Roman" w:cs="Arial"/>
        </w:rPr>
        <w:t>la Administración Pública Centralizada y la Administración Pública Paraestatal</w:t>
      </w:r>
      <w:r w:rsidRPr="00D868AB">
        <w:rPr>
          <w:rFonts w:cs="Arial"/>
          <w:lang w:val="es-ES"/>
        </w:rPr>
        <w:t xml:space="preserve"> se sujetarán a la calendarización que determine y les dé a conocer la Secretaría, la cual será congruente con los flujos de ingresos. Asimismo, </w:t>
      </w:r>
      <w:r w:rsidRPr="00D868AB">
        <w:rPr>
          <w:rFonts w:eastAsia="Times New Roman" w:cs="Arial"/>
        </w:rPr>
        <w:t xml:space="preserve">la Administración Pública Centralizada y Administración Pública Paraestatal </w:t>
      </w:r>
      <w:r w:rsidRPr="00D868AB">
        <w:rPr>
          <w:rFonts w:cs="Arial"/>
          <w:lang w:val="es-ES"/>
        </w:rPr>
        <w:t>proporcionarán a dicha Secretaría, la información presupuestal y financiera que ésta les requiera, de conformidad con las disposiciones en vigor.</w:t>
      </w:r>
    </w:p>
    <w:p w14:paraId="13123B2D" w14:textId="77777777" w:rsidR="00D868AB" w:rsidRPr="00D868AB" w:rsidRDefault="00D868AB" w:rsidP="00D868AB">
      <w:pPr>
        <w:rPr>
          <w:rFonts w:cs="Arial"/>
          <w:lang w:val="es-ES"/>
        </w:rPr>
      </w:pPr>
    </w:p>
    <w:p w14:paraId="3D74E8EB" w14:textId="77777777" w:rsidR="00D868AB" w:rsidRPr="00D868AB" w:rsidRDefault="00D868AB" w:rsidP="00D868AB">
      <w:pPr>
        <w:rPr>
          <w:rFonts w:cs="Arial"/>
          <w:lang w:val="es-ES"/>
        </w:rPr>
      </w:pPr>
      <w:r w:rsidRPr="00D868AB">
        <w:rPr>
          <w:rFonts w:cs="Arial"/>
          <w:b/>
          <w:lang w:val="es-ES"/>
        </w:rPr>
        <w:t>Artículo 73</w:t>
      </w:r>
      <w:r w:rsidRPr="00D868AB">
        <w:rPr>
          <w:rFonts w:cs="Arial"/>
          <w:lang w:val="es-ES"/>
        </w:rPr>
        <w:t>. Los viáticos y gastos de traslado para el personal adscrito a la Administración Pública Centralizada, seguirá el siguiente procedimiento:</w:t>
      </w:r>
    </w:p>
    <w:p w14:paraId="4918425B" w14:textId="77777777" w:rsidR="00D868AB" w:rsidRPr="00D868AB" w:rsidRDefault="00D868AB" w:rsidP="00D868AB">
      <w:pPr>
        <w:numPr>
          <w:ilvl w:val="0"/>
          <w:numId w:val="35"/>
        </w:numPr>
        <w:contextualSpacing/>
        <w:rPr>
          <w:rFonts w:cs="Arial"/>
          <w:lang w:val="es-ES"/>
        </w:rPr>
      </w:pPr>
      <w:r w:rsidRPr="00D868AB">
        <w:rPr>
          <w:rFonts w:cs="Arial"/>
          <w:lang w:val="es-ES"/>
        </w:rPr>
        <w:t>Deberán ser autorizados por los Titulares de la Administración Pública Centralizada, previa valoración y conveniencia de la Comisión que motiva la necesidad de traslado y/o asistencia del o los servidores públicos, debiéndose ajustar lo señalado en la Ley de Austeridad del Estado de Colima y en las Reglas de Austeridad, Racionalidad y Disciplina del Gasto Público Estatal.</w:t>
      </w:r>
    </w:p>
    <w:p w14:paraId="42B685BC" w14:textId="77777777" w:rsidR="00D868AB" w:rsidRPr="00D868AB" w:rsidRDefault="00D868AB" w:rsidP="00D868AB">
      <w:pPr>
        <w:numPr>
          <w:ilvl w:val="0"/>
          <w:numId w:val="35"/>
        </w:numPr>
        <w:contextualSpacing/>
        <w:rPr>
          <w:rFonts w:cs="Arial"/>
          <w:lang w:val="es-ES"/>
        </w:rPr>
      </w:pPr>
      <w:r w:rsidRPr="00D868AB">
        <w:rPr>
          <w:rFonts w:cs="Arial"/>
          <w:lang w:val="es-ES"/>
        </w:rPr>
        <w:t>La solicitud de recursos para Viáticos, deberá realizarse con 3 (tres) días hábiles de anticipación a la fecha de la Comisión Oficial. De no cumplir con esta disposición no será autorizado, salvo en los casos que exista una justificación motivada.</w:t>
      </w:r>
    </w:p>
    <w:p w14:paraId="6F354D9E" w14:textId="77777777" w:rsidR="00D868AB" w:rsidRPr="00D868AB" w:rsidRDefault="00D868AB" w:rsidP="00D868AB">
      <w:pPr>
        <w:numPr>
          <w:ilvl w:val="0"/>
          <w:numId w:val="35"/>
        </w:numPr>
        <w:contextualSpacing/>
        <w:rPr>
          <w:rFonts w:cs="Arial"/>
          <w:lang w:val="es-ES"/>
        </w:rPr>
      </w:pPr>
      <w:r w:rsidRPr="00D868AB">
        <w:rPr>
          <w:rFonts w:cs="Arial"/>
          <w:lang w:val="es-ES"/>
        </w:rPr>
        <w:t>Los “Gastos a Comprobar” solo se autorizarán para actividades estratégicas de gobierno, siempre y cuando sean acordados previamente con la Titular de la Secretaría de Planeación, Finanzas y Administración, de conformidad con lo dispuesto por el artículo 49, fracción XI, de las Reglas de Austeridad, Racionalidad y Disciplina del Gasto Público Estatal.</w:t>
      </w:r>
    </w:p>
    <w:p w14:paraId="6AEF9BCF" w14:textId="77777777" w:rsidR="00D868AB" w:rsidRPr="00D868AB" w:rsidRDefault="00D868AB" w:rsidP="00D868AB">
      <w:pPr>
        <w:numPr>
          <w:ilvl w:val="0"/>
          <w:numId w:val="35"/>
        </w:numPr>
        <w:contextualSpacing/>
        <w:rPr>
          <w:rFonts w:cs="Arial"/>
          <w:lang w:val="es-ES"/>
        </w:rPr>
      </w:pPr>
      <w:r w:rsidRPr="00D868AB">
        <w:rPr>
          <w:rFonts w:cs="Arial"/>
          <w:lang w:val="es-ES"/>
        </w:rPr>
        <w:t>Las solicitudes de boletos de avión, sólo serán tramitadas a favor de servidores públicos que ostenten nivel igual o superior a Director de Área o equivalente.</w:t>
      </w:r>
    </w:p>
    <w:p w14:paraId="05394652" w14:textId="77777777" w:rsidR="00D868AB" w:rsidRPr="00D868AB" w:rsidRDefault="00D868AB" w:rsidP="00D868AB">
      <w:pPr>
        <w:numPr>
          <w:ilvl w:val="0"/>
          <w:numId w:val="35"/>
        </w:numPr>
        <w:contextualSpacing/>
        <w:rPr>
          <w:rFonts w:cs="Arial"/>
          <w:lang w:val="es-ES"/>
        </w:rPr>
      </w:pPr>
      <w:r w:rsidRPr="00D868AB">
        <w:rPr>
          <w:rFonts w:cs="Arial"/>
          <w:lang w:val="es-ES"/>
        </w:rPr>
        <w:t xml:space="preserve">Los funcionarios de todos los niveles jerárquicos comprobarán en un plazo de cinco días hábiles, contados a partir de la fecha en que se concluya la comisión, de no cumplirse con dicha comprobación, se aplicará el descuento vía nómina. </w:t>
      </w:r>
    </w:p>
    <w:p w14:paraId="014B5D7B" w14:textId="77777777" w:rsidR="00D868AB" w:rsidRPr="00D868AB" w:rsidRDefault="00D868AB" w:rsidP="00D868AB">
      <w:pPr>
        <w:rPr>
          <w:rFonts w:cs="Arial"/>
          <w:lang w:val="es-ES"/>
        </w:rPr>
      </w:pPr>
    </w:p>
    <w:p w14:paraId="434DF92C" w14:textId="77777777" w:rsidR="00D868AB" w:rsidRPr="00D868AB" w:rsidRDefault="00D868AB" w:rsidP="00D868AB">
      <w:pPr>
        <w:rPr>
          <w:rFonts w:cs="Arial"/>
          <w:lang w:val="es-ES"/>
        </w:rPr>
      </w:pPr>
      <w:r w:rsidRPr="00D868AB">
        <w:rPr>
          <w:rFonts w:cs="Arial"/>
          <w:b/>
          <w:lang w:val="es-ES"/>
        </w:rPr>
        <w:t>Artículo 74</w:t>
      </w:r>
      <w:r w:rsidRPr="00D868AB">
        <w:rPr>
          <w:rFonts w:cs="Arial"/>
          <w:lang w:val="es-ES"/>
        </w:rPr>
        <w:t xml:space="preserve">. La </w:t>
      </w:r>
      <w:r w:rsidRPr="00D868AB">
        <w:rPr>
          <w:rFonts w:eastAsia="Times New Roman" w:cs="Arial"/>
        </w:rPr>
        <w:t>Administración Pública Centralizada y la Administración Pública Paraestatal</w:t>
      </w:r>
      <w:r w:rsidRPr="00D868AB">
        <w:rPr>
          <w:rFonts w:cs="Arial"/>
          <w:lang w:val="es-ES"/>
        </w:rPr>
        <w:t xml:space="preserve"> deberán registrar ante la Secretaría, todas las operaciones que involucren compromisos </w:t>
      </w:r>
      <w:r w:rsidRPr="00D868AB">
        <w:rPr>
          <w:rFonts w:cs="Arial"/>
          <w:lang w:val="es-ES"/>
        </w:rPr>
        <w:lastRenderedPageBreak/>
        <w:t xml:space="preserve">financieros, los cuales sólo se podrán erogar si se encuentran autorizados en el Presupuesto de Egresos. </w:t>
      </w:r>
    </w:p>
    <w:p w14:paraId="215CDD63" w14:textId="77777777" w:rsidR="00D868AB" w:rsidRPr="00D868AB" w:rsidRDefault="00D868AB" w:rsidP="00D868AB">
      <w:pPr>
        <w:rPr>
          <w:rFonts w:cs="Arial"/>
          <w:b/>
          <w:bCs/>
          <w:lang w:val="es-ES"/>
        </w:rPr>
      </w:pPr>
    </w:p>
    <w:p w14:paraId="02A5DA16" w14:textId="77777777" w:rsidR="00D868AB" w:rsidRPr="00D868AB" w:rsidRDefault="00D868AB" w:rsidP="00D868AB">
      <w:pPr>
        <w:rPr>
          <w:rFonts w:cs="Arial"/>
          <w:lang w:val="es-ES"/>
        </w:rPr>
      </w:pPr>
      <w:r w:rsidRPr="00D868AB">
        <w:rPr>
          <w:rFonts w:cs="Arial"/>
          <w:b/>
          <w:lang w:val="es-ES"/>
        </w:rPr>
        <w:t>Artículo 75</w:t>
      </w:r>
      <w:r w:rsidRPr="00D868AB">
        <w:rPr>
          <w:rFonts w:cs="Arial"/>
          <w:lang w:val="es-ES"/>
        </w:rPr>
        <w:t>. Los Entes Públicos deberán sujetarse a los montos autorizados, y observar los criterios señalados por el presente Decreto; por consiguiente, no deberán adquirir compromisos distintos a los estipulados en el Presupuesto Aprobado. Debiéndose observar lo señalado en la Ley de Austeridad del Estado de Colima y en las Reglas de Austeridad, Racionalidad y Disciplina del Gasto Público Estatal.</w:t>
      </w:r>
    </w:p>
    <w:p w14:paraId="2FAC3D88" w14:textId="77777777" w:rsidR="00D868AB" w:rsidRPr="00D868AB" w:rsidRDefault="00D868AB" w:rsidP="00D868AB">
      <w:pPr>
        <w:rPr>
          <w:rFonts w:cs="Arial"/>
          <w:lang w:val="es-ES"/>
        </w:rPr>
      </w:pPr>
    </w:p>
    <w:p w14:paraId="7DC16571" w14:textId="77777777" w:rsidR="00D868AB" w:rsidRPr="00D868AB" w:rsidRDefault="00D868AB" w:rsidP="00D868AB">
      <w:pPr>
        <w:rPr>
          <w:rFonts w:cs="Arial"/>
          <w:lang w:val="es-ES"/>
        </w:rPr>
      </w:pPr>
      <w:r w:rsidRPr="00D868AB">
        <w:rPr>
          <w:rFonts w:cs="Arial"/>
          <w:b/>
          <w:lang w:val="es-ES"/>
        </w:rPr>
        <w:t>Artículo 76</w:t>
      </w:r>
      <w:r w:rsidRPr="00D868AB">
        <w:rPr>
          <w:rFonts w:cs="Arial"/>
          <w:lang w:val="es-ES"/>
        </w:rPr>
        <w:t>. La Secretaría podrá emitir durante el ejercicio fiscal, disposiciones sobre la operación, evaluación y ejercicio del gasto de las economías presupuestarias del Ejercicio Fiscal.</w:t>
      </w:r>
    </w:p>
    <w:p w14:paraId="7F5DAB7D" w14:textId="77777777" w:rsidR="00D868AB" w:rsidRPr="00D868AB" w:rsidRDefault="00D868AB" w:rsidP="00D868AB">
      <w:pPr>
        <w:rPr>
          <w:rFonts w:cs="Arial"/>
          <w:lang w:val="es-ES"/>
        </w:rPr>
      </w:pPr>
    </w:p>
    <w:p w14:paraId="4788DBF6" w14:textId="77777777" w:rsidR="00D868AB" w:rsidRPr="00D868AB" w:rsidRDefault="00D868AB" w:rsidP="00D868AB">
      <w:pPr>
        <w:rPr>
          <w:rFonts w:cs="Arial"/>
        </w:rPr>
      </w:pPr>
      <w:r w:rsidRPr="00D868AB">
        <w:rPr>
          <w:rFonts w:cs="Arial"/>
          <w:lang w:val="es-ES"/>
        </w:rPr>
        <w:t>Los ahorros o economías presupuestarias que se obtengan podrán reasignarse a programas prioritarios del Poder Ejecutivo del Estado.</w:t>
      </w:r>
      <w:r w:rsidRPr="00D868AB">
        <w:rPr>
          <w:rFonts w:cs="Arial"/>
        </w:rPr>
        <w:t xml:space="preserve"> Dichas reasignaciones no serán regularizables para el siguiente ejercicio fiscal.</w:t>
      </w:r>
    </w:p>
    <w:p w14:paraId="686B4874" w14:textId="77777777" w:rsidR="00D868AB" w:rsidRPr="00D868AB" w:rsidRDefault="00D868AB" w:rsidP="00D868AB">
      <w:pPr>
        <w:rPr>
          <w:rFonts w:cs="Arial"/>
          <w:b/>
          <w:lang w:val="es-ES"/>
        </w:rPr>
      </w:pPr>
    </w:p>
    <w:p w14:paraId="76C76D0B" w14:textId="77777777" w:rsidR="00D868AB" w:rsidRPr="00D868AB" w:rsidRDefault="00D868AB" w:rsidP="00D868AB">
      <w:pPr>
        <w:rPr>
          <w:rFonts w:cs="Arial"/>
          <w:lang w:val="es-ES"/>
        </w:rPr>
      </w:pPr>
      <w:r w:rsidRPr="00D868AB">
        <w:rPr>
          <w:rFonts w:cs="Arial"/>
          <w:b/>
          <w:lang w:val="es-ES"/>
        </w:rPr>
        <w:t>Artículo 77</w:t>
      </w:r>
      <w:r w:rsidRPr="00D868AB">
        <w:rPr>
          <w:rFonts w:cs="Arial"/>
          <w:lang w:val="es-ES"/>
        </w:rPr>
        <w:t>. Los recursos correspondientes a los subejercicios que no sean subsanados en el plazo que señale la Secretaría, serán reasignados a programas prioritarios del Poder Ejecutivo del Estado.</w:t>
      </w:r>
    </w:p>
    <w:p w14:paraId="5BAF3635" w14:textId="77777777" w:rsidR="00D868AB" w:rsidRPr="00D868AB" w:rsidRDefault="00D868AB" w:rsidP="00D868AB">
      <w:pPr>
        <w:rPr>
          <w:rFonts w:cs="Arial"/>
          <w:lang w:val="es-ES"/>
        </w:rPr>
      </w:pPr>
    </w:p>
    <w:p w14:paraId="6BBF68CA" w14:textId="77777777" w:rsidR="00D868AB" w:rsidRPr="00D868AB" w:rsidRDefault="00D868AB" w:rsidP="00D868AB">
      <w:pPr>
        <w:rPr>
          <w:rFonts w:cs="Arial"/>
          <w:lang w:val="es-ES"/>
        </w:rPr>
      </w:pPr>
      <w:r w:rsidRPr="00D868AB">
        <w:rPr>
          <w:rFonts w:cs="Arial"/>
          <w:lang w:val="es-ES"/>
        </w:rPr>
        <w:t>Solo se autorizarán arrastres presupuestales que resulten plenamente justificados, por cada una de las partidas de la Administración Pública, y que se soliciten mediante el Formato de Solicitud de Adecuación Presupuestal dentro de los 5 (cinco) días naturales siguientes a la conclusión del mes.</w:t>
      </w:r>
    </w:p>
    <w:p w14:paraId="29240FE9" w14:textId="77777777" w:rsidR="00D868AB" w:rsidRPr="00D868AB" w:rsidRDefault="00D868AB" w:rsidP="00D868AB">
      <w:pPr>
        <w:rPr>
          <w:rFonts w:cs="Arial"/>
          <w:lang w:val="es-ES"/>
        </w:rPr>
      </w:pPr>
    </w:p>
    <w:p w14:paraId="6783214D" w14:textId="77777777" w:rsidR="00D868AB" w:rsidRPr="00D868AB" w:rsidRDefault="00D868AB" w:rsidP="00D868AB">
      <w:pPr>
        <w:rPr>
          <w:rFonts w:cs="Arial"/>
          <w:lang w:val="es-ES"/>
        </w:rPr>
      </w:pPr>
      <w:r w:rsidRPr="00D868AB">
        <w:rPr>
          <w:rFonts w:cs="Arial"/>
          <w:b/>
          <w:lang w:val="es-ES"/>
        </w:rPr>
        <w:t>Artículo 78</w:t>
      </w:r>
      <w:r w:rsidRPr="00D868AB">
        <w:rPr>
          <w:rFonts w:cs="Arial"/>
          <w:lang w:val="es-ES"/>
        </w:rPr>
        <w:t>. El H. Congreso del Estado, el Poder Judicial, los Órganos Autónomos Estatales, las Dependencias de la Administración Pública Centralizada y Entidades de la Administración Pública Paraestatal deberán sujetarse a los montos autorizados en el presente Presupuesto de Egresos, salvo que se autoricen adecuaciones presupuestales en los términos de este Decreto y de la Ley de Presupuesto y Responsabilidad Hacendaria del Estado de Colima; por consiguiente, no deberán adquirir compromisos distintos a los estipulados en el presupuesto aprobado.</w:t>
      </w:r>
    </w:p>
    <w:p w14:paraId="2CA18800" w14:textId="77777777" w:rsidR="00D868AB" w:rsidRPr="00D868AB" w:rsidRDefault="00D868AB" w:rsidP="00D868AB">
      <w:pPr>
        <w:rPr>
          <w:rFonts w:cs="Arial"/>
          <w:b/>
          <w:lang w:val="es-ES"/>
        </w:rPr>
      </w:pPr>
    </w:p>
    <w:p w14:paraId="4BEB3999" w14:textId="77777777" w:rsidR="00D868AB" w:rsidRPr="00D868AB" w:rsidRDefault="00D868AB" w:rsidP="00D868AB">
      <w:pPr>
        <w:rPr>
          <w:rFonts w:cs="Arial"/>
          <w:lang w:val="es-ES"/>
        </w:rPr>
      </w:pPr>
      <w:r w:rsidRPr="00D868AB">
        <w:rPr>
          <w:rFonts w:cs="Arial"/>
          <w:b/>
          <w:lang w:val="es-ES"/>
        </w:rPr>
        <w:t>Artículo 79</w:t>
      </w:r>
      <w:r w:rsidRPr="00D868AB">
        <w:rPr>
          <w:rFonts w:cs="Arial"/>
          <w:lang w:val="es-ES"/>
        </w:rPr>
        <w:t xml:space="preserve">. La Secretaría podrá entregar adelantos de Participaciones a los Municipios, previa petición que, por escrito, haga el o la Presidente (a) Municipal a la persona titular de la Secretaría de Planeación, Finanzas y Administración, siempre que el primero cuente con la aprobación del Ayuntamiento. </w:t>
      </w:r>
    </w:p>
    <w:p w14:paraId="1A0D7501" w14:textId="77777777" w:rsidR="00D868AB" w:rsidRPr="00D868AB" w:rsidRDefault="00D868AB" w:rsidP="00D868AB">
      <w:pPr>
        <w:rPr>
          <w:rFonts w:cs="Arial"/>
          <w:lang w:val="es-ES"/>
        </w:rPr>
      </w:pPr>
    </w:p>
    <w:p w14:paraId="114E79B6" w14:textId="77777777" w:rsidR="00D868AB" w:rsidRPr="00D868AB" w:rsidRDefault="00D868AB" w:rsidP="00D868AB">
      <w:pPr>
        <w:rPr>
          <w:rFonts w:cs="Arial"/>
          <w:lang w:val="es-ES"/>
        </w:rPr>
      </w:pPr>
      <w:r w:rsidRPr="00D868AB">
        <w:rPr>
          <w:rFonts w:cs="Arial"/>
          <w:lang w:val="es-ES"/>
        </w:rPr>
        <w:lastRenderedPageBreak/>
        <w:t>También podrá hacerlo con respecto a las Entidades de la Administración Pública Paraestatal y Órganos Autónomos del Estado, a cuenta de las transferencias presupuestales que les correspondan, previa petición que, por escrito, presenten sus titulares a la Secretaría de Planeación, Finanzas y Administración.</w:t>
      </w:r>
    </w:p>
    <w:p w14:paraId="0AA00680" w14:textId="77777777" w:rsidR="00D868AB" w:rsidRPr="00D868AB" w:rsidRDefault="00D868AB" w:rsidP="00D868AB">
      <w:pPr>
        <w:rPr>
          <w:rFonts w:cs="Arial"/>
          <w:lang w:val="es-ES"/>
        </w:rPr>
      </w:pPr>
    </w:p>
    <w:p w14:paraId="382605A3" w14:textId="77777777" w:rsidR="00D868AB" w:rsidRPr="00D868AB" w:rsidRDefault="00D868AB" w:rsidP="00D868AB">
      <w:pPr>
        <w:rPr>
          <w:rFonts w:cs="Arial"/>
          <w:lang w:val="es-ES"/>
        </w:rPr>
      </w:pPr>
      <w:r w:rsidRPr="00D868AB">
        <w:rPr>
          <w:rFonts w:cs="Arial"/>
          <w:lang w:val="es-ES"/>
        </w:rPr>
        <w:t>La Secretaría podrá autorizar o negar las peticiones a que se refiere el párrafo anterior, en función de la situación de las finanzas públicas del Gobierno del Estado y del resultado que arroje el análisis practicado a la capacidad financiera del Municipio, Entidad de la Administración Pública Paraestatal u Órgano Autónomo del Estado solicitante.</w:t>
      </w:r>
    </w:p>
    <w:p w14:paraId="25B30D57" w14:textId="77777777" w:rsidR="00D868AB" w:rsidRPr="00D868AB" w:rsidRDefault="00D868AB" w:rsidP="00D868AB">
      <w:pPr>
        <w:rPr>
          <w:rFonts w:cs="Arial"/>
          <w:lang w:val="es-ES"/>
        </w:rPr>
      </w:pPr>
    </w:p>
    <w:p w14:paraId="61139540" w14:textId="77777777" w:rsidR="00D868AB" w:rsidRPr="00D868AB" w:rsidRDefault="00D868AB" w:rsidP="00D868AB">
      <w:pPr>
        <w:jc w:val="center"/>
        <w:rPr>
          <w:rFonts w:eastAsia="Times New Roman" w:cs="Arial"/>
          <w:b/>
          <w:lang w:val="es-ES"/>
        </w:rPr>
      </w:pPr>
      <w:bookmarkStart w:id="261" w:name="_Toc22021994"/>
      <w:bookmarkStart w:id="262" w:name="_Toc22983239"/>
      <w:r w:rsidRPr="00D868AB">
        <w:rPr>
          <w:rFonts w:eastAsia="Times New Roman" w:cs="Arial"/>
          <w:b/>
          <w:lang w:val="es-ES"/>
        </w:rPr>
        <w:t xml:space="preserve">CAPÍTULO </w:t>
      </w:r>
      <w:bookmarkEnd w:id="261"/>
      <w:bookmarkEnd w:id="262"/>
      <w:r w:rsidRPr="00D868AB">
        <w:rPr>
          <w:rFonts w:eastAsia="Times New Roman" w:cs="Arial"/>
          <w:b/>
          <w:lang w:val="es-ES"/>
        </w:rPr>
        <w:t>II</w:t>
      </w:r>
    </w:p>
    <w:p w14:paraId="47519F80" w14:textId="77777777" w:rsidR="00D868AB" w:rsidRPr="00D868AB" w:rsidRDefault="00D868AB" w:rsidP="00D868AB">
      <w:pPr>
        <w:keepNext/>
        <w:keepLines/>
        <w:jc w:val="center"/>
        <w:outlineLvl w:val="0"/>
        <w:rPr>
          <w:rFonts w:eastAsia="Times New Roman" w:cs="Arial"/>
          <w:b/>
          <w:szCs w:val="32"/>
          <w:lang w:val="es-ES"/>
        </w:rPr>
      </w:pPr>
      <w:bookmarkStart w:id="263" w:name="_Toc22021995"/>
      <w:bookmarkStart w:id="264" w:name="_Toc22983240"/>
      <w:r w:rsidRPr="00D868AB">
        <w:rPr>
          <w:rFonts w:eastAsia="Times New Roman" w:cs="Arial"/>
          <w:b/>
          <w:szCs w:val="32"/>
          <w:lang w:val="es-ES"/>
        </w:rPr>
        <w:t>DE LAS ADQUISICIONES, ARRENDAMIENTOS Y CONTRATACIÓN DE BIENES, SERVICIOS Y OBRA PÚBLICA</w:t>
      </w:r>
      <w:bookmarkEnd w:id="263"/>
      <w:bookmarkEnd w:id="264"/>
    </w:p>
    <w:p w14:paraId="2160D6E1" w14:textId="77777777" w:rsidR="00D868AB" w:rsidRPr="00D868AB" w:rsidRDefault="00D868AB" w:rsidP="00D868AB">
      <w:pPr>
        <w:rPr>
          <w:rFonts w:cs="Arial"/>
          <w:b/>
          <w:lang w:val="es-ES"/>
        </w:rPr>
      </w:pPr>
    </w:p>
    <w:p w14:paraId="1B20465D" w14:textId="77777777" w:rsidR="00D868AB" w:rsidRPr="00D868AB" w:rsidRDefault="00D868AB" w:rsidP="00D868AB">
      <w:pPr>
        <w:rPr>
          <w:rFonts w:cs="Arial"/>
          <w:lang w:val="es-ES"/>
        </w:rPr>
      </w:pPr>
      <w:r w:rsidRPr="00D868AB">
        <w:rPr>
          <w:rFonts w:cs="Arial"/>
          <w:b/>
          <w:lang w:val="es-ES"/>
        </w:rPr>
        <w:t>Artículo 80</w:t>
      </w:r>
      <w:r w:rsidRPr="00D868AB">
        <w:rPr>
          <w:rFonts w:cs="Arial"/>
          <w:lang w:val="es-ES"/>
        </w:rPr>
        <w:t>. En apego a lo estipulado en los artículos 28 y 43 de la Ley Estatal de Obras Públicas, los montos máximos de contratación de obra pública serán los siguientes:</w:t>
      </w:r>
    </w:p>
    <w:p w14:paraId="40382258" w14:textId="77777777" w:rsidR="00D868AB" w:rsidRPr="00D868AB" w:rsidRDefault="00D868AB" w:rsidP="00D868AB">
      <w:pPr>
        <w:rPr>
          <w:rFonts w:cs="Arial"/>
          <w:lang w:val="es-ES"/>
        </w:rPr>
      </w:pPr>
    </w:p>
    <w:tbl>
      <w:tblPr>
        <w:tblStyle w:val="Tablaconcuadrcula"/>
        <w:tblW w:w="0" w:type="auto"/>
        <w:jc w:val="center"/>
        <w:tblLook w:val="04A0" w:firstRow="1" w:lastRow="0" w:firstColumn="1" w:lastColumn="0" w:noHBand="0" w:noVBand="1"/>
      </w:tblPr>
      <w:tblGrid>
        <w:gridCol w:w="3163"/>
        <w:gridCol w:w="1020"/>
        <w:gridCol w:w="1042"/>
        <w:gridCol w:w="1403"/>
        <w:gridCol w:w="1592"/>
      </w:tblGrid>
      <w:tr w:rsidR="00D868AB" w:rsidRPr="00D868AB" w14:paraId="0D4BE08E" w14:textId="77777777" w:rsidTr="00A755A7">
        <w:trPr>
          <w:trHeight w:val="20"/>
          <w:tblHeader/>
          <w:jc w:val="center"/>
        </w:trPr>
        <w:tc>
          <w:tcPr>
            <w:tcW w:w="8220" w:type="dxa"/>
            <w:gridSpan w:val="5"/>
            <w:tcBorders>
              <w:top w:val="nil"/>
              <w:left w:val="nil"/>
              <w:bottom w:val="single" w:sz="4" w:space="0" w:color="auto"/>
              <w:right w:val="nil"/>
            </w:tcBorders>
            <w:vAlign w:val="center"/>
          </w:tcPr>
          <w:p w14:paraId="448A6B87" w14:textId="77777777" w:rsidR="00D868AB" w:rsidRPr="00D868AB" w:rsidRDefault="00D868AB" w:rsidP="00D868AB">
            <w:pPr>
              <w:keepNext/>
              <w:keepLines/>
              <w:jc w:val="center"/>
              <w:outlineLvl w:val="1"/>
              <w:rPr>
                <w:rFonts w:cs="Arial"/>
                <w:b/>
                <w:sz w:val="20"/>
                <w:lang w:val="es-ES"/>
              </w:rPr>
            </w:pPr>
            <w:r w:rsidRPr="00D868AB">
              <w:rPr>
                <w:rFonts w:eastAsia="Times New Roman" w:cs="Arial"/>
                <w:b/>
                <w:sz w:val="20"/>
                <w:lang w:val="es-ES"/>
              </w:rPr>
              <w:t>Tabla 58. Montos Máximos de Contratación de Obra Pública</w:t>
            </w:r>
          </w:p>
        </w:tc>
      </w:tr>
      <w:tr w:rsidR="00D868AB" w:rsidRPr="00D868AB" w14:paraId="799D4B00" w14:textId="77777777" w:rsidTr="00A755A7">
        <w:trPr>
          <w:trHeight w:val="20"/>
          <w:jc w:val="center"/>
        </w:trPr>
        <w:tc>
          <w:tcPr>
            <w:tcW w:w="3163" w:type="dxa"/>
            <w:vMerge w:val="restart"/>
            <w:tcBorders>
              <w:top w:val="single" w:sz="4" w:space="0" w:color="auto"/>
            </w:tcBorders>
            <w:vAlign w:val="center"/>
          </w:tcPr>
          <w:p w14:paraId="32F25824" w14:textId="77777777" w:rsidR="00D868AB" w:rsidRPr="00D868AB" w:rsidRDefault="00D868AB" w:rsidP="00D868AB">
            <w:pPr>
              <w:jc w:val="center"/>
              <w:rPr>
                <w:rFonts w:cs="Arial"/>
                <w:b/>
                <w:sz w:val="18"/>
                <w:lang w:val="es-ES"/>
              </w:rPr>
            </w:pPr>
            <w:r w:rsidRPr="00D868AB">
              <w:rPr>
                <w:rFonts w:cs="Arial"/>
                <w:b/>
                <w:sz w:val="18"/>
                <w:lang w:val="es-ES"/>
              </w:rPr>
              <w:t>Modalidad de Contratación</w:t>
            </w:r>
          </w:p>
        </w:tc>
        <w:tc>
          <w:tcPr>
            <w:tcW w:w="2062" w:type="dxa"/>
            <w:gridSpan w:val="2"/>
            <w:tcBorders>
              <w:top w:val="single" w:sz="4" w:space="0" w:color="auto"/>
            </w:tcBorders>
            <w:vAlign w:val="center"/>
          </w:tcPr>
          <w:p w14:paraId="162C2B88" w14:textId="77777777" w:rsidR="00D868AB" w:rsidRPr="00D868AB" w:rsidRDefault="00D868AB" w:rsidP="00D868AB">
            <w:pPr>
              <w:jc w:val="center"/>
              <w:rPr>
                <w:rFonts w:cs="Arial"/>
                <w:b/>
                <w:sz w:val="18"/>
                <w:lang w:val="es-ES"/>
              </w:rPr>
            </w:pPr>
            <w:r w:rsidRPr="00D868AB">
              <w:rPr>
                <w:rFonts w:cs="Arial"/>
                <w:b/>
                <w:sz w:val="18"/>
                <w:lang w:val="es-ES"/>
              </w:rPr>
              <w:t>En UMA´s</w:t>
            </w:r>
          </w:p>
        </w:tc>
        <w:tc>
          <w:tcPr>
            <w:tcW w:w="2995" w:type="dxa"/>
            <w:gridSpan w:val="2"/>
            <w:tcBorders>
              <w:top w:val="single" w:sz="4" w:space="0" w:color="auto"/>
            </w:tcBorders>
            <w:vAlign w:val="center"/>
          </w:tcPr>
          <w:p w14:paraId="378EBAB4" w14:textId="77777777" w:rsidR="00D868AB" w:rsidRPr="00D868AB" w:rsidRDefault="00D868AB" w:rsidP="00D868AB">
            <w:pPr>
              <w:jc w:val="center"/>
              <w:rPr>
                <w:rFonts w:cs="Arial"/>
                <w:b/>
                <w:sz w:val="18"/>
                <w:lang w:val="es-ES"/>
              </w:rPr>
            </w:pPr>
            <w:r w:rsidRPr="00D868AB">
              <w:rPr>
                <w:rFonts w:cs="Arial"/>
                <w:b/>
                <w:sz w:val="18"/>
                <w:lang w:val="es-ES"/>
              </w:rPr>
              <w:t>En Pesos</w:t>
            </w:r>
          </w:p>
        </w:tc>
      </w:tr>
      <w:tr w:rsidR="00D868AB" w:rsidRPr="00D868AB" w14:paraId="2046F8E1" w14:textId="77777777" w:rsidTr="00A755A7">
        <w:trPr>
          <w:trHeight w:val="20"/>
          <w:jc w:val="center"/>
        </w:trPr>
        <w:tc>
          <w:tcPr>
            <w:tcW w:w="3163" w:type="dxa"/>
            <w:vMerge/>
          </w:tcPr>
          <w:p w14:paraId="2253475F" w14:textId="77777777" w:rsidR="00D868AB" w:rsidRPr="00D868AB" w:rsidRDefault="00D868AB" w:rsidP="00D868AB">
            <w:pPr>
              <w:rPr>
                <w:rFonts w:cs="Arial"/>
                <w:sz w:val="18"/>
                <w:lang w:val="es-ES"/>
              </w:rPr>
            </w:pPr>
          </w:p>
        </w:tc>
        <w:tc>
          <w:tcPr>
            <w:tcW w:w="1020" w:type="dxa"/>
            <w:vAlign w:val="center"/>
          </w:tcPr>
          <w:p w14:paraId="6FE5D177" w14:textId="77777777" w:rsidR="00D868AB" w:rsidRPr="00D868AB" w:rsidRDefault="00D868AB" w:rsidP="00D868AB">
            <w:pPr>
              <w:jc w:val="center"/>
              <w:rPr>
                <w:rFonts w:cs="Arial"/>
                <w:sz w:val="18"/>
                <w:lang w:val="es-ES"/>
              </w:rPr>
            </w:pPr>
            <w:r w:rsidRPr="00D868AB">
              <w:rPr>
                <w:rFonts w:cs="Arial"/>
                <w:sz w:val="18"/>
                <w:lang w:val="es-ES"/>
              </w:rPr>
              <w:t xml:space="preserve">De </w:t>
            </w:r>
          </w:p>
        </w:tc>
        <w:tc>
          <w:tcPr>
            <w:tcW w:w="1042" w:type="dxa"/>
            <w:vAlign w:val="center"/>
          </w:tcPr>
          <w:p w14:paraId="5EA1A6C8" w14:textId="77777777" w:rsidR="00D868AB" w:rsidRPr="00D868AB" w:rsidRDefault="00D868AB" w:rsidP="00D868AB">
            <w:pPr>
              <w:jc w:val="center"/>
              <w:rPr>
                <w:rFonts w:cs="Arial"/>
                <w:sz w:val="18"/>
                <w:lang w:val="es-ES"/>
              </w:rPr>
            </w:pPr>
            <w:r w:rsidRPr="00D868AB">
              <w:rPr>
                <w:rFonts w:cs="Arial"/>
                <w:sz w:val="18"/>
                <w:lang w:val="es-ES"/>
              </w:rPr>
              <w:t>Hasta</w:t>
            </w:r>
          </w:p>
        </w:tc>
        <w:tc>
          <w:tcPr>
            <w:tcW w:w="1403" w:type="dxa"/>
            <w:vAlign w:val="center"/>
          </w:tcPr>
          <w:p w14:paraId="7A883DDD" w14:textId="77777777" w:rsidR="00D868AB" w:rsidRPr="00D868AB" w:rsidRDefault="00D868AB" w:rsidP="00D868AB">
            <w:pPr>
              <w:jc w:val="center"/>
              <w:rPr>
                <w:rFonts w:cs="Arial"/>
                <w:sz w:val="18"/>
                <w:lang w:val="es-ES"/>
              </w:rPr>
            </w:pPr>
            <w:r w:rsidRPr="00D868AB">
              <w:rPr>
                <w:rFonts w:cs="Arial"/>
                <w:sz w:val="18"/>
                <w:lang w:val="es-ES"/>
              </w:rPr>
              <w:t>De</w:t>
            </w:r>
          </w:p>
        </w:tc>
        <w:tc>
          <w:tcPr>
            <w:tcW w:w="1592" w:type="dxa"/>
            <w:vAlign w:val="center"/>
          </w:tcPr>
          <w:p w14:paraId="57BA471D" w14:textId="77777777" w:rsidR="00D868AB" w:rsidRPr="00D868AB" w:rsidRDefault="00D868AB" w:rsidP="00D868AB">
            <w:pPr>
              <w:jc w:val="center"/>
              <w:rPr>
                <w:rFonts w:cs="Arial"/>
                <w:sz w:val="18"/>
                <w:lang w:val="es-ES"/>
              </w:rPr>
            </w:pPr>
            <w:r w:rsidRPr="00D868AB">
              <w:rPr>
                <w:rFonts w:cs="Arial"/>
                <w:sz w:val="18"/>
                <w:lang w:val="es-ES"/>
              </w:rPr>
              <w:t>Hasta</w:t>
            </w:r>
          </w:p>
        </w:tc>
      </w:tr>
      <w:tr w:rsidR="00D868AB" w:rsidRPr="00D868AB" w14:paraId="4AA59D39" w14:textId="77777777" w:rsidTr="00A755A7">
        <w:trPr>
          <w:trHeight w:val="20"/>
          <w:jc w:val="center"/>
        </w:trPr>
        <w:tc>
          <w:tcPr>
            <w:tcW w:w="3163" w:type="dxa"/>
            <w:vAlign w:val="center"/>
          </w:tcPr>
          <w:p w14:paraId="5DC6A54E" w14:textId="77777777" w:rsidR="00D868AB" w:rsidRPr="00D868AB" w:rsidRDefault="00D868AB" w:rsidP="00D868AB">
            <w:pPr>
              <w:rPr>
                <w:rFonts w:cs="Arial"/>
                <w:sz w:val="18"/>
                <w:lang w:val="es-ES"/>
              </w:rPr>
            </w:pPr>
            <w:r w:rsidRPr="00D868AB">
              <w:rPr>
                <w:rFonts w:cs="Arial"/>
                <w:sz w:val="18"/>
                <w:lang w:val="es-ES"/>
              </w:rPr>
              <w:t>Adjudicación Directa.</w:t>
            </w:r>
          </w:p>
        </w:tc>
        <w:tc>
          <w:tcPr>
            <w:tcW w:w="1020" w:type="dxa"/>
            <w:vAlign w:val="center"/>
          </w:tcPr>
          <w:p w14:paraId="28C08BD0" w14:textId="77777777" w:rsidR="00D868AB" w:rsidRPr="00D868AB" w:rsidRDefault="00D868AB" w:rsidP="00D868AB">
            <w:pPr>
              <w:jc w:val="right"/>
              <w:rPr>
                <w:rFonts w:cs="Arial"/>
                <w:sz w:val="18"/>
                <w:lang w:val="es-ES"/>
              </w:rPr>
            </w:pPr>
            <w:r w:rsidRPr="00D868AB">
              <w:rPr>
                <w:rFonts w:cs="Arial"/>
                <w:sz w:val="18"/>
                <w:lang w:val="es-ES"/>
              </w:rPr>
              <w:t>0.00</w:t>
            </w:r>
          </w:p>
        </w:tc>
        <w:tc>
          <w:tcPr>
            <w:tcW w:w="1042" w:type="dxa"/>
            <w:vAlign w:val="center"/>
          </w:tcPr>
          <w:p w14:paraId="7DC0624E" w14:textId="77777777" w:rsidR="00D868AB" w:rsidRPr="00D868AB" w:rsidRDefault="00D868AB" w:rsidP="00D868AB">
            <w:pPr>
              <w:jc w:val="right"/>
              <w:rPr>
                <w:rFonts w:cs="Arial"/>
                <w:sz w:val="18"/>
                <w:lang w:val="es-ES"/>
              </w:rPr>
            </w:pPr>
            <w:r w:rsidRPr="00D868AB">
              <w:rPr>
                <w:rFonts w:cs="Arial"/>
                <w:sz w:val="18"/>
                <w:lang w:val="es-ES"/>
              </w:rPr>
              <w:t>10,000.00</w:t>
            </w:r>
          </w:p>
        </w:tc>
        <w:tc>
          <w:tcPr>
            <w:tcW w:w="1403" w:type="dxa"/>
            <w:vAlign w:val="center"/>
          </w:tcPr>
          <w:p w14:paraId="58884FEF" w14:textId="77777777" w:rsidR="00D868AB" w:rsidRPr="00D868AB" w:rsidRDefault="00D868AB" w:rsidP="00D868AB">
            <w:pPr>
              <w:jc w:val="right"/>
              <w:rPr>
                <w:rFonts w:cs="Arial"/>
                <w:sz w:val="18"/>
                <w:lang w:val="es-ES"/>
              </w:rPr>
            </w:pPr>
            <w:r w:rsidRPr="00D868AB">
              <w:rPr>
                <w:rFonts w:cs="Arial"/>
                <w:sz w:val="18"/>
                <w:lang w:val="es-ES"/>
              </w:rPr>
              <w:t>0.00</w:t>
            </w:r>
          </w:p>
        </w:tc>
        <w:tc>
          <w:tcPr>
            <w:tcW w:w="1592" w:type="dxa"/>
            <w:vAlign w:val="center"/>
          </w:tcPr>
          <w:p w14:paraId="006F5893" w14:textId="77777777" w:rsidR="00D868AB" w:rsidRPr="00D868AB" w:rsidRDefault="00D868AB" w:rsidP="00D868AB">
            <w:pPr>
              <w:jc w:val="right"/>
              <w:rPr>
                <w:rFonts w:cs="Arial"/>
                <w:sz w:val="18"/>
                <w:lang w:val="es-ES"/>
              </w:rPr>
            </w:pPr>
            <w:r w:rsidRPr="00D868AB">
              <w:rPr>
                <w:rFonts w:cs="Arial"/>
                <w:sz w:val="18"/>
                <w:lang w:val="es-ES"/>
              </w:rPr>
              <w:t>962,200.00</w:t>
            </w:r>
          </w:p>
        </w:tc>
      </w:tr>
      <w:tr w:rsidR="00D868AB" w:rsidRPr="00D868AB" w14:paraId="55F1320A" w14:textId="77777777" w:rsidTr="00A755A7">
        <w:trPr>
          <w:trHeight w:val="20"/>
          <w:jc w:val="center"/>
        </w:trPr>
        <w:tc>
          <w:tcPr>
            <w:tcW w:w="3163" w:type="dxa"/>
            <w:vAlign w:val="center"/>
          </w:tcPr>
          <w:p w14:paraId="4E8D78C9" w14:textId="77777777" w:rsidR="00D868AB" w:rsidRPr="00D868AB" w:rsidRDefault="00D868AB" w:rsidP="00D868AB">
            <w:pPr>
              <w:jc w:val="left"/>
              <w:rPr>
                <w:rFonts w:cs="Arial"/>
                <w:sz w:val="18"/>
                <w:lang w:val="es-ES"/>
              </w:rPr>
            </w:pPr>
            <w:r w:rsidRPr="00D868AB">
              <w:rPr>
                <w:rFonts w:cs="Arial"/>
                <w:sz w:val="18"/>
                <w:lang w:val="es-ES"/>
              </w:rPr>
              <w:t>Invitación a cuando menos Tres Personas.</w:t>
            </w:r>
          </w:p>
        </w:tc>
        <w:tc>
          <w:tcPr>
            <w:tcW w:w="1020" w:type="dxa"/>
            <w:vAlign w:val="center"/>
          </w:tcPr>
          <w:p w14:paraId="245F9D99" w14:textId="77777777" w:rsidR="00D868AB" w:rsidRPr="00D868AB" w:rsidRDefault="00D868AB" w:rsidP="00D868AB">
            <w:pPr>
              <w:jc w:val="right"/>
              <w:rPr>
                <w:rFonts w:cs="Arial"/>
                <w:sz w:val="18"/>
                <w:lang w:val="es-ES"/>
              </w:rPr>
            </w:pPr>
            <w:r w:rsidRPr="00D868AB">
              <w:rPr>
                <w:rFonts w:cs="Arial"/>
                <w:sz w:val="18"/>
                <w:lang w:val="es-ES"/>
              </w:rPr>
              <w:t>10,000.00</w:t>
            </w:r>
          </w:p>
        </w:tc>
        <w:tc>
          <w:tcPr>
            <w:tcW w:w="1042" w:type="dxa"/>
            <w:vAlign w:val="center"/>
          </w:tcPr>
          <w:p w14:paraId="032DC39D" w14:textId="77777777" w:rsidR="00D868AB" w:rsidRPr="00D868AB" w:rsidRDefault="00D868AB" w:rsidP="00D868AB">
            <w:pPr>
              <w:jc w:val="right"/>
              <w:rPr>
                <w:rFonts w:cs="Arial"/>
                <w:sz w:val="18"/>
                <w:lang w:val="es-ES"/>
              </w:rPr>
            </w:pPr>
            <w:r w:rsidRPr="00D868AB">
              <w:rPr>
                <w:rFonts w:cs="Arial"/>
                <w:sz w:val="18"/>
                <w:lang w:val="es-ES"/>
              </w:rPr>
              <w:t>20,000.00</w:t>
            </w:r>
          </w:p>
        </w:tc>
        <w:tc>
          <w:tcPr>
            <w:tcW w:w="1403" w:type="dxa"/>
            <w:vAlign w:val="center"/>
          </w:tcPr>
          <w:p w14:paraId="0DB60706" w14:textId="77777777" w:rsidR="00D868AB" w:rsidRPr="00D868AB" w:rsidRDefault="00D868AB" w:rsidP="00D868AB">
            <w:pPr>
              <w:jc w:val="right"/>
              <w:rPr>
                <w:rFonts w:cs="Arial"/>
                <w:sz w:val="18"/>
                <w:lang w:val="es-ES"/>
              </w:rPr>
            </w:pPr>
            <w:r w:rsidRPr="00D868AB">
              <w:rPr>
                <w:rFonts w:cs="Arial"/>
                <w:sz w:val="18"/>
                <w:lang w:val="es-ES"/>
              </w:rPr>
              <w:t>962,200.01</w:t>
            </w:r>
          </w:p>
        </w:tc>
        <w:tc>
          <w:tcPr>
            <w:tcW w:w="1592" w:type="dxa"/>
            <w:vAlign w:val="center"/>
          </w:tcPr>
          <w:p w14:paraId="1B38325F" w14:textId="77777777" w:rsidR="00D868AB" w:rsidRPr="00D868AB" w:rsidRDefault="00D868AB" w:rsidP="00D868AB">
            <w:pPr>
              <w:jc w:val="right"/>
              <w:rPr>
                <w:rFonts w:cs="Arial"/>
                <w:sz w:val="18"/>
                <w:lang w:val="es-ES"/>
              </w:rPr>
            </w:pPr>
            <w:r w:rsidRPr="00D868AB">
              <w:rPr>
                <w:rFonts w:cs="Arial"/>
                <w:sz w:val="18"/>
                <w:lang w:val="es-ES"/>
              </w:rPr>
              <w:t>1,924,400.00</w:t>
            </w:r>
          </w:p>
        </w:tc>
      </w:tr>
      <w:tr w:rsidR="00D868AB" w:rsidRPr="00D868AB" w14:paraId="116D5EC6" w14:textId="77777777" w:rsidTr="00A755A7">
        <w:trPr>
          <w:trHeight w:val="20"/>
          <w:jc w:val="center"/>
        </w:trPr>
        <w:tc>
          <w:tcPr>
            <w:tcW w:w="3163" w:type="dxa"/>
            <w:vAlign w:val="center"/>
          </w:tcPr>
          <w:p w14:paraId="21198712" w14:textId="77777777" w:rsidR="00D868AB" w:rsidRPr="00D868AB" w:rsidRDefault="00D868AB" w:rsidP="00D868AB">
            <w:pPr>
              <w:rPr>
                <w:rFonts w:cs="Arial"/>
                <w:sz w:val="18"/>
                <w:lang w:val="es-ES"/>
              </w:rPr>
            </w:pPr>
            <w:r w:rsidRPr="00D868AB">
              <w:rPr>
                <w:rFonts w:cs="Arial"/>
                <w:sz w:val="18"/>
                <w:lang w:val="es-ES"/>
              </w:rPr>
              <w:t>Licitación Pública.</w:t>
            </w:r>
          </w:p>
        </w:tc>
        <w:tc>
          <w:tcPr>
            <w:tcW w:w="2062" w:type="dxa"/>
            <w:gridSpan w:val="2"/>
            <w:vAlign w:val="center"/>
          </w:tcPr>
          <w:p w14:paraId="6B5F846B" w14:textId="77777777" w:rsidR="00D868AB" w:rsidRPr="00D868AB" w:rsidRDefault="00D868AB" w:rsidP="00D868AB">
            <w:pPr>
              <w:jc w:val="center"/>
              <w:rPr>
                <w:rFonts w:cs="Arial"/>
                <w:sz w:val="18"/>
                <w:lang w:val="es-ES"/>
              </w:rPr>
            </w:pPr>
            <w:r w:rsidRPr="00D868AB">
              <w:rPr>
                <w:rFonts w:cs="Arial"/>
                <w:sz w:val="18"/>
                <w:lang w:val="es-ES"/>
              </w:rPr>
              <w:t>Mayor a 20,000.00</w:t>
            </w:r>
          </w:p>
        </w:tc>
        <w:tc>
          <w:tcPr>
            <w:tcW w:w="2995" w:type="dxa"/>
            <w:gridSpan w:val="2"/>
            <w:vAlign w:val="center"/>
          </w:tcPr>
          <w:p w14:paraId="4A67F6A1" w14:textId="7633FB33" w:rsidR="00D868AB" w:rsidRPr="00D868AB" w:rsidRDefault="00C10649" w:rsidP="00D868AB">
            <w:pPr>
              <w:jc w:val="center"/>
              <w:rPr>
                <w:rFonts w:cs="Arial"/>
                <w:sz w:val="18"/>
                <w:lang w:val="es-ES"/>
              </w:rPr>
            </w:pPr>
            <w:r>
              <w:rPr>
                <w:rFonts w:cs="Arial"/>
                <w:sz w:val="18"/>
                <w:lang w:val="es-ES"/>
              </w:rPr>
              <w:t>1,924,400.01</w:t>
            </w:r>
          </w:p>
        </w:tc>
      </w:tr>
    </w:tbl>
    <w:p w14:paraId="2BD99511" w14:textId="77777777" w:rsidR="00D868AB" w:rsidRPr="00D868AB" w:rsidRDefault="00D868AB" w:rsidP="00D868AB">
      <w:pPr>
        <w:ind w:left="567" w:right="191" w:hanging="425"/>
        <w:rPr>
          <w:rFonts w:cs="Arial"/>
          <w:sz w:val="16"/>
        </w:rPr>
      </w:pPr>
      <w:r w:rsidRPr="00D868AB">
        <w:rPr>
          <w:rFonts w:cs="Arial"/>
          <w:b/>
          <w:sz w:val="16"/>
          <w:lang w:val="es-ES"/>
        </w:rPr>
        <w:t>Nota</w:t>
      </w:r>
      <w:r w:rsidRPr="00D868AB">
        <w:rPr>
          <w:rFonts w:cs="Arial"/>
          <w:sz w:val="16"/>
          <w:lang w:val="es-ES"/>
        </w:rPr>
        <w:t xml:space="preserve">: El valor de la </w:t>
      </w:r>
      <w:r w:rsidRPr="00D868AB">
        <w:rPr>
          <w:rFonts w:cs="Arial"/>
          <w:sz w:val="16"/>
        </w:rPr>
        <w:t>Unidades de Medida y Actualización (UMA) a partir del 1 de febrero de 2022 es de $96.22 pesos. Dicho valor corresponde al ejercicio 2022 tiene validez del 1 de febrero de 2022 al 31 de enero de 2023.</w:t>
      </w:r>
    </w:p>
    <w:p w14:paraId="55387D6C" w14:textId="77777777" w:rsidR="00D868AB" w:rsidRPr="00D868AB" w:rsidRDefault="00D868AB" w:rsidP="00D868AB">
      <w:pPr>
        <w:ind w:left="567" w:right="191" w:hanging="425"/>
        <w:rPr>
          <w:rFonts w:cs="Arial"/>
          <w:lang w:val="es-ES"/>
        </w:rPr>
      </w:pPr>
    </w:p>
    <w:p w14:paraId="733086AD" w14:textId="77777777" w:rsidR="00D868AB" w:rsidRPr="00D868AB" w:rsidRDefault="00D868AB" w:rsidP="00D868AB">
      <w:pPr>
        <w:rPr>
          <w:rFonts w:cs="Arial"/>
          <w:lang w:val="es-ES"/>
        </w:rPr>
      </w:pPr>
      <w:r w:rsidRPr="00D868AB">
        <w:rPr>
          <w:rFonts w:cs="Arial"/>
          <w:lang w:val="es-ES"/>
        </w:rPr>
        <w:t>Cuando se ejecuten programas en los que se ejerzan asignaciones presupuestales federales, se deberán apegar a la normatividad aplicable o a la que se pacte en los Acuerdos o Convenios respectivos.</w:t>
      </w:r>
    </w:p>
    <w:p w14:paraId="27AB9103" w14:textId="77777777" w:rsidR="00D868AB" w:rsidRPr="00D868AB" w:rsidRDefault="00D868AB" w:rsidP="00D868AB">
      <w:pPr>
        <w:rPr>
          <w:rFonts w:cs="Arial"/>
          <w:lang w:val="es-ES"/>
        </w:rPr>
      </w:pPr>
    </w:p>
    <w:p w14:paraId="7BE6E4CC" w14:textId="77777777" w:rsidR="00D868AB" w:rsidRPr="00D868AB" w:rsidRDefault="00D868AB" w:rsidP="00D868AB">
      <w:pPr>
        <w:rPr>
          <w:rFonts w:cs="Arial"/>
          <w:lang w:val="es-ES"/>
        </w:rPr>
      </w:pPr>
      <w:r w:rsidRPr="00D868AB">
        <w:rPr>
          <w:rFonts w:cs="Arial"/>
          <w:lang w:val="es-ES"/>
        </w:rPr>
        <w:t>Cuando se aplique la normatividad federal en la contratación de obra pública o servicios relacionados con la misma, financiados con cargo a recursos federales convenidos, se estará al rango que determine dicha normativa, conforme al monto de los recursos recibidos en su totalidad por el Estado.</w:t>
      </w:r>
    </w:p>
    <w:p w14:paraId="63E4559A" w14:textId="77777777" w:rsidR="00D868AB" w:rsidRPr="00D868AB" w:rsidRDefault="00D868AB" w:rsidP="00D868AB">
      <w:pPr>
        <w:rPr>
          <w:rFonts w:cs="Arial"/>
          <w:lang w:val="es-ES"/>
        </w:rPr>
      </w:pPr>
    </w:p>
    <w:p w14:paraId="3A0BB412" w14:textId="399847BB" w:rsidR="00D868AB" w:rsidRPr="00D868AB" w:rsidRDefault="00D868AB" w:rsidP="00D868AB">
      <w:pPr>
        <w:rPr>
          <w:rFonts w:cs="Arial"/>
          <w:lang w:val="es-ES"/>
        </w:rPr>
      </w:pPr>
      <w:r w:rsidRPr="00D868AB">
        <w:rPr>
          <w:rFonts w:cs="Arial"/>
          <w:b/>
          <w:lang w:val="es-ES"/>
        </w:rPr>
        <w:t>Artículo 81</w:t>
      </w:r>
      <w:r w:rsidRPr="00D868AB">
        <w:rPr>
          <w:rFonts w:cs="Arial"/>
          <w:lang w:val="es-ES"/>
        </w:rPr>
        <w:t xml:space="preserve">. En apego a lo establecido en el artículo 20 de la </w:t>
      </w:r>
      <w:r w:rsidRPr="00D868AB">
        <w:rPr>
          <w:rFonts w:cs="Arial"/>
        </w:rPr>
        <w:t>Ley de Adquisiciones, Arrendamientos y Servicios del Sector Público del Estado de Colima</w:t>
      </w:r>
      <w:r w:rsidRPr="00D868AB">
        <w:rPr>
          <w:rFonts w:cs="Arial"/>
          <w:lang w:val="es-ES"/>
        </w:rPr>
        <w:t xml:space="preserve">, la planeación, programación, presupuestación y el gasto de las adquisiciones, arrendamientos y servicios se sujetará a las disposiciones específicas del Presupuesto de Egresos que corresponda a cada ente gubernamental, así como a lo previsto en la </w:t>
      </w:r>
      <w:r w:rsidRPr="00D868AB">
        <w:rPr>
          <w:rFonts w:cs="Arial"/>
        </w:rPr>
        <w:t>Ley de Presupuesto</w:t>
      </w:r>
      <w:r w:rsidRPr="00D868AB">
        <w:rPr>
          <w:rFonts w:cs="Arial"/>
          <w:lang w:val="es-ES"/>
        </w:rPr>
        <w:t>, la Ley de Disciplina Financiera, y demás disposiciones aplicables.</w:t>
      </w:r>
    </w:p>
    <w:p w14:paraId="6E07DDF1" w14:textId="77777777" w:rsidR="00D868AB" w:rsidRPr="00D868AB" w:rsidRDefault="00D868AB" w:rsidP="00D868AB">
      <w:pPr>
        <w:rPr>
          <w:rFonts w:cs="Arial"/>
          <w:lang w:val="es-ES"/>
        </w:rPr>
      </w:pPr>
      <w:r w:rsidRPr="00D868AB">
        <w:rPr>
          <w:rFonts w:cs="Arial"/>
          <w:b/>
          <w:lang w:val="es-ES"/>
        </w:rPr>
        <w:lastRenderedPageBreak/>
        <w:t>Artículo 82</w:t>
      </w:r>
      <w:r w:rsidRPr="00D868AB">
        <w:rPr>
          <w:rFonts w:cs="Arial"/>
          <w:lang w:val="es-ES"/>
        </w:rPr>
        <w:t>. La</w:t>
      </w:r>
      <w:r w:rsidRPr="00D868AB">
        <w:rPr>
          <w:rFonts w:eastAsia="Times New Roman" w:cs="Arial"/>
        </w:rPr>
        <w:t xml:space="preserve"> Administración Pública Centralizada y la Administración Pública Paraestatal </w:t>
      </w:r>
      <w:r w:rsidRPr="00D868AB">
        <w:rPr>
          <w:rFonts w:cs="Arial"/>
          <w:lang w:val="es-ES"/>
        </w:rPr>
        <w:t>podrán convocar, adjudicar o contratar adquisiciones, servicios y arrendamientos solamente cuando se cuente con la autorización global o específica, por parte de la Secretaría, y de los órganos similares en las entidades; en su caso, del presupuesto de inversión y de gasto corriente, conforme a los cuales deberán programarse los pagos respectivos.</w:t>
      </w:r>
    </w:p>
    <w:p w14:paraId="3EDA6ABA" w14:textId="77777777" w:rsidR="00D868AB" w:rsidRPr="00D868AB" w:rsidRDefault="00D868AB" w:rsidP="00D868AB">
      <w:pPr>
        <w:rPr>
          <w:rFonts w:cs="Arial"/>
          <w:lang w:val="es-ES"/>
        </w:rPr>
      </w:pPr>
    </w:p>
    <w:p w14:paraId="5C3D24EE" w14:textId="77777777" w:rsidR="00D868AB" w:rsidRPr="00D868AB" w:rsidRDefault="00D868AB" w:rsidP="00D868AB">
      <w:pPr>
        <w:rPr>
          <w:rFonts w:cs="Arial"/>
          <w:lang w:val="es-ES"/>
        </w:rPr>
      </w:pPr>
      <w:r w:rsidRPr="00D868AB">
        <w:rPr>
          <w:rFonts w:cs="Arial"/>
          <w:lang w:val="es-ES"/>
        </w:rPr>
        <w:t xml:space="preserve">En atención a lo dispuesto por el artículo 46 de la </w:t>
      </w:r>
      <w:r w:rsidRPr="00D868AB">
        <w:rPr>
          <w:rFonts w:cs="Arial"/>
        </w:rPr>
        <w:t>Ley de Adquisiciones, Arrendamientos y Servicios del Sector Público del Estado de Colima</w:t>
      </w:r>
      <w:r w:rsidRPr="00D868AB">
        <w:rPr>
          <w:rFonts w:cs="Arial"/>
          <w:lang w:val="es-ES"/>
        </w:rPr>
        <w:t xml:space="preserve">, los montos máximos de actuación para adquisiciones en sus modalidades de: Adjudicación Directa, Adjudicación Directa con tres cotizaciones y visto bueno del Comité de Adquisiciones, de Invitación Restringida con participación del Comité de Adquisiciones, y Licitación Pública Nacional; los montos máximos de actuación para adquisiciones a los que deberán sujetarse las </w:t>
      </w:r>
      <w:r w:rsidRPr="00D868AB">
        <w:rPr>
          <w:rFonts w:eastAsia="Times New Roman" w:cs="Arial"/>
        </w:rPr>
        <w:t>Dependencias de la Administración Pública Centralizada y Entidades de la Administración Pública Paraestatal, serán</w:t>
      </w:r>
      <w:r w:rsidRPr="00D868AB">
        <w:rPr>
          <w:rFonts w:cs="Arial"/>
          <w:lang w:val="es-ES"/>
        </w:rPr>
        <w:t>:</w:t>
      </w:r>
    </w:p>
    <w:p w14:paraId="30BEA39E" w14:textId="77777777" w:rsidR="00D868AB" w:rsidRPr="00D868AB" w:rsidRDefault="00D868AB" w:rsidP="00D868AB">
      <w:pPr>
        <w:keepNext/>
        <w:keepLines/>
        <w:jc w:val="center"/>
        <w:outlineLvl w:val="1"/>
        <w:rPr>
          <w:rFonts w:eastAsia="Times New Roman" w:cs="Arial"/>
          <w:b/>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3795"/>
        <w:gridCol w:w="1983"/>
      </w:tblGrid>
      <w:tr w:rsidR="00D868AB" w:rsidRPr="00D868AB" w14:paraId="7FE66FD1" w14:textId="77777777" w:rsidTr="00A755A7">
        <w:trPr>
          <w:trHeight w:val="283"/>
          <w:tblHeader/>
        </w:trPr>
        <w:tc>
          <w:tcPr>
            <w:tcW w:w="8396" w:type="dxa"/>
            <w:gridSpan w:val="3"/>
            <w:tcBorders>
              <w:top w:val="nil"/>
              <w:left w:val="nil"/>
              <w:bottom w:val="single" w:sz="4" w:space="0" w:color="auto"/>
              <w:right w:val="nil"/>
            </w:tcBorders>
            <w:shd w:val="clear" w:color="auto" w:fill="auto"/>
            <w:vAlign w:val="center"/>
          </w:tcPr>
          <w:p w14:paraId="1C97A01E" w14:textId="77777777" w:rsidR="00D868AB" w:rsidRPr="00D868AB" w:rsidRDefault="00D868AB" w:rsidP="00D868AB">
            <w:pPr>
              <w:jc w:val="center"/>
              <w:rPr>
                <w:rFonts w:cs="Arial"/>
                <w:b/>
                <w:bCs/>
                <w:sz w:val="20"/>
                <w:lang w:val="es-ES"/>
              </w:rPr>
            </w:pPr>
            <w:bookmarkStart w:id="265" w:name="_Toc522869313"/>
            <w:bookmarkStart w:id="266" w:name="_Toc526757532"/>
            <w:bookmarkStart w:id="267" w:name="_Toc22021997"/>
            <w:bookmarkStart w:id="268" w:name="_Toc22983242"/>
            <w:r w:rsidRPr="00D868AB">
              <w:rPr>
                <w:rFonts w:eastAsia="Times New Roman" w:cs="Arial"/>
                <w:b/>
                <w:sz w:val="20"/>
                <w:lang w:val="es-ES"/>
              </w:rPr>
              <w:t>Tabla 59. Montos Máximos de Actuación para Adquisiciones</w:t>
            </w:r>
            <w:bookmarkEnd w:id="265"/>
            <w:bookmarkEnd w:id="266"/>
            <w:bookmarkEnd w:id="267"/>
            <w:bookmarkEnd w:id="268"/>
          </w:p>
        </w:tc>
      </w:tr>
      <w:tr w:rsidR="00D868AB" w:rsidRPr="00D868AB" w14:paraId="4DB33921" w14:textId="77777777" w:rsidTr="00A755A7">
        <w:trPr>
          <w:trHeight w:val="227"/>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5CABB9" w14:textId="77777777" w:rsidR="00D868AB" w:rsidRPr="00D868AB" w:rsidRDefault="00D868AB" w:rsidP="00D868AB">
            <w:pPr>
              <w:jc w:val="center"/>
              <w:rPr>
                <w:rFonts w:cs="Arial"/>
                <w:b/>
                <w:bCs/>
                <w:sz w:val="18"/>
                <w:lang w:val="es-ES"/>
              </w:rPr>
            </w:pPr>
            <w:r w:rsidRPr="00D868AB">
              <w:rPr>
                <w:rFonts w:cs="Arial"/>
                <w:b/>
                <w:bCs/>
                <w:sz w:val="18"/>
                <w:lang w:val="es-ES"/>
              </w:rPr>
              <w:t>Procedimiento</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34A95A" w14:textId="77777777" w:rsidR="00D868AB" w:rsidRPr="00D868AB" w:rsidRDefault="00D868AB" w:rsidP="00D868AB">
            <w:pPr>
              <w:jc w:val="center"/>
              <w:rPr>
                <w:rFonts w:cs="Arial"/>
                <w:b/>
                <w:bCs/>
                <w:sz w:val="18"/>
                <w:lang w:val="es-ES"/>
              </w:rPr>
            </w:pPr>
            <w:r w:rsidRPr="00D868AB">
              <w:rPr>
                <w:rFonts w:cs="Arial"/>
                <w:b/>
                <w:bCs/>
                <w:sz w:val="18"/>
                <w:lang w:val="es-ES"/>
              </w:rPr>
              <w:t>Hipótesis</w:t>
            </w:r>
          </w:p>
        </w:tc>
        <w:tc>
          <w:tcPr>
            <w:tcW w:w="19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1D709" w14:textId="77777777" w:rsidR="00D868AB" w:rsidRPr="00D868AB" w:rsidRDefault="00D868AB" w:rsidP="00D868AB">
            <w:pPr>
              <w:jc w:val="center"/>
              <w:rPr>
                <w:rFonts w:cs="Arial"/>
                <w:b/>
                <w:bCs/>
                <w:sz w:val="18"/>
                <w:lang w:val="es-ES"/>
              </w:rPr>
            </w:pPr>
            <w:r w:rsidRPr="00D868AB">
              <w:rPr>
                <w:rFonts w:cs="Arial"/>
                <w:b/>
                <w:bCs/>
                <w:sz w:val="18"/>
                <w:lang w:val="es-ES"/>
              </w:rPr>
              <w:t>Total</w:t>
            </w:r>
          </w:p>
        </w:tc>
      </w:tr>
      <w:tr w:rsidR="00D868AB" w:rsidRPr="00D868AB" w14:paraId="65BBA82F" w14:textId="77777777" w:rsidTr="00A755A7">
        <w:trPr>
          <w:trHeight w:val="227"/>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A37E0D" w14:textId="77777777" w:rsidR="00D868AB" w:rsidRPr="00D868AB" w:rsidRDefault="00D868AB" w:rsidP="00D868AB">
            <w:pPr>
              <w:jc w:val="left"/>
              <w:rPr>
                <w:rFonts w:cs="Arial"/>
                <w:bCs/>
                <w:sz w:val="18"/>
                <w:lang w:val="es-ES"/>
              </w:rPr>
            </w:pPr>
            <w:r w:rsidRPr="00D868AB">
              <w:rPr>
                <w:rFonts w:cs="Arial"/>
                <w:bCs/>
                <w:sz w:val="18"/>
                <w:lang w:val="es-ES"/>
              </w:rPr>
              <w:t>Adjudicación Directa.</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7BB78" w14:textId="77777777" w:rsidR="00D868AB" w:rsidRPr="00D868AB" w:rsidRDefault="00D868AB" w:rsidP="00D868AB">
            <w:pPr>
              <w:jc w:val="left"/>
              <w:rPr>
                <w:rFonts w:cs="Arial"/>
                <w:sz w:val="18"/>
                <w:lang w:val="es-ES"/>
              </w:rPr>
            </w:pPr>
            <w:r w:rsidRPr="00D868AB">
              <w:rPr>
                <w:rFonts w:cs="Arial"/>
                <w:sz w:val="18"/>
                <w:lang w:val="es-ES"/>
              </w:rPr>
              <w:t>Cuando el monto de la operación no exceda de 100 Unidades de Medida y Actualización.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054FE974" w14:textId="77777777" w:rsidR="00D868AB" w:rsidRPr="00D868AB" w:rsidRDefault="00D868AB" w:rsidP="00D868AB">
            <w:pPr>
              <w:rPr>
                <w:rFonts w:cs="Arial"/>
                <w:sz w:val="18"/>
                <w:lang w:val="es-ES"/>
              </w:rPr>
            </w:pPr>
            <w:r w:rsidRPr="00D868AB">
              <w:rPr>
                <w:rFonts w:cs="Arial"/>
                <w:sz w:val="18"/>
                <w:lang w:val="es-ES"/>
              </w:rPr>
              <w:t>Hasta $9,622.00</w:t>
            </w:r>
          </w:p>
        </w:tc>
      </w:tr>
      <w:tr w:rsidR="00D868AB" w:rsidRPr="00D868AB" w14:paraId="4AE126CA" w14:textId="77777777" w:rsidTr="00A755A7">
        <w:trPr>
          <w:trHeight w:val="227"/>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2FF0E2" w14:textId="77777777" w:rsidR="00D868AB" w:rsidRPr="00D868AB" w:rsidRDefault="00D868AB" w:rsidP="00D868AB">
            <w:pPr>
              <w:jc w:val="left"/>
              <w:rPr>
                <w:rFonts w:cs="Arial"/>
                <w:bCs/>
                <w:sz w:val="18"/>
                <w:lang w:val="es-ES"/>
              </w:rPr>
            </w:pPr>
            <w:r w:rsidRPr="00D868AB">
              <w:rPr>
                <w:rFonts w:cs="Arial"/>
                <w:bCs/>
                <w:sz w:val="18"/>
                <w:lang w:val="es-ES"/>
              </w:rPr>
              <w:t>Adjudicación Directa con tres cotizaciones y visto bueno del Comité de Adquisiciones.</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38F7D4" w14:textId="77777777" w:rsidR="00D868AB" w:rsidRPr="00D868AB" w:rsidRDefault="00D868AB" w:rsidP="00D868AB">
            <w:pPr>
              <w:jc w:val="left"/>
              <w:rPr>
                <w:rFonts w:cs="Arial"/>
                <w:sz w:val="18"/>
                <w:lang w:val="es-ES"/>
              </w:rPr>
            </w:pPr>
            <w:r w:rsidRPr="00D868AB">
              <w:rPr>
                <w:rFonts w:cs="Arial"/>
                <w:sz w:val="18"/>
                <w:lang w:val="es-ES"/>
              </w:rPr>
              <w:t>Cuando el monto de cada operación sea superior a 101 y hasta 850 Unidades de Medida y Actualización.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09883EE2" w14:textId="77777777" w:rsidR="00D868AB" w:rsidRPr="00D868AB" w:rsidRDefault="00D868AB" w:rsidP="00D868AB">
            <w:pPr>
              <w:rPr>
                <w:rFonts w:cs="Arial"/>
                <w:sz w:val="18"/>
                <w:lang w:val="es-ES"/>
              </w:rPr>
            </w:pPr>
            <w:r w:rsidRPr="00D868AB">
              <w:rPr>
                <w:rFonts w:cs="Arial"/>
                <w:sz w:val="18"/>
                <w:lang w:val="es-ES"/>
              </w:rPr>
              <w:t>De $9,622.01 hasta $81,787.00</w:t>
            </w:r>
          </w:p>
        </w:tc>
      </w:tr>
      <w:tr w:rsidR="00D868AB" w:rsidRPr="00D868AB" w14:paraId="309FE26F" w14:textId="77777777" w:rsidTr="00A755A7">
        <w:trPr>
          <w:trHeight w:val="227"/>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99E02F" w14:textId="77777777" w:rsidR="00D868AB" w:rsidRPr="00D868AB" w:rsidRDefault="00D868AB" w:rsidP="00D868AB">
            <w:pPr>
              <w:jc w:val="left"/>
              <w:rPr>
                <w:rFonts w:cs="Arial"/>
                <w:bCs/>
                <w:sz w:val="18"/>
                <w:lang w:val="es-ES"/>
              </w:rPr>
            </w:pPr>
            <w:r w:rsidRPr="00D868AB">
              <w:rPr>
                <w:rFonts w:cs="Arial"/>
                <w:bCs/>
                <w:sz w:val="18"/>
                <w:lang w:val="es-ES"/>
              </w:rPr>
              <w:t>Invitación Restringida, con participación del Comité de Adquisiciones correspondiente.</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3A4BE2" w14:textId="77777777" w:rsidR="00D868AB" w:rsidRPr="00D868AB" w:rsidRDefault="00D868AB" w:rsidP="00D868AB">
            <w:pPr>
              <w:jc w:val="left"/>
              <w:rPr>
                <w:rFonts w:cs="Arial"/>
                <w:sz w:val="18"/>
                <w:lang w:val="es-ES"/>
              </w:rPr>
            </w:pPr>
            <w:r w:rsidRPr="00D868AB">
              <w:rPr>
                <w:rFonts w:cs="Arial"/>
                <w:sz w:val="18"/>
                <w:lang w:val="es-ES"/>
              </w:rPr>
              <w:t>Cuando el monto de cada operación sea superior a 851 y hasta 11,150 Unidades de Medida y Actualización.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237DEAA8" w14:textId="77777777" w:rsidR="00D868AB" w:rsidRPr="00D868AB" w:rsidRDefault="00D868AB" w:rsidP="00D868AB">
            <w:pPr>
              <w:rPr>
                <w:rFonts w:cs="Arial"/>
                <w:sz w:val="18"/>
                <w:lang w:val="es-ES"/>
              </w:rPr>
            </w:pPr>
            <w:r w:rsidRPr="00D868AB">
              <w:rPr>
                <w:rFonts w:cs="Arial"/>
                <w:sz w:val="18"/>
                <w:lang w:val="es-ES"/>
              </w:rPr>
              <w:t>De $81,787.01 hasta $1,072,853.00</w:t>
            </w:r>
          </w:p>
        </w:tc>
      </w:tr>
      <w:tr w:rsidR="00D868AB" w:rsidRPr="00D868AB" w14:paraId="619DBCF6" w14:textId="77777777" w:rsidTr="00A755A7">
        <w:trPr>
          <w:trHeight w:val="227"/>
        </w:trPr>
        <w:tc>
          <w:tcPr>
            <w:tcW w:w="26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E8708" w14:textId="77777777" w:rsidR="00D868AB" w:rsidRPr="00D868AB" w:rsidRDefault="00D868AB" w:rsidP="00D868AB">
            <w:pPr>
              <w:jc w:val="left"/>
              <w:rPr>
                <w:rFonts w:cs="Arial"/>
                <w:b/>
                <w:sz w:val="18"/>
                <w:lang w:val="es-ES"/>
              </w:rPr>
            </w:pPr>
            <w:r w:rsidRPr="00D868AB">
              <w:rPr>
                <w:rFonts w:cs="Arial"/>
                <w:b/>
                <w:sz w:val="18"/>
                <w:lang w:val="es-ES"/>
              </w:rPr>
              <w:t>Licitación Pública Nacional.</w:t>
            </w:r>
          </w:p>
        </w:tc>
        <w:tc>
          <w:tcPr>
            <w:tcW w:w="37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EF50E" w14:textId="77777777" w:rsidR="00D868AB" w:rsidRPr="00D868AB" w:rsidRDefault="00D868AB" w:rsidP="00D868AB">
            <w:pPr>
              <w:jc w:val="left"/>
              <w:rPr>
                <w:rFonts w:cs="Arial"/>
                <w:sz w:val="18"/>
                <w:lang w:val="es-ES"/>
              </w:rPr>
            </w:pPr>
            <w:r w:rsidRPr="00D868AB">
              <w:rPr>
                <w:rFonts w:cs="Arial"/>
                <w:sz w:val="18"/>
                <w:lang w:val="es-ES"/>
              </w:rPr>
              <w:t>Superior a 11,150 Unidades de Medida y Actualización.</w:t>
            </w:r>
          </w:p>
        </w:tc>
        <w:tc>
          <w:tcPr>
            <w:tcW w:w="1983" w:type="dxa"/>
            <w:tcBorders>
              <w:top w:val="single" w:sz="4" w:space="0" w:color="auto"/>
              <w:left w:val="single" w:sz="4" w:space="0" w:color="auto"/>
              <w:bottom w:val="single" w:sz="4" w:space="0" w:color="auto"/>
              <w:right w:val="single" w:sz="4" w:space="0" w:color="auto"/>
            </w:tcBorders>
            <w:shd w:val="clear" w:color="auto" w:fill="auto"/>
            <w:vAlign w:val="center"/>
          </w:tcPr>
          <w:p w14:paraId="781BE7EF" w14:textId="77777777" w:rsidR="00D868AB" w:rsidRPr="00D868AB" w:rsidRDefault="00D868AB" w:rsidP="00D868AB">
            <w:pPr>
              <w:rPr>
                <w:rFonts w:cs="Arial"/>
                <w:sz w:val="18"/>
                <w:lang w:val="es-ES"/>
              </w:rPr>
            </w:pPr>
            <w:r w:rsidRPr="00D868AB">
              <w:rPr>
                <w:rFonts w:cs="Arial"/>
                <w:sz w:val="18"/>
                <w:lang w:val="es-ES"/>
              </w:rPr>
              <w:t>De $1,072,853.01  en adelante</w:t>
            </w:r>
          </w:p>
        </w:tc>
      </w:tr>
    </w:tbl>
    <w:p w14:paraId="7B6718A2" w14:textId="77777777" w:rsidR="00D868AB" w:rsidRPr="00D868AB" w:rsidRDefault="00D868AB" w:rsidP="00D868AB">
      <w:pPr>
        <w:ind w:left="567" w:right="191" w:hanging="425"/>
        <w:rPr>
          <w:rFonts w:cs="Arial"/>
          <w:sz w:val="16"/>
          <w:lang w:val="es-ES"/>
        </w:rPr>
      </w:pPr>
      <w:r w:rsidRPr="00D868AB">
        <w:rPr>
          <w:rFonts w:cs="Arial"/>
          <w:b/>
          <w:sz w:val="16"/>
          <w:lang w:val="es-ES"/>
        </w:rPr>
        <w:t>Nota</w:t>
      </w:r>
      <w:r w:rsidRPr="00D868AB">
        <w:rPr>
          <w:rFonts w:cs="Arial"/>
          <w:sz w:val="16"/>
          <w:lang w:val="es-ES"/>
        </w:rPr>
        <w:t xml:space="preserve">: El valor de la </w:t>
      </w:r>
      <w:r w:rsidRPr="00D868AB">
        <w:rPr>
          <w:rFonts w:cs="Arial"/>
          <w:sz w:val="16"/>
        </w:rPr>
        <w:t>Unidades de Medida y Actualización (UMA) corresponde a 2022, que es de $ 96.22 valor diario. Información emitida por el INEGI, los cuales estará vigentes a partir del 01 de febrero de 2022. Esta tabla se deberá actualizar con base en el valor de la UMA para 2023.</w:t>
      </w:r>
    </w:p>
    <w:p w14:paraId="3D28F4F0" w14:textId="77777777" w:rsidR="00D868AB" w:rsidRPr="00D868AB" w:rsidRDefault="00D868AB" w:rsidP="00D868AB">
      <w:pPr>
        <w:rPr>
          <w:rFonts w:cs="Arial"/>
          <w:b/>
          <w:lang w:val="es-ES"/>
        </w:rPr>
      </w:pPr>
    </w:p>
    <w:p w14:paraId="67497F37" w14:textId="77777777" w:rsidR="00D868AB" w:rsidRPr="00D868AB" w:rsidRDefault="00D868AB" w:rsidP="00D868AB">
      <w:pPr>
        <w:rPr>
          <w:rFonts w:cs="Arial"/>
          <w:lang w:val="es-ES"/>
        </w:rPr>
      </w:pPr>
      <w:r w:rsidRPr="00D868AB">
        <w:rPr>
          <w:rFonts w:cs="Arial"/>
          <w:b/>
          <w:lang w:val="es-ES"/>
        </w:rPr>
        <w:t>Artículo 83</w:t>
      </w:r>
      <w:r w:rsidRPr="00D868AB">
        <w:rPr>
          <w:rFonts w:cs="Arial"/>
          <w:lang w:val="es-ES"/>
        </w:rPr>
        <w:t xml:space="preserve">. Las operaciones de adquisiciones, arrendamientos y contratación de servicios que realicen los Entes Públicos, se llevarán a cabo con estricto apego a las disposiciones previstas en la </w:t>
      </w:r>
      <w:r w:rsidRPr="00D868AB">
        <w:rPr>
          <w:rFonts w:cs="Arial"/>
        </w:rPr>
        <w:t>Ley de Adquisiciones, Arrendamientos y Servicios del Sector Público del Estado de Colima</w:t>
      </w:r>
      <w:r w:rsidRPr="00D868AB">
        <w:rPr>
          <w:rFonts w:cs="Arial"/>
          <w:lang w:val="es-ES"/>
        </w:rPr>
        <w:t>.</w:t>
      </w:r>
    </w:p>
    <w:p w14:paraId="09A24DA1" w14:textId="77777777" w:rsidR="00D868AB" w:rsidRPr="00D868AB" w:rsidRDefault="00D868AB" w:rsidP="00D868AB">
      <w:pPr>
        <w:rPr>
          <w:rFonts w:cs="Arial"/>
          <w:lang w:val="es-ES"/>
        </w:rPr>
      </w:pPr>
    </w:p>
    <w:p w14:paraId="3288DB80" w14:textId="77777777" w:rsidR="00D868AB" w:rsidRPr="00D868AB" w:rsidRDefault="00D868AB" w:rsidP="00D868AB">
      <w:pPr>
        <w:rPr>
          <w:rFonts w:cs="Arial"/>
          <w:lang w:val="es-ES"/>
        </w:rPr>
      </w:pPr>
      <w:r w:rsidRPr="00D868AB">
        <w:rPr>
          <w:rFonts w:cs="Arial"/>
          <w:lang w:val="es-ES"/>
        </w:rPr>
        <w:t>Cuando en las operaciones referidas se ejerzan recursos federales, se deberá estar a la normatividad aplicable o a la que se pacte en los convenios o instrumentos jurídicos respectivos.</w:t>
      </w:r>
    </w:p>
    <w:p w14:paraId="47599850" w14:textId="77777777" w:rsidR="00D868AB" w:rsidRPr="00D868AB" w:rsidRDefault="00D868AB" w:rsidP="00D868AB">
      <w:pPr>
        <w:rPr>
          <w:rFonts w:cs="Arial"/>
          <w:lang w:val="es-ES"/>
        </w:rPr>
      </w:pPr>
    </w:p>
    <w:p w14:paraId="53351498" w14:textId="77777777" w:rsidR="00D868AB" w:rsidRPr="00D868AB" w:rsidRDefault="00D868AB" w:rsidP="00D868AB">
      <w:pPr>
        <w:keepNext/>
        <w:keepLines/>
        <w:ind w:left="708" w:hanging="708"/>
        <w:jc w:val="center"/>
        <w:outlineLvl w:val="0"/>
        <w:rPr>
          <w:rFonts w:eastAsia="Times New Roman" w:cs="Arial"/>
          <w:b/>
          <w:lang w:val="es-ES"/>
        </w:rPr>
      </w:pPr>
      <w:bookmarkStart w:id="269" w:name="_Toc522869314"/>
      <w:bookmarkStart w:id="270" w:name="_Toc526757533"/>
      <w:bookmarkStart w:id="271" w:name="_Toc22021998"/>
      <w:bookmarkStart w:id="272" w:name="_Toc22983243"/>
      <w:bookmarkStart w:id="273" w:name="_Toc465292961"/>
      <w:bookmarkStart w:id="274" w:name="_Toc465292889"/>
      <w:r w:rsidRPr="00D868AB">
        <w:rPr>
          <w:rFonts w:eastAsia="Times New Roman" w:cs="Arial"/>
          <w:b/>
          <w:lang w:val="es-ES"/>
        </w:rPr>
        <w:lastRenderedPageBreak/>
        <w:t>TÍTULO CUARTO</w:t>
      </w:r>
      <w:bookmarkEnd w:id="269"/>
      <w:bookmarkEnd w:id="270"/>
      <w:bookmarkEnd w:id="271"/>
      <w:bookmarkEnd w:id="272"/>
    </w:p>
    <w:p w14:paraId="3663FBC3" w14:textId="77777777" w:rsidR="00D868AB" w:rsidRPr="00D868AB" w:rsidRDefault="00D868AB" w:rsidP="00D868AB">
      <w:pPr>
        <w:keepNext/>
        <w:keepLines/>
        <w:jc w:val="center"/>
        <w:outlineLvl w:val="0"/>
        <w:rPr>
          <w:rFonts w:eastAsia="Times New Roman" w:cs="Arial"/>
          <w:b/>
          <w:szCs w:val="32"/>
          <w:lang w:val="es-ES"/>
        </w:rPr>
      </w:pPr>
      <w:bookmarkStart w:id="275" w:name="_Toc522869315"/>
      <w:bookmarkStart w:id="276" w:name="_Toc526757534"/>
      <w:bookmarkStart w:id="277" w:name="_Toc22021999"/>
      <w:bookmarkStart w:id="278" w:name="_Toc22983244"/>
      <w:r w:rsidRPr="00D868AB">
        <w:rPr>
          <w:rFonts w:eastAsia="Times New Roman" w:cs="Arial"/>
          <w:b/>
          <w:szCs w:val="32"/>
          <w:lang w:val="es-ES"/>
        </w:rPr>
        <w:t>DEL PRESUPUESTO BASADO EN RESULTADOS</w:t>
      </w:r>
      <w:bookmarkEnd w:id="273"/>
      <w:bookmarkEnd w:id="274"/>
      <w:bookmarkEnd w:id="275"/>
      <w:bookmarkEnd w:id="276"/>
      <w:bookmarkEnd w:id="277"/>
      <w:bookmarkEnd w:id="278"/>
    </w:p>
    <w:p w14:paraId="34BE3AF0" w14:textId="77777777" w:rsidR="00D868AB" w:rsidRPr="00D868AB" w:rsidRDefault="00D868AB" w:rsidP="00D868AB">
      <w:pPr>
        <w:jc w:val="center"/>
        <w:rPr>
          <w:rFonts w:eastAsia="Times New Roman" w:cs="Arial"/>
          <w:b/>
          <w:lang w:val="es-ES"/>
        </w:rPr>
      </w:pPr>
      <w:bookmarkStart w:id="279" w:name="_Toc522869316"/>
      <w:bookmarkStart w:id="280" w:name="_Toc526757535"/>
      <w:bookmarkStart w:id="281" w:name="_Toc22022000"/>
      <w:bookmarkStart w:id="282" w:name="_Toc22983245"/>
      <w:bookmarkStart w:id="283" w:name="_Toc465292962"/>
      <w:bookmarkStart w:id="284" w:name="_Toc465292890"/>
      <w:r w:rsidRPr="00D868AB">
        <w:rPr>
          <w:rFonts w:eastAsia="Times New Roman" w:cs="Arial"/>
          <w:b/>
          <w:lang w:val="es-ES"/>
        </w:rPr>
        <w:t>CAPÍTULO</w:t>
      </w:r>
      <w:bookmarkEnd w:id="279"/>
      <w:bookmarkEnd w:id="280"/>
      <w:bookmarkEnd w:id="281"/>
      <w:bookmarkEnd w:id="282"/>
      <w:r w:rsidRPr="00D868AB">
        <w:rPr>
          <w:rFonts w:eastAsia="Times New Roman" w:cs="Arial"/>
          <w:b/>
          <w:lang w:val="es-ES"/>
        </w:rPr>
        <w:t xml:space="preserve"> I</w:t>
      </w:r>
    </w:p>
    <w:p w14:paraId="00E7CD87" w14:textId="77777777" w:rsidR="00D868AB" w:rsidRPr="00D868AB" w:rsidRDefault="00D868AB" w:rsidP="00D868AB">
      <w:pPr>
        <w:jc w:val="center"/>
        <w:rPr>
          <w:rFonts w:eastAsia="Times New Roman" w:cs="Arial"/>
          <w:b/>
          <w:lang w:val="es-ES"/>
        </w:rPr>
      </w:pPr>
      <w:bookmarkStart w:id="285" w:name="_Toc522869317"/>
      <w:bookmarkStart w:id="286" w:name="_Toc526757536"/>
      <w:bookmarkStart w:id="287" w:name="_Toc22022001"/>
      <w:bookmarkStart w:id="288" w:name="_Toc22983246"/>
      <w:r w:rsidRPr="00D868AB">
        <w:rPr>
          <w:rFonts w:eastAsia="Times New Roman" w:cs="Arial"/>
          <w:b/>
          <w:lang w:val="es-ES"/>
        </w:rPr>
        <w:t>DISPOSICIONES GENERALES</w:t>
      </w:r>
      <w:bookmarkEnd w:id="283"/>
      <w:bookmarkEnd w:id="284"/>
      <w:bookmarkEnd w:id="285"/>
      <w:bookmarkEnd w:id="286"/>
      <w:bookmarkEnd w:id="287"/>
      <w:bookmarkEnd w:id="288"/>
    </w:p>
    <w:p w14:paraId="57C45A55" w14:textId="77777777" w:rsidR="00D868AB" w:rsidRPr="00D868AB" w:rsidRDefault="00D868AB" w:rsidP="00D868AB">
      <w:pPr>
        <w:jc w:val="center"/>
        <w:rPr>
          <w:rFonts w:cs="Arial"/>
          <w:b/>
          <w:bCs/>
        </w:rPr>
      </w:pPr>
    </w:p>
    <w:p w14:paraId="22CA41C1" w14:textId="77777777" w:rsidR="00D868AB" w:rsidRPr="00D868AB" w:rsidRDefault="00D868AB" w:rsidP="00D868AB">
      <w:pPr>
        <w:rPr>
          <w:rFonts w:cs="Arial"/>
        </w:rPr>
      </w:pPr>
      <w:r w:rsidRPr="00D868AB">
        <w:rPr>
          <w:rFonts w:cs="Arial"/>
          <w:b/>
          <w:bCs/>
        </w:rPr>
        <w:t xml:space="preserve">Artículo 84. </w:t>
      </w:r>
      <w:r w:rsidRPr="00D868AB">
        <w:rPr>
          <w:rFonts w:cs="Arial"/>
        </w:rPr>
        <w:t>El Presupuesto de Egresos para el Ejercicio Fiscal 2023 está orientado a satisfacer las necesidades sociales de interés colectivo, atendiendo a las prioridades y se distribuye de la siguiente manera:</w:t>
      </w:r>
    </w:p>
    <w:p w14:paraId="44494402" w14:textId="77777777" w:rsidR="00D868AB" w:rsidRPr="00D868AB" w:rsidRDefault="00D868AB" w:rsidP="00D868AB">
      <w:pPr>
        <w:keepNext/>
        <w:keepLines/>
        <w:outlineLvl w:val="2"/>
        <w:rPr>
          <w:rFonts w:eastAsia="Times New Roman" w:cs="Times New Roman"/>
          <w:b/>
          <w:szCs w:val="24"/>
          <w:lang w:val="es-ES"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
        <w:gridCol w:w="5457"/>
        <w:gridCol w:w="1468"/>
      </w:tblGrid>
      <w:tr w:rsidR="00D868AB" w:rsidRPr="00D868AB" w14:paraId="51F48D9B" w14:textId="77777777" w:rsidTr="00A755A7">
        <w:trPr>
          <w:trHeight w:val="227"/>
          <w:tblHeader/>
          <w:jc w:val="center"/>
        </w:trPr>
        <w:tc>
          <w:tcPr>
            <w:tcW w:w="7371" w:type="dxa"/>
            <w:gridSpan w:val="3"/>
            <w:tcBorders>
              <w:top w:val="nil"/>
              <w:left w:val="nil"/>
              <w:bottom w:val="single" w:sz="4" w:space="0" w:color="auto"/>
              <w:right w:val="nil"/>
            </w:tcBorders>
            <w:shd w:val="clear" w:color="auto" w:fill="auto"/>
            <w:vAlign w:val="center"/>
          </w:tcPr>
          <w:p w14:paraId="49C2D1B9" w14:textId="77777777" w:rsidR="00D868AB" w:rsidRPr="00D868AB" w:rsidRDefault="00D868AB" w:rsidP="00D868AB">
            <w:pPr>
              <w:jc w:val="center"/>
              <w:rPr>
                <w:rFonts w:cs="Arial"/>
                <w:b/>
                <w:sz w:val="20"/>
                <w:lang w:val="es-ES"/>
              </w:rPr>
            </w:pPr>
            <w:bookmarkStart w:id="289" w:name="_Toc522869318"/>
            <w:bookmarkStart w:id="290" w:name="_Toc526757537"/>
            <w:bookmarkStart w:id="291" w:name="_Toc22022002"/>
            <w:r w:rsidRPr="00D868AB">
              <w:rPr>
                <w:rFonts w:eastAsia="Times New Roman" w:cs="Arial"/>
                <w:b/>
                <w:sz w:val="20"/>
                <w:lang w:val="es-ES"/>
              </w:rPr>
              <w:t xml:space="preserve">Tabla 60. Ejes Estratégicos </w:t>
            </w:r>
            <w:bookmarkEnd w:id="289"/>
            <w:bookmarkEnd w:id="290"/>
            <w:bookmarkEnd w:id="291"/>
          </w:p>
        </w:tc>
      </w:tr>
      <w:tr w:rsidR="00D868AB" w:rsidRPr="00D868AB" w14:paraId="3FADF25C" w14:textId="77777777" w:rsidTr="00A755A7">
        <w:trPr>
          <w:trHeight w:val="227"/>
          <w:tblHeader/>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2DE966A0" w14:textId="77777777" w:rsidR="00D868AB" w:rsidRPr="00D868AB" w:rsidRDefault="00D868AB" w:rsidP="00D868AB">
            <w:pPr>
              <w:jc w:val="center"/>
              <w:rPr>
                <w:rFonts w:cs="Arial"/>
                <w:b/>
                <w:sz w:val="18"/>
                <w:lang w:val="es-ES"/>
              </w:rPr>
            </w:pPr>
          </w:p>
        </w:tc>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12D081" w14:textId="77777777" w:rsidR="00D868AB" w:rsidRPr="00D868AB" w:rsidRDefault="00D868AB" w:rsidP="00D868AB">
            <w:pPr>
              <w:jc w:val="center"/>
              <w:rPr>
                <w:rFonts w:cs="Arial"/>
                <w:b/>
                <w:sz w:val="18"/>
                <w:lang w:val="es-ES"/>
              </w:rPr>
            </w:pPr>
            <w:r w:rsidRPr="00D868AB">
              <w:rPr>
                <w:rFonts w:cs="Arial"/>
                <w:b/>
                <w:sz w:val="18"/>
                <w:lang w:val="es-ES"/>
              </w:rPr>
              <w:t>Eje de Política del Plan Estatal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5D089" w14:textId="77777777" w:rsidR="00D868AB" w:rsidRPr="00D868AB" w:rsidRDefault="00D868AB" w:rsidP="00D868AB">
            <w:pPr>
              <w:jc w:val="center"/>
              <w:rPr>
                <w:rFonts w:cs="Arial"/>
                <w:b/>
                <w:sz w:val="18"/>
                <w:lang w:val="es-ES"/>
              </w:rPr>
            </w:pPr>
            <w:r w:rsidRPr="00D868AB">
              <w:rPr>
                <w:rFonts w:cs="Arial"/>
                <w:b/>
                <w:sz w:val="18"/>
                <w:lang w:val="es-ES"/>
              </w:rPr>
              <w:t>Asignación Presupuestal</w:t>
            </w:r>
          </w:p>
        </w:tc>
      </w:tr>
      <w:tr w:rsidR="00D868AB" w:rsidRPr="00D868AB" w14:paraId="7D54BCBE" w14:textId="77777777" w:rsidTr="00A755A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0F377E0E" w14:textId="77777777" w:rsidR="00D868AB" w:rsidRPr="00D868AB" w:rsidRDefault="00D868AB" w:rsidP="00D868AB">
            <w:pPr>
              <w:jc w:val="center"/>
              <w:rPr>
                <w:rFonts w:cs="Arial"/>
                <w:sz w:val="18"/>
                <w:szCs w:val="18"/>
                <w:lang w:val="es-ES"/>
              </w:rPr>
            </w:pPr>
            <w:r w:rsidRPr="00D868AB">
              <w:rPr>
                <w:rFonts w:cs="Arial"/>
                <w:color w:val="000000"/>
                <w:sz w:val="18"/>
                <w:szCs w:val="18"/>
              </w:rPr>
              <w:t>1</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EEB8F43" w14:textId="77777777" w:rsidR="00D868AB" w:rsidRPr="00D868AB" w:rsidRDefault="00D868AB" w:rsidP="00D868AB">
            <w:pPr>
              <w:rPr>
                <w:rFonts w:cs="Arial"/>
                <w:sz w:val="18"/>
                <w:szCs w:val="18"/>
                <w:lang w:val="es-ES"/>
              </w:rPr>
            </w:pPr>
            <w:r w:rsidRPr="00D868AB">
              <w:rPr>
                <w:rFonts w:cs="Arial"/>
                <w:sz w:val="18"/>
                <w:szCs w:val="18"/>
              </w:rPr>
              <w:t>Bienestar para Todas y Todos.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E3F5AE" w14:textId="77777777" w:rsidR="00D868AB" w:rsidRPr="00D868AB" w:rsidRDefault="00D868AB" w:rsidP="00D868AB">
            <w:pPr>
              <w:jc w:val="right"/>
              <w:rPr>
                <w:rFonts w:cs="Arial"/>
                <w:sz w:val="18"/>
                <w:szCs w:val="18"/>
                <w:lang w:val="es-ES"/>
              </w:rPr>
            </w:pPr>
            <w:r w:rsidRPr="00D868AB">
              <w:rPr>
                <w:rFonts w:cs="Arial"/>
                <w:color w:val="000000"/>
                <w:sz w:val="18"/>
                <w:szCs w:val="18"/>
              </w:rPr>
              <w:t>11,480,645,422</w:t>
            </w:r>
          </w:p>
        </w:tc>
      </w:tr>
      <w:tr w:rsidR="00D868AB" w:rsidRPr="00D868AB" w14:paraId="15285184" w14:textId="77777777" w:rsidTr="00A755A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36D9CF7E" w14:textId="77777777" w:rsidR="00D868AB" w:rsidRPr="00D868AB" w:rsidRDefault="00D868AB" w:rsidP="00D868AB">
            <w:pPr>
              <w:jc w:val="center"/>
              <w:rPr>
                <w:rFonts w:cs="Arial"/>
                <w:sz w:val="18"/>
                <w:szCs w:val="18"/>
                <w:lang w:val="es-ES"/>
              </w:rPr>
            </w:pPr>
            <w:r w:rsidRPr="00D868AB">
              <w:rPr>
                <w:rFonts w:cs="Arial"/>
                <w:color w:val="000000"/>
                <w:sz w:val="18"/>
                <w:szCs w:val="18"/>
              </w:rPr>
              <w:t>2</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5CF9E206" w14:textId="77777777" w:rsidR="00D868AB" w:rsidRPr="00D868AB" w:rsidRDefault="00D868AB" w:rsidP="00D868AB">
            <w:pPr>
              <w:rPr>
                <w:rFonts w:cs="Arial"/>
                <w:sz w:val="18"/>
                <w:szCs w:val="18"/>
                <w:lang w:val="es-ES"/>
              </w:rPr>
            </w:pPr>
            <w:r w:rsidRPr="00D868AB">
              <w:rPr>
                <w:rFonts w:cs="Arial"/>
                <w:sz w:val="18"/>
                <w:szCs w:val="18"/>
              </w:rPr>
              <w:t>Economía para el Bienestar.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60E46E" w14:textId="77777777" w:rsidR="00D868AB" w:rsidRPr="00D868AB" w:rsidRDefault="00D868AB" w:rsidP="00D868AB">
            <w:pPr>
              <w:jc w:val="right"/>
              <w:rPr>
                <w:rFonts w:cs="Arial"/>
                <w:sz w:val="18"/>
                <w:szCs w:val="18"/>
                <w:lang w:val="es-ES"/>
              </w:rPr>
            </w:pPr>
            <w:r w:rsidRPr="00D868AB">
              <w:rPr>
                <w:rFonts w:cs="Arial"/>
                <w:color w:val="000000"/>
                <w:sz w:val="18"/>
                <w:szCs w:val="18"/>
              </w:rPr>
              <w:t>249,047,992</w:t>
            </w:r>
          </w:p>
        </w:tc>
      </w:tr>
      <w:tr w:rsidR="00D868AB" w:rsidRPr="00D868AB" w14:paraId="235A1BD5" w14:textId="77777777" w:rsidTr="00A755A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46CBEAAD" w14:textId="77777777" w:rsidR="00D868AB" w:rsidRPr="00D868AB" w:rsidRDefault="00D868AB" w:rsidP="00D868AB">
            <w:pPr>
              <w:jc w:val="center"/>
              <w:rPr>
                <w:rFonts w:cs="Arial"/>
                <w:sz w:val="18"/>
                <w:szCs w:val="18"/>
                <w:lang w:val="es-ES"/>
              </w:rPr>
            </w:pPr>
            <w:r w:rsidRPr="00D868AB">
              <w:rPr>
                <w:rFonts w:cs="Arial"/>
                <w:color w:val="000000"/>
                <w:sz w:val="18"/>
                <w:szCs w:val="18"/>
              </w:rPr>
              <w:t>3</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17F6D1C1" w14:textId="77777777" w:rsidR="00D868AB" w:rsidRPr="00D868AB" w:rsidRDefault="00D868AB" w:rsidP="00D868AB">
            <w:pPr>
              <w:rPr>
                <w:rFonts w:cs="Arial"/>
                <w:sz w:val="18"/>
                <w:szCs w:val="18"/>
                <w:lang w:val="es-ES"/>
              </w:rPr>
            </w:pPr>
            <w:r w:rsidRPr="00D868AB">
              <w:rPr>
                <w:rFonts w:cs="Arial"/>
                <w:sz w:val="18"/>
                <w:szCs w:val="18"/>
              </w:rPr>
              <w:t>Sembrar la Paz.</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D9A9F5" w14:textId="77777777" w:rsidR="00D868AB" w:rsidRPr="00D868AB" w:rsidRDefault="00D868AB" w:rsidP="00D868AB">
            <w:pPr>
              <w:jc w:val="right"/>
              <w:rPr>
                <w:rFonts w:cs="Arial"/>
                <w:sz w:val="18"/>
                <w:szCs w:val="18"/>
                <w:lang w:val="es-ES"/>
              </w:rPr>
            </w:pPr>
            <w:r w:rsidRPr="00D868AB">
              <w:rPr>
                <w:rFonts w:cs="Arial"/>
                <w:color w:val="000000"/>
                <w:sz w:val="18"/>
                <w:szCs w:val="18"/>
              </w:rPr>
              <w:t>2,196,218,289</w:t>
            </w:r>
          </w:p>
        </w:tc>
      </w:tr>
      <w:tr w:rsidR="00D868AB" w:rsidRPr="00D868AB" w14:paraId="3CD31487" w14:textId="77777777" w:rsidTr="00A755A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52EA8FB9" w14:textId="77777777" w:rsidR="00D868AB" w:rsidRPr="00D868AB" w:rsidRDefault="00D868AB" w:rsidP="00D868AB">
            <w:pPr>
              <w:jc w:val="center"/>
              <w:rPr>
                <w:rFonts w:cs="Arial"/>
                <w:sz w:val="18"/>
                <w:szCs w:val="18"/>
                <w:lang w:val="es-ES"/>
              </w:rPr>
            </w:pPr>
            <w:r w:rsidRPr="00D868AB">
              <w:rPr>
                <w:rFonts w:cs="Arial"/>
                <w:color w:val="000000"/>
                <w:sz w:val="18"/>
                <w:szCs w:val="18"/>
              </w:rPr>
              <w:t>4</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0B9881C7" w14:textId="77777777" w:rsidR="00D868AB" w:rsidRPr="00D868AB" w:rsidRDefault="00D868AB" w:rsidP="00D868AB">
            <w:pPr>
              <w:rPr>
                <w:rFonts w:cs="Arial"/>
                <w:sz w:val="18"/>
                <w:szCs w:val="18"/>
                <w:lang w:val="es-ES"/>
              </w:rPr>
            </w:pPr>
            <w:r w:rsidRPr="00D868AB">
              <w:rPr>
                <w:rFonts w:cs="Arial"/>
                <w:sz w:val="18"/>
                <w:szCs w:val="18"/>
              </w:rPr>
              <w:t>Colima Nuestro Hogar.</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B77366" w14:textId="77777777" w:rsidR="00D868AB" w:rsidRPr="00D868AB" w:rsidRDefault="00D868AB" w:rsidP="00D868AB">
            <w:pPr>
              <w:jc w:val="right"/>
              <w:rPr>
                <w:rFonts w:cs="Arial"/>
                <w:sz w:val="18"/>
                <w:szCs w:val="18"/>
                <w:lang w:val="es-ES"/>
              </w:rPr>
            </w:pPr>
            <w:r w:rsidRPr="00D868AB">
              <w:rPr>
                <w:rFonts w:cs="Arial"/>
                <w:color w:val="000000"/>
                <w:sz w:val="18"/>
                <w:szCs w:val="18"/>
              </w:rPr>
              <w:t>262,534,243</w:t>
            </w:r>
          </w:p>
        </w:tc>
      </w:tr>
      <w:tr w:rsidR="00D868AB" w:rsidRPr="00D868AB" w14:paraId="073F169E" w14:textId="77777777" w:rsidTr="00A755A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14:paraId="08C75E48" w14:textId="77777777" w:rsidR="00D868AB" w:rsidRPr="00D868AB" w:rsidRDefault="00D868AB" w:rsidP="00D868AB">
            <w:pPr>
              <w:jc w:val="center"/>
              <w:rPr>
                <w:rFonts w:cs="Arial"/>
                <w:sz w:val="18"/>
                <w:szCs w:val="18"/>
                <w:lang w:val="es-ES"/>
              </w:rPr>
            </w:pPr>
            <w:r w:rsidRPr="00D868AB">
              <w:rPr>
                <w:rFonts w:cs="Arial"/>
                <w:color w:val="000000"/>
                <w:sz w:val="18"/>
                <w:szCs w:val="18"/>
                <w:lang w:val="es-ES"/>
              </w:rPr>
              <w:t>5</w:t>
            </w:r>
          </w:p>
        </w:tc>
        <w:tc>
          <w:tcPr>
            <w:tcW w:w="5457" w:type="dxa"/>
            <w:tcBorders>
              <w:top w:val="single" w:sz="4" w:space="0" w:color="auto"/>
              <w:left w:val="single" w:sz="4" w:space="0" w:color="auto"/>
              <w:bottom w:val="single" w:sz="4" w:space="0" w:color="auto"/>
              <w:right w:val="single" w:sz="4" w:space="0" w:color="auto"/>
            </w:tcBorders>
            <w:shd w:val="clear" w:color="auto" w:fill="auto"/>
          </w:tcPr>
          <w:p w14:paraId="63789E76" w14:textId="77777777" w:rsidR="00D868AB" w:rsidRPr="00D868AB" w:rsidRDefault="00D868AB" w:rsidP="00D868AB">
            <w:pPr>
              <w:rPr>
                <w:rFonts w:cs="Arial"/>
                <w:sz w:val="18"/>
                <w:szCs w:val="18"/>
                <w:lang w:val="es-ES"/>
              </w:rPr>
            </w:pPr>
            <w:r w:rsidRPr="00D868AB">
              <w:rPr>
                <w:rFonts w:cs="Arial"/>
                <w:sz w:val="18"/>
                <w:szCs w:val="18"/>
              </w:rPr>
              <w:t>Gobierno Honesto y Transparente.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63F873" w14:textId="77777777" w:rsidR="00D868AB" w:rsidRPr="00D868AB" w:rsidRDefault="00D868AB" w:rsidP="00D868AB">
            <w:pPr>
              <w:jc w:val="right"/>
              <w:rPr>
                <w:rFonts w:cs="Arial"/>
                <w:sz w:val="18"/>
                <w:szCs w:val="18"/>
                <w:lang w:val="es-ES"/>
              </w:rPr>
            </w:pPr>
            <w:r w:rsidRPr="00D868AB">
              <w:rPr>
                <w:rFonts w:cs="Arial"/>
                <w:color w:val="000000"/>
                <w:sz w:val="18"/>
                <w:szCs w:val="18"/>
              </w:rPr>
              <w:t>6,366,854,054</w:t>
            </w:r>
          </w:p>
        </w:tc>
      </w:tr>
      <w:tr w:rsidR="00D868AB" w:rsidRPr="00D868AB" w14:paraId="5620D868" w14:textId="77777777" w:rsidTr="00A755A7">
        <w:trPr>
          <w:trHeight w:val="227"/>
          <w:jc w:val="center"/>
        </w:trPr>
        <w:tc>
          <w:tcPr>
            <w:tcW w:w="497" w:type="dxa"/>
            <w:tcBorders>
              <w:top w:val="single" w:sz="4" w:space="0" w:color="auto"/>
              <w:left w:val="single" w:sz="4" w:space="0" w:color="auto"/>
              <w:bottom w:val="single" w:sz="4" w:space="0" w:color="auto"/>
              <w:right w:val="single" w:sz="4" w:space="0" w:color="auto"/>
            </w:tcBorders>
            <w:shd w:val="clear" w:color="auto" w:fill="auto"/>
          </w:tcPr>
          <w:p w14:paraId="1A535FC7" w14:textId="77777777" w:rsidR="00D868AB" w:rsidRPr="00D868AB" w:rsidRDefault="00D868AB" w:rsidP="00D868AB">
            <w:pPr>
              <w:jc w:val="center"/>
              <w:rPr>
                <w:rFonts w:cs="Arial"/>
                <w:b/>
                <w:sz w:val="18"/>
                <w:szCs w:val="18"/>
                <w:lang w:val="es-ES"/>
              </w:rPr>
            </w:pPr>
          </w:p>
        </w:tc>
        <w:tc>
          <w:tcPr>
            <w:tcW w:w="54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E0780" w14:textId="77777777" w:rsidR="00D868AB" w:rsidRPr="00D868AB" w:rsidRDefault="00D868AB" w:rsidP="00D868AB">
            <w:pPr>
              <w:jc w:val="center"/>
              <w:rPr>
                <w:rFonts w:cs="Arial"/>
                <w:b/>
                <w:sz w:val="18"/>
                <w:szCs w:val="18"/>
                <w:lang w:val="es-ES"/>
              </w:rPr>
            </w:pPr>
            <w:r w:rsidRPr="00D868AB">
              <w:rPr>
                <w:rFonts w:cs="Arial"/>
                <w:b/>
                <w:sz w:val="18"/>
                <w:szCs w:val="18"/>
                <w:lang w:val="es-ES"/>
              </w:rPr>
              <w:t>Total</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C2616F"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20,555,300,000</w:t>
            </w:r>
          </w:p>
        </w:tc>
      </w:tr>
    </w:tbl>
    <w:p w14:paraId="451AFC00" w14:textId="77777777" w:rsidR="00D868AB" w:rsidRPr="00D868AB" w:rsidRDefault="00D868AB" w:rsidP="00D868AB">
      <w:pPr>
        <w:keepNext/>
        <w:keepLines/>
        <w:outlineLvl w:val="2"/>
        <w:rPr>
          <w:rFonts w:eastAsia="Times New Roman" w:cs="Times New Roman"/>
          <w:b/>
          <w:szCs w:val="24"/>
          <w:lang w:val="es-ES" w:eastAsia="en-US"/>
        </w:rPr>
      </w:pPr>
    </w:p>
    <w:tbl>
      <w:tblPr>
        <w:tblW w:w="9674" w:type="dxa"/>
        <w:jc w:val="center"/>
        <w:tblLayout w:type="fixed"/>
        <w:tblCellMar>
          <w:left w:w="70" w:type="dxa"/>
          <w:right w:w="70" w:type="dxa"/>
        </w:tblCellMar>
        <w:tblLook w:val="04A0" w:firstRow="1" w:lastRow="0" w:firstColumn="1" w:lastColumn="0" w:noHBand="0" w:noVBand="1"/>
      </w:tblPr>
      <w:tblGrid>
        <w:gridCol w:w="426"/>
        <w:gridCol w:w="921"/>
        <w:gridCol w:w="922"/>
        <w:gridCol w:w="850"/>
        <w:gridCol w:w="851"/>
        <w:gridCol w:w="850"/>
        <w:gridCol w:w="993"/>
        <w:gridCol w:w="708"/>
        <w:gridCol w:w="709"/>
        <w:gridCol w:w="709"/>
        <w:gridCol w:w="850"/>
        <w:gridCol w:w="851"/>
        <w:gridCol w:w="34"/>
      </w:tblGrid>
      <w:tr w:rsidR="00D868AB" w:rsidRPr="00D868AB" w14:paraId="0A664DFA" w14:textId="77777777" w:rsidTr="00A755A7">
        <w:trPr>
          <w:trHeight w:val="20"/>
          <w:tblHeader/>
          <w:jc w:val="center"/>
        </w:trPr>
        <w:tc>
          <w:tcPr>
            <w:tcW w:w="9674" w:type="dxa"/>
            <w:gridSpan w:val="13"/>
            <w:tcBorders>
              <w:bottom w:val="single" w:sz="4" w:space="0" w:color="auto"/>
            </w:tcBorders>
            <w:shd w:val="clear" w:color="auto" w:fill="auto"/>
            <w:vAlign w:val="center"/>
          </w:tcPr>
          <w:p w14:paraId="37426D42" w14:textId="77777777" w:rsidR="00D868AB" w:rsidRPr="00D868AB" w:rsidRDefault="00D868AB" w:rsidP="00D868AB">
            <w:pPr>
              <w:jc w:val="center"/>
              <w:rPr>
                <w:rFonts w:eastAsia="Times New Roman" w:cs="Arial"/>
                <w:b/>
                <w:bCs/>
                <w:color w:val="000000"/>
                <w:sz w:val="12"/>
                <w:szCs w:val="12"/>
              </w:rPr>
            </w:pPr>
            <w:r w:rsidRPr="00D868AB">
              <w:rPr>
                <w:rFonts w:eastAsia="Times New Roman" w:cs="Arial"/>
                <w:b/>
                <w:sz w:val="20"/>
                <w:lang w:val="es-ES"/>
              </w:rPr>
              <w:t>Tabla 61. Programas Presupuestarios por Objeto del Gasto</w:t>
            </w:r>
          </w:p>
        </w:tc>
      </w:tr>
      <w:tr w:rsidR="00D868AB" w:rsidRPr="00D868AB" w14:paraId="49E6FAF7" w14:textId="77777777" w:rsidTr="00A755A7">
        <w:trPr>
          <w:gridAfter w:val="1"/>
          <w:wAfter w:w="34" w:type="dxa"/>
          <w:trHeight w:val="360"/>
          <w:jc w:val="center"/>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CA30DC" w14:textId="77777777" w:rsidR="00D868AB" w:rsidRPr="00D868AB" w:rsidRDefault="00D868AB" w:rsidP="00D868AB">
            <w:pPr>
              <w:jc w:val="center"/>
              <w:rPr>
                <w:rFonts w:eastAsia="Times New Roman" w:cs="Arial"/>
                <w:b/>
                <w:bCs/>
                <w:color w:val="000000"/>
                <w:sz w:val="9"/>
                <w:szCs w:val="9"/>
              </w:rPr>
            </w:pPr>
            <w:r w:rsidRPr="00D868AB">
              <w:rPr>
                <w:rFonts w:eastAsia="Times New Roman" w:cs="Arial"/>
                <w:b/>
                <w:bCs/>
                <w:color w:val="000000"/>
                <w:sz w:val="9"/>
                <w:szCs w:val="9"/>
              </w:rPr>
              <w:t>Clave</w:t>
            </w:r>
          </w:p>
        </w:tc>
        <w:tc>
          <w:tcPr>
            <w:tcW w:w="921" w:type="dxa"/>
            <w:tcBorders>
              <w:top w:val="single" w:sz="4" w:space="0" w:color="auto"/>
              <w:left w:val="nil"/>
              <w:bottom w:val="single" w:sz="4" w:space="0" w:color="auto"/>
              <w:right w:val="single" w:sz="4" w:space="0" w:color="auto"/>
            </w:tcBorders>
            <w:shd w:val="clear" w:color="auto" w:fill="auto"/>
            <w:vAlign w:val="center"/>
            <w:hideMark/>
          </w:tcPr>
          <w:p w14:paraId="14C134E0" w14:textId="77777777" w:rsidR="00D868AB" w:rsidRPr="00D868AB" w:rsidRDefault="00D868AB" w:rsidP="00D868AB">
            <w:pPr>
              <w:jc w:val="center"/>
              <w:rPr>
                <w:rFonts w:eastAsia="Times New Roman" w:cs="Arial"/>
                <w:b/>
                <w:bCs/>
                <w:color w:val="000000"/>
                <w:sz w:val="9"/>
                <w:szCs w:val="9"/>
              </w:rPr>
            </w:pPr>
            <w:r w:rsidRPr="00D868AB">
              <w:rPr>
                <w:rFonts w:eastAsia="Times New Roman" w:cs="Arial"/>
                <w:b/>
                <w:bCs/>
                <w:color w:val="000000"/>
                <w:sz w:val="9"/>
                <w:szCs w:val="9"/>
              </w:rPr>
              <w:t>Programa Presupuestario</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53163DC1"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Asignación Presupuestal</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174C00CA"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10000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59C6F988"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20000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415FC06E"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30000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16616A1"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40000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47EC9BA"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50000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F0D90A0"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60000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67242D6"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70000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87AD720"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80000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6B9B8FC2"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90000</w:t>
            </w:r>
          </w:p>
        </w:tc>
      </w:tr>
      <w:tr w:rsidR="00D868AB" w:rsidRPr="00D868AB" w14:paraId="6238266F"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D36A860"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2</w:t>
            </w:r>
          </w:p>
        </w:tc>
        <w:tc>
          <w:tcPr>
            <w:tcW w:w="921" w:type="dxa"/>
            <w:tcBorders>
              <w:top w:val="nil"/>
              <w:left w:val="nil"/>
              <w:bottom w:val="single" w:sz="4" w:space="0" w:color="auto"/>
              <w:right w:val="single" w:sz="4" w:space="0" w:color="auto"/>
            </w:tcBorders>
            <w:shd w:val="clear" w:color="auto" w:fill="auto"/>
            <w:vAlign w:val="center"/>
            <w:hideMark/>
          </w:tcPr>
          <w:p w14:paraId="74E65220"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Salud.</w:t>
            </w:r>
          </w:p>
        </w:tc>
        <w:tc>
          <w:tcPr>
            <w:tcW w:w="922" w:type="dxa"/>
            <w:tcBorders>
              <w:top w:val="nil"/>
              <w:left w:val="nil"/>
              <w:bottom w:val="single" w:sz="4" w:space="0" w:color="auto"/>
              <w:right w:val="single" w:sz="4" w:space="0" w:color="auto"/>
            </w:tcBorders>
            <w:shd w:val="clear" w:color="auto" w:fill="auto"/>
            <w:vAlign w:val="center"/>
            <w:hideMark/>
          </w:tcPr>
          <w:p w14:paraId="42E97B01"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2,278,923,012</w:t>
            </w:r>
          </w:p>
        </w:tc>
        <w:tc>
          <w:tcPr>
            <w:tcW w:w="850" w:type="dxa"/>
            <w:tcBorders>
              <w:top w:val="nil"/>
              <w:left w:val="nil"/>
              <w:bottom w:val="single" w:sz="4" w:space="0" w:color="auto"/>
              <w:right w:val="single" w:sz="4" w:space="0" w:color="auto"/>
            </w:tcBorders>
            <w:shd w:val="clear" w:color="auto" w:fill="auto"/>
            <w:vAlign w:val="center"/>
            <w:hideMark/>
          </w:tcPr>
          <w:p w14:paraId="1220A61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97,892,993</w:t>
            </w:r>
          </w:p>
        </w:tc>
        <w:tc>
          <w:tcPr>
            <w:tcW w:w="851" w:type="dxa"/>
            <w:tcBorders>
              <w:top w:val="nil"/>
              <w:left w:val="nil"/>
              <w:bottom w:val="single" w:sz="4" w:space="0" w:color="auto"/>
              <w:right w:val="single" w:sz="4" w:space="0" w:color="auto"/>
            </w:tcBorders>
            <w:shd w:val="clear" w:color="auto" w:fill="auto"/>
            <w:vAlign w:val="center"/>
            <w:hideMark/>
          </w:tcPr>
          <w:p w14:paraId="098F7F5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10,330,000</w:t>
            </w:r>
          </w:p>
        </w:tc>
        <w:tc>
          <w:tcPr>
            <w:tcW w:w="850" w:type="dxa"/>
            <w:tcBorders>
              <w:top w:val="nil"/>
              <w:left w:val="nil"/>
              <w:bottom w:val="single" w:sz="4" w:space="0" w:color="auto"/>
              <w:right w:val="single" w:sz="4" w:space="0" w:color="auto"/>
            </w:tcBorders>
            <w:shd w:val="clear" w:color="auto" w:fill="auto"/>
            <w:vAlign w:val="center"/>
            <w:hideMark/>
          </w:tcPr>
          <w:p w14:paraId="61150A0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7F2F0EE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2,170,700,019</w:t>
            </w:r>
          </w:p>
        </w:tc>
        <w:tc>
          <w:tcPr>
            <w:tcW w:w="708" w:type="dxa"/>
            <w:tcBorders>
              <w:top w:val="nil"/>
              <w:left w:val="nil"/>
              <w:bottom w:val="single" w:sz="4" w:space="0" w:color="auto"/>
              <w:right w:val="single" w:sz="4" w:space="0" w:color="auto"/>
            </w:tcBorders>
            <w:shd w:val="clear" w:color="auto" w:fill="auto"/>
            <w:vAlign w:val="center"/>
            <w:hideMark/>
          </w:tcPr>
          <w:p w14:paraId="4B5AA12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EE475A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D81B15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37D99F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487A10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7918098B"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F275B53"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w:t>
            </w:r>
          </w:p>
        </w:tc>
        <w:tc>
          <w:tcPr>
            <w:tcW w:w="921" w:type="dxa"/>
            <w:tcBorders>
              <w:top w:val="nil"/>
              <w:left w:val="nil"/>
              <w:bottom w:val="single" w:sz="4" w:space="0" w:color="auto"/>
              <w:right w:val="single" w:sz="4" w:space="0" w:color="auto"/>
            </w:tcBorders>
            <w:shd w:val="clear" w:color="auto" w:fill="auto"/>
            <w:vAlign w:val="center"/>
            <w:hideMark/>
          </w:tcPr>
          <w:p w14:paraId="43E74150"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Asistencia Privada.</w:t>
            </w:r>
          </w:p>
        </w:tc>
        <w:tc>
          <w:tcPr>
            <w:tcW w:w="922" w:type="dxa"/>
            <w:tcBorders>
              <w:top w:val="nil"/>
              <w:left w:val="nil"/>
              <w:bottom w:val="single" w:sz="4" w:space="0" w:color="auto"/>
              <w:right w:val="single" w:sz="4" w:space="0" w:color="auto"/>
            </w:tcBorders>
            <w:shd w:val="clear" w:color="auto" w:fill="auto"/>
            <w:vAlign w:val="center"/>
            <w:hideMark/>
          </w:tcPr>
          <w:p w14:paraId="19C182D1"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2,068,600</w:t>
            </w:r>
          </w:p>
        </w:tc>
        <w:tc>
          <w:tcPr>
            <w:tcW w:w="850" w:type="dxa"/>
            <w:tcBorders>
              <w:top w:val="nil"/>
              <w:left w:val="nil"/>
              <w:bottom w:val="single" w:sz="4" w:space="0" w:color="auto"/>
              <w:right w:val="single" w:sz="4" w:space="0" w:color="auto"/>
            </w:tcBorders>
            <w:shd w:val="clear" w:color="auto" w:fill="auto"/>
            <w:vAlign w:val="center"/>
            <w:hideMark/>
          </w:tcPr>
          <w:p w14:paraId="2FC43CD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165F687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65384F7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3C4D49B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2,068,600</w:t>
            </w:r>
          </w:p>
        </w:tc>
        <w:tc>
          <w:tcPr>
            <w:tcW w:w="708" w:type="dxa"/>
            <w:tcBorders>
              <w:top w:val="nil"/>
              <w:left w:val="nil"/>
              <w:bottom w:val="single" w:sz="4" w:space="0" w:color="auto"/>
              <w:right w:val="single" w:sz="4" w:space="0" w:color="auto"/>
            </w:tcBorders>
            <w:shd w:val="clear" w:color="auto" w:fill="auto"/>
            <w:vAlign w:val="center"/>
            <w:hideMark/>
          </w:tcPr>
          <w:p w14:paraId="7C11E83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607688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542640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F05327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56E073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5EAE8042"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A3312A8"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4</w:t>
            </w:r>
          </w:p>
        </w:tc>
        <w:tc>
          <w:tcPr>
            <w:tcW w:w="921" w:type="dxa"/>
            <w:tcBorders>
              <w:top w:val="nil"/>
              <w:left w:val="nil"/>
              <w:bottom w:val="single" w:sz="4" w:space="0" w:color="auto"/>
              <w:right w:val="single" w:sz="4" w:space="0" w:color="auto"/>
            </w:tcBorders>
            <w:shd w:val="clear" w:color="auto" w:fill="auto"/>
            <w:vAlign w:val="center"/>
            <w:hideMark/>
          </w:tcPr>
          <w:p w14:paraId="045F85EF"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Participación Social para la Planeación.</w:t>
            </w:r>
          </w:p>
        </w:tc>
        <w:tc>
          <w:tcPr>
            <w:tcW w:w="922" w:type="dxa"/>
            <w:tcBorders>
              <w:top w:val="nil"/>
              <w:left w:val="nil"/>
              <w:bottom w:val="single" w:sz="4" w:space="0" w:color="auto"/>
              <w:right w:val="single" w:sz="4" w:space="0" w:color="auto"/>
            </w:tcBorders>
            <w:shd w:val="clear" w:color="auto" w:fill="auto"/>
            <w:vAlign w:val="center"/>
            <w:hideMark/>
          </w:tcPr>
          <w:p w14:paraId="5FA1DF90"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517,150</w:t>
            </w:r>
          </w:p>
        </w:tc>
        <w:tc>
          <w:tcPr>
            <w:tcW w:w="850" w:type="dxa"/>
            <w:tcBorders>
              <w:top w:val="nil"/>
              <w:left w:val="nil"/>
              <w:bottom w:val="single" w:sz="4" w:space="0" w:color="auto"/>
              <w:right w:val="single" w:sz="4" w:space="0" w:color="auto"/>
            </w:tcBorders>
            <w:shd w:val="clear" w:color="auto" w:fill="auto"/>
            <w:vAlign w:val="center"/>
            <w:hideMark/>
          </w:tcPr>
          <w:p w14:paraId="600A8AE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F808A5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14879E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6478AF1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517,150</w:t>
            </w:r>
          </w:p>
        </w:tc>
        <w:tc>
          <w:tcPr>
            <w:tcW w:w="708" w:type="dxa"/>
            <w:tcBorders>
              <w:top w:val="nil"/>
              <w:left w:val="nil"/>
              <w:bottom w:val="single" w:sz="4" w:space="0" w:color="auto"/>
              <w:right w:val="single" w:sz="4" w:space="0" w:color="auto"/>
            </w:tcBorders>
            <w:shd w:val="clear" w:color="auto" w:fill="auto"/>
            <w:vAlign w:val="center"/>
            <w:hideMark/>
          </w:tcPr>
          <w:p w14:paraId="04E2C77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B0B41E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9ECFA3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2346DC2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7078A06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210F8782"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7B5318"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5</w:t>
            </w:r>
          </w:p>
        </w:tc>
        <w:tc>
          <w:tcPr>
            <w:tcW w:w="921" w:type="dxa"/>
            <w:tcBorders>
              <w:top w:val="nil"/>
              <w:left w:val="nil"/>
              <w:bottom w:val="single" w:sz="4" w:space="0" w:color="auto"/>
              <w:right w:val="single" w:sz="4" w:space="0" w:color="auto"/>
            </w:tcBorders>
            <w:shd w:val="clear" w:color="auto" w:fill="auto"/>
            <w:vAlign w:val="center"/>
            <w:hideMark/>
          </w:tcPr>
          <w:p w14:paraId="012FA7E0"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Bienestar.</w:t>
            </w:r>
          </w:p>
        </w:tc>
        <w:tc>
          <w:tcPr>
            <w:tcW w:w="922" w:type="dxa"/>
            <w:tcBorders>
              <w:top w:val="nil"/>
              <w:left w:val="nil"/>
              <w:bottom w:val="single" w:sz="4" w:space="0" w:color="auto"/>
              <w:right w:val="single" w:sz="4" w:space="0" w:color="auto"/>
            </w:tcBorders>
            <w:shd w:val="clear" w:color="auto" w:fill="auto"/>
            <w:vAlign w:val="center"/>
            <w:hideMark/>
          </w:tcPr>
          <w:p w14:paraId="1C47DBEC"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408,274,211</w:t>
            </w:r>
          </w:p>
        </w:tc>
        <w:tc>
          <w:tcPr>
            <w:tcW w:w="850" w:type="dxa"/>
            <w:tcBorders>
              <w:top w:val="nil"/>
              <w:left w:val="nil"/>
              <w:bottom w:val="single" w:sz="4" w:space="0" w:color="auto"/>
              <w:right w:val="single" w:sz="4" w:space="0" w:color="auto"/>
            </w:tcBorders>
            <w:shd w:val="clear" w:color="auto" w:fill="auto"/>
            <w:vAlign w:val="center"/>
            <w:hideMark/>
          </w:tcPr>
          <w:p w14:paraId="0BCCB24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35,721,391</w:t>
            </w:r>
          </w:p>
        </w:tc>
        <w:tc>
          <w:tcPr>
            <w:tcW w:w="851" w:type="dxa"/>
            <w:tcBorders>
              <w:top w:val="nil"/>
              <w:left w:val="nil"/>
              <w:bottom w:val="single" w:sz="4" w:space="0" w:color="auto"/>
              <w:right w:val="single" w:sz="4" w:space="0" w:color="auto"/>
            </w:tcBorders>
            <w:shd w:val="clear" w:color="auto" w:fill="auto"/>
            <w:vAlign w:val="center"/>
            <w:hideMark/>
          </w:tcPr>
          <w:p w14:paraId="46DFD59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1,299,496</w:t>
            </w:r>
          </w:p>
        </w:tc>
        <w:tc>
          <w:tcPr>
            <w:tcW w:w="850" w:type="dxa"/>
            <w:tcBorders>
              <w:top w:val="nil"/>
              <w:left w:val="nil"/>
              <w:bottom w:val="single" w:sz="4" w:space="0" w:color="auto"/>
              <w:right w:val="single" w:sz="4" w:space="0" w:color="auto"/>
            </w:tcBorders>
            <w:shd w:val="clear" w:color="auto" w:fill="auto"/>
            <w:vAlign w:val="center"/>
            <w:hideMark/>
          </w:tcPr>
          <w:p w14:paraId="1413211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1,633,204</w:t>
            </w:r>
          </w:p>
        </w:tc>
        <w:tc>
          <w:tcPr>
            <w:tcW w:w="993" w:type="dxa"/>
            <w:tcBorders>
              <w:top w:val="nil"/>
              <w:left w:val="nil"/>
              <w:bottom w:val="single" w:sz="4" w:space="0" w:color="auto"/>
              <w:right w:val="single" w:sz="4" w:space="0" w:color="auto"/>
            </w:tcBorders>
            <w:shd w:val="clear" w:color="auto" w:fill="auto"/>
            <w:vAlign w:val="center"/>
            <w:hideMark/>
          </w:tcPr>
          <w:p w14:paraId="3CE88BB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290,000,000</w:t>
            </w:r>
          </w:p>
        </w:tc>
        <w:tc>
          <w:tcPr>
            <w:tcW w:w="708" w:type="dxa"/>
            <w:tcBorders>
              <w:top w:val="nil"/>
              <w:left w:val="nil"/>
              <w:bottom w:val="single" w:sz="4" w:space="0" w:color="auto"/>
              <w:right w:val="single" w:sz="4" w:space="0" w:color="auto"/>
            </w:tcBorders>
            <w:shd w:val="clear" w:color="auto" w:fill="auto"/>
            <w:vAlign w:val="center"/>
            <w:hideMark/>
          </w:tcPr>
          <w:p w14:paraId="40443BE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74,304</w:t>
            </w:r>
          </w:p>
        </w:tc>
        <w:tc>
          <w:tcPr>
            <w:tcW w:w="709" w:type="dxa"/>
            <w:tcBorders>
              <w:top w:val="nil"/>
              <w:left w:val="nil"/>
              <w:bottom w:val="single" w:sz="4" w:space="0" w:color="auto"/>
              <w:right w:val="single" w:sz="4" w:space="0" w:color="auto"/>
            </w:tcBorders>
            <w:shd w:val="clear" w:color="auto" w:fill="auto"/>
            <w:vAlign w:val="center"/>
            <w:hideMark/>
          </w:tcPr>
          <w:p w14:paraId="14BAD9A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79,545,816</w:t>
            </w:r>
          </w:p>
        </w:tc>
        <w:tc>
          <w:tcPr>
            <w:tcW w:w="709" w:type="dxa"/>
            <w:tcBorders>
              <w:top w:val="nil"/>
              <w:left w:val="nil"/>
              <w:bottom w:val="single" w:sz="4" w:space="0" w:color="auto"/>
              <w:right w:val="single" w:sz="4" w:space="0" w:color="auto"/>
            </w:tcBorders>
            <w:shd w:val="clear" w:color="auto" w:fill="auto"/>
            <w:vAlign w:val="center"/>
            <w:hideMark/>
          </w:tcPr>
          <w:p w14:paraId="5F3C68C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2B8C925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4AD679E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52353746"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BCE51FA"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7</w:t>
            </w:r>
          </w:p>
        </w:tc>
        <w:tc>
          <w:tcPr>
            <w:tcW w:w="921" w:type="dxa"/>
            <w:tcBorders>
              <w:top w:val="nil"/>
              <w:left w:val="nil"/>
              <w:bottom w:val="single" w:sz="4" w:space="0" w:color="auto"/>
              <w:right w:val="single" w:sz="4" w:space="0" w:color="auto"/>
            </w:tcBorders>
            <w:shd w:val="clear" w:color="auto" w:fill="auto"/>
            <w:vAlign w:val="center"/>
            <w:hideMark/>
          </w:tcPr>
          <w:p w14:paraId="652BD629"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Educación Media Superior y Superior de la Universidad de Colima.</w:t>
            </w:r>
          </w:p>
        </w:tc>
        <w:tc>
          <w:tcPr>
            <w:tcW w:w="922" w:type="dxa"/>
            <w:tcBorders>
              <w:top w:val="nil"/>
              <w:left w:val="nil"/>
              <w:bottom w:val="single" w:sz="4" w:space="0" w:color="auto"/>
              <w:right w:val="single" w:sz="4" w:space="0" w:color="auto"/>
            </w:tcBorders>
            <w:shd w:val="clear" w:color="auto" w:fill="auto"/>
            <w:vAlign w:val="center"/>
            <w:hideMark/>
          </w:tcPr>
          <w:p w14:paraId="5DC3C3ED"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2,300,396,343</w:t>
            </w:r>
          </w:p>
        </w:tc>
        <w:tc>
          <w:tcPr>
            <w:tcW w:w="850" w:type="dxa"/>
            <w:tcBorders>
              <w:top w:val="nil"/>
              <w:left w:val="nil"/>
              <w:bottom w:val="single" w:sz="4" w:space="0" w:color="auto"/>
              <w:right w:val="single" w:sz="4" w:space="0" w:color="auto"/>
            </w:tcBorders>
            <w:shd w:val="clear" w:color="auto" w:fill="auto"/>
            <w:vAlign w:val="center"/>
            <w:hideMark/>
          </w:tcPr>
          <w:p w14:paraId="3A403D8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4D863DF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3204DEB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7FE1CB9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2,300,396,343</w:t>
            </w:r>
          </w:p>
        </w:tc>
        <w:tc>
          <w:tcPr>
            <w:tcW w:w="708" w:type="dxa"/>
            <w:tcBorders>
              <w:top w:val="nil"/>
              <w:left w:val="nil"/>
              <w:bottom w:val="single" w:sz="4" w:space="0" w:color="auto"/>
              <w:right w:val="single" w:sz="4" w:space="0" w:color="auto"/>
            </w:tcBorders>
            <w:shd w:val="clear" w:color="auto" w:fill="auto"/>
            <w:vAlign w:val="center"/>
            <w:hideMark/>
          </w:tcPr>
          <w:p w14:paraId="144CD61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2BD459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223453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6E22170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CDA6A8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3B0DDD8D"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E9652CB"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8</w:t>
            </w:r>
          </w:p>
        </w:tc>
        <w:tc>
          <w:tcPr>
            <w:tcW w:w="921" w:type="dxa"/>
            <w:tcBorders>
              <w:top w:val="nil"/>
              <w:left w:val="nil"/>
              <w:bottom w:val="single" w:sz="4" w:space="0" w:color="auto"/>
              <w:right w:val="single" w:sz="4" w:space="0" w:color="auto"/>
            </w:tcBorders>
            <w:shd w:val="clear" w:color="auto" w:fill="auto"/>
            <w:vAlign w:val="center"/>
            <w:hideMark/>
          </w:tcPr>
          <w:p w14:paraId="47F311D5"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Educación Superior ITC.</w:t>
            </w:r>
          </w:p>
        </w:tc>
        <w:tc>
          <w:tcPr>
            <w:tcW w:w="922" w:type="dxa"/>
            <w:tcBorders>
              <w:top w:val="nil"/>
              <w:left w:val="nil"/>
              <w:bottom w:val="single" w:sz="4" w:space="0" w:color="auto"/>
              <w:right w:val="single" w:sz="4" w:space="0" w:color="auto"/>
            </w:tcBorders>
            <w:shd w:val="clear" w:color="auto" w:fill="auto"/>
            <w:vAlign w:val="center"/>
            <w:hideMark/>
          </w:tcPr>
          <w:p w14:paraId="52FFFB49"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13,445,900</w:t>
            </w:r>
          </w:p>
        </w:tc>
        <w:tc>
          <w:tcPr>
            <w:tcW w:w="850" w:type="dxa"/>
            <w:tcBorders>
              <w:top w:val="nil"/>
              <w:left w:val="nil"/>
              <w:bottom w:val="single" w:sz="4" w:space="0" w:color="auto"/>
              <w:right w:val="single" w:sz="4" w:space="0" w:color="auto"/>
            </w:tcBorders>
            <w:shd w:val="clear" w:color="auto" w:fill="auto"/>
            <w:vAlign w:val="center"/>
            <w:hideMark/>
          </w:tcPr>
          <w:p w14:paraId="4157F05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5AD1F9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3DA29F3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22C3621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13,445,900</w:t>
            </w:r>
          </w:p>
        </w:tc>
        <w:tc>
          <w:tcPr>
            <w:tcW w:w="708" w:type="dxa"/>
            <w:tcBorders>
              <w:top w:val="nil"/>
              <w:left w:val="nil"/>
              <w:bottom w:val="single" w:sz="4" w:space="0" w:color="auto"/>
              <w:right w:val="single" w:sz="4" w:space="0" w:color="auto"/>
            </w:tcBorders>
            <w:shd w:val="clear" w:color="auto" w:fill="auto"/>
            <w:vAlign w:val="center"/>
            <w:hideMark/>
          </w:tcPr>
          <w:p w14:paraId="3C95F28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F86026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33170FB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6C1F72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A347F8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4651B9E9"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DF92CD6"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9</w:t>
            </w:r>
          </w:p>
        </w:tc>
        <w:tc>
          <w:tcPr>
            <w:tcW w:w="921" w:type="dxa"/>
            <w:tcBorders>
              <w:top w:val="nil"/>
              <w:left w:val="nil"/>
              <w:bottom w:val="single" w:sz="4" w:space="0" w:color="auto"/>
              <w:right w:val="single" w:sz="4" w:space="0" w:color="auto"/>
            </w:tcBorders>
            <w:shd w:val="clear" w:color="auto" w:fill="auto"/>
            <w:vAlign w:val="center"/>
            <w:hideMark/>
          </w:tcPr>
          <w:p w14:paraId="7B39D392"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Educación Superior UTeM.</w:t>
            </w:r>
          </w:p>
        </w:tc>
        <w:tc>
          <w:tcPr>
            <w:tcW w:w="922" w:type="dxa"/>
            <w:tcBorders>
              <w:top w:val="nil"/>
              <w:left w:val="nil"/>
              <w:bottom w:val="single" w:sz="4" w:space="0" w:color="auto"/>
              <w:right w:val="single" w:sz="4" w:space="0" w:color="auto"/>
            </w:tcBorders>
            <w:shd w:val="clear" w:color="auto" w:fill="auto"/>
            <w:vAlign w:val="center"/>
            <w:hideMark/>
          </w:tcPr>
          <w:p w14:paraId="74769354"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47,071,115</w:t>
            </w:r>
          </w:p>
        </w:tc>
        <w:tc>
          <w:tcPr>
            <w:tcW w:w="850" w:type="dxa"/>
            <w:tcBorders>
              <w:top w:val="nil"/>
              <w:left w:val="nil"/>
              <w:bottom w:val="single" w:sz="4" w:space="0" w:color="auto"/>
              <w:right w:val="single" w:sz="4" w:space="0" w:color="auto"/>
            </w:tcBorders>
            <w:shd w:val="clear" w:color="auto" w:fill="auto"/>
            <w:vAlign w:val="center"/>
            <w:hideMark/>
          </w:tcPr>
          <w:p w14:paraId="03FEF12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675635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06FFC9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2339B80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47,071,115</w:t>
            </w:r>
          </w:p>
        </w:tc>
        <w:tc>
          <w:tcPr>
            <w:tcW w:w="708" w:type="dxa"/>
            <w:tcBorders>
              <w:top w:val="nil"/>
              <w:left w:val="nil"/>
              <w:bottom w:val="single" w:sz="4" w:space="0" w:color="auto"/>
              <w:right w:val="single" w:sz="4" w:space="0" w:color="auto"/>
            </w:tcBorders>
            <w:shd w:val="clear" w:color="auto" w:fill="auto"/>
            <w:vAlign w:val="center"/>
            <w:hideMark/>
          </w:tcPr>
          <w:p w14:paraId="7855742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154E77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313F784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6AF4EA7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0D2E96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3762B5DB"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8560C24"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10</w:t>
            </w:r>
          </w:p>
        </w:tc>
        <w:tc>
          <w:tcPr>
            <w:tcW w:w="921" w:type="dxa"/>
            <w:tcBorders>
              <w:top w:val="nil"/>
              <w:left w:val="nil"/>
              <w:bottom w:val="single" w:sz="4" w:space="0" w:color="auto"/>
              <w:right w:val="single" w:sz="4" w:space="0" w:color="auto"/>
            </w:tcBorders>
            <w:shd w:val="clear" w:color="auto" w:fill="auto"/>
            <w:vAlign w:val="center"/>
            <w:hideMark/>
          </w:tcPr>
          <w:p w14:paraId="281C9B85"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Saneamiento Financiero.</w:t>
            </w:r>
          </w:p>
        </w:tc>
        <w:tc>
          <w:tcPr>
            <w:tcW w:w="922" w:type="dxa"/>
            <w:tcBorders>
              <w:top w:val="nil"/>
              <w:left w:val="nil"/>
              <w:bottom w:val="single" w:sz="4" w:space="0" w:color="auto"/>
              <w:right w:val="single" w:sz="4" w:space="0" w:color="auto"/>
            </w:tcBorders>
            <w:shd w:val="clear" w:color="auto" w:fill="auto"/>
            <w:vAlign w:val="center"/>
            <w:hideMark/>
          </w:tcPr>
          <w:p w14:paraId="6C86FA02"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346,932,234</w:t>
            </w:r>
          </w:p>
        </w:tc>
        <w:tc>
          <w:tcPr>
            <w:tcW w:w="850" w:type="dxa"/>
            <w:tcBorders>
              <w:top w:val="nil"/>
              <w:left w:val="nil"/>
              <w:bottom w:val="single" w:sz="4" w:space="0" w:color="auto"/>
              <w:right w:val="single" w:sz="4" w:space="0" w:color="auto"/>
            </w:tcBorders>
            <w:shd w:val="clear" w:color="auto" w:fill="auto"/>
            <w:vAlign w:val="center"/>
            <w:hideMark/>
          </w:tcPr>
          <w:p w14:paraId="1131FD8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45D75BE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1ECF06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29CE75B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70866AB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FB8864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505558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8AFB56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7CEE63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346,932,234</w:t>
            </w:r>
          </w:p>
        </w:tc>
      </w:tr>
      <w:tr w:rsidR="00D868AB" w:rsidRPr="00D868AB" w14:paraId="5B8115A5"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0E75F49"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11</w:t>
            </w:r>
          </w:p>
        </w:tc>
        <w:tc>
          <w:tcPr>
            <w:tcW w:w="921" w:type="dxa"/>
            <w:tcBorders>
              <w:top w:val="nil"/>
              <w:left w:val="nil"/>
              <w:bottom w:val="single" w:sz="4" w:space="0" w:color="auto"/>
              <w:right w:val="single" w:sz="4" w:space="0" w:color="auto"/>
            </w:tcBorders>
            <w:shd w:val="clear" w:color="auto" w:fill="auto"/>
            <w:vAlign w:val="center"/>
            <w:hideMark/>
          </w:tcPr>
          <w:p w14:paraId="273F4D5C"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Infraestructura Educativa.</w:t>
            </w:r>
          </w:p>
        </w:tc>
        <w:tc>
          <w:tcPr>
            <w:tcW w:w="922" w:type="dxa"/>
            <w:tcBorders>
              <w:top w:val="nil"/>
              <w:left w:val="nil"/>
              <w:bottom w:val="single" w:sz="4" w:space="0" w:color="auto"/>
              <w:right w:val="single" w:sz="4" w:space="0" w:color="auto"/>
            </w:tcBorders>
            <w:shd w:val="clear" w:color="auto" w:fill="auto"/>
            <w:vAlign w:val="center"/>
            <w:hideMark/>
          </w:tcPr>
          <w:p w14:paraId="42879418"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12,537,827</w:t>
            </w:r>
          </w:p>
        </w:tc>
        <w:tc>
          <w:tcPr>
            <w:tcW w:w="850" w:type="dxa"/>
            <w:tcBorders>
              <w:top w:val="nil"/>
              <w:left w:val="nil"/>
              <w:bottom w:val="single" w:sz="4" w:space="0" w:color="auto"/>
              <w:right w:val="single" w:sz="4" w:space="0" w:color="auto"/>
            </w:tcBorders>
            <w:shd w:val="clear" w:color="auto" w:fill="auto"/>
            <w:vAlign w:val="center"/>
            <w:hideMark/>
          </w:tcPr>
          <w:p w14:paraId="6649361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1AD9E6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CA27AC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204E232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12,537,827</w:t>
            </w:r>
          </w:p>
        </w:tc>
        <w:tc>
          <w:tcPr>
            <w:tcW w:w="708" w:type="dxa"/>
            <w:tcBorders>
              <w:top w:val="nil"/>
              <w:left w:val="nil"/>
              <w:bottom w:val="single" w:sz="4" w:space="0" w:color="auto"/>
              <w:right w:val="single" w:sz="4" w:space="0" w:color="auto"/>
            </w:tcBorders>
            <w:shd w:val="clear" w:color="auto" w:fill="auto"/>
            <w:vAlign w:val="center"/>
            <w:hideMark/>
          </w:tcPr>
          <w:p w14:paraId="70A8563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500E9F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F1C0B4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1E9BA9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3EA8599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3EDA8893"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2285275"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12</w:t>
            </w:r>
          </w:p>
        </w:tc>
        <w:tc>
          <w:tcPr>
            <w:tcW w:w="921" w:type="dxa"/>
            <w:tcBorders>
              <w:top w:val="nil"/>
              <w:left w:val="nil"/>
              <w:bottom w:val="single" w:sz="4" w:space="0" w:color="auto"/>
              <w:right w:val="single" w:sz="4" w:space="0" w:color="auto"/>
            </w:tcBorders>
            <w:shd w:val="clear" w:color="auto" w:fill="auto"/>
            <w:vAlign w:val="center"/>
            <w:hideMark/>
          </w:tcPr>
          <w:p w14:paraId="5FEFFB1D"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Arte y Cultura.</w:t>
            </w:r>
          </w:p>
        </w:tc>
        <w:tc>
          <w:tcPr>
            <w:tcW w:w="922" w:type="dxa"/>
            <w:tcBorders>
              <w:top w:val="nil"/>
              <w:left w:val="nil"/>
              <w:bottom w:val="single" w:sz="4" w:space="0" w:color="auto"/>
              <w:right w:val="single" w:sz="4" w:space="0" w:color="auto"/>
            </w:tcBorders>
            <w:shd w:val="clear" w:color="auto" w:fill="auto"/>
            <w:vAlign w:val="center"/>
            <w:hideMark/>
          </w:tcPr>
          <w:p w14:paraId="1481729D"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111,489,364</w:t>
            </w:r>
          </w:p>
        </w:tc>
        <w:tc>
          <w:tcPr>
            <w:tcW w:w="850" w:type="dxa"/>
            <w:tcBorders>
              <w:top w:val="nil"/>
              <w:left w:val="nil"/>
              <w:bottom w:val="single" w:sz="4" w:space="0" w:color="auto"/>
              <w:right w:val="single" w:sz="4" w:space="0" w:color="auto"/>
            </w:tcBorders>
            <w:shd w:val="clear" w:color="auto" w:fill="auto"/>
            <w:vAlign w:val="center"/>
            <w:hideMark/>
          </w:tcPr>
          <w:p w14:paraId="4516AAC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85,456,852</w:t>
            </w:r>
          </w:p>
        </w:tc>
        <w:tc>
          <w:tcPr>
            <w:tcW w:w="851" w:type="dxa"/>
            <w:tcBorders>
              <w:top w:val="nil"/>
              <w:left w:val="nil"/>
              <w:bottom w:val="single" w:sz="4" w:space="0" w:color="auto"/>
              <w:right w:val="single" w:sz="4" w:space="0" w:color="auto"/>
            </w:tcBorders>
            <w:shd w:val="clear" w:color="auto" w:fill="auto"/>
            <w:vAlign w:val="center"/>
            <w:hideMark/>
          </w:tcPr>
          <w:p w14:paraId="11A37C6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1,371,099</w:t>
            </w:r>
          </w:p>
        </w:tc>
        <w:tc>
          <w:tcPr>
            <w:tcW w:w="850" w:type="dxa"/>
            <w:tcBorders>
              <w:top w:val="nil"/>
              <w:left w:val="nil"/>
              <w:bottom w:val="single" w:sz="4" w:space="0" w:color="auto"/>
              <w:right w:val="single" w:sz="4" w:space="0" w:color="auto"/>
            </w:tcBorders>
            <w:shd w:val="clear" w:color="auto" w:fill="auto"/>
            <w:vAlign w:val="center"/>
            <w:hideMark/>
          </w:tcPr>
          <w:p w14:paraId="47E82D8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4,101,413</w:t>
            </w:r>
          </w:p>
        </w:tc>
        <w:tc>
          <w:tcPr>
            <w:tcW w:w="993" w:type="dxa"/>
            <w:tcBorders>
              <w:top w:val="nil"/>
              <w:left w:val="nil"/>
              <w:bottom w:val="single" w:sz="4" w:space="0" w:color="auto"/>
              <w:right w:val="single" w:sz="4" w:space="0" w:color="auto"/>
            </w:tcBorders>
            <w:shd w:val="clear" w:color="auto" w:fill="auto"/>
            <w:vAlign w:val="center"/>
            <w:hideMark/>
          </w:tcPr>
          <w:p w14:paraId="31281B3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20,560,000</w:t>
            </w:r>
          </w:p>
        </w:tc>
        <w:tc>
          <w:tcPr>
            <w:tcW w:w="708" w:type="dxa"/>
            <w:tcBorders>
              <w:top w:val="nil"/>
              <w:left w:val="nil"/>
              <w:bottom w:val="single" w:sz="4" w:space="0" w:color="auto"/>
              <w:right w:val="single" w:sz="4" w:space="0" w:color="auto"/>
            </w:tcBorders>
            <w:shd w:val="clear" w:color="auto" w:fill="auto"/>
            <w:vAlign w:val="center"/>
            <w:hideMark/>
          </w:tcPr>
          <w:p w14:paraId="6AA7FDA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9BA6A6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F91960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F34D6B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91D29D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47742B78"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0B65215"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14</w:t>
            </w:r>
          </w:p>
        </w:tc>
        <w:tc>
          <w:tcPr>
            <w:tcW w:w="921" w:type="dxa"/>
            <w:tcBorders>
              <w:top w:val="nil"/>
              <w:left w:val="nil"/>
              <w:bottom w:val="single" w:sz="4" w:space="0" w:color="auto"/>
              <w:right w:val="single" w:sz="4" w:space="0" w:color="auto"/>
            </w:tcBorders>
            <w:shd w:val="clear" w:color="auto" w:fill="auto"/>
            <w:vAlign w:val="center"/>
            <w:hideMark/>
          </w:tcPr>
          <w:p w14:paraId="4D77D1EF"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Deporte y Recreación.</w:t>
            </w:r>
          </w:p>
        </w:tc>
        <w:tc>
          <w:tcPr>
            <w:tcW w:w="922" w:type="dxa"/>
            <w:tcBorders>
              <w:top w:val="nil"/>
              <w:left w:val="nil"/>
              <w:bottom w:val="single" w:sz="4" w:space="0" w:color="auto"/>
              <w:right w:val="single" w:sz="4" w:space="0" w:color="auto"/>
            </w:tcBorders>
            <w:shd w:val="clear" w:color="auto" w:fill="auto"/>
            <w:vAlign w:val="center"/>
            <w:hideMark/>
          </w:tcPr>
          <w:p w14:paraId="08BDA3A8"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65,536,500</w:t>
            </w:r>
          </w:p>
        </w:tc>
        <w:tc>
          <w:tcPr>
            <w:tcW w:w="850" w:type="dxa"/>
            <w:tcBorders>
              <w:top w:val="nil"/>
              <w:left w:val="nil"/>
              <w:bottom w:val="single" w:sz="4" w:space="0" w:color="auto"/>
              <w:right w:val="single" w:sz="4" w:space="0" w:color="auto"/>
            </w:tcBorders>
            <w:shd w:val="clear" w:color="auto" w:fill="auto"/>
            <w:vAlign w:val="center"/>
            <w:hideMark/>
          </w:tcPr>
          <w:p w14:paraId="6E3C11B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118151D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292E227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69EC016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65,536,500</w:t>
            </w:r>
          </w:p>
        </w:tc>
        <w:tc>
          <w:tcPr>
            <w:tcW w:w="708" w:type="dxa"/>
            <w:tcBorders>
              <w:top w:val="nil"/>
              <w:left w:val="nil"/>
              <w:bottom w:val="single" w:sz="4" w:space="0" w:color="auto"/>
              <w:right w:val="single" w:sz="4" w:space="0" w:color="auto"/>
            </w:tcBorders>
            <w:shd w:val="clear" w:color="auto" w:fill="auto"/>
            <w:vAlign w:val="center"/>
            <w:hideMark/>
          </w:tcPr>
          <w:p w14:paraId="1DFE705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52760C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2B7FF6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37CE78E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700DEE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66A12941"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EB4757B"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16</w:t>
            </w:r>
          </w:p>
        </w:tc>
        <w:tc>
          <w:tcPr>
            <w:tcW w:w="921" w:type="dxa"/>
            <w:tcBorders>
              <w:top w:val="nil"/>
              <w:left w:val="nil"/>
              <w:bottom w:val="single" w:sz="4" w:space="0" w:color="auto"/>
              <w:right w:val="single" w:sz="4" w:space="0" w:color="auto"/>
            </w:tcBorders>
            <w:shd w:val="clear" w:color="auto" w:fill="auto"/>
            <w:vAlign w:val="center"/>
            <w:hideMark/>
          </w:tcPr>
          <w:p w14:paraId="7C0BD62F"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Equidad de Género.</w:t>
            </w:r>
          </w:p>
        </w:tc>
        <w:tc>
          <w:tcPr>
            <w:tcW w:w="922" w:type="dxa"/>
            <w:tcBorders>
              <w:top w:val="nil"/>
              <w:left w:val="nil"/>
              <w:bottom w:val="single" w:sz="4" w:space="0" w:color="auto"/>
              <w:right w:val="single" w:sz="4" w:space="0" w:color="auto"/>
            </w:tcBorders>
            <w:shd w:val="clear" w:color="auto" w:fill="auto"/>
            <w:vAlign w:val="center"/>
            <w:hideMark/>
          </w:tcPr>
          <w:p w14:paraId="6D24B57E"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30,275,440</w:t>
            </w:r>
          </w:p>
        </w:tc>
        <w:tc>
          <w:tcPr>
            <w:tcW w:w="850" w:type="dxa"/>
            <w:tcBorders>
              <w:top w:val="nil"/>
              <w:left w:val="nil"/>
              <w:bottom w:val="single" w:sz="4" w:space="0" w:color="auto"/>
              <w:right w:val="single" w:sz="4" w:space="0" w:color="auto"/>
            </w:tcBorders>
            <w:shd w:val="clear" w:color="auto" w:fill="auto"/>
            <w:vAlign w:val="center"/>
            <w:hideMark/>
          </w:tcPr>
          <w:p w14:paraId="34539CA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6AEAD6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640363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186CD35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30,275,440</w:t>
            </w:r>
          </w:p>
        </w:tc>
        <w:tc>
          <w:tcPr>
            <w:tcW w:w="708" w:type="dxa"/>
            <w:tcBorders>
              <w:top w:val="nil"/>
              <w:left w:val="nil"/>
              <w:bottom w:val="single" w:sz="4" w:space="0" w:color="auto"/>
              <w:right w:val="single" w:sz="4" w:space="0" w:color="auto"/>
            </w:tcBorders>
            <w:shd w:val="clear" w:color="auto" w:fill="auto"/>
            <w:vAlign w:val="center"/>
            <w:hideMark/>
          </w:tcPr>
          <w:p w14:paraId="21F4981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3F7B318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428B27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85404B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A46511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3529AFE6"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FB89D45"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17</w:t>
            </w:r>
          </w:p>
        </w:tc>
        <w:tc>
          <w:tcPr>
            <w:tcW w:w="921" w:type="dxa"/>
            <w:tcBorders>
              <w:top w:val="nil"/>
              <w:left w:val="nil"/>
              <w:bottom w:val="single" w:sz="4" w:space="0" w:color="auto"/>
              <w:right w:val="single" w:sz="4" w:space="0" w:color="auto"/>
            </w:tcBorders>
            <w:shd w:val="clear" w:color="auto" w:fill="auto"/>
            <w:vAlign w:val="center"/>
            <w:hideMark/>
          </w:tcPr>
          <w:p w14:paraId="7876472A"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Conciliación Laboral.</w:t>
            </w:r>
          </w:p>
        </w:tc>
        <w:tc>
          <w:tcPr>
            <w:tcW w:w="922" w:type="dxa"/>
            <w:tcBorders>
              <w:top w:val="nil"/>
              <w:left w:val="nil"/>
              <w:bottom w:val="single" w:sz="4" w:space="0" w:color="auto"/>
              <w:right w:val="single" w:sz="4" w:space="0" w:color="auto"/>
            </w:tcBorders>
            <w:shd w:val="clear" w:color="auto" w:fill="auto"/>
            <w:vAlign w:val="center"/>
            <w:hideMark/>
          </w:tcPr>
          <w:p w14:paraId="6C95140F"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10,000,000</w:t>
            </w:r>
          </w:p>
        </w:tc>
        <w:tc>
          <w:tcPr>
            <w:tcW w:w="850" w:type="dxa"/>
            <w:tcBorders>
              <w:top w:val="nil"/>
              <w:left w:val="nil"/>
              <w:bottom w:val="single" w:sz="4" w:space="0" w:color="auto"/>
              <w:right w:val="single" w:sz="4" w:space="0" w:color="auto"/>
            </w:tcBorders>
            <w:shd w:val="clear" w:color="auto" w:fill="auto"/>
            <w:vAlign w:val="center"/>
            <w:hideMark/>
          </w:tcPr>
          <w:p w14:paraId="2E2F82C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FB7F0F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EA41F2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794CED7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10,000,000</w:t>
            </w:r>
          </w:p>
        </w:tc>
        <w:tc>
          <w:tcPr>
            <w:tcW w:w="708" w:type="dxa"/>
            <w:tcBorders>
              <w:top w:val="nil"/>
              <w:left w:val="nil"/>
              <w:bottom w:val="single" w:sz="4" w:space="0" w:color="auto"/>
              <w:right w:val="single" w:sz="4" w:space="0" w:color="auto"/>
            </w:tcBorders>
            <w:shd w:val="clear" w:color="auto" w:fill="auto"/>
            <w:vAlign w:val="center"/>
            <w:hideMark/>
          </w:tcPr>
          <w:p w14:paraId="173EF2A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4EEE2D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3B80BEC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523910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07F0D2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66BF1C72"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B4DCCA5"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18</w:t>
            </w:r>
          </w:p>
        </w:tc>
        <w:tc>
          <w:tcPr>
            <w:tcW w:w="921" w:type="dxa"/>
            <w:tcBorders>
              <w:top w:val="nil"/>
              <w:left w:val="nil"/>
              <w:bottom w:val="single" w:sz="4" w:space="0" w:color="auto"/>
              <w:right w:val="single" w:sz="4" w:space="0" w:color="auto"/>
            </w:tcBorders>
            <w:shd w:val="clear" w:color="auto" w:fill="auto"/>
            <w:vAlign w:val="center"/>
            <w:hideMark/>
          </w:tcPr>
          <w:p w14:paraId="12B0915D"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 xml:space="preserve">Consolidación de la Familia, Apoyo a la </w:t>
            </w:r>
            <w:r w:rsidRPr="00D868AB">
              <w:rPr>
                <w:rFonts w:eastAsia="Times New Roman" w:cs="Arial"/>
                <w:b/>
                <w:bCs/>
                <w:color w:val="000000"/>
                <w:sz w:val="11"/>
                <w:szCs w:val="11"/>
              </w:rPr>
              <w:lastRenderedPageBreak/>
              <w:t>Niñez y Grupos Vulnerables.</w:t>
            </w:r>
          </w:p>
        </w:tc>
        <w:tc>
          <w:tcPr>
            <w:tcW w:w="922" w:type="dxa"/>
            <w:tcBorders>
              <w:top w:val="nil"/>
              <w:left w:val="nil"/>
              <w:bottom w:val="single" w:sz="4" w:space="0" w:color="auto"/>
              <w:right w:val="single" w:sz="4" w:space="0" w:color="auto"/>
            </w:tcBorders>
            <w:shd w:val="clear" w:color="auto" w:fill="auto"/>
            <w:vAlign w:val="center"/>
            <w:hideMark/>
          </w:tcPr>
          <w:p w14:paraId="1AC551D6"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lastRenderedPageBreak/>
              <w:t>374,741,488</w:t>
            </w:r>
          </w:p>
        </w:tc>
        <w:tc>
          <w:tcPr>
            <w:tcW w:w="850" w:type="dxa"/>
            <w:tcBorders>
              <w:top w:val="nil"/>
              <w:left w:val="nil"/>
              <w:bottom w:val="single" w:sz="4" w:space="0" w:color="auto"/>
              <w:right w:val="single" w:sz="4" w:space="0" w:color="auto"/>
            </w:tcBorders>
            <w:shd w:val="clear" w:color="auto" w:fill="auto"/>
            <w:vAlign w:val="center"/>
            <w:hideMark/>
          </w:tcPr>
          <w:p w14:paraId="1EE1494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43C5B82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337B92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5BC7752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374,741,488</w:t>
            </w:r>
          </w:p>
        </w:tc>
        <w:tc>
          <w:tcPr>
            <w:tcW w:w="708" w:type="dxa"/>
            <w:tcBorders>
              <w:top w:val="nil"/>
              <w:left w:val="nil"/>
              <w:bottom w:val="single" w:sz="4" w:space="0" w:color="auto"/>
              <w:right w:val="single" w:sz="4" w:space="0" w:color="auto"/>
            </w:tcBorders>
            <w:shd w:val="clear" w:color="auto" w:fill="auto"/>
            <w:vAlign w:val="center"/>
            <w:hideMark/>
          </w:tcPr>
          <w:p w14:paraId="0DE5F41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9D1120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4AD9F4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3C4A05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947135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6807C6E6"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CB321B2"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19</w:t>
            </w:r>
          </w:p>
        </w:tc>
        <w:tc>
          <w:tcPr>
            <w:tcW w:w="921" w:type="dxa"/>
            <w:tcBorders>
              <w:top w:val="nil"/>
              <w:left w:val="nil"/>
              <w:bottom w:val="single" w:sz="4" w:space="0" w:color="auto"/>
              <w:right w:val="single" w:sz="4" w:space="0" w:color="auto"/>
            </w:tcBorders>
            <w:shd w:val="clear" w:color="auto" w:fill="auto"/>
            <w:vAlign w:val="center"/>
            <w:hideMark/>
          </w:tcPr>
          <w:p w14:paraId="0F20932B"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Apoyo a Grupos Vulnerables con Discapacidad.</w:t>
            </w:r>
          </w:p>
        </w:tc>
        <w:tc>
          <w:tcPr>
            <w:tcW w:w="922" w:type="dxa"/>
            <w:tcBorders>
              <w:top w:val="nil"/>
              <w:left w:val="nil"/>
              <w:bottom w:val="single" w:sz="4" w:space="0" w:color="auto"/>
              <w:right w:val="single" w:sz="4" w:space="0" w:color="auto"/>
            </w:tcBorders>
            <w:shd w:val="clear" w:color="auto" w:fill="auto"/>
            <w:vAlign w:val="center"/>
            <w:hideMark/>
          </w:tcPr>
          <w:p w14:paraId="6FBA8281"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83,749,364</w:t>
            </w:r>
          </w:p>
        </w:tc>
        <w:tc>
          <w:tcPr>
            <w:tcW w:w="850" w:type="dxa"/>
            <w:tcBorders>
              <w:top w:val="nil"/>
              <w:left w:val="nil"/>
              <w:bottom w:val="single" w:sz="4" w:space="0" w:color="auto"/>
              <w:right w:val="single" w:sz="4" w:space="0" w:color="auto"/>
            </w:tcBorders>
            <w:shd w:val="clear" w:color="auto" w:fill="auto"/>
            <w:vAlign w:val="center"/>
            <w:hideMark/>
          </w:tcPr>
          <w:p w14:paraId="612D7D4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92D0FA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0BE25E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59BFE2A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83,749,364</w:t>
            </w:r>
          </w:p>
        </w:tc>
        <w:tc>
          <w:tcPr>
            <w:tcW w:w="708" w:type="dxa"/>
            <w:tcBorders>
              <w:top w:val="nil"/>
              <w:left w:val="nil"/>
              <w:bottom w:val="single" w:sz="4" w:space="0" w:color="auto"/>
              <w:right w:val="single" w:sz="4" w:space="0" w:color="auto"/>
            </w:tcBorders>
            <w:shd w:val="clear" w:color="auto" w:fill="auto"/>
            <w:vAlign w:val="center"/>
            <w:hideMark/>
          </w:tcPr>
          <w:p w14:paraId="3167308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EBDA1A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BEF721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BF9925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06FB1E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5E1B3438"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D664E4F"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20</w:t>
            </w:r>
          </w:p>
        </w:tc>
        <w:tc>
          <w:tcPr>
            <w:tcW w:w="921" w:type="dxa"/>
            <w:tcBorders>
              <w:top w:val="nil"/>
              <w:left w:val="nil"/>
              <w:bottom w:val="single" w:sz="4" w:space="0" w:color="auto"/>
              <w:right w:val="single" w:sz="4" w:space="0" w:color="auto"/>
            </w:tcBorders>
            <w:shd w:val="clear" w:color="auto" w:fill="auto"/>
            <w:vAlign w:val="center"/>
            <w:hideMark/>
          </w:tcPr>
          <w:p w14:paraId="28D6DDA1"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Gestión y Control del Patrimonio Inmobiliario.</w:t>
            </w:r>
          </w:p>
        </w:tc>
        <w:tc>
          <w:tcPr>
            <w:tcW w:w="922" w:type="dxa"/>
            <w:tcBorders>
              <w:top w:val="nil"/>
              <w:left w:val="nil"/>
              <w:bottom w:val="single" w:sz="4" w:space="0" w:color="auto"/>
              <w:right w:val="single" w:sz="4" w:space="0" w:color="auto"/>
            </w:tcBorders>
            <w:shd w:val="clear" w:color="auto" w:fill="auto"/>
            <w:vAlign w:val="center"/>
            <w:hideMark/>
          </w:tcPr>
          <w:p w14:paraId="5601346A"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1,500,000</w:t>
            </w:r>
          </w:p>
        </w:tc>
        <w:tc>
          <w:tcPr>
            <w:tcW w:w="850" w:type="dxa"/>
            <w:tcBorders>
              <w:top w:val="nil"/>
              <w:left w:val="nil"/>
              <w:bottom w:val="single" w:sz="4" w:space="0" w:color="auto"/>
              <w:right w:val="single" w:sz="4" w:space="0" w:color="auto"/>
            </w:tcBorders>
            <w:shd w:val="clear" w:color="auto" w:fill="auto"/>
            <w:vAlign w:val="center"/>
            <w:hideMark/>
          </w:tcPr>
          <w:p w14:paraId="0744B8E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72771D9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EB6D3E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26EBA7E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1,500,000</w:t>
            </w:r>
          </w:p>
        </w:tc>
        <w:tc>
          <w:tcPr>
            <w:tcW w:w="708" w:type="dxa"/>
            <w:tcBorders>
              <w:top w:val="nil"/>
              <w:left w:val="nil"/>
              <w:bottom w:val="single" w:sz="4" w:space="0" w:color="auto"/>
              <w:right w:val="single" w:sz="4" w:space="0" w:color="auto"/>
            </w:tcBorders>
            <w:shd w:val="clear" w:color="auto" w:fill="auto"/>
            <w:vAlign w:val="center"/>
            <w:hideMark/>
          </w:tcPr>
          <w:p w14:paraId="3995D74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46FE69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3EE83C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04331D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CDC64F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57458D38"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4AF415A"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21</w:t>
            </w:r>
          </w:p>
        </w:tc>
        <w:tc>
          <w:tcPr>
            <w:tcW w:w="921" w:type="dxa"/>
            <w:tcBorders>
              <w:top w:val="nil"/>
              <w:left w:val="nil"/>
              <w:bottom w:val="single" w:sz="4" w:space="0" w:color="auto"/>
              <w:right w:val="single" w:sz="4" w:space="0" w:color="auto"/>
            </w:tcBorders>
            <w:shd w:val="clear" w:color="auto" w:fill="auto"/>
            <w:vAlign w:val="center"/>
            <w:hideMark/>
          </w:tcPr>
          <w:p w14:paraId="626B00F2"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Atención a la Juventud.</w:t>
            </w:r>
          </w:p>
        </w:tc>
        <w:tc>
          <w:tcPr>
            <w:tcW w:w="922" w:type="dxa"/>
            <w:tcBorders>
              <w:top w:val="nil"/>
              <w:left w:val="nil"/>
              <w:bottom w:val="single" w:sz="4" w:space="0" w:color="auto"/>
              <w:right w:val="single" w:sz="4" w:space="0" w:color="auto"/>
            </w:tcBorders>
            <w:shd w:val="clear" w:color="auto" w:fill="auto"/>
            <w:vAlign w:val="center"/>
            <w:hideMark/>
          </w:tcPr>
          <w:p w14:paraId="3E10294B"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8,992,329</w:t>
            </w:r>
          </w:p>
        </w:tc>
        <w:tc>
          <w:tcPr>
            <w:tcW w:w="850" w:type="dxa"/>
            <w:tcBorders>
              <w:top w:val="nil"/>
              <w:left w:val="nil"/>
              <w:bottom w:val="single" w:sz="4" w:space="0" w:color="auto"/>
              <w:right w:val="single" w:sz="4" w:space="0" w:color="auto"/>
            </w:tcBorders>
            <w:shd w:val="clear" w:color="auto" w:fill="auto"/>
            <w:vAlign w:val="center"/>
            <w:hideMark/>
          </w:tcPr>
          <w:p w14:paraId="0D0CF2D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7,302,715</w:t>
            </w:r>
          </w:p>
        </w:tc>
        <w:tc>
          <w:tcPr>
            <w:tcW w:w="851" w:type="dxa"/>
            <w:tcBorders>
              <w:top w:val="nil"/>
              <w:left w:val="nil"/>
              <w:bottom w:val="single" w:sz="4" w:space="0" w:color="auto"/>
              <w:right w:val="single" w:sz="4" w:space="0" w:color="auto"/>
            </w:tcBorders>
            <w:shd w:val="clear" w:color="auto" w:fill="auto"/>
            <w:vAlign w:val="center"/>
            <w:hideMark/>
          </w:tcPr>
          <w:p w14:paraId="44CE199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330,610</w:t>
            </w:r>
          </w:p>
        </w:tc>
        <w:tc>
          <w:tcPr>
            <w:tcW w:w="850" w:type="dxa"/>
            <w:tcBorders>
              <w:top w:val="nil"/>
              <w:left w:val="nil"/>
              <w:bottom w:val="single" w:sz="4" w:space="0" w:color="auto"/>
              <w:right w:val="single" w:sz="4" w:space="0" w:color="auto"/>
            </w:tcBorders>
            <w:shd w:val="clear" w:color="auto" w:fill="auto"/>
            <w:vAlign w:val="center"/>
            <w:hideMark/>
          </w:tcPr>
          <w:p w14:paraId="31B7D79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1,359,004</w:t>
            </w:r>
          </w:p>
        </w:tc>
        <w:tc>
          <w:tcPr>
            <w:tcW w:w="993" w:type="dxa"/>
            <w:tcBorders>
              <w:top w:val="nil"/>
              <w:left w:val="nil"/>
              <w:bottom w:val="single" w:sz="4" w:space="0" w:color="auto"/>
              <w:right w:val="single" w:sz="4" w:space="0" w:color="auto"/>
            </w:tcBorders>
            <w:shd w:val="clear" w:color="auto" w:fill="auto"/>
            <w:vAlign w:val="center"/>
            <w:hideMark/>
          </w:tcPr>
          <w:p w14:paraId="74D6CF1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6FD37C4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F5357E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B5F337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6E466F8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1F31DF0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66BFF51E"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2478559"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22</w:t>
            </w:r>
          </w:p>
        </w:tc>
        <w:tc>
          <w:tcPr>
            <w:tcW w:w="921" w:type="dxa"/>
            <w:tcBorders>
              <w:top w:val="nil"/>
              <w:left w:val="nil"/>
              <w:bottom w:val="single" w:sz="4" w:space="0" w:color="auto"/>
              <w:right w:val="single" w:sz="4" w:space="0" w:color="auto"/>
            </w:tcBorders>
            <w:shd w:val="clear" w:color="auto" w:fill="auto"/>
            <w:vAlign w:val="center"/>
            <w:hideMark/>
          </w:tcPr>
          <w:p w14:paraId="2CD35F4E"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Adultos Mayores.</w:t>
            </w:r>
          </w:p>
        </w:tc>
        <w:tc>
          <w:tcPr>
            <w:tcW w:w="922" w:type="dxa"/>
            <w:tcBorders>
              <w:top w:val="nil"/>
              <w:left w:val="nil"/>
              <w:bottom w:val="single" w:sz="4" w:space="0" w:color="auto"/>
              <w:right w:val="single" w:sz="4" w:space="0" w:color="auto"/>
            </w:tcBorders>
            <w:shd w:val="clear" w:color="auto" w:fill="auto"/>
            <w:vAlign w:val="center"/>
            <w:hideMark/>
          </w:tcPr>
          <w:p w14:paraId="43FC011D"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6,230,231</w:t>
            </w:r>
          </w:p>
        </w:tc>
        <w:tc>
          <w:tcPr>
            <w:tcW w:w="850" w:type="dxa"/>
            <w:tcBorders>
              <w:top w:val="nil"/>
              <w:left w:val="nil"/>
              <w:bottom w:val="single" w:sz="4" w:space="0" w:color="auto"/>
              <w:right w:val="single" w:sz="4" w:space="0" w:color="auto"/>
            </w:tcBorders>
            <w:shd w:val="clear" w:color="auto" w:fill="auto"/>
            <w:vAlign w:val="center"/>
            <w:hideMark/>
          </w:tcPr>
          <w:p w14:paraId="35C37DD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7BF85D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97D34D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5360B90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6,230,231</w:t>
            </w:r>
          </w:p>
        </w:tc>
        <w:tc>
          <w:tcPr>
            <w:tcW w:w="708" w:type="dxa"/>
            <w:tcBorders>
              <w:top w:val="nil"/>
              <w:left w:val="nil"/>
              <w:bottom w:val="single" w:sz="4" w:space="0" w:color="auto"/>
              <w:right w:val="single" w:sz="4" w:space="0" w:color="auto"/>
            </w:tcBorders>
            <w:shd w:val="clear" w:color="auto" w:fill="auto"/>
            <w:vAlign w:val="center"/>
            <w:hideMark/>
          </w:tcPr>
          <w:p w14:paraId="40A71FE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67EC88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8DF384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67E20A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7FB891D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4A87A987"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D2B5E3B"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23</w:t>
            </w:r>
          </w:p>
        </w:tc>
        <w:tc>
          <w:tcPr>
            <w:tcW w:w="921" w:type="dxa"/>
            <w:tcBorders>
              <w:top w:val="nil"/>
              <w:left w:val="nil"/>
              <w:bottom w:val="single" w:sz="4" w:space="0" w:color="auto"/>
              <w:right w:val="single" w:sz="4" w:space="0" w:color="auto"/>
            </w:tcBorders>
            <w:shd w:val="clear" w:color="auto" w:fill="auto"/>
            <w:vAlign w:val="center"/>
            <w:hideMark/>
          </w:tcPr>
          <w:p w14:paraId="33CAF193"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Promoción de la Competitividad y el Empleo.</w:t>
            </w:r>
          </w:p>
        </w:tc>
        <w:tc>
          <w:tcPr>
            <w:tcW w:w="922" w:type="dxa"/>
            <w:tcBorders>
              <w:top w:val="nil"/>
              <w:left w:val="nil"/>
              <w:bottom w:val="single" w:sz="4" w:space="0" w:color="auto"/>
              <w:right w:val="single" w:sz="4" w:space="0" w:color="auto"/>
            </w:tcBorders>
            <w:shd w:val="clear" w:color="auto" w:fill="auto"/>
            <w:vAlign w:val="center"/>
            <w:hideMark/>
          </w:tcPr>
          <w:p w14:paraId="0BA25CDD"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36,256,845</w:t>
            </w:r>
          </w:p>
        </w:tc>
        <w:tc>
          <w:tcPr>
            <w:tcW w:w="850" w:type="dxa"/>
            <w:tcBorders>
              <w:top w:val="nil"/>
              <w:left w:val="nil"/>
              <w:bottom w:val="single" w:sz="4" w:space="0" w:color="auto"/>
              <w:right w:val="single" w:sz="4" w:space="0" w:color="auto"/>
            </w:tcBorders>
            <w:shd w:val="clear" w:color="auto" w:fill="auto"/>
            <w:vAlign w:val="center"/>
            <w:hideMark/>
          </w:tcPr>
          <w:p w14:paraId="6ED1303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27,846,379</w:t>
            </w:r>
          </w:p>
        </w:tc>
        <w:tc>
          <w:tcPr>
            <w:tcW w:w="851" w:type="dxa"/>
            <w:tcBorders>
              <w:top w:val="nil"/>
              <w:left w:val="nil"/>
              <w:bottom w:val="single" w:sz="4" w:space="0" w:color="auto"/>
              <w:right w:val="single" w:sz="4" w:space="0" w:color="auto"/>
            </w:tcBorders>
            <w:shd w:val="clear" w:color="auto" w:fill="auto"/>
            <w:vAlign w:val="center"/>
            <w:hideMark/>
          </w:tcPr>
          <w:p w14:paraId="6A32EAE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1,968,839</w:t>
            </w:r>
          </w:p>
        </w:tc>
        <w:tc>
          <w:tcPr>
            <w:tcW w:w="850" w:type="dxa"/>
            <w:tcBorders>
              <w:top w:val="nil"/>
              <w:left w:val="nil"/>
              <w:bottom w:val="single" w:sz="4" w:space="0" w:color="auto"/>
              <w:right w:val="single" w:sz="4" w:space="0" w:color="auto"/>
            </w:tcBorders>
            <w:shd w:val="clear" w:color="auto" w:fill="auto"/>
            <w:vAlign w:val="center"/>
            <w:hideMark/>
          </w:tcPr>
          <w:p w14:paraId="3E6B23D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1,214,440</w:t>
            </w:r>
          </w:p>
        </w:tc>
        <w:tc>
          <w:tcPr>
            <w:tcW w:w="993" w:type="dxa"/>
            <w:tcBorders>
              <w:top w:val="nil"/>
              <w:left w:val="nil"/>
              <w:bottom w:val="single" w:sz="4" w:space="0" w:color="auto"/>
              <w:right w:val="single" w:sz="4" w:space="0" w:color="auto"/>
            </w:tcBorders>
            <w:shd w:val="clear" w:color="auto" w:fill="auto"/>
            <w:vAlign w:val="center"/>
            <w:hideMark/>
          </w:tcPr>
          <w:p w14:paraId="2F4AF39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5,185,187</w:t>
            </w:r>
          </w:p>
        </w:tc>
        <w:tc>
          <w:tcPr>
            <w:tcW w:w="708" w:type="dxa"/>
            <w:tcBorders>
              <w:top w:val="nil"/>
              <w:left w:val="nil"/>
              <w:bottom w:val="single" w:sz="4" w:space="0" w:color="auto"/>
              <w:right w:val="single" w:sz="4" w:space="0" w:color="auto"/>
            </w:tcBorders>
            <w:shd w:val="clear" w:color="auto" w:fill="auto"/>
            <w:vAlign w:val="center"/>
            <w:hideMark/>
          </w:tcPr>
          <w:p w14:paraId="696F53F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42,000</w:t>
            </w:r>
          </w:p>
        </w:tc>
        <w:tc>
          <w:tcPr>
            <w:tcW w:w="709" w:type="dxa"/>
            <w:tcBorders>
              <w:top w:val="nil"/>
              <w:left w:val="nil"/>
              <w:bottom w:val="single" w:sz="4" w:space="0" w:color="auto"/>
              <w:right w:val="single" w:sz="4" w:space="0" w:color="auto"/>
            </w:tcBorders>
            <w:shd w:val="clear" w:color="auto" w:fill="auto"/>
            <w:vAlign w:val="center"/>
            <w:hideMark/>
          </w:tcPr>
          <w:p w14:paraId="6EF658A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BB47BB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5FA6B4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2F34AC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700F9A01"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17F6A99"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24</w:t>
            </w:r>
          </w:p>
        </w:tc>
        <w:tc>
          <w:tcPr>
            <w:tcW w:w="921" w:type="dxa"/>
            <w:tcBorders>
              <w:top w:val="nil"/>
              <w:left w:val="nil"/>
              <w:bottom w:val="single" w:sz="4" w:space="0" w:color="auto"/>
              <w:right w:val="single" w:sz="4" w:space="0" w:color="auto"/>
            </w:tcBorders>
            <w:shd w:val="clear" w:color="auto" w:fill="auto"/>
            <w:vAlign w:val="center"/>
            <w:hideMark/>
          </w:tcPr>
          <w:p w14:paraId="20295629"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Desarrollo Económico.</w:t>
            </w:r>
          </w:p>
        </w:tc>
        <w:tc>
          <w:tcPr>
            <w:tcW w:w="922" w:type="dxa"/>
            <w:tcBorders>
              <w:top w:val="nil"/>
              <w:left w:val="nil"/>
              <w:bottom w:val="single" w:sz="4" w:space="0" w:color="auto"/>
              <w:right w:val="single" w:sz="4" w:space="0" w:color="auto"/>
            </w:tcBorders>
            <w:shd w:val="clear" w:color="auto" w:fill="auto"/>
            <w:vAlign w:val="center"/>
            <w:hideMark/>
          </w:tcPr>
          <w:p w14:paraId="6CDB2FEB"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68,173,055</w:t>
            </w:r>
          </w:p>
        </w:tc>
        <w:tc>
          <w:tcPr>
            <w:tcW w:w="850" w:type="dxa"/>
            <w:tcBorders>
              <w:top w:val="nil"/>
              <w:left w:val="nil"/>
              <w:bottom w:val="single" w:sz="4" w:space="0" w:color="auto"/>
              <w:right w:val="single" w:sz="4" w:space="0" w:color="auto"/>
            </w:tcBorders>
            <w:shd w:val="clear" w:color="auto" w:fill="auto"/>
            <w:vAlign w:val="center"/>
            <w:hideMark/>
          </w:tcPr>
          <w:p w14:paraId="2FCA401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20,006,487</w:t>
            </w:r>
          </w:p>
        </w:tc>
        <w:tc>
          <w:tcPr>
            <w:tcW w:w="851" w:type="dxa"/>
            <w:tcBorders>
              <w:top w:val="nil"/>
              <w:left w:val="nil"/>
              <w:bottom w:val="single" w:sz="4" w:space="0" w:color="auto"/>
              <w:right w:val="single" w:sz="4" w:space="0" w:color="auto"/>
            </w:tcBorders>
            <w:shd w:val="clear" w:color="auto" w:fill="auto"/>
            <w:vAlign w:val="center"/>
            <w:hideMark/>
          </w:tcPr>
          <w:p w14:paraId="7D094D4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470,000</w:t>
            </w:r>
          </w:p>
        </w:tc>
        <w:tc>
          <w:tcPr>
            <w:tcW w:w="850" w:type="dxa"/>
            <w:tcBorders>
              <w:top w:val="nil"/>
              <w:left w:val="nil"/>
              <w:bottom w:val="single" w:sz="4" w:space="0" w:color="auto"/>
              <w:right w:val="single" w:sz="4" w:space="0" w:color="auto"/>
            </w:tcBorders>
            <w:shd w:val="clear" w:color="auto" w:fill="auto"/>
            <w:vAlign w:val="center"/>
            <w:hideMark/>
          </w:tcPr>
          <w:p w14:paraId="68E5987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3,063,867</w:t>
            </w:r>
          </w:p>
        </w:tc>
        <w:tc>
          <w:tcPr>
            <w:tcW w:w="993" w:type="dxa"/>
            <w:tcBorders>
              <w:top w:val="nil"/>
              <w:left w:val="nil"/>
              <w:bottom w:val="single" w:sz="4" w:space="0" w:color="auto"/>
              <w:right w:val="single" w:sz="4" w:space="0" w:color="auto"/>
            </w:tcBorders>
            <w:shd w:val="clear" w:color="auto" w:fill="auto"/>
            <w:vAlign w:val="center"/>
            <w:hideMark/>
          </w:tcPr>
          <w:p w14:paraId="4B17162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44,546,660</w:t>
            </w:r>
          </w:p>
        </w:tc>
        <w:tc>
          <w:tcPr>
            <w:tcW w:w="708" w:type="dxa"/>
            <w:tcBorders>
              <w:top w:val="nil"/>
              <w:left w:val="nil"/>
              <w:bottom w:val="single" w:sz="4" w:space="0" w:color="auto"/>
              <w:right w:val="single" w:sz="4" w:space="0" w:color="auto"/>
            </w:tcBorders>
            <w:shd w:val="clear" w:color="auto" w:fill="auto"/>
            <w:vAlign w:val="center"/>
            <w:hideMark/>
          </w:tcPr>
          <w:p w14:paraId="4FB89DF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86,041</w:t>
            </w:r>
          </w:p>
        </w:tc>
        <w:tc>
          <w:tcPr>
            <w:tcW w:w="709" w:type="dxa"/>
            <w:tcBorders>
              <w:top w:val="nil"/>
              <w:left w:val="nil"/>
              <w:bottom w:val="single" w:sz="4" w:space="0" w:color="auto"/>
              <w:right w:val="single" w:sz="4" w:space="0" w:color="auto"/>
            </w:tcBorders>
            <w:shd w:val="clear" w:color="auto" w:fill="auto"/>
            <w:vAlign w:val="center"/>
            <w:hideMark/>
          </w:tcPr>
          <w:p w14:paraId="7892075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5308E4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2CF862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E5939E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60C33786" w14:textId="77777777" w:rsidTr="00A755A7">
        <w:trPr>
          <w:gridAfter w:val="1"/>
          <w:wAfter w:w="34" w:type="dxa"/>
          <w:trHeight w:val="5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193FA99"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25</w:t>
            </w:r>
          </w:p>
        </w:tc>
        <w:tc>
          <w:tcPr>
            <w:tcW w:w="921" w:type="dxa"/>
            <w:tcBorders>
              <w:top w:val="nil"/>
              <w:left w:val="nil"/>
              <w:bottom w:val="single" w:sz="4" w:space="0" w:color="auto"/>
              <w:right w:val="single" w:sz="4" w:space="0" w:color="auto"/>
            </w:tcBorders>
            <w:shd w:val="clear" w:color="auto" w:fill="auto"/>
            <w:vAlign w:val="center"/>
            <w:hideMark/>
          </w:tcPr>
          <w:p w14:paraId="45017827"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Modernización del Sector Agropecuario, Acuícola, Pesquero y Forestal.</w:t>
            </w:r>
          </w:p>
        </w:tc>
        <w:tc>
          <w:tcPr>
            <w:tcW w:w="922" w:type="dxa"/>
            <w:tcBorders>
              <w:top w:val="nil"/>
              <w:left w:val="nil"/>
              <w:bottom w:val="single" w:sz="4" w:space="0" w:color="auto"/>
              <w:right w:val="single" w:sz="4" w:space="0" w:color="auto"/>
            </w:tcBorders>
            <w:shd w:val="clear" w:color="auto" w:fill="auto"/>
            <w:vAlign w:val="center"/>
            <w:hideMark/>
          </w:tcPr>
          <w:p w14:paraId="646B4F53"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101,862,197</w:t>
            </w:r>
          </w:p>
        </w:tc>
        <w:tc>
          <w:tcPr>
            <w:tcW w:w="850" w:type="dxa"/>
            <w:tcBorders>
              <w:top w:val="nil"/>
              <w:left w:val="nil"/>
              <w:bottom w:val="single" w:sz="4" w:space="0" w:color="auto"/>
              <w:right w:val="single" w:sz="4" w:space="0" w:color="auto"/>
            </w:tcBorders>
            <w:shd w:val="clear" w:color="auto" w:fill="auto"/>
            <w:vAlign w:val="center"/>
            <w:hideMark/>
          </w:tcPr>
          <w:p w14:paraId="03CF173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39,033,662</w:t>
            </w:r>
          </w:p>
        </w:tc>
        <w:tc>
          <w:tcPr>
            <w:tcW w:w="851" w:type="dxa"/>
            <w:tcBorders>
              <w:top w:val="nil"/>
              <w:left w:val="nil"/>
              <w:bottom w:val="single" w:sz="4" w:space="0" w:color="auto"/>
              <w:right w:val="single" w:sz="4" w:space="0" w:color="auto"/>
            </w:tcBorders>
            <w:shd w:val="clear" w:color="auto" w:fill="auto"/>
            <w:vAlign w:val="center"/>
            <w:hideMark/>
          </w:tcPr>
          <w:p w14:paraId="3ABA80A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2,946,000</w:t>
            </w:r>
          </w:p>
        </w:tc>
        <w:tc>
          <w:tcPr>
            <w:tcW w:w="850" w:type="dxa"/>
            <w:tcBorders>
              <w:top w:val="nil"/>
              <w:left w:val="nil"/>
              <w:bottom w:val="single" w:sz="4" w:space="0" w:color="auto"/>
              <w:right w:val="single" w:sz="4" w:space="0" w:color="auto"/>
            </w:tcBorders>
            <w:shd w:val="clear" w:color="auto" w:fill="auto"/>
            <w:vAlign w:val="center"/>
            <w:hideMark/>
          </w:tcPr>
          <w:p w14:paraId="1FE77C0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1,243,515</w:t>
            </w:r>
          </w:p>
        </w:tc>
        <w:tc>
          <w:tcPr>
            <w:tcW w:w="993" w:type="dxa"/>
            <w:tcBorders>
              <w:top w:val="nil"/>
              <w:left w:val="nil"/>
              <w:bottom w:val="single" w:sz="4" w:space="0" w:color="auto"/>
              <w:right w:val="single" w:sz="4" w:space="0" w:color="auto"/>
            </w:tcBorders>
            <w:shd w:val="clear" w:color="auto" w:fill="auto"/>
            <w:vAlign w:val="center"/>
            <w:hideMark/>
          </w:tcPr>
          <w:p w14:paraId="0E8E438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58,589,020</w:t>
            </w:r>
          </w:p>
        </w:tc>
        <w:tc>
          <w:tcPr>
            <w:tcW w:w="708" w:type="dxa"/>
            <w:tcBorders>
              <w:top w:val="nil"/>
              <w:left w:val="nil"/>
              <w:bottom w:val="single" w:sz="4" w:space="0" w:color="auto"/>
              <w:right w:val="single" w:sz="4" w:space="0" w:color="auto"/>
            </w:tcBorders>
            <w:shd w:val="clear" w:color="auto" w:fill="auto"/>
            <w:vAlign w:val="center"/>
            <w:hideMark/>
          </w:tcPr>
          <w:p w14:paraId="02C17F3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50,000</w:t>
            </w:r>
          </w:p>
        </w:tc>
        <w:tc>
          <w:tcPr>
            <w:tcW w:w="709" w:type="dxa"/>
            <w:tcBorders>
              <w:top w:val="nil"/>
              <w:left w:val="nil"/>
              <w:bottom w:val="single" w:sz="4" w:space="0" w:color="auto"/>
              <w:right w:val="single" w:sz="4" w:space="0" w:color="auto"/>
            </w:tcBorders>
            <w:shd w:val="clear" w:color="auto" w:fill="auto"/>
            <w:vAlign w:val="center"/>
            <w:hideMark/>
          </w:tcPr>
          <w:p w14:paraId="543A2D6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6ECD31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66BD25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170D5B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300E6A8F"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C36076B"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26</w:t>
            </w:r>
          </w:p>
        </w:tc>
        <w:tc>
          <w:tcPr>
            <w:tcW w:w="921" w:type="dxa"/>
            <w:tcBorders>
              <w:top w:val="nil"/>
              <w:left w:val="nil"/>
              <w:bottom w:val="single" w:sz="4" w:space="0" w:color="auto"/>
              <w:right w:val="single" w:sz="4" w:space="0" w:color="auto"/>
            </w:tcBorders>
            <w:shd w:val="clear" w:color="auto" w:fill="auto"/>
            <w:vAlign w:val="center"/>
            <w:hideMark/>
          </w:tcPr>
          <w:p w14:paraId="7FC75CD9"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Impulso del Sector Turístico Competitivo y Sustentable.</w:t>
            </w:r>
          </w:p>
        </w:tc>
        <w:tc>
          <w:tcPr>
            <w:tcW w:w="922" w:type="dxa"/>
            <w:tcBorders>
              <w:top w:val="nil"/>
              <w:left w:val="nil"/>
              <w:bottom w:val="single" w:sz="4" w:space="0" w:color="auto"/>
              <w:right w:val="single" w:sz="4" w:space="0" w:color="auto"/>
            </w:tcBorders>
            <w:shd w:val="clear" w:color="auto" w:fill="auto"/>
            <w:vAlign w:val="center"/>
            <w:hideMark/>
          </w:tcPr>
          <w:p w14:paraId="1E41EDE4"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32,755,895</w:t>
            </w:r>
          </w:p>
        </w:tc>
        <w:tc>
          <w:tcPr>
            <w:tcW w:w="850" w:type="dxa"/>
            <w:tcBorders>
              <w:top w:val="nil"/>
              <w:left w:val="nil"/>
              <w:bottom w:val="single" w:sz="4" w:space="0" w:color="auto"/>
              <w:right w:val="single" w:sz="4" w:space="0" w:color="auto"/>
            </w:tcBorders>
            <w:shd w:val="clear" w:color="auto" w:fill="auto"/>
            <w:vAlign w:val="center"/>
            <w:hideMark/>
          </w:tcPr>
          <w:p w14:paraId="624FFD7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14,177,324</w:t>
            </w:r>
          </w:p>
        </w:tc>
        <w:tc>
          <w:tcPr>
            <w:tcW w:w="851" w:type="dxa"/>
            <w:tcBorders>
              <w:top w:val="nil"/>
              <w:left w:val="nil"/>
              <w:bottom w:val="single" w:sz="4" w:space="0" w:color="auto"/>
              <w:right w:val="single" w:sz="4" w:space="0" w:color="auto"/>
            </w:tcBorders>
            <w:shd w:val="clear" w:color="auto" w:fill="auto"/>
            <w:vAlign w:val="center"/>
            <w:hideMark/>
          </w:tcPr>
          <w:p w14:paraId="31BAF26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272,300</w:t>
            </w:r>
          </w:p>
        </w:tc>
        <w:tc>
          <w:tcPr>
            <w:tcW w:w="850" w:type="dxa"/>
            <w:tcBorders>
              <w:top w:val="nil"/>
              <w:left w:val="nil"/>
              <w:bottom w:val="single" w:sz="4" w:space="0" w:color="auto"/>
              <w:right w:val="single" w:sz="4" w:space="0" w:color="auto"/>
            </w:tcBorders>
            <w:shd w:val="clear" w:color="auto" w:fill="auto"/>
            <w:vAlign w:val="center"/>
            <w:hideMark/>
          </w:tcPr>
          <w:p w14:paraId="6BF23A2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2,524,481</w:t>
            </w:r>
          </w:p>
        </w:tc>
        <w:tc>
          <w:tcPr>
            <w:tcW w:w="993" w:type="dxa"/>
            <w:tcBorders>
              <w:top w:val="nil"/>
              <w:left w:val="nil"/>
              <w:bottom w:val="single" w:sz="4" w:space="0" w:color="auto"/>
              <w:right w:val="single" w:sz="4" w:space="0" w:color="auto"/>
            </w:tcBorders>
            <w:shd w:val="clear" w:color="auto" w:fill="auto"/>
            <w:vAlign w:val="center"/>
            <w:hideMark/>
          </w:tcPr>
          <w:p w14:paraId="46ADB0C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15,781,790</w:t>
            </w:r>
          </w:p>
        </w:tc>
        <w:tc>
          <w:tcPr>
            <w:tcW w:w="708" w:type="dxa"/>
            <w:tcBorders>
              <w:top w:val="nil"/>
              <w:left w:val="nil"/>
              <w:bottom w:val="single" w:sz="4" w:space="0" w:color="auto"/>
              <w:right w:val="single" w:sz="4" w:space="0" w:color="auto"/>
            </w:tcBorders>
            <w:shd w:val="clear" w:color="auto" w:fill="auto"/>
            <w:vAlign w:val="center"/>
            <w:hideMark/>
          </w:tcPr>
          <w:p w14:paraId="106293C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30CC5E4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B49EF5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E6E8CE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22066A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46E71DD9" w14:textId="77777777" w:rsidTr="00A755A7">
        <w:trPr>
          <w:gridAfter w:val="1"/>
          <w:wAfter w:w="34" w:type="dxa"/>
          <w:trHeight w:val="5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41AC6A5"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27</w:t>
            </w:r>
          </w:p>
        </w:tc>
        <w:tc>
          <w:tcPr>
            <w:tcW w:w="921" w:type="dxa"/>
            <w:tcBorders>
              <w:top w:val="nil"/>
              <w:left w:val="nil"/>
              <w:bottom w:val="single" w:sz="4" w:space="0" w:color="auto"/>
              <w:right w:val="single" w:sz="4" w:space="0" w:color="auto"/>
            </w:tcBorders>
            <w:shd w:val="clear" w:color="auto" w:fill="auto"/>
            <w:vAlign w:val="center"/>
            <w:hideMark/>
          </w:tcPr>
          <w:p w14:paraId="0243787E"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Coordinación Control, Comando, Comunicación, Computo e Inteligencia C5i.</w:t>
            </w:r>
          </w:p>
        </w:tc>
        <w:tc>
          <w:tcPr>
            <w:tcW w:w="922" w:type="dxa"/>
            <w:tcBorders>
              <w:top w:val="nil"/>
              <w:left w:val="nil"/>
              <w:bottom w:val="single" w:sz="4" w:space="0" w:color="auto"/>
              <w:right w:val="single" w:sz="4" w:space="0" w:color="auto"/>
            </w:tcBorders>
            <w:shd w:val="clear" w:color="auto" w:fill="auto"/>
            <w:vAlign w:val="center"/>
            <w:hideMark/>
          </w:tcPr>
          <w:p w14:paraId="7172375D"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9,351,125</w:t>
            </w:r>
          </w:p>
        </w:tc>
        <w:tc>
          <w:tcPr>
            <w:tcW w:w="850" w:type="dxa"/>
            <w:tcBorders>
              <w:top w:val="nil"/>
              <w:left w:val="nil"/>
              <w:bottom w:val="single" w:sz="4" w:space="0" w:color="auto"/>
              <w:right w:val="single" w:sz="4" w:space="0" w:color="auto"/>
            </w:tcBorders>
            <w:shd w:val="clear" w:color="auto" w:fill="auto"/>
            <w:vAlign w:val="center"/>
            <w:hideMark/>
          </w:tcPr>
          <w:p w14:paraId="45C2D07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6,447,606</w:t>
            </w:r>
          </w:p>
        </w:tc>
        <w:tc>
          <w:tcPr>
            <w:tcW w:w="851" w:type="dxa"/>
            <w:tcBorders>
              <w:top w:val="nil"/>
              <w:left w:val="nil"/>
              <w:bottom w:val="single" w:sz="4" w:space="0" w:color="auto"/>
              <w:right w:val="single" w:sz="4" w:space="0" w:color="auto"/>
            </w:tcBorders>
            <w:shd w:val="clear" w:color="auto" w:fill="auto"/>
            <w:vAlign w:val="center"/>
            <w:hideMark/>
          </w:tcPr>
          <w:p w14:paraId="5DC4425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1,052,143</w:t>
            </w:r>
          </w:p>
        </w:tc>
        <w:tc>
          <w:tcPr>
            <w:tcW w:w="850" w:type="dxa"/>
            <w:tcBorders>
              <w:top w:val="nil"/>
              <w:left w:val="nil"/>
              <w:bottom w:val="single" w:sz="4" w:space="0" w:color="auto"/>
              <w:right w:val="single" w:sz="4" w:space="0" w:color="auto"/>
            </w:tcBorders>
            <w:shd w:val="clear" w:color="auto" w:fill="auto"/>
            <w:vAlign w:val="center"/>
            <w:hideMark/>
          </w:tcPr>
          <w:p w14:paraId="4D32E18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1,851,376</w:t>
            </w:r>
          </w:p>
        </w:tc>
        <w:tc>
          <w:tcPr>
            <w:tcW w:w="993" w:type="dxa"/>
            <w:tcBorders>
              <w:top w:val="nil"/>
              <w:left w:val="nil"/>
              <w:bottom w:val="single" w:sz="4" w:space="0" w:color="auto"/>
              <w:right w:val="single" w:sz="4" w:space="0" w:color="auto"/>
            </w:tcBorders>
            <w:shd w:val="clear" w:color="auto" w:fill="auto"/>
            <w:vAlign w:val="center"/>
            <w:hideMark/>
          </w:tcPr>
          <w:p w14:paraId="34028F3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613C4FD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1D10EA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C2B108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B26D7C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C31A07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39B7F405"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B70F576"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30</w:t>
            </w:r>
          </w:p>
        </w:tc>
        <w:tc>
          <w:tcPr>
            <w:tcW w:w="921" w:type="dxa"/>
            <w:tcBorders>
              <w:top w:val="nil"/>
              <w:left w:val="nil"/>
              <w:bottom w:val="single" w:sz="4" w:space="0" w:color="auto"/>
              <w:right w:val="single" w:sz="4" w:space="0" w:color="auto"/>
            </w:tcBorders>
            <w:shd w:val="clear" w:color="auto" w:fill="auto"/>
            <w:vAlign w:val="center"/>
            <w:hideMark/>
          </w:tcPr>
          <w:p w14:paraId="27856B5D"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Arbitraje y Escalafón.</w:t>
            </w:r>
          </w:p>
        </w:tc>
        <w:tc>
          <w:tcPr>
            <w:tcW w:w="922" w:type="dxa"/>
            <w:tcBorders>
              <w:top w:val="nil"/>
              <w:left w:val="nil"/>
              <w:bottom w:val="single" w:sz="4" w:space="0" w:color="auto"/>
              <w:right w:val="single" w:sz="4" w:space="0" w:color="auto"/>
            </w:tcBorders>
            <w:shd w:val="clear" w:color="auto" w:fill="auto"/>
            <w:vAlign w:val="center"/>
            <w:hideMark/>
          </w:tcPr>
          <w:p w14:paraId="44748ACE"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7,716,314</w:t>
            </w:r>
          </w:p>
        </w:tc>
        <w:tc>
          <w:tcPr>
            <w:tcW w:w="850" w:type="dxa"/>
            <w:tcBorders>
              <w:top w:val="nil"/>
              <w:left w:val="nil"/>
              <w:bottom w:val="single" w:sz="4" w:space="0" w:color="auto"/>
              <w:right w:val="single" w:sz="4" w:space="0" w:color="auto"/>
            </w:tcBorders>
            <w:shd w:val="clear" w:color="auto" w:fill="auto"/>
            <w:vAlign w:val="center"/>
            <w:hideMark/>
          </w:tcPr>
          <w:p w14:paraId="45FDC74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33D2720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2B6CD60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095B847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7,716,314</w:t>
            </w:r>
          </w:p>
        </w:tc>
        <w:tc>
          <w:tcPr>
            <w:tcW w:w="708" w:type="dxa"/>
            <w:tcBorders>
              <w:top w:val="nil"/>
              <w:left w:val="nil"/>
              <w:bottom w:val="single" w:sz="4" w:space="0" w:color="auto"/>
              <w:right w:val="single" w:sz="4" w:space="0" w:color="auto"/>
            </w:tcBorders>
            <w:shd w:val="clear" w:color="auto" w:fill="auto"/>
            <w:vAlign w:val="center"/>
            <w:hideMark/>
          </w:tcPr>
          <w:p w14:paraId="16F58C5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516C26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352C8B2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8E28D8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765BC59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5033257C"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1192647"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31</w:t>
            </w:r>
          </w:p>
        </w:tc>
        <w:tc>
          <w:tcPr>
            <w:tcW w:w="921" w:type="dxa"/>
            <w:tcBorders>
              <w:top w:val="nil"/>
              <w:left w:val="nil"/>
              <w:bottom w:val="single" w:sz="4" w:space="0" w:color="auto"/>
              <w:right w:val="single" w:sz="4" w:space="0" w:color="auto"/>
            </w:tcBorders>
            <w:shd w:val="clear" w:color="auto" w:fill="auto"/>
            <w:vAlign w:val="center"/>
            <w:hideMark/>
          </w:tcPr>
          <w:p w14:paraId="1CDE500E" w14:textId="5EFADFC7" w:rsidR="00D868AB" w:rsidRPr="00D868AB" w:rsidRDefault="00D03AFC" w:rsidP="00D868AB">
            <w:pPr>
              <w:jc w:val="left"/>
              <w:rPr>
                <w:rFonts w:eastAsia="Times New Roman" w:cs="Arial"/>
                <w:b/>
                <w:bCs/>
                <w:color w:val="000000"/>
                <w:sz w:val="11"/>
                <w:szCs w:val="11"/>
              </w:rPr>
            </w:pPr>
            <w:r w:rsidRPr="00D868AB">
              <w:rPr>
                <w:rFonts w:eastAsia="Times New Roman" w:cs="Arial"/>
                <w:b/>
                <w:bCs/>
                <w:color w:val="000000"/>
                <w:sz w:val="11"/>
                <w:szCs w:val="11"/>
              </w:rPr>
              <w:t>Impartición</w:t>
            </w:r>
            <w:r w:rsidR="00D868AB" w:rsidRPr="00D868AB">
              <w:rPr>
                <w:rFonts w:eastAsia="Times New Roman" w:cs="Arial"/>
                <w:b/>
                <w:bCs/>
                <w:color w:val="000000"/>
                <w:sz w:val="11"/>
                <w:szCs w:val="11"/>
              </w:rPr>
              <w:t xml:space="preserve"> de Justicia Administrativa.</w:t>
            </w:r>
          </w:p>
        </w:tc>
        <w:tc>
          <w:tcPr>
            <w:tcW w:w="922" w:type="dxa"/>
            <w:tcBorders>
              <w:top w:val="nil"/>
              <w:left w:val="nil"/>
              <w:bottom w:val="single" w:sz="4" w:space="0" w:color="auto"/>
              <w:right w:val="single" w:sz="4" w:space="0" w:color="auto"/>
            </w:tcBorders>
            <w:shd w:val="clear" w:color="auto" w:fill="auto"/>
            <w:vAlign w:val="center"/>
            <w:hideMark/>
          </w:tcPr>
          <w:p w14:paraId="17B1EFE5"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25,343,902</w:t>
            </w:r>
          </w:p>
        </w:tc>
        <w:tc>
          <w:tcPr>
            <w:tcW w:w="850" w:type="dxa"/>
            <w:tcBorders>
              <w:top w:val="nil"/>
              <w:left w:val="nil"/>
              <w:bottom w:val="single" w:sz="4" w:space="0" w:color="auto"/>
              <w:right w:val="single" w:sz="4" w:space="0" w:color="auto"/>
            </w:tcBorders>
            <w:shd w:val="clear" w:color="auto" w:fill="auto"/>
            <w:vAlign w:val="center"/>
            <w:hideMark/>
          </w:tcPr>
          <w:p w14:paraId="204CF09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42B7C1B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E8FDEB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10605D7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25,343,902</w:t>
            </w:r>
          </w:p>
        </w:tc>
        <w:tc>
          <w:tcPr>
            <w:tcW w:w="708" w:type="dxa"/>
            <w:tcBorders>
              <w:top w:val="nil"/>
              <w:left w:val="nil"/>
              <w:bottom w:val="single" w:sz="4" w:space="0" w:color="auto"/>
              <w:right w:val="single" w:sz="4" w:space="0" w:color="auto"/>
            </w:tcBorders>
            <w:shd w:val="clear" w:color="auto" w:fill="auto"/>
            <w:vAlign w:val="center"/>
            <w:hideMark/>
          </w:tcPr>
          <w:p w14:paraId="5BEE542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1203A2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C63FB6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2AF92D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74A099A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7B4E1DAD"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531D818"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32</w:t>
            </w:r>
          </w:p>
        </w:tc>
        <w:tc>
          <w:tcPr>
            <w:tcW w:w="921" w:type="dxa"/>
            <w:tcBorders>
              <w:top w:val="nil"/>
              <w:left w:val="nil"/>
              <w:bottom w:val="single" w:sz="4" w:space="0" w:color="auto"/>
              <w:right w:val="single" w:sz="4" w:space="0" w:color="auto"/>
            </w:tcBorders>
            <w:shd w:val="clear" w:color="auto" w:fill="auto"/>
            <w:vAlign w:val="center"/>
            <w:hideMark/>
          </w:tcPr>
          <w:p w14:paraId="743BE695"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Asistencia al Sistema Estatal de Seguridad Pública.</w:t>
            </w:r>
          </w:p>
        </w:tc>
        <w:tc>
          <w:tcPr>
            <w:tcW w:w="922" w:type="dxa"/>
            <w:tcBorders>
              <w:top w:val="nil"/>
              <w:left w:val="nil"/>
              <w:bottom w:val="single" w:sz="4" w:space="0" w:color="auto"/>
              <w:right w:val="single" w:sz="4" w:space="0" w:color="auto"/>
            </w:tcBorders>
            <w:shd w:val="clear" w:color="auto" w:fill="auto"/>
            <w:vAlign w:val="center"/>
            <w:hideMark/>
          </w:tcPr>
          <w:p w14:paraId="3909E87A"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383,608,289</w:t>
            </w:r>
          </w:p>
        </w:tc>
        <w:tc>
          <w:tcPr>
            <w:tcW w:w="850" w:type="dxa"/>
            <w:tcBorders>
              <w:top w:val="nil"/>
              <w:left w:val="nil"/>
              <w:bottom w:val="single" w:sz="4" w:space="0" w:color="auto"/>
              <w:right w:val="single" w:sz="4" w:space="0" w:color="auto"/>
            </w:tcBorders>
            <w:shd w:val="clear" w:color="auto" w:fill="auto"/>
            <w:vAlign w:val="center"/>
            <w:hideMark/>
          </w:tcPr>
          <w:p w14:paraId="4C285E0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18,882,231</w:t>
            </w:r>
          </w:p>
        </w:tc>
        <w:tc>
          <w:tcPr>
            <w:tcW w:w="851" w:type="dxa"/>
            <w:tcBorders>
              <w:top w:val="nil"/>
              <w:left w:val="nil"/>
              <w:bottom w:val="single" w:sz="4" w:space="0" w:color="auto"/>
              <w:right w:val="single" w:sz="4" w:space="0" w:color="auto"/>
            </w:tcBorders>
            <w:shd w:val="clear" w:color="auto" w:fill="auto"/>
            <w:vAlign w:val="center"/>
            <w:hideMark/>
          </w:tcPr>
          <w:p w14:paraId="43ABCD8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84,026,706</w:t>
            </w:r>
          </w:p>
        </w:tc>
        <w:tc>
          <w:tcPr>
            <w:tcW w:w="850" w:type="dxa"/>
            <w:tcBorders>
              <w:top w:val="nil"/>
              <w:left w:val="nil"/>
              <w:bottom w:val="single" w:sz="4" w:space="0" w:color="auto"/>
              <w:right w:val="single" w:sz="4" w:space="0" w:color="auto"/>
            </w:tcBorders>
            <w:shd w:val="clear" w:color="auto" w:fill="auto"/>
            <w:vAlign w:val="center"/>
            <w:hideMark/>
          </w:tcPr>
          <w:p w14:paraId="30F829C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218,545,811</w:t>
            </w:r>
          </w:p>
        </w:tc>
        <w:tc>
          <w:tcPr>
            <w:tcW w:w="993" w:type="dxa"/>
            <w:tcBorders>
              <w:top w:val="nil"/>
              <w:left w:val="nil"/>
              <w:bottom w:val="single" w:sz="4" w:space="0" w:color="auto"/>
              <w:right w:val="single" w:sz="4" w:space="0" w:color="auto"/>
            </w:tcBorders>
            <w:shd w:val="clear" w:color="auto" w:fill="auto"/>
            <w:vAlign w:val="center"/>
            <w:hideMark/>
          </w:tcPr>
          <w:p w14:paraId="3B67958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0FE12F6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42,677,032</w:t>
            </w:r>
          </w:p>
        </w:tc>
        <w:tc>
          <w:tcPr>
            <w:tcW w:w="709" w:type="dxa"/>
            <w:tcBorders>
              <w:top w:val="nil"/>
              <w:left w:val="nil"/>
              <w:bottom w:val="single" w:sz="4" w:space="0" w:color="auto"/>
              <w:right w:val="single" w:sz="4" w:space="0" w:color="auto"/>
            </w:tcBorders>
            <w:shd w:val="clear" w:color="auto" w:fill="auto"/>
            <w:vAlign w:val="center"/>
            <w:hideMark/>
          </w:tcPr>
          <w:p w14:paraId="4CE4021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19,476,509</w:t>
            </w:r>
          </w:p>
        </w:tc>
        <w:tc>
          <w:tcPr>
            <w:tcW w:w="709" w:type="dxa"/>
            <w:tcBorders>
              <w:top w:val="nil"/>
              <w:left w:val="nil"/>
              <w:bottom w:val="single" w:sz="4" w:space="0" w:color="auto"/>
              <w:right w:val="single" w:sz="4" w:space="0" w:color="auto"/>
            </w:tcBorders>
            <w:shd w:val="clear" w:color="auto" w:fill="auto"/>
            <w:vAlign w:val="center"/>
            <w:hideMark/>
          </w:tcPr>
          <w:p w14:paraId="62321D3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37981C3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17FB4F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2BE3FDD9"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ED56DA8"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33</w:t>
            </w:r>
          </w:p>
        </w:tc>
        <w:tc>
          <w:tcPr>
            <w:tcW w:w="921" w:type="dxa"/>
            <w:tcBorders>
              <w:top w:val="nil"/>
              <w:left w:val="nil"/>
              <w:bottom w:val="single" w:sz="4" w:space="0" w:color="auto"/>
              <w:right w:val="single" w:sz="4" w:space="0" w:color="auto"/>
            </w:tcBorders>
            <w:shd w:val="clear" w:color="auto" w:fill="auto"/>
            <w:vAlign w:val="center"/>
            <w:hideMark/>
          </w:tcPr>
          <w:p w14:paraId="5CDCB0F4"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Seguridad Pública y Prevención del Delito.</w:t>
            </w:r>
          </w:p>
        </w:tc>
        <w:tc>
          <w:tcPr>
            <w:tcW w:w="922" w:type="dxa"/>
            <w:tcBorders>
              <w:top w:val="nil"/>
              <w:left w:val="nil"/>
              <w:bottom w:val="single" w:sz="4" w:space="0" w:color="auto"/>
              <w:right w:val="single" w:sz="4" w:space="0" w:color="auto"/>
            </w:tcBorders>
            <w:shd w:val="clear" w:color="auto" w:fill="auto"/>
            <w:vAlign w:val="center"/>
            <w:hideMark/>
          </w:tcPr>
          <w:p w14:paraId="197D6246"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659,639,482</w:t>
            </w:r>
          </w:p>
        </w:tc>
        <w:tc>
          <w:tcPr>
            <w:tcW w:w="850" w:type="dxa"/>
            <w:tcBorders>
              <w:top w:val="nil"/>
              <w:left w:val="nil"/>
              <w:bottom w:val="single" w:sz="4" w:space="0" w:color="auto"/>
              <w:right w:val="single" w:sz="4" w:space="0" w:color="auto"/>
            </w:tcBorders>
            <w:shd w:val="clear" w:color="auto" w:fill="auto"/>
            <w:vAlign w:val="center"/>
            <w:hideMark/>
          </w:tcPr>
          <w:p w14:paraId="7A2FE4E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524,244,435</w:t>
            </w:r>
          </w:p>
        </w:tc>
        <w:tc>
          <w:tcPr>
            <w:tcW w:w="851" w:type="dxa"/>
            <w:tcBorders>
              <w:top w:val="nil"/>
              <w:left w:val="nil"/>
              <w:bottom w:val="single" w:sz="4" w:space="0" w:color="auto"/>
              <w:right w:val="single" w:sz="4" w:space="0" w:color="auto"/>
            </w:tcBorders>
            <w:shd w:val="clear" w:color="auto" w:fill="auto"/>
            <w:vAlign w:val="center"/>
            <w:hideMark/>
          </w:tcPr>
          <w:p w14:paraId="1A6D6B1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111,347,947</w:t>
            </w:r>
          </w:p>
        </w:tc>
        <w:tc>
          <w:tcPr>
            <w:tcW w:w="850" w:type="dxa"/>
            <w:tcBorders>
              <w:top w:val="nil"/>
              <w:left w:val="nil"/>
              <w:bottom w:val="single" w:sz="4" w:space="0" w:color="auto"/>
              <w:right w:val="single" w:sz="4" w:space="0" w:color="auto"/>
            </w:tcBorders>
            <w:shd w:val="clear" w:color="auto" w:fill="auto"/>
            <w:vAlign w:val="center"/>
            <w:hideMark/>
          </w:tcPr>
          <w:p w14:paraId="72B1AD2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24,047,100</w:t>
            </w:r>
          </w:p>
        </w:tc>
        <w:tc>
          <w:tcPr>
            <w:tcW w:w="993" w:type="dxa"/>
            <w:tcBorders>
              <w:top w:val="nil"/>
              <w:left w:val="nil"/>
              <w:bottom w:val="single" w:sz="4" w:space="0" w:color="auto"/>
              <w:right w:val="single" w:sz="4" w:space="0" w:color="auto"/>
            </w:tcBorders>
            <w:shd w:val="clear" w:color="auto" w:fill="auto"/>
            <w:vAlign w:val="center"/>
            <w:hideMark/>
          </w:tcPr>
          <w:p w14:paraId="254D085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1746A50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C362E8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5A3A5D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21F11A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3CF55C5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7D479ECC"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48E46EB"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34</w:t>
            </w:r>
          </w:p>
        </w:tc>
        <w:tc>
          <w:tcPr>
            <w:tcW w:w="921" w:type="dxa"/>
            <w:tcBorders>
              <w:top w:val="nil"/>
              <w:left w:val="nil"/>
              <w:bottom w:val="single" w:sz="4" w:space="0" w:color="auto"/>
              <w:right w:val="single" w:sz="4" w:space="0" w:color="auto"/>
            </w:tcBorders>
            <w:shd w:val="clear" w:color="auto" w:fill="auto"/>
            <w:vAlign w:val="center"/>
            <w:hideMark/>
          </w:tcPr>
          <w:p w14:paraId="4143A473"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Acceso a la Justicia Conforme a Derecho.</w:t>
            </w:r>
          </w:p>
        </w:tc>
        <w:tc>
          <w:tcPr>
            <w:tcW w:w="922" w:type="dxa"/>
            <w:tcBorders>
              <w:top w:val="nil"/>
              <w:left w:val="nil"/>
              <w:bottom w:val="single" w:sz="4" w:space="0" w:color="auto"/>
              <w:right w:val="single" w:sz="4" w:space="0" w:color="auto"/>
            </w:tcBorders>
            <w:shd w:val="clear" w:color="auto" w:fill="auto"/>
            <w:vAlign w:val="center"/>
            <w:hideMark/>
          </w:tcPr>
          <w:p w14:paraId="5B08AC03"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462,668,320</w:t>
            </w:r>
          </w:p>
        </w:tc>
        <w:tc>
          <w:tcPr>
            <w:tcW w:w="850" w:type="dxa"/>
            <w:tcBorders>
              <w:top w:val="nil"/>
              <w:left w:val="nil"/>
              <w:bottom w:val="single" w:sz="4" w:space="0" w:color="auto"/>
              <w:right w:val="single" w:sz="4" w:space="0" w:color="auto"/>
            </w:tcBorders>
            <w:shd w:val="clear" w:color="auto" w:fill="auto"/>
            <w:vAlign w:val="center"/>
            <w:hideMark/>
          </w:tcPr>
          <w:p w14:paraId="76BBDFE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08A9C6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0A0024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1583265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462,668,320</w:t>
            </w:r>
          </w:p>
        </w:tc>
        <w:tc>
          <w:tcPr>
            <w:tcW w:w="708" w:type="dxa"/>
            <w:tcBorders>
              <w:top w:val="nil"/>
              <w:left w:val="nil"/>
              <w:bottom w:val="single" w:sz="4" w:space="0" w:color="auto"/>
              <w:right w:val="single" w:sz="4" w:space="0" w:color="auto"/>
            </w:tcBorders>
            <w:shd w:val="clear" w:color="auto" w:fill="auto"/>
            <w:vAlign w:val="center"/>
            <w:hideMark/>
          </w:tcPr>
          <w:p w14:paraId="6363CB2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676595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54D8A6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AC2CB8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E06285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1FDE7021"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FA3F3AB"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35</w:t>
            </w:r>
          </w:p>
        </w:tc>
        <w:tc>
          <w:tcPr>
            <w:tcW w:w="921" w:type="dxa"/>
            <w:tcBorders>
              <w:top w:val="nil"/>
              <w:left w:val="nil"/>
              <w:bottom w:val="single" w:sz="4" w:space="0" w:color="auto"/>
              <w:right w:val="single" w:sz="4" w:space="0" w:color="auto"/>
            </w:tcBorders>
            <w:shd w:val="clear" w:color="auto" w:fill="auto"/>
            <w:vAlign w:val="center"/>
            <w:hideMark/>
          </w:tcPr>
          <w:p w14:paraId="0FC7AED5"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Derechos Humanos.</w:t>
            </w:r>
          </w:p>
        </w:tc>
        <w:tc>
          <w:tcPr>
            <w:tcW w:w="922" w:type="dxa"/>
            <w:tcBorders>
              <w:top w:val="nil"/>
              <w:left w:val="nil"/>
              <w:bottom w:val="single" w:sz="4" w:space="0" w:color="auto"/>
              <w:right w:val="single" w:sz="4" w:space="0" w:color="auto"/>
            </w:tcBorders>
            <w:shd w:val="clear" w:color="auto" w:fill="auto"/>
            <w:vAlign w:val="center"/>
            <w:hideMark/>
          </w:tcPr>
          <w:p w14:paraId="7A8ACE55"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13,889,615</w:t>
            </w:r>
          </w:p>
        </w:tc>
        <w:tc>
          <w:tcPr>
            <w:tcW w:w="850" w:type="dxa"/>
            <w:tcBorders>
              <w:top w:val="nil"/>
              <w:left w:val="nil"/>
              <w:bottom w:val="single" w:sz="4" w:space="0" w:color="auto"/>
              <w:right w:val="single" w:sz="4" w:space="0" w:color="auto"/>
            </w:tcBorders>
            <w:shd w:val="clear" w:color="auto" w:fill="auto"/>
            <w:vAlign w:val="center"/>
            <w:hideMark/>
          </w:tcPr>
          <w:p w14:paraId="3A1A927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8725F6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6C31A1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45CD6B4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13,889,615</w:t>
            </w:r>
          </w:p>
        </w:tc>
        <w:tc>
          <w:tcPr>
            <w:tcW w:w="708" w:type="dxa"/>
            <w:tcBorders>
              <w:top w:val="nil"/>
              <w:left w:val="nil"/>
              <w:bottom w:val="single" w:sz="4" w:space="0" w:color="auto"/>
              <w:right w:val="single" w:sz="4" w:space="0" w:color="auto"/>
            </w:tcBorders>
            <w:shd w:val="clear" w:color="auto" w:fill="auto"/>
            <w:vAlign w:val="center"/>
            <w:hideMark/>
          </w:tcPr>
          <w:p w14:paraId="74996B1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3CAE4B9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595B70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B9BF1C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896E51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6EEBA809"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380693F"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36</w:t>
            </w:r>
          </w:p>
        </w:tc>
        <w:tc>
          <w:tcPr>
            <w:tcW w:w="921" w:type="dxa"/>
            <w:tcBorders>
              <w:top w:val="nil"/>
              <w:left w:val="nil"/>
              <w:bottom w:val="single" w:sz="4" w:space="0" w:color="auto"/>
              <w:right w:val="single" w:sz="4" w:space="0" w:color="auto"/>
            </w:tcBorders>
            <w:shd w:val="clear" w:color="auto" w:fill="auto"/>
            <w:vAlign w:val="center"/>
            <w:hideMark/>
          </w:tcPr>
          <w:p w14:paraId="605265C2"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Evaluación y Control de Confianza C3.</w:t>
            </w:r>
          </w:p>
        </w:tc>
        <w:tc>
          <w:tcPr>
            <w:tcW w:w="922" w:type="dxa"/>
            <w:tcBorders>
              <w:top w:val="nil"/>
              <w:left w:val="nil"/>
              <w:bottom w:val="single" w:sz="4" w:space="0" w:color="auto"/>
              <w:right w:val="single" w:sz="4" w:space="0" w:color="auto"/>
            </w:tcBorders>
            <w:shd w:val="clear" w:color="auto" w:fill="auto"/>
            <w:vAlign w:val="center"/>
            <w:hideMark/>
          </w:tcPr>
          <w:p w14:paraId="5416B571"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11,863,050</w:t>
            </w:r>
          </w:p>
        </w:tc>
        <w:tc>
          <w:tcPr>
            <w:tcW w:w="850" w:type="dxa"/>
            <w:tcBorders>
              <w:top w:val="nil"/>
              <w:left w:val="nil"/>
              <w:bottom w:val="single" w:sz="4" w:space="0" w:color="auto"/>
              <w:right w:val="single" w:sz="4" w:space="0" w:color="auto"/>
            </w:tcBorders>
            <w:shd w:val="clear" w:color="auto" w:fill="auto"/>
            <w:vAlign w:val="center"/>
            <w:hideMark/>
          </w:tcPr>
          <w:p w14:paraId="063B947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9,031,854</w:t>
            </w:r>
          </w:p>
        </w:tc>
        <w:tc>
          <w:tcPr>
            <w:tcW w:w="851" w:type="dxa"/>
            <w:tcBorders>
              <w:top w:val="nil"/>
              <w:left w:val="nil"/>
              <w:bottom w:val="single" w:sz="4" w:space="0" w:color="auto"/>
              <w:right w:val="single" w:sz="4" w:space="0" w:color="auto"/>
            </w:tcBorders>
            <w:shd w:val="clear" w:color="auto" w:fill="auto"/>
            <w:vAlign w:val="center"/>
            <w:hideMark/>
          </w:tcPr>
          <w:p w14:paraId="36BB0F4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1,172,215</w:t>
            </w:r>
          </w:p>
        </w:tc>
        <w:tc>
          <w:tcPr>
            <w:tcW w:w="850" w:type="dxa"/>
            <w:tcBorders>
              <w:top w:val="nil"/>
              <w:left w:val="nil"/>
              <w:bottom w:val="single" w:sz="4" w:space="0" w:color="auto"/>
              <w:right w:val="single" w:sz="4" w:space="0" w:color="auto"/>
            </w:tcBorders>
            <w:shd w:val="clear" w:color="auto" w:fill="auto"/>
            <w:vAlign w:val="center"/>
            <w:hideMark/>
          </w:tcPr>
          <w:p w14:paraId="4145777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1,496,811</w:t>
            </w:r>
          </w:p>
        </w:tc>
        <w:tc>
          <w:tcPr>
            <w:tcW w:w="993" w:type="dxa"/>
            <w:tcBorders>
              <w:top w:val="nil"/>
              <w:left w:val="nil"/>
              <w:bottom w:val="single" w:sz="4" w:space="0" w:color="auto"/>
              <w:right w:val="single" w:sz="4" w:space="0" w:color="auto"/>
            </w:tcBorders>
            <w:shd w:val="clear" w:color="auto" w:fill="auto"/>
            <w:vAlign w:val="center"/>
            <w:hideMark/>
          </w:tcPr>
          <w:p w14:paraId="210539A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60813CD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162,170</w:t>
            </w:r>
          </w:p>
        </w:tc>
        <w:tc>
          <w:tcPr>
            <w:tcW w:w="709" w:type="dxa"/>
            <w:tcBorders>
              <w:top w:val="nil"/>
              <w:left w:val="nil"/>
              <w:bottom w:val="single" w:sz="4" w:space="0" w:color="auto"/>
              <w:right w:val="single" w:sz="4" w:space="0" w:color="auto"/>
            </w:tcBorders>
            <w:shd w:val="clear" w:color="auto" w:fill="auto"/>
            <w:vAlign w:val="center"/>
            <w:hideMark/>
          </w:tcPr>
          <w:p w14:paraId="5908E6E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58E954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A02174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D436E5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742E52DC"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19A4B37"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37</w:t>
            </w:r>
          </w:p>
        </w:tc>
        <w:tc>
          <w:tcPr>
            <w:tcW w:w="921" w:type="dxa"/>
            <w:tcBorders>
              <w:top w:val="nil"/>
              <w:left w:val="nil"/>
              <w:bottom w:val="single" w:sz="4" w:space="0" w:color="auto"/>
              <w:right w:val="single" w:sz="4" w:space="0" w:color="auto"/>
            </w:tcBorders>
            <w:shd w:val="clear" w:color="auto" w:fill="auto"/>
            <w:vAlign w:val="center"/>
            <w:hideMark/>
          </w:tcPr>
          <w:p w14:paraId="7744772F"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Registro del Territorio.</w:t>
            </w:r>
          </w:p>
        </w:tc>
        <w:tc>
          <w:tcPr>
            <w:tcW w:w="922" w:type="dxa"/>
            <w:tcBorders>
              <w:top w:val="nil"/>
              <w:left w:val="nil"/>
              <w:bottom w:val="single" w:sz="4" w:space="0" w:color="auto"/>
              <w:right w:val="single" w:sz="4" w:space="0" w:color="auto"/>
            </w:tcBorders>
            <w:shd w:val="clear" w:color="auto" w:fill="auto"/>
            <w:vAlign w:val="center"/>
            <w:hideMark/>
          </w:tcPr>
          <w:p w14:paraId="189D5018"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39,868,422</w:t>
            </w:r>
          </w:p>
        </w:tc>
        <w:tc>
          <w:tcPr>
            <w:tcW w:w="850" w:type="dxa"/>
            <w:tcBorders>
              <w:top w:val="nil"/>
              <w:left w:val="nil"/>
              <w:bottom w:val="single" w:sz="4" w:space="0" w:color="auto"/>
              <w:right w:val="single" w:sz="4" w:space="0" w:color="auto"/>
            </w:tcBorders>
            <w:shd w:val="clear" w:color="auto" w:fill="auto"/>
            <w:vAlign w:val="center"/>
            <w:hideMark/>
          </w:tcPr>
          <w:p w14:paraId="661672A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63A150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D45F15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7F48156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39,868,422</w:t>
            </w:r>
          </w:p>
        </w:tc>
        <w:tc>
          <w:tcPr>
            <w:tcW w:w="708" w:type="dxa"/>
            <w:tcBorders>
              <w:top w:val="nil"/>
              <w:left w:val="nil"/>
              <w:bottom w:val="single" w:sz="4" w:space="0" w:color="auto"/>
              <w:right w:val="single" w:sz="4" w:space="0" w:color="auto"/>
            </w:tcBorders>
            <w:shd w:val="clear" w:color="auto" w:fill="auto"/>
            <w:vAlign w:val="center"/>
            <w:hideMark/>
          </w:tcPr>
          <w:p w14:paraId="0B6A143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F966F4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938B75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FDE3A7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B764B2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27A52182"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02DC280"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38</w:t>
            </w:r>
          </w:p>
        </w:tc>
        <w:tc>
          <w:tcPr>
            <w:tcW w:w="921" w:type="dxa"/>
            <w:tcBorders>
              <w:top w:val="nil"/>
              <w:left w:val="nil"/>
              <w:bottom w:val="single" w:sz="4" w:space="0" w:color="auto"/>
              <w:right w:val="single" w:sz="4" w:space="0" w:color="auto"/>
            </w:tcBorders>
            <w:shd w:val="clear" w:color="auto" w:fill="auto"/>
            <w:vAlign w:val="center"/>
            <w:hideMark/>
          </w:tcPr>
          <w:p w14:paraId="668B76A6"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Agua Potable, Alcantarillado y Saneamiento.</w:t>
            </w:r>
          </w:p>
        </w:tc>
        <w:tc>
          <w:tcPr>
            <w:tcW w:w="922" w:type="dxa"/>
            <w:tcBorders>
              <w:top w:val="nil"/>
              <w:left w:val="nil"/>
              <w:bottom w:val="single" w:sz="4" w:space="0" w:color="auto"/>
              <w:right w:val="single" w:sz="4" w:space="0" w:color="auto"/>
            </w:tcBorders>
            <w:shd w:val="clear" w:color="auto" w:fill="auto"/>
            <w:vAlign w:val="center"/>
            <w:hideMark/>
          </w:tcPr>
          <w:p w14:paraId="0F53A975"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12,867,059</w:t>
            </w:r>
          </w:p>
        </w:tc>
        <w:tc>
          <w:tcPr>
            <w:tcW w:w="850" w:type="dxa"/>
            <w:tcBorders>
              <w:top w:val="nil"/>
              <w:left w:val="nil"/>
              <w:bottom w:val="single" w:sz="4" w:space="0" w:color="auto"/>
              <w:right w:val="single" w:sz="4" w:space="0" w:color="auto"/>
            </w:tcBorders>
            <w:shd w:val="clear" w:color="auto" w:fill="auto"/>
            <w:vAlign w:val="center"/>
            <w:hideMark/>
          </w:tcPr>
          <w:p w14:paraId="1798973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3EEDFA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E077B2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500CBE2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12,867,059</w:t>
            </w:r>
          </w:p>
        </w:tc>
        <w:tc>
          <w:tcPr>
            <w:tcW w:w="708" w:type="dxa"/>
            <w:tcBorders>
              <w:top w:val="nil"/>
              <w:left w:val="nil"/>
              <w:bottom w:val="single" w:sz="4" w:space="0" w:color="auto"/>
              <w:right w:val="single" w:sz="4" w:space="0" w:color="auto"/>
            </w:tcBorders>
            <w:shd w:val="clear" w:color="auto" w:fill="auto"/>
            <w:vAlign w:val="center"/>
            <w:hideMark/>
          </w:tcPr>
          <w:p w14:paraId="13E75AA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D8D578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2641CA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5AD06F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9F2189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58ADCF2B"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5033FDD"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40</w:t>
            </w:r>
          </w:p>
        </w:tc>
        <w:tc>
          <w:tcPr>
            <w:tcW w:w="921" w:type="dxa"/>
            <w:tcBorders>
              <w:top w:val="nil"/>
              <w:left w:val="nil"/>
              <w:bottom w:val="single" w:sz="4" w:space="0" w:color="auto"/>
              <w:right w:val="single" w:sz="4" w:space="0" w:color="auto"/>
            </w:tcBorders>
            <w:shd w:val="clear" w:color="auto" w:fill="auto"/>
            <w:vAlign w:val="center"/>
            <w:hideMark/>
          </w:tcPr>
          <w:p w14:paraId="68B5A746"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Educación y Cultura Ambiental.</w:t>
            </w:r>
          </w:p>
        </w:tc>
        <w:tc>
          <w:tcPr>
            <w:tcW w:w="922" w:type="dxa"/>
            <w:tcBorders>
              <w:top w:val="nil"/>
              <w:left w:val="nil"/>
              <w:bottom w:val="single" w:sz="4" w:space="0" w:color="auto"/>
              <w:right w:val="single" w:sz="4" w:space="0" w:color="auto"/>
            </w:tcBorders>
            <w:shd w:val="clear" w:color="auto" w:fill="auto"/>
            <w:vAlign w:val="center"/>
            <w:hideMark/>
          </w:tcPr>
          <w:p w14:paraId="1BDF05CB"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46,788,778</w:t>
            </w:r>
          </w:p>
        </w:tc>
        <w:tc>
          <w:tcPr>
            <w:tcW w:w="850" w:type="dxa"/>
            <w:tcBorders>
              <w:top w:val="nil"/>
              <w:left w:val="nil"/>
              <w:bottom w:val="single" w:sz="4" w:space="0" w:color="auto"/>
              <w:right w:val="single" w:sz="4" w:space="0" w:color="auto"/>
            </w:tcBorders>
            <w:shd w:val="clear" w:color="auto" w:fill="auto"/>
            <w:vAlign w:val="center"/>
            <w:hideMark/>
          </w:tcPr>
          <w:p w14:paraId="55EDFCA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602B6E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12FE87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34,252,606</w:t>
            </w:r>
          </w:p>
        </w:tc>
        <w:tc>
          <w:tcPr>
            <w:tcW w:w="993" w:type="dxa"/>
            <w:tcBorders>
              <w:top w:val="nil"/>
              <w:left w:val="nil"/>
              <w:bottom w:val="single" w:sz="4" w:space="0" w:color="auto"/>
              <w:right w:val="single" w:sz="4" w:space="0" w:color="auto"/>
            </w:tcBorders>
            <w:shd w:val="clear" w:color="auto" w:fill="auto"/>
            <w:vAlign w:val="center"/>
            <w:hideMark/>
          </w:tcPr>
          <w:p w14:paraId="35F6766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12,536,172</w:t>
            </w:r>
          </w:p>
        </w:tc>
        <w:tc>
          <w:tcPr>
            <w:tcW w:w="708" w:type="dxa"/>
            <w:tcBorders>
              <w:top w:val="nil"/>
              <w:left w:val="nil"/>
              <w:bottom w:val="single" w:sz="4" w:space="0" w:color="auto"/>
              <w:right w:val="single" w:sz="4" w:space="0" w:color="auto"/>
            </w:tcBorders>
            <w:shd w:val="clear" w:color="auto" w:fill="auto"/>
            <w:vAlign w:val="center"/>
            <w:hideMark/>
          </w:tcPr>
          <w:p w14:paraId="4B28037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91A983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C4F677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3D409A5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726CF2D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0F4FA820"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F1782B"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lastRenderedPageBreak/>
              <w:t>41</w:t>
            </w:r>
          </w:p>
        </w:tc>
        <w:tc>
          <w:tcPr>
            <w:tcW w:w="921" w:type="dxa"/>
            <w:tcBorders>
              <w:top w:val="nil"/>
              <w:left w:val="nil"/>
              <w:bottom w:val="single" w:sz="4" w:space="0" w:color="auto"/>
              <w:right w:val="single" w:sz="4" w:space="0" w:color="auto"/>
            </w:tcBorders>
            <w:shd w:val="clear" w:color="auto" w:fill="auto"/>
            <w:vAlign w:val="center"/>
            <w:hideMark/>
          </w:tcPr>
          <w:p w14:paraId="309BD167"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Finanzas Transparentes y Eficientes.</w:t>
            </w:r>
          </w:p>
        </w:tc>
        <w:tc>
          <w:tcPr>
            <w:tcW w:w="922" w:type="dxa"/>
            <w:tcBorders>
              <w:top w:val="nil"/>
              <w:left w:val="nil"/>
              <w:bottom w:val="single" w:sz="4" w:space="0" w:color="auto"/>
              <w:right w:val="single" w:sz="4" w:space="0" w:color="auto"/>
            </w:tcBorders>
            <w:shd w:val="clear" w:color="auto" w:fill="auto"/>
            <w:vAlign w:val="center"/>
            <w:hideMark/>
          </w:tcPr>
          <w:p w14:paraId="64BD36B4"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162,466,341</w:t>
            </w:r>
          </w:p>
        </w:tc>
        <w:tc>
          <w:tcPr>
            <w:tcW w:w="850" w:type="dxa"/>
            <w:tcBorders>
              <w:top w:val="nil"/>
              <w:left w:val="nil"/>
              <w:bottom w:val="single" w:sz="4" w:space="0" w:color="auto"/>
              <w:right w:val="single" w:sz="4" w:space="0" w:color="auto"/>
            </w:tcBorders>
            <w:shd w:val="clear" w:color="auto" w:fill="auto"/>
            <w:vAlign w:val="center"/>
            <w:hideMark/>
          </w:tcPr>
          <w:p w14:paraId="49E892D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117,768,521</w:t>
            </w:r>
          </w:p>
        </w:tc>
        <w:tc>
          <w:tcPr>
            <w:tcW w:w="851" w:type="dxa"/>
            <w:tcBorders>
              <w:top w:val="nil"/>
              <w:left w:val="nil"/>
              <w:bottom w:val="single" w:sz="4" w:space="0" w:color="auto"/>
              <w:right w:val="single" w:sz="4" w:space="0" w:color="auto"/>
            </w:tcBorders>
            <w:shd w:val="clear" w:color="auto" w:fill="auto"/>
            <w:vAlign w:val="center"/>
            <w:hideMark/>
          </w:tcPr>
          <w:p w14:paraId="7A575C0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7,742,535</w:t>
            </w:r>
          </w:p>
        </w:tc>
        <w:tc>
          <w:tcPr>
            <w:tcW w:w="850" w:type="dxa"/>
            <w:tcBorders>
              <w:top w:val="nil"/>
              <w:left w:val="nil"/>
              <w:bottom w:val="single" w:sz="4" w:space="0" w:color="auto"/>
              <w:right w:val="single" w:sz="4" w:space="0" w:color="auto"/>
            </w:tcBorders>
            <w:shd w:val="clear" w:color="auto" w:fill="auto"/>
            <w:vAlign w:val="center"/>
            <w:hideMark/>
          </w:tcPr>
          <w:p w14:paraId="0472BC1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32,679,785</w:t>
            </w:r>
          </w:p>
        </w:tc>
        <w:tc>
          <w:tcPr>
            <w:tcW w:w="993" w:type="dxa"/>
            <w:tcBorders>
              <w:top w:val="nil"/>
              <w:left w:val="nil"/>
              <w:bottom w:val="single" w:sz="4" w:space="0" w:color="auto"/>
              <w:right w:val="single" w:sz="4" w:space="0" w:color="auto"/>
            </w:tcBorders>
            <w:shd w:val="clear" w:color="auto" w:fill="auto"/>
            <w:vAlign w:val="center"/>
            <w:hideMark/>
          </w:tcPr>
          <w:p w14:paraId="40A734F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1,943,432</w:t>
            </w:r>
          </w:p>
        </w:tc>
        <w:tc>
          <w:tcPr>
            <w:tcW w:w="708" w:type="dxa"/>
            <w:tcBorders>
              <w:top w:val="nil"/>
              <w:left w:val="nil"/>
              <w:bottom w:val="single" w:sz="4" w:space="0" w:color="auto"/>
              <w:right w:val="single" w:sz="4" w:space="0" w:color="auto"/>
            </w:tcBorders>
            <w:shd w:val="clear" w:color="auto" w:fill="auto"/>
            <w:vAlign w:val="center"/>
            <w:hideMark/>
          </w:tcPr>
          <w:p w14:paraId="69A6F94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2,332,068</w:t>
            </w:r>
          </w:p>
        </w:tc>
        <w:tc>
          <w:tcPr>
            <w:tcW w:w="709" w:type="dxa"/>
            <w:tcBorders>
              <w:top w:val="nil"/>
              <w:left w:val="nil"/>
              <w:bottom w:val="single" w:sz="4" w:space="0" w:color="auto"/>
              <w:right w:val="single" w:sz="4" w:space="0" w:color="auto"/>
            </w:tcBorders>
            <w:shd w:val="clear" w:color="auto" w:fill="auto"/>
            <w:vAlign w:val="center"/>
            <w:hideMark/>
          </w:tcPr>
          <w:p w14:paraId="45B6496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D2AACC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6932A57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70253A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564E5AA0"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DF19C87"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42</w:t>
            </w:r>
          </w:p>
        </w:tc>
        <w:tc>
          <w:tcPr>
            <w:tcW w:w="921" w:type="dxa"/>
            <w:tcBorders>
              <w:top w:val="nil"/>
              <w:left w:val="nil"/>
              <w:bottom w:val="single" w:sz="4" w:space="0" w:color="auto"/>
              <w:right w:val="single" w:sz="4" w:space="0" w:color="auto"/>
            </w:tcBorders>
            <w:shd w:val="clear" w:color="auto" w:fill="auto"/>
            <w:vAlign w:val="center"/>
            <w:hideMark/>
          </w:tcPr>
          <w:p w14:paraId="390EDD21"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Administración Pública.</w:t>
            </w:r>
          </w:p>
        </w:tc>
        <w:tc>
          <w:tcPr>
            <w:tcW w:w="922" w:type="dxa"/>
            <w:tcBorders>
              <w:top w:val="nil"/>
              <w:left w:val="nil"/>
              <w:bottom w:val="single" w:sz="4" w:space="0" w:color="auto"/>
              <w:right w:val="single" w:sz="4" w:space="0" w:color="auto"/>
            </w:tcBorders>
            <w:shd w:val="clear" w:color="auto" w:fill="auto"/>
            <w:vAlign w:val="center"/>
            <w:hideMark/>
          </w:tcPr>
          <w:p w14:paraId="0A461F05"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180,302,001</w:t>
            </w:r>
          </w:p>
        </w:tc>
        <w:tc>
          <w:tcPr>
            <w:tcW w:w="850" w:type="dxa"/>
            <w:tcBorders>
              <w:top w:val="nil"/>
              <w:left w:val="nil"/>
              <w:bottom w:val="single" w:sz="4" w:space="0" w:color="auto"/>
              <w:right w:val="single" w:sz="4" w:space="0" w:color="auto"/>
            </w:tcBorders>
            <w:shd w:val="clear" w:color="auto" w:fill="auto"/>
            <w:vAlign w:val="center"/>
            <w:hideMark/>
          </w:tcPr>
          <w:p w14:paraId="3F20C91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83,482,969</w:t>
            </w:r>
          </w:p>
        </w:tc>
        <w:tc>
          <w:tcPr>
            <w:tcW w:w="851" w:type="dxa"/>
            <w:tcBorders>
              <w:top w:val="nil"/>
              <w:left w:val="nil"/>
              <w:bottom w:val="single" w:sz="4" w:space="0" w:color="auto"/>
              <w:right w:val="single" w:sz="4" w:space="0" w:color="auto"/>
            </w:tcBorders>
            <w:shd w:val="clear" w:color="auto" w:fill="auto"/>
            <w:vAlign w:val="center"/>
            <w:hideMark/>
          </w:tcPr>
          <w:p w14:paraId="67CFAC7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7,770,000</w:t>
            </w:r>
          </w:p>
        </w:tc>
        <w:tc>
          <w:tcPr>
            <w:tcW w:w="850" w:type="dxa"/>
            <w:tcBorders>
              <w:top w:val="nil"/>
              <w:left w:val="nil"/>
              <w:bottom w:val="single" w:sz="4" w:space="0" w:color="auto"/>
              <w:right w:val="single" w:sz="4" w:space="0" w:color="auto"/>
            </w:tcBorders>
            <w:shd w:val="clear" w:color="auto" w:fill="auto"/>
            <w:vAlign w:val="center"/>
            <w:hideMark/>
          </w:tcPr>
          <w:p w14:paraId="2517DF5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85,719,032</w:t>
            </w:r>
          </w:p>
        </w:tc>
        <w:tc>
          <w:tcPr>
            <w:tcW w:w="993" w:type="dxa"/>
            <w:tcBorders>
              <w:top w:val="nil"/>
              <w:left w:val="nil"/>
              <w:bottom w:val="single" w:sz="4" w:space="0" w:color="auto"/>
              <w:right w:val="single" w:sz="4" w:space="0" w:color="auto"/>
            </w:tcBorders>
            <w:shd w:val="clear" w:color="auto" w:fill="auto"/>
            <w:vAlign w:val="center"/>
            <w:hideMark/>
          </w:tcPr>
          <w:p w14:paraId="1FDF05F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49F4788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3,330,000</w:t>
            </w:r>
          </w:p>
        </w:tc>
        <w:tc>
          <w:tcPr>
            <w:tcW w:w="709" w:type="dxa"/>
            <w:tcBorders>
              <w:top w:val="nil"/>
              <w:left w:val="nil"/>
              <w:bottom w:val="single" w:sz="4" w:space="0" w:color="auto"/>
              <w:right w:val="single" w:sz="4" w:space="0" w:color="auto"/>
            </w:tcBorders>
            <w:shd w:val="clear" w:color="auto" w:fill="auto"/>
            <w:vAlign w:val="center"/>
            <w:hideMark/>
          </w:tcPr>
          <w:p w14:paraId="42C165F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0712C5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60BED24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139500D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4333130D"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6F78525"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45</w:t>
            </w:r>
          </w:p>
        </w:tc>
        <w:tc>
          <w:tcPr>
            <w:tcW w:w="921" w:type="dxa"/>
            <w:tcBorders>
              <w:top w:val="nil"/>
              <w:left w:val="nil"/>
              <w:bottom w:val="single" w:sz="4" w:space="0" w:color="auto"/>
              <w:right w:val="single" w:sz="4" w:space="0" w:color="auto"/>
            </w:tcBorders>
            <w:shd w:val="clear" w:color="auto" w:fill="auto"/>
            <w:vAlign w:val="center"/>
            <w:hideMark/>
          </w:tcPr>
          <w:p w14:paraId="30BB87D3"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Agenda Digital.</w:t>
            </w:r>
          </w:p>
        </w:tc>
        <w:tc>
          <w:tcPr>
            <w:tcW w:w="922" w:type="dxa"/>
            <w:tcBorders>
              <w:top w:val="nil"/>
              <w:left w:val="nil"/>
              <w:bottom w:val="single" w:sz="4" w:space="0" w:color="auto"/>
              <w:right w:val="single" w:sz="4" w:space="0" w:color="auto"/>
            </w:tcBorders>
            <w:shd w:val="clear" w:color="auto" w:fill="auto"/>
            <w:vAlign w:val="center"/>
            <w:hideMark/>
          </w:tcPr>
          <w:p w14:paraId="25568A03"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17,687,913</w:t>
            </w:r>
          </w:p>
        </w:tc>
        <w:tc>
          <w:tcPr>
            <w:tcW w:w="850" w:type="dxa"/>
            <w:tcBorders>
              <w:top w:val="nil"/>
              <w:left w:val="nil"/>
              <w:bottom w:val="single" w:sz="4" w:space="0" w:color="auto"/>
              <w:right w:val="single" w:sz="4" w:space="0" w:color="auto"/>
            </w:tcBorders>
            <w:shd w:val="clear" w:color="auto" w:fill="auto"/>
            <w:vAlign w:val="center"/>
            <w:hideMark/>
          </w:tcPr>
          <w:p w14:paraId="03F95F3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10C5CD4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F617EB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2A468BA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17,687,913</w:t>
            </w:r>
          </w:p>
        </w:tc>
        <w:tc>
          <w:tcPr>
            <w:tcW w:w="708" w:type="dxa"/>
            <w:tcBorders>
              <w:top w:val="nil"/>
              <w:left w:val="nil"/>
              <w:bottom w:val="single" w:sz="4" w:space="0" w:color="auto"/>
              <w:right w:val="single" w:sz="4" w:space="0" w:color="auto"/>
            </w:tcBorders>
            <w:shd w:val="clear" w:color="auto" w:fill="auto"/>
            <w:vAlign w:val="center"/>
            <w:hideMark/>
          </w:tcPr>
          <w:p w14:paraId="6F68F58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89F8CF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BF09D0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28C5DF1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4A0BD68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74AE3AD6"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96EB12B"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47</w:t>
            </w:r>
          </w:p>
        </w:tc>
        <w:tc>
          <w:tcPr>
            <w:tcW w:w="921" w:type="dxa"/>
            <w:tcBorders>
              <w:top w:val="nil"/>
              <w:left w:val="nil"/>
              <w:bottom w:val="single" w:sz="4" w:space="0" w:color="auto"/>
              <w:right w:val="single" w:sz="4" w:space="0" w:color="auto"/>
            </w:tcBorders>
            <w:shd w:val="clear" w:color="auto" w:fill="auto"/>
            <w:vAlign w:val="center"/>
            <w:hideMark/>
          </w:tcPr>
          <w:p w14:paraId="468F711F"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Sistema Estatal Anticorrupción.</w:t>
            </w:r>
          </w:p>
        </w:tc>
        <w:tc>
          <w:tcPr>
            <w:tcW w:w="922" w:type="dxa"/>
            <w:tcBorders>
              <w:top w:val="nil"/>
              <w:left w:val="nil"/>
              <w:bottom w:val="single" w:sz="4" w:space="0" w:color="auto"/>
              <w:right w:val="single" w:sz="4" w:space="0" w:color="auto"/>
            </w:tcBorders>
            <w:shd w:val="clear" w:color="auto" w:fill="auto"/>
            <w:vAlign w:val="center"/>
            <w:hideMark/>
          </w:tcPr>
          <w:p w14:paraId="07F39C70"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5,000,000</w:t>
            </w:r>
          </w:p>
        </w:tc>
        <w:tc>
          <w:tcPr>
            <w:tcW w:w="850" w:type="dxa"/>
            <w:tcBorders>
              <w:top w:val="nil"/>
              <w:left w:val="nil"/>
              <w:bottom w:val="single" w:sz="4" w:space="0" w:color="auto"/>
              <w:right w:val="single" w:sz="4" w:space="0" w:color="auto"/>
            </w:tcBorders>
            <w:shd w:val="clear" w:color="auto" w:fill="auto"/>
            <w:vAlign w:val="center"/>
            <w:hideMark/>
          </w:tcPr>
          <w:p w14:paraId="27C536E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3D8EB7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3CD945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40BF8C5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5,000,000</w:t>
            </w:r>
          </w:p>
        </w:tc>
        <w:tc>
          <w:tcPr>
            <w:tcW w:w="708" w:type="dxa"/>
            <w:tcBorders>
              <w:top w:val="nil"/>
              <w:left w:val="nil"/>
              <w:bottom w:val="single" w:sz="4" w:space="0" w:color="auto"/>
              <w:right w:val="single" w:sz="4" w:space="0" w:color="auto"/>
            </w:tcBorders>
            <w:shd w:val="clear" w:color="auto" w:fill="auto"/>
            <w:vAlign w:val="center"/>
            <w:hideMark/>
          </w:tcPr>
          <w:p w14:paraId="0F78BAA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59E787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B7FF2C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69180B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17034D0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43DB0473"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B142046"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48</w:t>
            </w:r>
          </w:p>
        </w:tc>
        <w:tc>
          <w:tcPr>
            <w:tcW w:w="921" w:type="dxa"/>
            <w:tcBorders>
              <w:top w:val="nil"/>
              <w:left w:val="nil"/>
              <w:bottom w:val="single" w:sz="4" w:space="0" w:color="auto"/>
              <w:right w:val="single" w:sz="4" w:space="0" w:color="auto"/>
            </w:tcBorders>
            <w:shd w:val="clear" w:color="auto" w:fill="auto"/>
            <w:vAlign w:val="center"/>
            <w:hideMark/>
          </w:tcPr>
          <w:p w14:paraId="2E26F313"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Administración y Operación del Despacho de la Gobernadora</w:t>
            </w:r>
          </w:p>
        </w:tc>
        <w:tc>
          <w:tcPr>
            <w:tcW w:w="922" w:type="dxa"/>
            <w:tcBorders>
              <w:top w:val="nil"/>
              <w:left w:val="nil"/>
              <w:bottom w:val="single" w:sz="4" w:space="0" w:color="auto"/>
              <w:right w:val="single" w:sz="4" w:space="0" w:color="auto"/>
            </w:tcBorders>
            <w:shd w:val="clear" w:color="auto" w:fill="auto"/>
            <w:vAlign w:val="center"/>
            <w:hideMark/>
          </w:tcPr>
          <w:p w14:paraId="2747EAFB"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86,541,326</w:t>
            </w:r>
          </w:p>
        </w:tc>
        <w:tc>
          <w:tcPr>
            <w:tcW w:w="850" w:type="dxa"/>
            <w:tcBorders>
              <w:top w:val="nil"/>
              <w:left w:val="nil"/>
              <w:bottom w:val="single" w:sz="4" w:space="0" w:color="auto"/>
              <w:right w:val="single" w:sz="4" w:space="0" w:color="auto"/>
            </w:tcBorders>
            <w:shd w:val="clear" w:color="auto" w:fill="auto"/>
            <w:vAlign w:val="center"/>
            <w:hideMark/>
          </w:tcPr>
          <w:p w14:paraId="0D0E792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55,386,776</w:t>
            </w:r>
          </w:p>
        </w:tc>
        <w:tc>
          <w:tcPr>
            <w:tcW w:w="851" w:type="dxa"/>
            <w:tcBorders>
              <w:top w:val="nil"/>
              <w:left w:val="nil"/>
              <w:bottom w:val="single" w:sz="4" w:space="0" w:color="auto"/>
              <w:right w:val="single" w:sz="4" w:space="0" w:color="auto"/>
            </w:tcBorders>
            <w:shd w:val="clear" w:color="auto" w:fill="auto"/>
            <w:vAlign w:val="center"/>
            <w:hideMark/>
          </w:tcPr>
          <w:p w14:paraId="7F4B6C9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4,178,491</w:t>
            </w:r>
          </w:p>
        </w:tc>
        <w:tc>
          <w:tcPr>
            <w:tcW w:w="850" w:type="dxa"/>
            <w:tcBorders>
              <w:top w:val="nil"/>
              <w:left w:val="nil"/>
              <w:bottom w:val="single" w:sz="4" w:space="0" w:color="auto"/>
              <w:right w:val="single" w:sz="4" w:space="0" w:color="auto"/>
            </w:tcBorders>
            <w:shd w:val="clear" w:color="auto" w:fill="auto"/>
            <w:vAlign w:val="center"/>
            <w:hideMark/>
          </w:tcPr>
          <w:p w14:paraId="0B91D45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26,350,444</w:t>
            </w:r>
          </w:p>
        </w:tc>
        <w:tc>
          <w:tcPr>
            <w:tcW w:w="993" w:type="dxa"/>
            <w:tcBorders>
              <w:top w:val="nil"/>
              <w:left w:val="nil"/>
              <w:bottom w:val="single" w:sz="4" w:space="0" w:color="auto"/>
              <w:right w:val="single" w:sz="4" w:space="0" w:color="auto"/>
            </w:tcBorders>
            <w:shd w:val="clear" w:color="auto" w:fill="auto"/>
            <w:vAlign w:val="center"/>
            <w:hideMark/>
          </w:tcPr>
          <w:p w14:paraId="748CE93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625,615</w:t>
            </w:r>
          </w:p>
        </w:tc>
        <w:tc>
          <w:tcPr>
            <w:tcW w:w="708" w:type="dxa"/>
            <w:tcBorders>
              <w:top w:val="nil"/>
              <w:left w:val="nil"/>
              <w:bottom w:val="single" w:sz="4" w:space="0" w:color="auto"/>
              <w:right w:val="single" w:sz="4" w:space="0" w:color="auto"/>
            </w:tcBorders>
            <w:shd w:val="clear" w:color="auto" w:fill="auto"/>
            <w:vAlign w:val="center"/>
            <w:hideMark/>
          </w:tcPr>
          <w:p w14:paraId="5CDB153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BC9576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62B4A1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5C5F9E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710A01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4C00DAD3"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446850C"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51</w:t>
            </w:r>
          </w:p>
        </w:tc>
        <w:tc>
          <w:tcPr>
            <w:tcW w:w="921" w:type="dxa"/>
            <w:tcBorders>
              <w:top w:val="nil"/>
              <w:left w:val="nil"/>
              <w:bottom w:val="single" w:sz="4" w:space="0" w:color="auto"/>
              <w:right w:val="single" w:sz="4" w:space="0" w:color="auto"/>
            </w:tcBorders>
            <w:shd w:val="clear" w:color="auto" w:fill="auto"/>
            <w:vAlign w:val="center"/>
            <w:hideMark/>
          </w:tcPr>
          <w:p w14:paraId="606AEBF5"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Poder Judicial.</w:t>
            </w:r>
          </w:p>
        </w:tc>
        <w:tc>
          <w:tcPr>
            <w:tcW w:w="922" w:type="dxa"/>
            <w:tcBorders>
              <w:top w:val="nil"/>
              <w:left w:val="nil"/>
              <w:bottom w:val="single" w:sz="4" w:space="0" w:color="auto"/>
              <w:right w:val="single" w:sz="4" w:space="0" w:color="auto"/>
            </w:tcBorders>
            <w:shd w:val="clear" w:color="auto" w:fill="auto"/>
            <w:vAlign w:val="center"/>
            <w:hideMark/>
          </w:tcPr>
          <w:p w14:paraId="00EB049A"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251,000,000</w:t>
            </w:r>
          </w:p>
        </w:tc>
        <w:tc>
          <w:tcPr>
            <w:tcW w:w="850" w:type="dxa"/>
            <w:tcBorders>
              <w:top w:val="nil"/>
              <w:left w:val="nil"/>
              <w:bottom w:val="single" w:sz="4" w:space="0" w:color="auto"/>
              <w:right w:val="single" w:sz="4" w:space="0" w:color="auto"/>
            </w:tcBorders>
            <w:shd w:val="clear" w:color="auto" w:fill="auto"/>
            <w:vAlign w:val="center"/>
            <w:hideMark/>
          </w:tcPr>
          <w:p w14:paraId="531C3F5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7DB5E92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6BF7E7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3B62DB9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251,000,000</w:t>
            </w:r>
          </w:p>
        </w:tc>
        <w:tc>
          <w:tcPr>
            <w:tcW w:w="708" w:type="dxa"/>
            <w:tcBorders>
              <w:top w:val="nil"/>
              <w:left w:val="nil"/>
              <w:bottom w:val="single" w:sz="4" w:space="0" w:color="auto"/>
              <w:right w:val="single" w:sz="4" w:space="0" w:color="auto"/>
            </w:tcBorders>
            <w:shd w:val="clear" w:color="auto" w:fill="auto"/>
            <w:vAlign w:val="center"/>
            <w:hideMark/>
          </w:tcPr>
          <w:p w14:paraId="5A900E1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378A1E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5E8F5B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5262CB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48D4E4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5595BE06"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7D7B31B"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54</w:t>
            </w:r>
          </w:p>
        </w:tc>
        <w:tc>
          <w:tcPr>
            <w:tcW w:w="921" w:type="dxa"/>
            <w:tcBorders>
              <w:top w:val="nil"/>
              <w:left w:val="nil"/>
              <w:bottom w:val="single" w:sz="4" w:space="0" w:color="auto"/>
              <w:right w:val="single" w:sz="4" w:space="0" w:color="auto"/>
            </w:tcBorders>
            <w:shd w:val="clear" w:color="auto" w:fill="auto"/>
            <w:vAlign w:val="center"/>
            <w:hideMark/>
          </w:tcPr>
          <w:p w14:paraId="08FF0694"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Sistema Estatal de Planeación Democrática.</w:t>
            </w:r>
          </w:p>
        </w:tc>
        <w:tc>
          <w:tcPr>
            <w:tcW w:w="922" w:type="dxa"/>
            <w:tcBorders>
              <w:top w:val="nil"/>
              <w:left w:val="nil"/>
              <w:bottom w:val="single" w:sz="4" w:space="0" w:color="auto"/>
              <w:right w:val="single" w:sz="4" w:space="0" w:color="auto"/>
            </w:tcBorders>
            <w:shd w:val="clear" w:color="auto" w:fill="auto"/>
            <w:vAlign w:val="center"/>
            <w:hideMark/>
          </w:tcPr>
          <w:p w14:paraId="3AAC013B"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30,810,274</w:t>
            </w:r>
          </w:p>
        </w:tc>
        <w:tc>
          <w:tcPr>
            <w:tcW w:w="850" w:type="dxa"/>
            <w:tcBorders>
              <w:top w:val="nil"/>
              <w:left w:val="nil"/>
              <w:bottom w:val="single" w:sz="4" w:space="0" w:color="auto"/>
              <w:right w:val="single" w:sz="4" w:space="0" w:color="auto"/>
            </w:tcBorders>
            <w:shd w:val="clear" w:color="auto" w:fill="auto"/>
            <w:vAlign w:val="center"/>
            <w:hideMark/>
          </w:tcPr>
          <w:p w14:paraId="73B8076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29,093,086</w:t>
            </w:r>
          </w:p>
        </w:tc>
        <w:tc>
          <w:tcPr>
            <w:tcW w:w="851" w:type="dxa"/>
            <w:tcBorders>
              <w:top w:val="nil"/>
              <w:left w:val="nil"/>
              <w:bottom w:val="single" w:sz="4" w:space="0" w:color="auto"/>
              <w:right w:val="single" w:sz="4" w:space="0" w:color="auto"/>
            </w:tcBorders>
            <w:shd w:val="clear" w:color="auto" w:fill="auto"/>
            <w:vAlign w:val="center"/>
            <w:hideMark/>
          </w:tcPr>
          <w:p w14:paraId="75FFF0F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559,322</w:t>
            </w:r>
          </w:p>
        </w:tc>
        <w:tc>
          <w:tcPr>
            <w:tcW w:w="850" w:type="dxa"/>
            <w:tcBorders>
              <w:top w:val="nil"/>
              <w:left w:val="nil"/>
              <w:bottom w:val="single" w:sz="4" w:space="0" w:color="auto"/>
              <w:right w:val="single" w:sz="4" w:space="0" w:color="auto"/>
            </w:tcBorders>
            <w:shd w:val="clear" w:color="auto" w:fill="auto"/>
            <w:vAlign w:val="center"/>
            <w:hideMark/>
          </w:tcPr>
          <w:p w14:paraId="76CD620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969,866</w:t>
            </w:r>
          </w:p>
        </w:tc>
        <w:tc>
          <w:tcPr>
            <w:tcW w:w="993" w:type="dxa"/>
            <w:tcBorders>
              <w:top w:val="nil"/>
              <w:left w:val="nil"/>
              <w:bottom w:val="single" w:sz="4" w:space="0" w:color="auto"/>
              <w:right w:val="single" w:sz="4" w:space="0" w:color="auto"/>
            </w:tcBorders>
            <w:shd w:val="clear" w:color="auto" w:fill="auto"/>
            <w:vAlign w:val="center"/>
            <w:hideMark/>
          </w:tcPr>
          <w:p w14:paraId="4037202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1DD86DA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188,000</w:t>
            </w:r>
          </w:p>
        </w:tc>
        <w:tc>
          <w:tcPr>
            <w:tcW w:w="709" w:type="dxa"/>
            <w:tcBorders>
              <w:top w:val="nil"/>
              <w:left w:val="nil"/>
              <w:bottom w:val="single" w:sz="4" w:space="0" w:color="auto"/>
              <w:right w:val="single" w:sz="4" w:space="0" w:color="auto"/>
            </w:tcBorders>
            <w:shd w:val="clear" w:color="auto" w:fill="auto"/>
            <w:vAlign w:val="center"/>
            <w:hideMark/>
          </w:tcPr>
          <w:p w14:paraId="12F2729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A22A7B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E887B9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74FAD3A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3F59C129"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CA7D3CE"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56</w:t>
            </w:r>
          </w:p>
        </w:tc>
        <w:tc>
          <w:tcPr>
            <w:tcW w:w="921" w:type="dxa"/>
            <w:tcBorders>
              <w:top w:val="nil"/>
              <w:left w:val="nil"/>
              <w:bottom w:val="single" w:sz="4" w:space="0" w:color="auto"/>
              <w:right w:val="single" w:sz="4" w:space="0" w:color="auto"/>
            </w:tcBorders>
            <w:shd w:val="clear" w:color="auto" w:fill="auto"/>
            <w:vAlign w:val="center"/>
            <w:hideMark/>
          </w:tcPr>
          <w:p w14:paraId="7D7567B0"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Transparencia y Control Gubernamental.</w:t>
            </w:r>
          </w:p>
        </w:tc>
        <w:tc>
          <w:tcPr>
            <w:tcW w:w="922" w:type="dxa"/>
            <w:tcBorders>
              <w:top w:val="nil"/>
              <w:left w:val="nil"/>
              <w:bottom w:val="single" w:sz="4" w:space="0" w:color="auto"/>
              <w:right w:val="single" w:sz="4" w:space="0" w:color="auto"/>
            </w:tcBorders>
            <w:shd w:val="clear" w:color="auto" w:fill="auto"/>
            <w:vAlign w:val="center"/>
            <w:hideMark/>
          </w:tcPr>
          <w:p w14:paraId="1C17D3D6"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21,345,656</w:t>
            </w:r>
          </w:p>
        </w:tc>
        <w:tc>
          <w:tcPr>
            <w:tcW w:w="850" w:type="dxa"/>
            <w:tcBorders>
              <w:top w:val="nil"/>
              <w:left w:val="nil"/>
              <w:bottom w:val="single" w:sz="4" w:space="0" w:color="auto"/>
              <w:right w:val="single" w:sz="4" w:space="0" w:color="auto"/>
            </w:tcBorders>
            <w:shd w:val="clear" w:color="auto" w:fill="auto"/>
            <w:vAlign w:val="center"/>
            <w:hideMark/>
          </w:tcPr>
          <w:p w14:paraId="592666D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16,099,357</w:t>
            </w:r>
          </w:p>
        </w:tc>
        <w:tc>
          <w:tcPr>
            <w:tcW w:w="851" w:type="dxa"/>
            <w:tcBorders>
              <w:top w:val="nil"/>
              <w:left w:val="nil"/>
              <w:bottom w:val="single" w:sz="4" w:space="0" w:color="auto"/>
              <w:right w:val="single" w:sz="4" w:space="0" w:color="auto"/>
            </w:tcBorders>
            <w:shd w:val="clear" w:color="auto" w:fill="auto"/>
            <w:vAlign w:val="center"/>
            <w:hideMark/>
          </w:tcPr>
          <w:p w14:paraId="31437B5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752,000</w:t>
            </w:r>
          </w:p>
        </w:tc>
        <w:tc>
          <w:tcPr>
            <w:tcW w:w="850" w:type="dxa"/>
            <w:tcBorders>
              <w:top w:val="nil"/>
              <w:left w:val="nil"/>
              <w:bottom w:val="single" w:sz="4" w:space="0" w:color="auto"/>
              <w:right w:val="single" w:sz="4" w:space="0" w:color="auto"/>
            </w:tcBorders>
            <w:shd w:val="clear" w:color="auto" w:fill="auto"/>
            <w:vAlign w:val="center"/>
            <w:hideMark/>
          </w:tcPr>
          <w:p w14:paraId="04DF14B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1,246,921</w:t>
            </w:r>
          </w:p>
        </w:tc>
        <w:tc>
          <w:tcPr>
            <w:tcW w:w="993" w:type="dxa"/>
            <w:tcBorders>
              <w:top w:val="nil"/>
              <w:left w:val="nil"/>
              <w:bottom w:val="single" w:sz="4" w:space="0" w:color="auto"/>
              <w:right w:val="single" w:sz="4" w:space="0" w:color="auto"/>
            </w:tcBorders>
            <w:shd w:val="clear" w:color="auto" w:fill="auto"/>
            <w:vAlign w:val="center"/>
            <w:hideMark/>
          </w:tcPr>
          <w:p w14:paraId="7D2A8A1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3,247,378</w:t>
            </w:r>
          </w:p>
        </w:tc>
        <w:tc>
          <w:tcPr>
            <w:tcW w:w="708" w:type="dxa"/>
            <w:tcBorders>
              <w:top w:val="nil"/>
              <w:left w:val="nil"/>
              <w:bottom w:val="single" w:sz="4" w:space="0" w:color="auto"/>
              <w:right w:val="single" w:sz="4" w:space="0" w:color="auto"/>
            </w:tcBorders>
            <w:shd w:val="clear" w:color="auto" w:fill="auto"/>
            <w:vAlign w:val="center"/>
            <w:hideMark/>
          </w:tcPr>
          <w:p w14:paraId="64009DD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6B473A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3C5EE7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6B5A1D6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7B27C26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372EBE83"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1541057"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61</w:t>
            </w:r>
          </w:p>
        </w:tc>
        <w:tc>
          <w:tcPr>
            <w:tcW w:w="921" w:type="dxa"/>
            <w:tcBorders>
              <w:top w:val="nil"/>
              <w:left w:val="nil"/>
              <w:bottom w:val="single" w:sz="4" w:space="0" w:color="auto"/>
              <w:right w:val="single" w:sz="4" w:space="0" w:color="auto"/>
            </w:tcBorders>
            <w:shd w:val="clear" w:color="auto" w:fill="auto"/>
            <w:vAlign w:val="center"/>
            <w:hideMark/>
          </w:tcPr>
          <w:p w14:paraId="4103E0A0"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Gasto No Programable.</w:t>
            </w:r>
          </w:p>
        </w:tc>
        <w:tc>
          <w:tcPr>
            <w:tcW w:w="922" w:type="dxa"/>
            <w:tcBorders>
              <w:top w:val="nil"/>
              <w:left w:val="nil"/>
              <w:bottom w:val="single" w:sz="4" w:space="0" w:color="auto"/>
              <w:right w:val="single" w:sz="4" w:space="0" w:color="auto"/>
            </w:tcBorders>
            <w:shd w:val="clear" w:color="auto" w:fill="auto"/>
            <w:vAlign w:val="center"/>
            <w:hideMark/>
          </w:tcPr>
          <w:p w14:paraId="4CCD4040"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5,923,172,293</w:t>
            </w:r>
          </w:p>
        </w:tc>
        <w:tc>
          <w:tcPr>
            <w:tcW w:w="850" w:type="dxa"/>
            <w:tcBorders>
              <w:top w:val="nil"/>
              <w:left w:val="nil"/>
              <w:bottom w:val="single" w:sz="4" w:space="0" w:color="auto"/>
              <w:right w:val="single" w:sz="4" w:space="0" w:color="auto"/>
            </w:tcBorders>
            <w:shd w:val="clear" w:color="auto" w:fill="auto"/>
            <w:vAlign w:val="center"/>
            <w:hideMark/>
          </w:tcPr>
          <w:p w14:paraId="7926C73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FB48AE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2C4098C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4530F4B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2,083,432,833</w:t>
            </w:r>
          </w:p>
        </w:tc>
        <w:tc>
          <w:tcPr>
            <w:tcW w:w="708" w:type="dxa"/>
            <w:tcBorders>
              <w:top w:val="nil"/>
              <w:left w:val="nil"/>
              <w:bottom w:val="single" w:sz="4" w:space="0" w:color="auto"/>
              <w:right w:val="single" w:sz="4" w:space="0" w:color="auto"/>
            </w:tcBorders>
            <w:shd w:val="clear" w:color="auto" w:fill="auto"/>
            <w:vAlign w:val="center"/>
            <w:hideMark/>
          </w:tcPr>
          <w:p w14:paraId="0229BB3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60034E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0FA486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1,800,000</w:t>
            </w:r>
          </w:p>
        </w:tc>
        <w:tc>
          <w:tcPr>
            <w:tcW w:w="850" w:type="dxa"/>
            <w:tcBorders>
              <w:top w:val="nil"/>
              <w:left w:val="nil"/>
              <w:bottom w:val="single" w:sz="4" w:space="0" w:color="auto"/>
              <w:right w:val="single" w:sz="4" w:space="0" w:color="auto"/>
            </w:tcBorders>
            <w:shd w:val="clear" w:color="auto" w:fill="auto"/>
            <w:vAlign w:val="center"/>
            <w:hideMark/>
          </w:tcPr>
          <w:p w14:paraId="3CB96B8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3,297,624,261</w:t>
            </w:r>
          </w:p>
        </w:tc>
        <w:tc>
          <w:tcPr>
            <w:tcW w:w="851" w:type="dxa"/>
            <w:tcBorders>
              <w:top w:val="nil"/>
              <w:left w:val="nil"/>
              <w:bottom w:val="single" w:sz="4" w:space="0" w:color="auto"/>
              <w:right w:val="single" w:sz="4" w:space="0" w:color="auto"/>
            </w:tcBorders>
            <w:shd w:val="clear" w:color="auto" w:fill="auto"/>
            <w:vAlign w:val="center"/>
            <w:hideMark/>
          </w:tcPr>
          <w:p w14:paraId="305E92B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540,315,199</w:t>
            </w:r>
          </w:p>
        </w:tc>
      </w:tr>
      <w:tr w:rsidR="00D868AB" w:rsidRPr="00D868AB" w14:paraId="65B8D6E1"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74F6722"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63</w:t>
            </w:r>
          </w:p>
        </w:tc>
        <w:tc>
          <w:tcPr>
            <w:tcW w:w="921" w:type="dxa"/>
            <w:tcBorders>
              <w:top w:val="nil"/>
              <w:left w:val="nil"/>
              <w:bottom w:val="single" w:sz="4" w:space="0" w:color="auto"/>
              <w:right w:val="single" w:sz="4" w:space="0" w:color="auto"/>
            </w:tcBorders>
            <w:shd w:val="clear" w:color="auto" w:fill="auto"/>
            <w:vAlign w:val="center"/>
            <w:hideMark/>
          </w:tcPr>
          <w:p w14:paraId="5C343806"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Inclusión Social y Equidad Educativa.</w:t>
            </w:r>
          </w:p>
        </w:tc>
        <w:tc>
          <w:tcPr>
            <w:tcW w:w="922" w:type="dxa"/>
            <w:tcBorders>
              <w:top w:val="nil"/>
              <w:left w:val="nil"/>
              <w:bottom w:val="single" w:sz="4" w:space="0" w:color="auto"/>
              <w:right w:val="single" w:sz="4" w:space="0" w:color="auto"/>
            </w:tcBorders>
            <w:shd w:val="clear" w:color="auto" w:fill="auto"/>
            <w:vAlign w:val="center"/>
            <w:hideMark/>
          </w:tcPr>
          <w:p w14:paraId="5A56329E"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139,523,980</w:t>
            </w:r>
          </w:p>
        </w:tc>
        <w:tc>
          <w:tcPr>
            <w:tcW w:w="850" w:type="dxa"/>
            <w:tcBorders>
              <w:top w:val="nil"/>
              <w:left w:val="nil"/>
              <w:bottom w:val="single" w:sz="4" w:space="0" w:color="auto"/>
              <w:right w:val="single" w:sz="4" w:space="0" w:color="auto"/>
            </w:tcBorders>
            <w:shd w:val="clear" w:color="auto" w:fill="auto"/>
            <w:vAlign w:val="center"/>
            <w:hideMark/>
          </w:tcPr>
          <w:p w14:paraId="37E0BB9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4388F0F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791D3A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307295C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139,523,980</w:t>
            </w:r>
          </w:p>
        </w:tc>
        <w:tc>
          <w:tcPr>
            <w:tcW w:w="708" w:type="dxa"/>
            <w:tcBorders>
              <w:top w:val="nil"/>
              <w:left w:val="nil"/>
              <w:bottom w:val="single" w:sz="4" w:space="0" w:color="auto"/>
              <w:right w:val="single" w:sz="4" w:space="0" w:color="auto"/>
            </w:tcBorders>
            <w:shd w:val="clear" w:color="auto" w:fill="auto"/>
            <w:vAlign w:val="center"/>
            <w:hideMark/>
          </w:tcPr>
          <w:p w14:paraId="36E8A59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624A74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733504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269C623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87042A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6799F20F"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7F185F02"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64</w:t>
            </w:r>
          </w:p>
        </w:tc>
        <w:tc>
          <w:tcPr>
            <w:tcW w:w="921" w:type="dxa"/>
            <w:tcBorders>
              <w:top w:val="nil"/>
              <w:left w:val="nil"/>
              <w:bottom w:val="single" w:sz="4" w:space="0" w:color="auto"/>
              <w:right w:val="single" w:sz="4" w:space="0" w:color="auto"/>
            </w:tcBorders>
            <w:shd w:val="clear" w:color="auto" w:fill="auto"/>
            <w:vAlign w:val="center"/>
            <w:hideMark/>
          </w:tcPr>
          <w:p w14:paraId="6501D7CB"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Educación Básica.</w:t>
            </w:r>
          </w:p>
        </w:tc>
        <w:tc>
          <w:tcPr>
            <w:tcW w:w="922" w:type="dxa"/>
            <w:tcBorders>
              <w:top w:val="nil"/>
              <w:left w:val="nil"/>
              <w:bottom w:val="single" w:sz="4" w:space="0" w:color="auto"/>
              <w:right w:val="single" w:sz="4" w:space="0" w:color="auto"/>
            </w:tcBorders>
            <w:shd w:val="clear" w:color="auto" w:fill="auto"/>
            <w:vAlign w:val="center"/>
            <w:hideMark/>
          </w:tcPr>
          <w:p w14:paraId="12C0818F"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4,690,331,313</w:t>
            </w:r>
          </w:p>
        </w:tc>
        <w:tc>
          <w:tcPr>
            <w:tcW w:w="850" w:type="dxa"/>
            <w:tcBorders>
              <w:top w:val="nil"/>
              <w:left w:val="nil"/>
              <w:bottom w:val="single" w:sz="4" w:space="0" w:color="auto"/>
              <w:right w:val="single" w:sz="4" w:space="0" w:color="auto"/>
            </w:tcBorders>
            <w:shd w:val="clear" w:color="auto" w:fill="auto"/>
            <w:vAlign w:val="center"/>
            <w:hideMark/>
          </w:tcPr>
          <w:p w14:paraId="7E36F34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625,919,979</w:t>
            </w:r>
          </w:p>
        </w:tc>
        <w:tc>
          <w:tcPr>
            <w:tcW w:w="851" w:type="dxa"/>
            <w:tcBorders>
              <w:top w:val="nil"/>
              <w:left w:val="nil"/>
              <w:bottom w:val="single" w:sz="4" w:space="0" w:color="auto"/>
              <w:right w:val="single" w:sz="4" w:space="0" w:color="auto"/>
            </w:tcBorders>
            <w:shd w:val="clear" w:color="auto" w:fill="auto"/>
            <w:vAlign w:val="center"/>
            <w:hideMark/>
          </w:tcPr>
          <w:p w14:paraId="1D1F208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84,000</w:t>
            </w:r>
          </w:p>
        </w:tc>
        <w:tc>
          <w:tcPr>
            <w:tcW w:w="850" w:type="dxa"/>
            <w:tcBorders>
              <w:top w:val="nil"/>
              <w:left w:val="nil"/>
              <w:bottom w:val="single" w:sz="4" w:space="0" w:color="auto"/>
              <w:right w:val="single" w:sz="4" w:space="0" w:color="auto"/>
            </w:tcBorders>
            <w:shd w:val="clear" w:color="auto" w:fill="auto"/>
            <w:vAlign w:val="center"/>
            <w:hideMark/>
          </w:tcPr>
          <w:p w14:paraId="4E3027D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3,716,004</w:t>
            </w:r>
          </w:p>
        </w:tc>
        <w:tc>
          <w:tcPr>
            <w:tcW w:w="993" w:type="dxa"/>
            <w:tcBorders>
              <w:top w:val="nil"/>
              <w:left w:val="nil"/>
              <w:bottom w:val="single" w:sz="4" w:space="0" w:color="auto"/>
              <w:right w:val="single" w:sz="4" w:space="0" w:color="auto"/>
            </w:tcBorders>
            <w:shd w:val="clear" w:color="auto" w:fill="auto"/>
            <w:vAlign w:val="center"/>
            <w:hideMark/>
          </w:tcPr>
          <w:p w14:paraId="28748D6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4,060,611,330</w:t>
            </w:r>
          </w:p>
        </w:tc>
        <w:tc>
          <w:tcPr>
            <w:tcW w:w="708" w:type="dxa"/>
            <w:tcBorders>
              <w:top w:val="nil"/>
              <w:left w:val="nil"/>
              <w:bottom w:val="single" w:sz="4" w:space="0" w:color="auto"/>
              <w:right w:val="single" w:sz="4" w:space="0" w:color="auto"/>
            </w:tcBorders>
            <w:shd w:val="clear" w:color="auto" w:fill="auto"/>
            <w:vAlign w:val="center"/>
            <w:hideMark/>
          </w:tcPr>
          <w:p w14:paraId="1A60F09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3FAEB1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C18713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0BD4CB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934BF4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664C7950"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7E8144D"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65</w:t>
            </w:r>
          </w:p>
        </w:tc>
        <w:tc>
          <w:tcPr>
            <w:tcW w:w="921" w:type="dxa"/>
            <w:tcBorders>
              <w:top w:val="nil"/>
              <w:left w:val="nil"/>
              <w:bottom w:val="single" w:sz="4" w:space="0" w:color="auto"/>
              <w:right w:val="single" w:sz="4" w:space="0" w:color="auto"/>
            </w:tcBorders>
            <w:shd w:val="clear" w:color="auto" w:fill="auto"/>
            <w:vAlign w:val="center"/>
            <w:hideMark/>
          </w:tcPr>
          <w:p w14:paraId="3D5F8233"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Educación Media Superior.</w:t>
            </w:r>
          </w:p>
        </w:tc>
        <w:tc>
          <w:tcPr>
            <w:tcW w:w="922" w:type="dxa"/>
            <w:tcBorders>
              <w:top w:val="nil"/>
              <w:left w:val="nil"/>
              <w:bottom w:val="single" w:sz="4" w:space="0" w:color="auto"/>
              <w:right w:val="single" w:sz="4" w:space="0" w:color="auto"/>
            </w:tcBorders>
            <w:shd w:val="clear" w:color="auto" w:fill="auto"/>
            <w:vAlign w:val="center"/>
            <w:hideMark/>
          </w:tcPr>
          <w:p w14:paraId="1412A929"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448,814,005</w:t>
            </w:r>
          </w:p>
        </w:tc>
        <w:tc>
          <w:tcPr>
            <w:tcW w:w="850" w:type="dxa"/>
            <w:tcBorders>
              <w:top w:val="nil"/>
              <w:left w:val="nil"/>
              <w:bottom w:val="single" w:sz="4" w:space="0" w:color="auto"/>
              <w:right w:val="single" w:sz="4" w:space="0" w:color="auto"/>
            </w:tcBorders>
            <w:shd w:val="clear" w:color="auto" w:fill="auto"/>
            <w:vAlign w:val="center"/>
            <w:hideMark/>
          </w:tcPr>
          <w:p w14:paraId="2AF03A1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CF0BCD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A8AAC4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54FFDD8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448,814,005</w:t>
            </w:r>
          </w:p>
        </w:tc>
        <w:tc>
          <w:tcPr>
            <w:tcW w:w="708" w:type="dxa"/>
            <w:tcBorders>
              <w:top w:val="nil"/>
              <w:left w:val="nil"/>
              <w:bottom w:val="single" w:sz="4" w:space="0" w:color="auto"/>
              <w:right w:val="single" w:sz="4" w:space="0" w:color="auto"/>
            </w:tcBorders>
            <w:shd w:val="clear" w:color="auto" w:fill="auto"/>
            <w:vAlign w:val="center"/>
            <w:hideMark/>
          </w:tcPr>
          <w:p w14:paraId="76E29E0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ED50A1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DF02FE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2698E6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688B9C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19502E48"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ED6D75E"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66</w:t>
            </w:r>
          </w:p>
        </w:tc>
        <w:tc>
          <w:tcPr>
            <w:tcW w:w="921" w:type="dxa"/>
            <w:tcBorders>
              <w:top w:val="nil"/>
              <w:left w:val="nil"/>
              <w:bottom w:val="single" w:sz="4" w:space="0" w:color="auto"/>
              <w:right w:val="single" w:sz="4" w:space="0" w:color="auto"/>
            </w:tcBorders>
            <w:shd w:val="clear" w:color="auto" w:fill="auto"/>
            <w:vAlign w:val="center"/>
            <w:hideMark/>
          </w:tcPr>
          <w:p w14:paraId="3310FACE"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Educación Superior.</w:t>
            </w:r>
          </w:p>
        </w:tc>
        <w:tc>
          <w:tcPr>
            <w:tcW w:w="922" w:type="dxa"/>
            <w:tcBorders>
              <w:top w:val="nil"/>
              <w:left w:val="nil"/>
              <w:bottom w:val="single" w:sz="4" w:space="0" w:color="auto"/>
              <w:right w:val="single" w:sz="4" w:space="0" w:color="auto"/>
            </w:tcBorders>
            <w:shd w:val="clear" w:color="auto" w:fill="auto"/>
            <w:vAlign w:val="center"/>
            <w:hideMark/>
          </w:tcPr>
          <w:p w14:paraId="2D727985"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183,700,978</w:t>
            </w:r>
          </w:p>
        </w:tc>
        <w:tc>
          <w:tcPr>
            <w:tcW w:w="850" w:type="dxa"/>
            <w:tcBorders>
              <w:top w:val="nil"/>
              <w:left w:val="nil"/>
              <w:bottom w:val="single" w:sz="4" w:space="0" w:color="auto"/>
              <w:right w:val="single" w:sz="4" w:space="0" w:color="auto"/>
            </w:tcBorders>
            <w:shd w:val="clear" w:color="auto" w:fill="auto"/>
            <w:vAlign w:val="center"/>
            <w:hideMark/>
          </w:tcPr>
          <w:p w14:paraId="1BAC9E2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139,118,065</w:t>
            </w:r>
          </w:p>
        </w:tc>
        <w:tc>
          <w:tcPr>
            <w:tcW w:w="851" w:type="dxa"/>
            <w:tcBorders>
              <w:top w:val="nil"/>
              <w:left w:val="nil"/>
              <w:bottom w:val="single" w:sz="4" w:space="0" w:color="auto"/>
              <w:right w:val="single" w:sz="4" w:space="0" w:color="auto"/>
            </w:tcBorders>
            <w:shd w:val="clear" w:color="auto" w:fill="auto"/>
            <w:vAlign w:val="center"/>
            <w:hideMark/>
          </w:tcPr>
          <w:p w14:paraId="483B6EB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84,000</w:t>
            </w:r>
          </w:p>
        </w:tc>
        <w:tc>
          <w:tcPr>
            <w:tcW w:w="850" w:type="dxa"/>
            <w:tcBorders>
              <w:top w:val="nil"/>
              <w:left w:val="nil"/>
              <w:bottom w:val="single" w:sz="4" w:space="0" w:color="auto"/>
              <w:right w:val="single" w:sz="4" w:space="0" w:color="auto"/>
            </w:tcBorders>
            <w:shd w:val="clear" w:color="auto" w:fill="auto"/>
            <w:vAlign w:val="center"/>
            <w:hideMark/>
          </w:tcPr>
          <w:p w14:paraId="2B145A8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6,386,004</w:t>
            </w:r>
          </w:p>
        </w:tc>
        <w:tc>
          <w:tcPr>
            <w:tcW w:w="993" w:type="dxa"/>
            <w:tcBorders>
              <w:top w:val="nil"/>
              <w:left w:val="nil"/>
              <w:bottom w:val="single" w:sz="4" w:space="0" w:color="auto"/>
              <w:right w:val="single" w:sz="4" w:space="0" w:color="auto"/>
            </w:tcBorders>
            <w:shd w:val="clear" w:color="auto" w:fill="auto"/>
            <w:vAlign w:val="center"/>
            <w:hideMark/>
          </w:tcPr>
          <w:p w14:paraId="46E2797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38,112,909</w:t>
            </w:r>
          </w:p>
        </w:tc>
        <w:tc>
          <w:tcPr>
            <w:tcW w:w="708" w:type="dxa"/>
            <w:tcBorders>
              <w:top w:val="nil"/>
              <w:left w:val="nil"/>
              <w:bottom w:val="single" w:sz="4" w:space="0" w:color="auto"/>
              <w:right w:val="single" w:sz="4" w:space="0" w:color="auto"/>
            </w:tcBorders>
            <w:shd w:val="clear" w:color="auto" w:fill="auto"/>
            <w:vAlign w:val="center"/>
            <w:hideMark/>
          </w:tcPr>
          <w:p w14:paraId="7959899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B003FC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39B413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0621639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49F6BA2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2F50F68D"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340C37E7"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75</w:t>
            </w:r>
          </w:p>
        </w:tc>
        <w:tc>
          <w:tcPr>
            <w:tcW w:w="921" w:type="dxa"/>
            <w:tcBorders>
              <w:top w:val="nil"/>
              <w:left w:val="nil"/>
              <w:bottom w:val="single" w:sz="4" w:space="0" w:color="auto"/>
              <w:right w:val="single" w:sz="4" w:space="0" w:color="auto"/>
            </w:tcBorders>
            <w:shd w:val="clear" w:color="auto" w:fill="auto"/>
            <w:vAlign w:val="center"/>
            <w:hideMark/>
          </w:tcPr>
          <w:p w14:paraId="53C97827"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Programa de Movilidad.</w:t>
            </w:r>
          </w:p>
        </w:tc>
        <w:tc>
          <w:tcPr>
            <w:tcW w:w="922" w:type="dxa"/>
            <w:tcBorders>
              <w:top w:val="nil"/>
              <w:left w:val="nil"/>
              <w:bottom w:val="single" w:sz="4" w:space="0" w:color="auto"/>
              <w:right w:val="single" w:sz="4" w:space="0" w:color="auto"/>
            </w:tcBorders>
            <w:shd w:val="clear" w:color="auto" w:fill="auto"/>
            <w:vAlign w:val="center"/>
            <w:hideMark/>
          </w:tcPr>
          <w:p w14:paraId="731344D6"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67,004,956</w:t>
            </w:r>
          </w:p>
        </w:tc>
        <w:tc>
          <w:tcPr>
            <w:tcW w:w="850" w:type="dxa"/>
            <w:tcBorders>
              <w:top w:val="nil"/>
              <w:left w:val="nil"/>
              <w:bottom w:val="single" w:sz="4" w:space="0" w:color="auto"/>
              <w:right w:val="single" w:sz="4" w:space="0" w:color="auto"/>
            </w:tcBorders>
            <w:shd w:val="clear" w:color="auto" w:fill="auto"/>
            <w:vAlign w:val="center"/>
            <w:hideMark/>
          </w:tcPr>
          <w:p w14:paraId="4544A95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47,884,422</w:t>
            </w:r>
          </w:p>
        </w:tc>
        <w:tc>
          <w:tcPr>
            <w:tcW w:w="851" w:type="dxa"/>
            <w:tcBorders>
              <w:top w:val="nil"/>
              <w:left w:val="nil"/>
              <w:bottom w:val="single" w:sz="4" w:space="0" w:color="auto"/>
              <w:right w:val="single" w:sz="4" w:space="0" w:color="auto"/>
            </w:tcBorders>
            <w:shd w:val="clear" w:color="auto" w:fill="auto"/>
            <w:vAlign w:val="center"/>
            <w:hideMark/>
          </w:tcPr>
          <w:p w14:paraId="7620980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16,501,162</w:t>
            </w:r>
          </w:p>
        </w:tc>
        <w:tc>
          <w:tcPr>
            <w:tcW w:w="850" w:type="dxa"/>
            <w:tcBorders>
              <w:top w:val="nil"/>
              <w:left w:val="nil"/>
              <w:bottom w:val="single" w:sz="4" w:space="0" w:color="auto"/>
              <w:right w:val="single" w:sz="4" w:space="0" w:color="auto"/>
            </w:tcBorders>
            <w:shd w:val="clear" w:color="auto" w:fill="auto"/>
            <w:vAlign w:val="center"/>
            <w:hideMark/>
          </w:tcPr>
          <w:p w14:paraId="5B767F8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2,619,372</w:t>
            </w:r>
          </w:p>
        </w:tc>
        <w:tc>
          <w:tcPr>
            <w:tcW w:w="993" w:type="dxa"/>
            <w:tcBorders>
              <w:top w:val="nil"/>
              <w:left w:val="nil"/>
              <w:bottom w:val="single" w:sz="4" w:space="0" w:color="auto"/>
              <w:right w:val="single" w:sz="4" w:space="0" w:color="auto"/>
            </w:tcBorders>
            <w:shd w:val="clear" w:color="auto" w:fill="auto"/>
            <w:vAlign w:val="center"/>
            <w:hideMark/>
          </w:tcPr>
          <w:p w14:paraId="6C06E5C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5FA9388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9E9EF4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E8E448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2E7A3B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1B8097E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28DE1029"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00F5371"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77</w:t>
            </w:r>
          </w:p>
        </w:tc>
        <w:tc>
          <w:tcPr>
            <w:tcW w:w="921" w:type="dxa"/>
            <w:tcBorders>
              <w:top w:val="nil"/>
              <w:left w:val="nil"/>
              <w:bottom w:val="single" w:sz="4" w:space="0" w:color="auto"/>
              <w:right w:val="single" w:sz="4" w:space="0" w:color="auto"/>
            </w:tcBorders>
            <w:shd w:val="clear" w:color="auto" w:fill="auto"/>
            <w:vAlign w:val="center"/>
            <w:hideMark/>
          </w:tcPr>
          <w:p w14:paraId="7700F62E"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Consolidación de la Gobernabilidad Democrática del Estado de Colima.</w:t>
            </w:r>
          </w:p>
        </w:tc>
        <w:tc>
          <w:tcPr>
            <w:tcW w:w="922" w:type="dxa"/>
            <w:tcBorders>
              <w:top w:val="nil"/>
              <w:left w:val="nil"/>
              <w:bottom w:val="single" w:sz="4" w:space="0" w:color="auto"/>
              <w:right w:val="single" w:sz="4" w:space="0" w:color="auto"/>
            </w:tcBorders>
            <w:shd w:val="clear" w:color="auto" w:fill="auto"/>
            <w:vAlign w:val="center"/>
            <w:hideMark/>
          </w:tcPr>
          <w:p w14:paraId="7AF144A2"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104,845,027</w:t>
            </w:r>
          </w:p>
        </w:tc>
        <w:tc>
          <w:tcPr>
            <w:tcW w:w="850" w:type="dxa"/>
            <w:tcBorders>
              <w:top w:val="nil"/>
              <w:left w:val="nil"/>
              <w:bottom w:val="single" w:sz="4" w:space="0" w:color="auto"/>
              <w:right w:val="single" w:sz="4" w:space="0" w:color="auto"/>
            </w:tcBorders>
            <w:shd w:val="clear" w:color="auto" w:fill="auto"/>
            <w:vAlign w:val="center"/>
            <w:hideMark/>
          </w:tcPr>
          <w:p w14:paraId="14E2F9D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49,255,184</w:t>
            </w:r>
          </w:p>
        </w:tc>
        <w:tc>
          <w:tcPr>
            <w:tcW w:w="851" w:type="dxa"/>
            <w:tcBorders>
              <w:top w:val="nil"/>
              <w:left w:val="nil"/>
              <w:bottom w:val="single" w:sz="4" w:space="0" w:color="auto"/>
              <w:right w:val="single" w:sz="4" w:space="0" w:color="auto"/>
            </w:tcBorders>
            <w:shd w:val="clear" w:color="auto" w:fill="auto"/>
            <w:vAlign w:val="center"/>
            <w:hideMark/>
          </w:tcPr>
          <w:p w14:paraId="62981BE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2,615,500</w:t>
            </w:r>
          </w:p>
        </w:tc>
        <w:tc>
          <w:tcPr>
            <w:tcW w:w="850" w:type="dxa"/>
            <w:tcBorders>
              <w:top w:val="nil"/>
              <w:left w:val="nil"/>
              <w:bottom w:val="single" w:sz="4" w:space="0" w:color="auto"/>
              <w:right w:val="single" w:sz="4" w:space="0" w:color="auto"/>
            </w:tcBorders>
            <w:shd w:val="clear" w:color="auto" w:fill="auto"/>
            <w:vAlign w:val="center"/>
            <w:hideMark/>
          </w:tcPr>
          <w:p w14:paraId="0073427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28,588,204</w:t>
            </w:r>
          </w:p>
        </w:tc>
        <w:tc>
          <w:tcPr>
            <w:tcW w:w="993" w:type="dxa"/>
            <w:tcBorders>
              <w:top w:val="nil"/>
              <w:left w:val="nil"/>
              <w:bottom w:val="single" w:sz="4" w:space="0" w:color="auto"/>
              <w:right w:val="single" w:sz="4" w:space="0" w:color="auto"/>
            </w:tcBorders>
            <w:shd w:val="clear" w:color="auto" w:fill="auto"/>
            <w:vAlign w:val="center"/>
            <w:hideMark/>
          </w:tcPr>
          <w:p w14:paraId="60CA798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21,700,000</w:t>
            </w:r>
          </w:p>
        </w:tc>
        <w:tc>
          <w:tcPr>
            <w:tcW w:w="708" w:type="dxa"/>
            <w:tcBorders>
              <w:top w:val="nil"/>
              <w:left w:val="nil"/>
              <w:bottom w:val="single" w:sz="4" w:space="0" w:color="auto"/>
              <w:right w:val="single" w:sz="4" w:space="0" w:color="auto"/>
            </w:tcBorders>
            <w:shd w:val="clear" w:color="auto" w:fill="auto"/>
            <w:vAlign w:val="center"/>
            <w:hideMark/>
          </w:tcPr>
          <w:p w14:paraId="52A4C16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686,139</w:t>
            </w:r>
          </w:p>
        </w:tc>
        <w:tc>
          <w:tcPr>
            <w:tcW w:w="709" w:type="dxa"/>
            <w:tcBorders>
              <w:top w:val="nil"/>
              <w:left w:val="nil"/>
              <w:bottom w:val="single" w:sz="4" w:space="0" w:color="auto"/>
              <w:right w:val="single" w:sz="4" w:space="0" w:color="auto"/>
            </w:tcBorders>
            <w:shd w:val="clear" w:color="auto" w:fill="auto"/>
            <w:vAlign w:val="center"/>
            <w:hideMark/>
          </w:tcPr>
          <w:p w14:paraId="159D5D4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110F94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2,000,000</w:t>
            </w:r>
          </w:p>
        </w:tc>
        <w:tc>
          <w:tcPr>
            <w:tcW w:w="850" w:type="dxa"/>
            <w:tcBorders>
              <w:top w:val="nil"/>
              <w:left w:val="nil"/>
              <w:bottom w:val="single" w:sz="4" w:space="0" w:color="auto"/>
              <w:right w:val="single" w:sz="4" w:space="0" w:color="auto"/>
            </w:tcBorders>
            <w:shd w:val="clear" w:color="auto" w:fill="auto"/>
            <w:vAlign w:val="center"/>
            <w:hideMark/>
          </w:tcPr>
          <w:p w14:paraId="1337523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4C59B76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0725F054" w14:textId="77777777" w:rsidTr="00A755A7">
        <w:trPr>
          <w:gridAfter w:val="1"/>
          <w:wAfter w:w="34" w:type="dxa"/>
          <w:trHeight w:val="54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A1EC6A4"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79</w:t>
            </w:r>
          </w:p>
        </w:tc>
        <w:tc>
          <w:tcPr>
            <w:tcW w:w="921" w:type="dxa"/>
            <w:tcBorders>
              <w:top w:val="nil"/>
              <w:left w:val="nil"/>
              <w:bottom w:val="single" w:sz="4" w:space="0" w:color="auto"/>
              <w:right w:val="single" w:sz="4" w:space="0" w:color="auto"/>
            </w:tcBorders>
            <w:shd w:val="clear" w:color="auto" w:fill="auto"/>
            <w:vAlign w:val="center"/>
            <w:hideMark/>
          </w:tcPr>
          <w:p w14:paraId="39B761F0"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Compromiso con la Salvaguarda de la Población en materia de Protección Civil.</w:t>
            </w:r>
          </w:p>
        </w:tc>
        <w:tc>
          <w:tcPr>
            <w:tcW w:w="922" w:type="dxa"/>
            <w:tcBorders>
              <w:top w:val="nil"/>
              <w:left w:val="nil"/>
              <w:bottom w:val="single" w:sz="4" w:space="0" w:color="auto"/>
              <w:right w:val="single" w:sz="4" w:space="0" w:color="auto"/>
            </w:tcBorders>
            <w:shd w:val="clear" w:color="auto" w:fill="auto"/>
            <w:vAlign w:val="center"/>
            <w:hideMark/>
          </w:tcPr>
          <w:p w14:paraId="4B34FE4B"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19,383,525</w:t>
            </w:r>
          </w:p>
        </w:tc>
        <w:tc>
          <w:tcPr>
            <w:tcW w:w="850" w:type="dxa"/>
            <w:tcBorders>
              <w:top w:val="nil"/>
              <w:left w:val="nil"/>
              <w:bottom w:val="single" w:sz="4" w:space="0" w:color="auto"/>
              <w:right w:val="single" w:sz="4" w:space="0" w:color="auto"/>
            </w:tcBorders>
            <w:shd w:val="clear" w:color="auto" w:fill="auto"/>
            <w:vAlign w:val="center"/>
            <w:hideMark/>
          </w:tcPr>
          <w:p w14:paraId="4B0C4F5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324DDE5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0572F2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5BB8E7E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19,383,525</w:t>
            </w:r>
          </w:p>
        </w:tc>
        <w:tc>
          <w:tcPr>
            <w:tcW w:w="708" w:type="dxa"/>
            <w:tcBorders>
              <w:top w:val="nil"/>
              <w:left w:val="nil"/>
              <w:bottom w:val="single" w:sz="4" w:space="0" w:color="auto"/>
              <w:right w:val="single" w:sz="4" w:space="0" w:color="auto"/>
            </w:tcBorders>
            <w:shd w:val="clear" w:color="auto" w:fill="auto"/>
            <w:vAlign w:val="center"/>
            <w:hideMark/>
          </w:tcPr>
          <w:p w14:paraId="5FA6333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607565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2890D0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3EC54D7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323A71A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11DEB4AD"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5817AE4"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82</w:t>
            </w:r>
          </w:p>
        </w:tc>
        <w:tc>
          <w:tcPr>
            <w:tcW w:w="921" w:type="dxa"/>
            <w:tcBorders>
              <w:top w:val="nil"/>
              <w:left w:val="nil"/>
              <w:bottom w:val="single" w:sz="4" w:space="0" w:color="auto"/>
              <w:right w:val="single" w:sz="4" w:space="0" w:color="auto"/>
            </w:tcBorders>
            <w:shd w:val="clear" w:color="auto" w:fill="auto"/>
            <w:vAlign w:val="center"/>
            <w:hideMark/>
          </w:tcPr>
          <w:p w14:paraId="63545564"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Educación para Adultos.</w:t>
            </w:r>
          </w:p>
        </w:tc>
        <w:tc>
          <w:tcPr>
            <w:tcW w:w="922" w:type="dxa"/>
            <w:tcBorders>
              <w:top w:val="nil"/>
              <w:left w:val="nil"/>
              <w:bottom w:val="single" w:sz="4" w:space="0" w:color="auto"/>
              <w:right w:val="single" w:sz="4" w:space="0" w:color="auto"/>
            </w:tcBorders>
            <w:shd w:val="clear" w:color="auto" w:fill="auto"/>
            <w:vAlign w:val="center"/>
            <w:hideMark/>
          </w:tcPr>
          <w:p w14:paraId="355CD1FE"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7,351,351</w:t>
            </w:r>
          </w:p>
        </w:tc>
        <w:tc>
          <w:tcPr>
            <w:tcW w:w="850" w:type="dxa"/>
            <w:tcBorders>
              <w:top w:val="nil"/>
              <w:left w:val="nil"/>
              <w:bottom w:val="single" w:sz="4" w:space="0" w:color="auto"/>
              <w:right w:val="single" w:sz="4" w:space="0" w:color="auto"/>
            </w:tcBorders>
            <w:shd w:val="clear" w:color="auto" w:fill="auto"/>
            <w:vAlign w:val="center"/>
            <w:hideMark/>
          </w:tcPr>
          <w:p w14:paraId="44F0CFF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568317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693F900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468553E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7,351,351</w:t>
            </w:r>
          </w:p>
        </w:tc>
        <w:tc>
          <w:tcPr>
            <w:tcW w:w="708" w:type="dxa"/>
            <w:tcBorders>
              <w:top w:val="nil"/>
              <w:left w:val="nil"/>
              <w:bottom w:val="single" w:sz="4" w:space="0" w:color="auto"/>
              <w:right w:val="single" w:sz="4" w:space="0" w:color="auto"/>
            </w:tcBorders>
            <w:shd w:val="clear" w:color="auto" w:fill="auto"/>
            <w:vAlign w:val="center"/>
            <w:hideMark/>
          </w:tcPr>
          <w:p w14:paraId="03F0AC5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30F92B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477D4B6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2CC29A1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409E3ED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17E3B54D"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27C60526"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83</w:t>
            </w:r>
          </w:p>
        </w:tc>
        <w:tc>
          <w:tcPr>
            <w:tcW w:w="921" w:type="dxa"/>
            <w:tcBorders>
              <w:top w:val="nil"/>
              <w:left w:val="nil"/>
              <w:bottom w:val="single" w:sz="4" w:space="0" w:color="auto"/>
              <w:right w:val="single" w:sz="4" w:space="0" w:color="auto"/>
            </w:tcBorders>
            <w:shd w:val="clear" w:color="auto" w:fill="auto"/>
            <w:vAlign w:val="center"/>
            <w:hideMark/>
          </w:tcPr>
          <w:p w14:paraId="72C05466"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Consejería Jurídica.</w:t>
            </w:r>
          </w:p>
        </w:tc>
        <w:tc>
          <w:tcPr>
            <w:tcW w:w="922" w:type="dxa"/>
            <w:tcBorders>
              <w:top w:val="nil"/>
              <w:left w:val="nil"/>
              <w:bottom w:val="single" w:sz="4" w:space="0" w:color="auto"/>
              <w:right w:val="single" w:sz="4" w:space="0" w:color="auto"/>
            </w:tcBorders>
            <w:shd w:val="clear" w:color="auto" w:fill="auto"/>
            <w:vAlign w:val="center"/>
            <w:hideMark/>
          </w:tcPr>
          <w:p w14:paraId="5772C5D7"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32,493,560</w:t>
            </w:r>
          </w:p>
        </w:tc>
        <w:tc>
          <w:tcPr>
            <w:tcW w:w="850" w:type="dxa"/>
            <w:tcBorders>
              <w:top w:val="nil"/>
              <w:left w:val="nil"/>
              <w:bottom w:val="single" w:sz="4" w:space="0" w:color="auto"/>
              <w:right w:val="single" w:sz="4" w:space="0" w:color="auto"/>
            </w:tcBorders>
            <w:shd w:val="clear" w:color="auto" w:fill="auto"/>
            <w:vAlign w:val="center"/>
            <w:hideMark/>
          </w:tcPr>
          <w:p w14:paraId="691C9B7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28,937,048</w:t>
            </w:r>
          </w:p>
        </w:tc>
        <w:tc>
          <w:tcPr>
            <w:tcW w:w="851" w:type="dxa"/>
            <w:tcBorders>
              <w:top w:val="nil"/>
              <w:left w:val="nil"/>
              <w:bottom w:val="single" w:sz="4" w:space="0" w:color="auto"/>
              <w:right w:val="single" w:sz="4" w:space="0" w:color="auto"/>
            </w:tcBorders>
            <w:shd w:val="clear" w:color="auto" w:fill="auto"/>
            <w:vAlign w:val="center"/>
            <w:hideMark/>
          </w:tcPr>
          <w:p w14:paraId="09847C8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741,000</w:t>
            </w:r>
          </w:p>
        </w:tc>
        <w:tc>
          <w:tcPr>
            <w:tcW w:w="850" w:type="dxa"/>
            <w:tcBorders>
              <w:top w:val="nil"/>
              <w:left w:val="nil"/>
              <w:bottom w:val="single" w:sz="4" w:space="0" w:color="auto"/>
              <w:right w:val="single" w:sz="4" w:space="0" w:color="auto"/>
            </w:tcBorders>
            <w:shd w:val="clear" w:color="auto" w:fill="auto"/>
            <w:vAlign w:val="center"/>
            <w:hideMark/>
          </w:tcPr>
          <w:p w14:paraId="3AA9C9D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2,785,512</w:t>
            </w:r>
          </w:p>
        </w:tc>
        <w:tc>
          <w:tcPr>
            <w:tcW w:w="993" w:type="dxa"/>
            <w:tcBorders>
              <w:top w:val="nil"/>
              <w:left w:val="nil"/>
              <w:bottom w:val="single" w:sz="4" w:space="0" w:color="auto"/>
              <w:right w:val="single" w:sz="4" w:space="0" w:color="auto"/>
            </w:tcBorders>
            <w:shd w:val="clear" w:color="auto" w:fill="auto"/>
            <w:vAlign w:val="center"/>
            <w:hideMark/>
          </w:tcPr>
          <w:p w14:paraId="1EB0260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66B0935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30,000</w:t>
            </w:r>
          </w:p>
        </w:tc>
        <w:tc>
          <w:tcPr>
            <w:tcW w:w="709" w:type="dxa"/>
            <w:tcBorders>
              <w:top w:val="nil"/>
              <w:left w:val="nil"/>
              <w:bottom w:val="single" w:sz="4" w:space="0" w:color="auto"/>
              <w:right w:val="single" w:sz="4" w:space="0" w:color="auto"/>
            </w:tcBorders>
            <w:shd w:val="clear" w:color="auto" w:fill="auto"/>
            <w:vAlign w:val="center"/>
            <w:hideMark/>
          </w:tcPr>
          <w:p w14:paraId="1F12646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FA2826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3872ACF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261AAD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3BC9E230"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15AF117C"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84</w:t>
            </w:r>
          </w:p>
        </w:tc>
        <w:tc>
          <w:tcPr>
            <w:tcW w:w="921" w:type="dxa"/>
            <w:tcBorders>
              <w:top w:val="nil"/>
              <w:left w:val="nil"/>
              <w:bottom w:val="single" w:sz="4" w:space="0" w:color="auto"/>
              <w:right w:val="single" w:sz="4" w:space="0" w:color="auto"/>
            </w:tcBorders>
            <w:shd w:val="clear" w:color="auto" w:fill="auto"/>
            <w:vAlign w:val="center"/>
            <w:hideMark/>
          </w:tcPr>
          <w:p w14:paraId="783E7299"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Educación Media Superior CONALEP.</w:t>
            </w:r>
          </w:p>
        </w:tc>
        <w:tc>
          <w:tcPr>
            <w:tcW w:w="922" w:type="dxa"/>
            <w:tcBorders>
              <w:top w:val="nil"/>
              <w:left w:val="nil"/>
              <w:bottom w:val="single" w:sz="4" w:space="0" w:color="auto"/>
              <w:right w:val="single" w:sz="4" w:space="0" w:color="auto"/>
            </w:tcBorders>
            <w:shd w:val="clear" w:color="auto" w:fill="auto"/>
            <w:vAlign w:val="center"/>
            <w:hideMark/>
          </w:tcPr>
          <w:p w14:paraId="0EBF4C66"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5,768,600</w:t>
            </w:r>
          </w:p>
        </w:tc>
        <w:tc>
          <w:tcPr>
            <w:tcW w:w="850" w:type="dxa"/>
            <w:tcBorders>
              <w:top w:val="nil"/>
              <w:left w:val="nil"/>
              <w:bottom w:val="single" w:sz="4" w:space="0" w:color="auto"/>
              <w:right w:val="single" w:sz="4" w:space="0" w:color="auto"/>
            </w:tcBorders>
            <w:shd w:val="clear" w:color="auto" w:fill="auto"/>
            <w:vAlign w:val="center"/>
            <w:hideMark/>
          </w:tcPr>
          <w:p w14:paraId="5BE29F6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00ADF2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C20C59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704948E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5,768,600</w:t>
            </w:r>
          </w:p>
        </w:tc>
        <w:tc>
          <w:tcPr>
            <w:tcW w:w="708" w:type="dxa"/>
            <w:tcBorders>
              <w:top w:val="nil"/>
              <w:left w:val="nil"/>
              <w:bottom w:val="single" w:sz="4" w:space="0" w:color="auto"/>
              <w:right w:val="single" w:sz="4" w:space="0" w:color="auto"/>
            </w:tcBorders>
            <w:shd w:val="clear" w:color="auto" w:fill="auto"/>
            <w:vAlign w:val="center"/>
            <w:hideMark/>
          </w:tcPr>
          <w:p w14:paraId="467EF3A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F57166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B025B9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481376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C36578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40EAE2FB"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4AF73217"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85</w:t>
            </w:r>
          </w:p>
        </w:tc>
        <w:tc>
          <w:tcPr>
            <w:tcW w:w="921" w:type="dxa"/>
            <w:tcBorders>
              <w:top w:val="nil"/>
              <w:left w:val="nil"/>
              <w:bottom w:val="single" w:sz="4" w:space="0" w:color="auto"/>
              <w:right w:val="single" w:sz="4" w:space="0" w:color="auto"/>
            </w:tcBorders>
            <w:shd w:val="clear" w:color="auto" w:fill="auto"/>
            <w:vAlign w:val="center"/>
            <w:hideMark/>
          </w:tcPr>
          <w:p w14:paraId="0849705B"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Radio y Televisión.</w:t>
            </w:r>
          </w:p>
        </w:tc>
        <w:tc>
          <w:tcPr>
            <w:tcW w:w="922" w:type="dxa"/>
            <w:tcBorders>
              <w:top w:val="nil"/>
              <w:left w:val="nil"/>
              <w:bottom w:val="single" w:sz="4" w:space="0" w:color="auto"/>
              <w:right w:val="single" w:sz="4" w:space="0" w:color="auto"/>
            </w:tcBorders>
            <w:shd w:val="clear" w:color="auto" w:fill="auto"/>
            <w:vAlign w:val="center"/>
            <w:hideMark/>
          </w:tcPr>
          <w:p w14:paraId="0467F7ED"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23,748,507</w:t>
            </w:r>
          </w:p>
        </w:tc>
        <w:tc>
          <w:tcPr>
            <w:tcW w:w="850" w:type="dxa"/>
            <w:tcBorders>
              <w:top w:val="nil"/>
              <w:left w:val="nil"/>
              <w:bottom w:val="single" w:sz="4" w:space="0" w:color="auto"/>
              <w:right w:val="single" w:sz="4" w:space="0" w:color="auto"/>
            </w:tcBorders>
            <w:shd w:val="clear" w:color="auto" w:fill="auto"/>
            <w:vAlign w:val="center"/>
            <w:hideMark/>
          </w:tcPr>
          <w:p w14:paraId="239F00A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5E92AC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D1A4CB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74FEB69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23,748,507</w:t>
            </w:r>
          </w:p>
        </w:tc>
        <w:tc>
          <w:tcPr>
            <w:tcW w:w="708" w:type="dxa"/>
            <w:tcBorders>
              <w:top w:val="nil"/>
              <w:left w:val="nil"/>
              <w:bottom w:val="single" w:sz="4" w:space="0" w:color="auto"/>
              <w:right w:val="single" w:sz="4" w:space="0" w:color="auto"/>
            </w:tcBorders>
            <w:shd w:val="clear" w:color="auto" w:fill="auto"/>
            <w:vAlign w:val="center"/>
            <w:hideMark/>
          </w:tcPr>
          <w:p w14:paraId="6AAFA71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FA99D9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90F258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351ED80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7B532CC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14507E5F"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E1292AD"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90</w:t>
            </w:r>
          </w:p>
        </w:tc>
        <w:tc>
          <w:tcPr>
            <w:tcW w:w="921" w:type="dxa"/>
            <w:tcBorders>
              <w:top w:val="nil"/>
              <w:left w:val="nil"/>
              <w:bottom w:val="single" w:sz="4" w:space="0" w:color="auto"/>
              <w:right w:val="single" w:sz="4" w:space="0" w:color="auto"/>
            </w:tcBorders>
            <w:shd w:val="clear" w:color="auto" w:fill="auto"/>
            <w:vAlign w:val="center"/>
            <w:hideMark/>
          </w:tcPr>
          <w:p w14:paraId="7991A201"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Prevención y Atención a la Violencia (CEPAVI).</w:t>
            </w:r>
          </w:p>
        </w:tc>
        <w:tc>
          <w:tcPr>
            <w:tcW w:w="922" w:type="dxa"/>
            <w:tcBorders>
              <w:top w:val="nil"/>
              <w:left w:val="nil"/>
              <w:bottom w:val="single" w:sz="4" w:space="0" w:color="auto"/>
              <w:right w:val="single" w:sz="4" w:space="0" w:color="auto"/>
            </w:tcBorders>
            <w:shd w:val="clear" w:color="auto" w:fill="auto"/>
            <w:vAlign w:val="center"/>
            <w:hideMark/>
          </w:tcPr>
          <w:p w14:paraId="6300F22D"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3,927,906</w:t>
            </w:r>
          </w:p>
        </w:tc>
        <w:tc>
          <w:tcPr>
            <w:tcW w:w="850" w:type="dxa"/>
            <w:tcBorders>
              <w:top w:val="nil"/>
              <w:left w:val="nil"/>
              <w:bottom w:val="single" w:sz="4" w:space="0" w:color="auto"/>
              <w:right w:val="single" w:sz="4" w:space="0" w:color="auto"/>
            </w:tcBorders>
            <w:shd w:val="clear" w:color="auto" w:fill="auto"/>
            <w:vAlign w:val="center"/>
            <w:hideMark/>
          </w:tcPr>
          <w:p w14:paraId="3657A541"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5B6B8095"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630C96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58AAE56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3,927,906</w:t>
            </w:r>
          </w:p>
        </w:tc>
        <w:tc>
          <w:tcPr>
            <w:tcW w:w="708" w:type="dxa"/>
            <w:tcBorders>
              <w:top w:val="nil"/>
              <w:left w:val="nil"/>
              <w:bottom w:val="single" w:sz="4" w:space="0" w:color="auto"/>
              <w:right w:val="single" w:sz="4" w:space="0" w:color="auto"/>
            </w:tcBorders>
            <w:shd w:val="clear" w:color="auto" w:fill="auto"/>
            <w:vAlign w:val="center"/>
            <w:hideMark/>
          </w:tcPr>
          <w:p w14:paraId="2F30A09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78D0BA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7905073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50F2CB6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D731DF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438182E0"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F0CB17D"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93</w:t>
            </w:r>
          </w:p>
        </w:tc>
        <w:tc>
          <w:tcPr>
            <w:tcW w:w="921" w:type="dxa"/>
            <w:tcBorders>
              <w:top w:val="nil"/>
              <w:left w:val="nil"/>
              <w:bottom w:val="single" w:sz="4" w:space="0" w:color="auto"/>
              <w:right w:val="single" w:sz="4" w:space="0" w:color="auto"/>
            </w:tcBorders>
            <w:shd w:val="clear" w:color="auto" w:fill="auto"/>
            <w:vAlign w:val="center"/>
            <w:hideMark/>
          </w:tcPr>
          <w:p w14:paraId="55020457"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Protección de Niñas, Niños y Adolescentes</w:t>
            </w:r>
          </w:p>
        </w:tc>
        <w:tc>
          <w:tcPr>
            <w:tcW w:w="922" w:type="dxa"/>
            <w:tcBorders>
              <w:top w:val="nil"/>
              <w:left w:val="nil"/>
              <w:bottom w:val="single" w:sz="4" w:space="0" w:color="auto"/>
              <w:right w:val="single" w:sz="4" w:space="0" w:color="auto"/>
            </w:tcBorders>
            <w:shd w:val="clear" w:color="auto" w:fill="auto"/>
            <w:vAlign w:val="center"/>
            <w:hideMark/>
          </w:tcPr>
          <w:p w14:paraId="496D683A"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11,411,409</w:t>
            </w:r>
          </w:p>
        </w:tc>
        <w:tc>
          <w:tcPr>
            <w:tcW w:w="850" w:type="dxa"/>
            <w:tcBorders>
              <w:top w:val="nil"/>
              <w:left w:val="nil"/>
              <w:bottom w:val="single" w:sz="4" w:space="0" w:color="auto"/>
              <w:right w:val="single" w:sz="4" w:space="0" w:color="auto"/>
            </w:tcBorders>
            <w:shd w:val="clear" w:color="auto" w:fill="auto"/>
            <w:vAlign w:val="center"/>
            <w:hideMark/>
          </w:tcPr>
          <w:p w14:paraId="0544651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BE806E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F5D2E3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34C4036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11,411,409</w:t>
            </w:r>
          </w:p>
        </w:tc>
        <w:tc>
          <w:tcPr>
            <w:tcW w:w="708" w:type="dxa"/>
            <w:tcBorders>
              <w:top w:val="nil"/>
              <w:left w:val="nil"/>
              <w:bottom w:val="single" w:sz="4" w:space="0" w:color="auto"/>
              <w:right w:val="single" w:sz="4" w:space="0" w:color="auto"/>
            </w:tcBorders>
            <w:shd w:val="clear" w:color="auto" w:fill="auto"/>
            <w:vAlign w:val="center"/>
            <w:hideMark/>
          </w:tcPr>
          <w:p w14:paraId="5EC42CA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6F234D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34E2406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66CE560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14C77934"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76CF2324"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5A86B40C"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lastRenderedPageBreak/>
              <w:t>94</w:t>
            </w:r>
          </w:p>
        </w:tc>
        <w:tc>
          <w:tcPr>
            <w:tcW w:w="921" w:type="dxa"/>
            <w:tcBorders>
              <w:top w:val="nil"/>
              <w:left w:val="nil"/>
              <w:bottom w:val="single" w:sz="4" w:space="0" w:color="auto"/>
              <w:right w:val="single" w:sz="4" w:space="0" w:color="auto"/>
            </w:tcBorders>
            <w:shd w:val="clear" w:color="auto" w:fill="auto"/>
            <w:vAlign w:val="center"/>
            <w:hideMark/>
          </w:tcPr>
          <w:p w14:paraId="7CB6270B"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Infraestructura Complementaria para el Desarrollo Económico.</w:t>
            </w:r>
          </w:p>
        </w:tc>
        <w:tc>
          <w:tcPr>
            <w:tcW w:w="922" w:type="dxa"/>
            <w:tcBorders>
              <w:top w:val="nil"/>
              <w:left w:val="nil"/>
              <w:bottom w:val="single" w:sz="4" w:space="0" w:color="auto"/>
              <w:right w:val="single" w:sz="4" w:space="0" w:color="auto"/>
            </w:tcBorders>
            <w:shd w:val="clear" w:color="auto" w:fill="auto"/>
            <w:vAlign w:val="center"/>
            <w:hideMark/>
          </w:tcPr>
          <w:p w14:paraId="7304C668"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68,019,680</w:t>
            </w:r>
          </w:p>
        </w:tc>
        <w:tc>
          <w:tcPr>
            <w:tcW w:w="850" w:type="dxa"/>
            <w:tcBorders>
              <w:top w:val="nil"/>
              <w:left w:val="nil"/>
              <w:bottom w:val="single" w:sz="4" w:space="0" w:color="auto"/>
              <w:right w:val="single" w:sz="4" w:space="0" w:color="auto"/>
            </w:tcBorders>
            <w:shd w:val="clear" w:color="auto" w:fill="auto"/>
            <w:vAlign w:val="center"/>
            <w:hideMark/>
          </w:tcPr>
          <w:p w14:paraId="193C75E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67,849,676</w:t>
            </w:r>
          </w:p>
        </w:tc>
        <w:tc>
          <w:tcPr>
            <w:tcW w:w="851" w:type="dxa"/>
            <w:tcBorders>
              <w:top w:val="nil"/>
              <w:left w:val="nil"/>
              <w:bottom w:val="single" w:sz="4" w:space="0" w:color="auto"/>
              <w:right w:val="single" w:sz="4" w:space="0" w:color="auto"/>
            </w:tcBorders>
            <w:shd w:val="clear" w:color="auto" w:fill="auto"/>
            <w:vAlign w:val="center"/>
            <w:hideMark/>
          </w:tcPr>
          <w:p w14:paraId="3F83C49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3D1A562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170,004</w:t>
            </w:r>
          </w:p>
        </w:tc>
        <w:tc>
          <w:tcPr>
            <w:tcW w:w="993" w:type="dxa"/>
            <w:tcBorders>
              <w:top w:val="nil"/>
              <w:left w:val="nil"/>
              <w:bottom w:val="single" w:sz="4" w:space="0" w:color="auto"/>
              <w:right w:val="single" w:sz="4" w:space="0" w:color="auto"/>
            </w:tcBorders>
            <w:shd w:val="clear" w:color="auto" w:fill="auto"/>
            <w:vAlign w:val="center"/>
            <w:hideMark/>
          </w:tcPr>
          <w:p w14:paraId="3668334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56849A4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381EEA4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150DD1B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4E3387B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9E950D7"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02581775"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3841085"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96</w:t>
            </w:r>
          </w:p>
        </w:tc>
        <w:tc>
          <w:tcPr>
            <w:tcW w:w="921" w:type="dxa"/>
            <w:tcBorders>
              <w:top w:val="nil"/>
              <w:left w:val="nil"/>
              <w:bottom w:val="single" w:sz="4" w:space="0" w:color="auto"/>
              <w:right w:val="single" w:sz="4" w:space="0" w:color="auto"/>
            </w:tcBorders>
            <w:shd w:val="clear" w:color="auto" w:fill="auto"/>
            <w:vAlign w:val="center"/>
            <w:hideMark/>
          </w:tcPr>
          <w:p w14:paraId="7C7A7C47"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Infraestructura Social.</w:t>
            </w:r>
          </w:p>
        </w:tc>
        <w:tc>
          <w:tcPr>
            <w:tcW w:w="922" w:type="dxa"/>
            <w:tcBorders>
              <w:top w:val="nil"/>
              <w:left w:val="nil"/>
              <w:bottom w:val="single" w:sz="4" w:space="0" w:color="auto"/>
              <w:right w:val="single" w:sz="4" w:space="0" w:color="auto"/>
            </w:tcBorders>
            <w:shd w:val="clear" w:color="auto" w:fill="auto"/>
            <w:vAlign w:val="center"/>
            <w:hideMark/>
          </w:tcPr>
          <w:p w14:paraId="01FEB851"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20,735,606</w:t>
            </w:r>
          </w:p>
        </w:tc>
        <w:tc>
          <w:tcPr>
            <w:tcW w:w="850" w:type="dxa"/>
            <w:tcBorders>
              <w:top w:val="nil"/>
              <w:left w:val="nil"/>
              <w:bottom w:val="single" w:sz="4" w:space="0" w:color="auto"/>
              <w:right w:val="single" w:sz="4" w:space="0" w:color="auto"/>
            </w:tcBorders>
            <w:shd w:val="clear" w:color="auto" w:fill="auto"/>
            <w:vAlign w:val="center"/>
            <w:hideMark/>
          </w:tcPr>
          <w:p w14:paraId="23F1AD1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20,735,606</w:t>
            </w:r>
          </w:p>
        </w:tc>
        <w:tc>
          <w:tcPr>
            <w:tcW w:w="851" w:type="dxa"/>
            <w:tcBorders>
              <w:top w:val="nil"/>
              <w:left w:val="nil"/>
              <w:bottom w:val="single" w:sz="4" w:space="0" w:color="auto"/>
              <w:right w:val="single" w:sz="4" w:space="0" w:color="auto"/>
            </w:tcBorders>
            <w:shd w:val="clear" w:color="auto" w:fill="auto"/>
            <w:vAlign w:val="center"/>
            <w:hideMark/>
          </w:tcPr>
          <w:p w14:paraId="098AA8B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277694E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0B3A118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4DBFD5D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537C6D5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77C0F6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1D66D57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0D188FFA"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5D60BA1A"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0888885F"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98</w:t>
            </w:r>
          </w:p>
        </w:tc>
        <w:tc>
          <w:tcPr>
            <w:tcW w:w="921" w:type="dxa"/>
            <w:tcBorders>
              <w:top w:val="nil"/>
              <w:left w:val="nil"/>
              <w:bottom w:val="single" w:sz="4" w:space="0" w:color="auto"/>
              <w:right w:val="single" w:sz="4" w:space="0" w:color="auto"/>
            </w:tcBorders>
            <w:shd w:val="clear" w:color="auto" w:fill="auto"/>
            <w:vAlign w:val="center"/>
            <w:hideMark/>
          </w:tcPr>
          <w:p w14:paraId="78E46613"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Infraestructura  Carretera.</w:t>
            </w:r>
          </w:p>
        </w:tc>
        <w:tc>
          <w:tcPr>
            <w:tcW w:w="922" w:type="dxa"/>
            <w:tcBorders>
              <w:top w:val="nil"/>
              <w:left w:val="nil"/>
              <w:bottom w:val="single" w:sz="4" w:space="0" w:color="auto"/>
              <w:right w:val="single" w:sz="4" w:space="0" w:color="auto"/>
            </w:tcBorders>
            <w:shd w:val="clear" w:color="auto" w:fill="auto"/>
            <w:vAlign w:val="center"/>
            <w:hideMark/>
          </w:tcPr>
          <w:p w14:paraId="6D2CD543"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12,095,356</w:t>
            </w:r>
          </w:p>
        </w:tc>
        <w:tc>
          <w:tcPr>
            <w:tcW w:w="850" w:type="dxa"/>
            <w:tcBorders>
              <w:top w:val="nil"/>
              <w:left w:val="nil"/>
              <w:bottom w:val="single" w:sz="4" w:space="0" w:color="auto"/>
              <w:right w:val="single" w:sz="4" w:space="0" w:color="auto"/>
            </w:tcBorders>
            <w:shd w:val="clear" w:color="auto" w:fill="auto"/>
            <w:vAlign w:val="center"/>
            <w:hideMark/>
          </w:tcPr>
          <w:p w14:paraId="6BFE4B52"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12,095,356</w:t>
            </w:r>
          </w:p>
        </w:tc>
        <w:tc>
          <w:tcPr>
            <w:tcW w:w="851" w:type="dxa"/>
            <w:tcBorders>
              <w:top w:val="nil"/>
              <w:left w:val="nil"/>
              <w:bottom w:val="single" w:sz="4" w:space="0" w:color="auto"/>
              <w:right w:val="single" w:sz="4" w:space="0" w:color="auto"/>
            </w:tcBorders>
            <w:shd w:val="clear" w:color="auto" w:fill="auto"/>
            <w:vAlign w:val="center"/>
            <w:hideMark/>
          </w:tcPr>
          <w:p w14:paraId="159C7CD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2F6E9EF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993" w:type="dxa"/>
            <w:tcBorders>
              <w:top w:val="nil"/>
              <w:left w:val="nil"/>
              <w:bottom w:val="single" w:sz="4" w:space="0" w:color="auto"/>
              <w:right w:val="single" w:sz="4" w:space="0" w:color="auto"/>
            </w:tcBorders>
            <w:shd w:val="clear" w:color="auto" w:fill="auto"/>
            <w:vAlign w:val="center"/>
            <w:hideMark/>
          </w:tcPr>
          <w:p w14:paraId="41D57FE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8" w:type="dxa"/>
            <w:tcBorders>
              <w:top w:val="nil"/>
              <w:left w:val="nil"/>
              <w:bottom w:val="single" w:sz="4" w:space="0" w:color="auto"/>
              <w:right w:val="single" w:sz="4" w:space="0" w:color="auto"/>
            </w:tcBorders>
            <w:shd w:val="clear" w:color="auto" w:fill="auto"/>
            <w:vAlign w:val="center"/>
            <w:hideMark/>
          </w:tcPr>
          <w:p w14:paraId="3698019B"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00825E7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246FD0AE"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70A572EF"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16372A5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2DFD41BC" w14:textId="77777777" w:rsidTr="00A755A7">
        <w:trPr>
          <w:gridAfter w:val="1"/>
          <w:wAfter w:w="34" w:type="dxa"/>
          <w:trHeight w:val="36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2D05780"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99</w:t>
            </w:r>
          </w:p>
        </w:tc>
        <w:tc>
          <w:tcPr>
            <w:tcW w:w="921" w:type="dxa"/>
            <w:tcBorders>
              <w:top w:val="nil"/>
              <w:left w:val="nil"/>
              <w:bottom w:val="single" w:sz="4" w:space="0" w:color="auto"/>
              <w:right w:val="single" w:sz="4" w:space="0" w:color="auto"/>
            </w:tcBorders>
            <w:shd w:val="clear" w:color="auto" w:fill="auto"/>
            <w:vAlign w:val="center"/>
            <w:hideMark/>
          </w:tcPr>
          <w:p w14:paraId="6DB9C474" w14:textId="77777777" w:rsidR="00D868AB" w:rsidRPr="00D868AB" w:rsidRDefault="00D868AB" w:rsidP="00D868AB">
            <w:pPr>
              <w:jc w:val="left"/>
              <w:rPr>
                <w:rFonts w:eastAsia="Times New Roman" w:cs="Arial"/>
                <w:b/>
                <w:bCs/>
                <w:color w:val="000000"/>
                <w:sz w:val="11"/>
                <w:szCs w:val="11"/>
              </w:rPr>
            </w:pPr>
            <w:r w:rsidRPr="00D868AB">
              <w:rPr>
                <w:rFonts w:eastAsia="Times New Roman" w:cs="Arial"/>
                <w:b/>
                <w:bCs/>
                <w:color w:val="000000"/>
                <w:sz w:val="11"/>
                <w:szCs w:val="11"/>
              </w:rPr>
              <w:t>Ordenamiento Territorial y Desarrollo Urbano.</w:t>
            </w:r>
          </w:p>
        </w:tc>
        <w:tc>
          <w:tcPr>
            <w:tcW w:w="922" w:type="dxa"/>
            <w:tcBorders>
              <w:top w:val="nil"/>
              <w:left w:val="nil"/>
              <w:bottom w:val="single" w:sz="4" w:space="0" w:color="auto"/>
              <w:right w:val="single" w:sz="4" w:space="0" w:color="auto"/>
            </w:tcBorders>
            <w:shd w:val="clear" w:color="auto" w:fill="auto"/>
            <w:vAlign w:val="center"/>
            <w:hideMark/>
          </w:tcPr>
          <w:p w14:paraId="0AB2991E"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22,484,981</w:t>
            </w:r>
          </w:p>
        </w:tc>
        <w:tc>
          <w:tcPr>
            <w:tcW w:w="850" w:type="dxa"/>
            <w:tcBorders>
              <w:top w:val="nil"/>
              <w:left w:val="nil"/>
              <w:bottom w:val="single" w:sz="4" w:space="0" w:color="auto"/>
              <w:right w:val="single" w:sz="4" w:space="0" w:color="auto"/>
            </w:tcBorders>
            <w:shd w:val="clear" w:color="auto" w:fill="auto"/>
            <w:vAlign w:val="center"/>
            <w:hideMark/>
          </w:tcPr>
          <w:p w14:paraId="00A8DAD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68E0DDEC"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4,964,781</w:t>
            </w:r>
          </w:p>
        </w:tc>
        <w:tc>
          <w:tcPr>
            <w:tcW w:w="850" w:type="dxa"/>
            <w:tcBorders>
              <w:top w:val="nil"/>
              <w:left w:val="nil"/>
              <w:bottom w:val="single" w:sz="4" w:space="0" w:color="auto"/>
              <w:right w:val="single" w:sz="4" w:space="0" w:color="auto"/>
            </w:tcBorders>
            <w:shd w:val="clear" w:color="auto" w:fill="auto"/>
            <w:vAlign w:val="center"/>
            <w:hideMark/>
          </w:tcPr>
          <w:p w14:paraId="15AE82D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7,320,200</w:t>
            </w:r>
          </w:p>
        </w:tc>
        <w:tc>
          <w:tcPr>
            <w:tcW w:w="993" w:type="dxa"/>
            <w:tcBorders>
              <w:top w:val="nil"/>
              <w:left w:val="nil"/>
              <w:bottom w:val="single" w:sz="4" w:space="0" w:color="auto"/>
              <w:right w:val="single" w:sz="4" w:space="0" w:color="auto"/>
            </w:tcBorders>
            <w:shd w:val="clear" w:color="auto" w:fill="auto"/>
            <w:vAlign w:val="center"/>
            <w:hideMark/>
          </w:tcPr>
          <w:p w14:paraId="62DDA0A8"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10,200,000</w:t>
            </w:r>
          </w:p>
        </w:tc>
        <w:tc>
          <w:tcPr>
            <w:tcW w:w="708" w:type="dxa"/>
            <w:tcBorders>
              <w:top w:val="nil"/>
              <w:left w:val="nil"/>
              <w:bottom w:val="single" w:sz="4" w:space="0" w:color="auto"/>
              <w:right w:val="single" w:sz="4" w:space="0" w:color="auto"/>
            </w:tcBorders>
            <w:shd w:val="clear" w:color="auto" w:fill="auto"/>
            <w:vAlign w:val="center"/>
            <w:hideMark/>
          </w:tcPr>
          <w:p w14:paraId="6B693C39"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3F3845D3"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709" w:type="dxa"/>
            <w:tcBorders>
              <w:top w:val="nil"/>
              <w:left w:val="nil"/>
              <w:bottom w:val="single" w:sz="4" w:space="0" w:color="auto"/>
              <w:right w:val="single" w:sz="4" w:space="0" w:color="auto"/>
            </w:tcBorders>
            <w:shd w:val="clear" w:color="auto" w:fill="auto"/>
            <w:vAlign w:val="center"/>
            <w:hideMark/>
          </w:tcPr>
          <w:p w14:paraId="6CDB97E0"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0" w:type="dxa"/>
            <w:tcBorders>
              <w:top w:val="nil"/>
              <w:left w:val="nil"/>
              <w:bottom w:val="single" w:sz="4" w:space="0" w:color="auto"/>
              <w:right w:val="single" w:sz="4" w:space="0" w:color="auto"/>
            </w:tcBorders>
            <w:shd w:val="clear" w:color="auto" w:fill="auto"/>
            <w:vAlign w:val="center"/>
            <w:hideMark/>
          </w:tcPr>
          <w:p w14:paraId="3F5E5F9D"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c>
          <w:tcPr>
            <w:tcW w:w="851" w:type="dxa"/>
            <w:tcBorders>
              <w:top w:val="nil"/>
              <w:left w:val="nil"/>
              <w:bottom w:val="single" w:sz="4" w:space="0" w:color="auto"/>
              <w:right w:val="single" w:sz="4" w:space="0" w:color="auto"/>
            </w:tcBorders>
            <w:shd w:val="clear" w:color="auto" w:fill="auto"/>
            <w:vAlign w:val="center"/>
            <w:hideMark/>
          </w:tcPr>
          <w:p w14:paraId="2286F1F6" w14:textId="77777777" w:rsidR="00D868AB" w:rsidRPr="00D868AB" w:rsidRDefault="00D868AB" w:rsidP="00D868AB">
            <w:pPr>
              <w:jc w:val="right"/>
              <w:rPr>
                <w:rFonts w:eastAsia="Times New Roman" w:cs="Arial"/>
                <w:color w:val="000000"/>
                <w:sz w:val="11"/>
                <w:szCs w:val="11"/>
              </w:rPr>
            </w:pPr>
            <w:r w:rsidRPr="00D868AB">
              <w:rPr>
                <w:rFonts w:eastAsia="Times New Roman" w:cs="Arial"/>
                <w:color w:val="000000"/>
                <w:sz w:val="11"/>
                <w:szCs w:val="11"/>
              </w:rPr>
              <w:t>0</w:t>
            </w:r>
          </w:p>
        </w:tc>
      </w:tr>
      <w:tr w:rsidR="00D868AB" w:rsidRPr="00D868AB" w14:paraId="53072E8A" w14:textId="77777777" w:rsidTr="00A755A7">
        <w:trPr>
          <w:gridAfter w:val="1"/>
          <w:wAfter w:w="34" w:type="dxa"/>
          <w:trHeight w:val="300"/>
          <w:jc w:val="center"/>
        </w:trPr>
        <w:tc>
          <w:tcPr>
            <w:tcW w:w="426" w:type="dxa"/>
            <w:tcBorders>
              <w:top w:val="nil"/>
              <w:left w:val="single" w:sz="4" w:space="0" w:color="auto"/>
              <w:bottom w:val="single" w:sz="4" w:space="0" w:color="auto"/>
              <w:right w:val="single" w:sz="4" w:space="0" w:color="auto"/>
            </w:tcBorders>
            <w:shd w:val="clear" w:color="auto" w:fill="auto"/>
            <w:vAlign w:val="center"/>
            <w:hideMark/>
          </w:tcPr>
          <w:p w14:paraId="67CF9B31"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 </w:t>
            </w:r>
          </w:p>
        </w:tc>
        <w:tc>
          <w:tcPr>
            <w:tcW w:w="921" w:type="dxa"/>
            <w:tcBorders>
              <w:top w:val="nil"/>
              <w:left w:val="nil"/>
              <w:bottom w:val="single" w:sz="4" w:space="0" w:color="auto"/>
              <w:right w:val="single" w:sz="4" w:space="0" w:color="auto"/>
            </w:tcBorders>
            <w:shd w:val="clear" w:color="auto" w:fill="auto"/>
            <w:vAlign w:val="center"/>
            <w:hideMark/>
          </w:tcPr>
          <w:p w14:paraId="22819519" w14:textId="77777777" w:rsidR="00D868AB" w:rsidRPr="00D868AB" w:rsidRDefault="00D868AB" w:rsidP="00D868AB">
            <w:pPr>
              <w:jc w:val="center"/>
              <w:rPr>
                <w:rFonts w:eastAsia="Times New Roman" w:cs="Arial"/>
                <w:b/>
                <w:bCs/>
                <w:color w:val="000000"/>
                <w:sz w:val="11"/>
                <w:szCs w:val="11"/>
              </w:rPr>
            </w:pPr>
            <w:r w:rsidRPr="00D868AB">
              <w:rPr>
                <w:rFonts w:eastAsia="Times New Roman" w:cs="Arial"/>
                <w:b/>
                <w:bCs/>
                <w:color w:val="000000"/>
                <w:sz w:val="11"/>
                <w:szCs w:val="11"/>
              </w:rPr>
              <w:t>Total</w:t>
            </w:r>
          </w:p>
        </w:tc>
        <w:tc>
          <w:tcPr>
            <w:tcW w:w="922" w:type="dxa"/>
            <w:tcBorders>
              <w:top w:val="nil"/>
              <w:left w:val="nil"/>
              <w:bottom w:val="single" w:sz="4" w:space="0" w:color="auto"/>
              <w:right w:val="single" w:sz="4" w:space="0" w:color="auto"/>
            </w:tcBorders>
            <w:shd w:val="clear" w:color="auto" w:fill="auto"/>
            <w:vAlign w:val="center"/>
            <w:hideMark/>
          </w:tcPr>
          <w:p w14:paraId="6041A1F1"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20,555,300,000</w:t>
            </w:r>
          </w:p>
        </w:tc>
        <w:tc>
          <w:tcPr>
            <w:tcW w:w="850" w:type="dxa"/>
            <w:tcBorders>
              <w:top w:val="nil"/>
              <w:left w:val="nil"/>
              <w:bottom w:val="single" w:sz="4" w:space="0" w:color="auto"/>
              <w:right w:val="single" w:sz="4" w:space="0" w:color="auto"/>
            </w:tcBorders>
            <w:shd w:val="clear" w:color="auto" w:fill="auto"/>
            <w:vAlign w:val="center"/>
            <w:hideMark/>
          </w:tcPr>
          <w:p w14:paraId="50EE8DCA"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2,179,669,974</w:t>
            </w:r>
          </w:p>
        </w:tc>
        <w:tc>
          <w:tcPr>
            <w:tcW w:w="851" w:type="dxa"/>
            <w:tcBorders>
              <w:top w:val="nil"/>
              <w:left w:val="nil"/>
              <w:bottom w:val="single" w:sz="4" w:space="0" w:color="auto"/>
              <w:right w:val="single" w:sz="4" w:space="0" w:color="auto"/>
            </w:tcBorders>
            <w:shd w:val="clear" w:color="auto" w:fill="auto"/>
            <w:vAlign w:val="center"/>
            <w:hideMark/>
          </w:tcPr>
          <w:p w14:paraId="6AC26628"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262,580,146</w:t>
            </w:r>
          </w:p>
        </w:tc>
        <w:tc>
          <w:tcPr>
            <w:tcW w:w="850" w:type="dxa"/>
            <w:tcBorders>
              <w:top w:val="nil"/>
              <w:left w:val="nil"/>
              <w:bottom w:val="single" w:sz="4" w:space="0" w:color="auto"/>
              <w:right w:val="single" w:sz="4" w:space="0" w:color="auto"/>
            </w:tcBorders>
            <w:shd w:val="clear" w:color="auto" w:fill="auto"/>
            <w:vAlign w:val="center"/>
            <w:hideMark/>
          </w:tcPr>
          <w:p w14:paraId="3ED5FC53"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493,884,976</w:t>
            </w:r>
          </w:p>
        </w:tc>
        <w:tc>
          <w:tcPr>
            <w:tcW w:w="993" w:type="dxa"/>
            <w:tcBorders>
              <w:top w:val="nil"/>
              <w:left w:val="nil"/>
              <w:bottom w:val="single" w:sz="4" w:space="0" w:color="auto"/>
              <w:right w:val="single" w:sz="4" w:space="0" w:color="auto"/>
            </w:tcBorders>
            <w:shd w:val="clear" w:color="auto" w:fill="auto"/>
            <w:vAlign w:val="center"/>
            <w:hideMark/>
          </w:tcPr>
          <w:p w14:paraId="323DD64B"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13,281,813,131</w:t>
            </w:r>
          </w:p>
        </w:tc>
        <w:tc>
          <w:tcPr>
            <w:tcW w:w="708" w:type="dxa"/>
            <w:tcBorders>
              <w:top w:val="nil"/>
              <w:left w:val="nil"/>
              <w:bottom w:val="single" w:sz="4" w:space="0" w:color="auto"/>
              <w:right w:val="single" w:sz="4" w:space="0" w:color="auto"/>
            </w:tcBorders>
            <w:shd w:val="clear" w:color="auto" w:fill="auto"/>
            <w:vAlign w:val="center"/>
            <w:hideMark/>
          </w:tcPr>
          <w:p w14:paraId="0952C26E"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49,657,754</w:t>
            </w:r>
          </w:p>
        </w:tc>
        <w:tc>
          <w:tcPr>
            <w:tcW w:w="709" w:type="dxa"/>
            <w:tcBorders>
              <w:top w:val="nil"/>
              <w:left w:val="nil"/>
              <w:bottom w:val="single" w:sz="4" w:space="0" w:color="auto"/>
              <w:right w:val="single" w:sz="4" w:space="0" w:color="auto"/>
            </w:tcBorders>
            <w:shd w:val="clear" w:color="auto" w:fill="auto"/>
            <w:vAlign w:val="center"/>
            <w:hideMark/>
          </w:tcPr>
          <w:p w14:paraId="46F9BEDE"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99,022,325</w:t>
            </w:r>
          </w:p>
        </w:tc>
        <w:tc>
          <w:tcPr>
            <w:tcW w:w="709" w:type="dxa"/>
            <w:tcBorders>
              <w:top w:val="nil"/>
              <w:left w:val="nil"/>
              <w:bottom w:val="single" w:sz="4" w:space="0" w:color="auto"/>
              <w:right w:val="single" w:sz="4" w:space="0" w:color="auto"/>
            </w:tcBorders>
            <w:shd w:val="clear" w:color="auto" w:fill="auto"/>
            <w:vAlign w:val="center"/>
            <w:hideMark/>
          </w:tcPr>
          <w:p w14:paraId="761C1A5F"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3,800,000</w:t>
            </w:r>
          </w:p>
        </w:tc>
        <w:tc>
          <w:tcPr>
            <w:tcW w:w="850" w:type="dxa"/>
            <w:tcBorders>
              <w:top w:val="nil"/>
              <w:left w:val="nil"/>
              <w:bottom w:val="single" w:sz="4" w:space="0" w:color="auto"/>
              <w:right w:val="single" w:sz="4" w:space="0" w:color="auto"/>
            </w:tcBorders>
            <w:shd w:val="clear" w:color="auto" w:fill="auto"/>
            <w:vAlign w:val="center"/>
            <w:hideMark/>
          </w:tcPr>
          <w:p w14:paraId="2F2C928B"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3,297,624,261</w:t>
            </w:r>
          </w:p>
        </w:tc>
        <w:tc>
          <w:tcPr>
            <w:tcW w:w="851" w:type="dxa"/>
            <w:tcBorders>
              <w:top w:val="nil"/>
              <w:left w:val="nil"/>
              <w:bottom w:val="single" w:sz="4" w:space="0" w:color="auto"/>
              <w:right w:val="single" w:sz="4" w:space="0" w:color="auto"/>
            </w:tcBorders>
            <w:shd w:val="clear" w:color="auto" w:fill="auto"/>
            <w:vAlign w:val="center"/>
            <w:hideMark/>
          </w:tcPr>
          <w:p w14:paraId="5BFEA4DA" w14:textId="77777777" w:rsidR="00D868AB" w:rsidRPr="00D868AB" w:rsidRDefault="00D868AB" w:rsidP="00D868AB">
            <w:pPr>
              <w:jc w:val="right"/>
              <w:rPr>
                <w:rFonts w:eastAsia="Times New Roman" w:cs="Arial"/>
                <w:b/>
                <w:bCs/>
                <w:color w:val="000000"/>
                <w:sz w:val="11"/>
                <w:szCs w:val="11"/>
              </w:rPr>
            </w:pPr>
            <w:r w:rsidRPr="00D868AB">
              <w:rPr>
                <w:rFonts w:eastAsia="Times New Roman" w:cs="Arial"/>
                <w:b/>
                <w:bCs/>
                <w:color w:val="000000"/>
                <w:sz w:val="11"/>
                <w:szCs w:val="11"/>
              </w:rPr>
              <w:t>887,247,433</w:t>
            </w:r>
          </w:p>
        </w:tc>
      </w:tr>
    </w:tbl>
    <w:p w14:paraId="55913AD3" w14:textId="77777777" w:rsidR="00D868AB" w:rsidRPr="00D868AB" w:rsidRDefault="00D868AB" w:rsidP="00D868AB"/>
    <w:p w14:paraId="3F8A9090" w14:textId="77777777" w:rsidR="00D868AB" w:rsidRPr="00D868AB" w:rsidRDefault="00D868AB" w:rsidP="00D868AB">
      <w:pPr>
        <w:rPr>
          <w:rFonts w:cs="Arial"/>
          <w:lang w:val="es-ES"/>
        </w:rPr>
      </w:pPr>
      <w:r w:rsidRPr="00D868AB">
        <w:rPr>
          <w:rFonts w:cs="Arial"/>
          <w:b/>
          <w:lang w:val="es-ES"/>
        </w:rPr>
        <w:t>Artículo 85</w:t>
      </w:r>
      <w:r w:rsidRPr="00D868AB">
        <w:rPr>
          <w:rFonts w:cs="Arial"/>
          <w:lang w:val="es-ES"/>
        </w:rPr>
        <w:t xml:space="preserve">. Los Programas Presupuestarios que forman parte del </w:t>
      </w:r>
      <w:r w:rsidRPr="00D868AB">
        <w:rPr>
          <w:rFonts w:cs="Arial"/>
          <w:b/>
          <w:lang w:val="es-ES"/>
        </w:rPr>
        <w:t>Presupuesto basado en Resultados</w:t>
      </w:r>
      <w:r w:rsidRPr="00D868AB">
        <w:rPr>
          <w:rFonts w:cs="Arial"/>
          <w:lang w:val="es-ES"/>
        </w:rPr>
        <w:t>, se distribuyen de la siguiente manera.</w:t>
      </w:r>
    </w:p>
    <w:p w14:paraId="41D8AAF8" w14:textId="77777777" w:rsidR="00D868AB" w:rsidRPr="00D868AB" w:rsidRDefault="00D868AB" w:rsidP="00D868AB">
      <w:pPr>
        <w:ind w:left="142" w:right="191"/>
        <w:rPr>
          <w:rFonts w:cs="Arial"/>
          <w:b/>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4"/>
        <w:gridCol w:w="5199"/>
        <w:gridCol w:w="354"/>
        <w:gridCol w:w="434"/>
        <w:gridCol w:w="407"/>
        <w:gridCol w:w="380"/>
        <w:gridCol w:w="1390"/>
      </w:tblGrid>
      <w:tr w:rsidR="00D868AB" w:rsidRPr="00D868AB" w14:paraId="6913C07C" w14:textId="77777777" w:rsidTr="00A755A7">
        <w:trPr>
          <w:trHeight w:val="20"/>
          <w:tblHeader/>
        </w:trPr>
        <w:tc>
          <w:tcPr>
            <w:tcW w:w="8504" w:type="dxa"/>
            <w:gridSpan w:val="7"/>
            <w:tcBorders>
              <w:top w:val="nil"/>
              <w:left w:val="nil"/>
              <w:bottom w:val="nil"/>
              <w:right w:val="nil"/>
            </w:tcBorders>
            <w:shd w:val="clear" w:color="auto" w:fill="auto"/>
            <w:vAlign w:val="center"/>
            <w:hideMark/>
          </w:tcPr>
          <w:p w14:paraId="3023D0F3" w14:textId="77777777" w:rsidR="00D868AB" w:rsidRPr="00D868AB" w:rsidRDefault="00D868AB" w:rsidP="00D868AB">
            <w:pPr>
              <w:jc w:val="center"/>
              <w:rPr>
                <w:rFonts w:eastAsia="Times New Roman" w:cs="Arial"/>
                <w:b/>
                <w:bCs/>
                <w:color w:val="000000"/>
                <w:sz w:val="20"/>
                <w:szCs w:val="18"/>
              </w:rPr>
            </w:pPr>
            <w:r w:rsidRPr="00D868AB">
              <w:rPr>
                <w:rFonts w:eastAsia="Times New Roman" w:cs="Arial"/>
                <w:b/>
                <w:bCs/>
                <w:color w:val="000000"/>
                <w:sz w:val="20"/>
                <w:szCs w:val="18"/>
              </w:rPr>
              <w:t>Tabla 62. Programas Presupuestarios</w:t>
            </w:r>
          </w:p>
        </w:tc>
      </w:tr>
      <w:tr w:rsidR="00D868AB" w:rsidRPr="00D868AB" w14:paraId="7651DF12" w14:textId="77777777" w:rsidTr="00A755A7">
        <w:trPr>
          <w:trHeight w:val="20"/>
          <w:tblHeader/>
        </w:trPr>
        <w:tc>
          <w:tcPr>
            <w:tcW w:w="8504" w:type="dxa"/>
            <w:gridSpan w:val="7"/>
            <w:tcBorders>
              <w:top w:val="nil"/>
              <w:left w:val="nil"/>
              <w:bottom w:val="single" w:sz="4" w:space="0" w:color="auto"/>
              <w:right w:val="nil"/>
            </w:tcBorders>
            <w:shd w:val="clear" w:color="auto" w:fill="auto"/>
            <w:vAlign w:val="center"/>
            <w:hideMark/>
          </w:tcPr>
          <w:p w14:paraId="35CC3674" w14:textId="77777777" w:rsidR="00D868AB" w:rsidRPr="00D868AB" w:rsidRDefault="00D868AB" w:rsidP="00D868AB">
            <w:pPr>
              <w:jc w:val="center"/>
              <w:rPr>
                <w:rFonts w:eastAsia="Times New Roman" w:cs="Arial"/>
                <w:b/>
                <w:bCs/>
                <w:color w:val="000000"/>
                <w:sz w:val="18"/>
                <w:szCs w:val="18"/>
              </w:rPr>
            </w:pPr>
            <w:r w:rsidRPr="00D868AB">
              <w:rPr>
                <w:rFonts w:eastAsia="Times New Roman" w:cs="Arial"/>
                <w:b/>
                <w:bCs/>
                <w:color w:val="000000"/>
                <w:sz w:val="18"/>
                <w:szCs w:val="18"/>
              </w:rPr>
              <w:t>(Distribución por Dependencia)</w:t>
            </w:r>
          </w:p>
        </w:tc>
      </w:tr>
      <w:tr w:rsidR="00D868AB" w:rsidRPr="00D868AB" w14:paraId="10CBDC95" w14:textId="77777777" w:rsidTr="00A755A7">
        <w:trPr>
          <w:trHeight w:val="20"/>
          <w:tblHeader/>
        </w:trPr>
        <w:tc>
          <w:tcPr>
            <w:tcW w:w="0" w:type="auto"/>
            <w:tcBorders>
              <w:top w:val="single" w:sz="4" w:space="0" w:color="auto"/>
            </w:tcBorders>
            <w:shd w:val="clear" w:color="auto" w:fill="auto"/>
            <w:vAlign w:val="center"/>
            <w:hideMark/>
          </w:tcPr>
          <w:p w14:paraId="3DE7BB10"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Clave</w:t>
            </w:r>
          </w:p>
        </w:tc>
        <w:tc>
          <w:tcPr>
            <w:tcW w:w="0" w:type="auto"/>
            <w:tcBorders>
              <w:top w:val="single" w:sz="4" w:space="0" w:color="auto"/>
            </w:tcBorders>
            <w:shd w:val="clear" w:color="auto" w:fill="auto"/>
            <w:vAlign w:val="center"/>
            <w:hideMark/>
          </w:tcPr>
          <w:p w14:paraId="7E0022A9"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Ente Público</w:t>
            </w:r>
          </w:p>
        </w:tc>
        <w:tc>
          <w:tcPr>
            <w:tcW w:w="0" w:type="auto"/>
            <w:tcBorders>
              <w:top w:val="single" w:sz="4" w:space="0" w:color="auto"/>
            </w:tcBorders>
            <w:shd w:val="clear" w:color="auto" w:fill="auto"/>
            <w:vAlign w:val="center"/>
            <w:hideMark/>
          </w:tcPr>
          <w:p w14:paraId="663EA308"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PP</w:t>
            </w:r>
          </w:p>
        </w:tc>
        <w:tc>
          <w:tcPr>
            <w:tcW w:w="0" w:type="auto"/>
            <w:tcBorders>
              <w:top w:val="single" w:sz="4" w:space="0" w:color="auto"/>
            </w:tcBorders>
            <w:shd w:val="clear" w:color="auto" w:fill="auto"/>
            <w:vAlign w:val="center"/>
            <w:hideMark/>
          </w:tcPr>
          <w:p w14:paraId="0C014AA4"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MIR</w:t>
            </w:r>
          </w:p>
        </w:tc>
        <w:tc>
          <w:tcPr>
            <w:tcW w:w="0" w:type="auto"/>
            <w:tcBorders>
              <w:top w:val="single" w:sz="4" w:space="0" w:color="auto"/>
            </w:tcBorders>
            <w:shd w:val="clear" w:color="auto" w:fill="auto"/>
            <w:vAlign w:val="center"/>
            <w:hideMark/>
          </w:tcPr>
          <w:p w14:paraId="28993C2A"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IR</w:t>
            </w:r>
          </w:p>
        </w:tc>
        <w:tc>
          <w:tcPr>
            <w:tcW w:w="0" w:type="auto"/>
            <w:tcBorders>
              <w:top w:val="single" w:sz="4" w:space="0" w:color="auto"/>
            </w:tcBorders>
            <w:shd w:val="clear" w:color="auto" w:fill="auto"/>
            <w:vAlign w:val="center"/>
            <w:hideMark/>
          </w:tcPr>
          <w:p w14:paraId="19A5CEC8"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OA</w:t>
            </w:r>
          </w:p>
        </w:tc>
        <w:tc>
          <w:tcPr>
            <w:tcW w:w="1390" w:type="dxa"/>
            <w:tcBorders>
              <w:top w:val="single" w:sz="4" w:space="0" w:color="auto"/>
            </w:tcBorders>
            <w:shd w:val="clear" w:color="auto" w:fill="auto"/>
            <w:vAlign w:val="center"/>
            <w:hideMark/>
          </w:tcPr>
          <w:p w14:paraId="08FA98FD"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Asignación Presupuestal</w:t>
            </w:r>
          </w:p>
        </w:tc>
      </w:tr>
      <w:tr w:rsidR="00D868AB" w:rsidRPr="00D868AB" w14:paraId="719AA524" w14:textId="77777777" w:rsidTr="00A755A7">
        <w:trPr>
          <w:trHeight w:val="20"/>
        </w:trPr>
        <w:tc>
          <w:tcPr>
            <w:tcW w:w="0" w:type="auto"/>
            <w:shd w:val="clear" w:color="auto" w:fill="auto"/>
            <w:vAlign w:val="center"/>
            <w:hideMark/>
          </w:tcPr>
          <w:p w14:paraId="77D9FC38"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 </w:t>
            </w:r>
          </w:p>
        </w:tc>
        <w:tc>
          <w:tcPr>
            <w:tcW w:w="0" w:type="auto"/>
            <w:shd w:val="clear" w:color="auto" w:fill="auto"/>
            <w:vAlign w:val="center"/>
            <w:hideMark/>
          </w:tcPr>
          <w:p w14:paraId="00ADE41D"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Administración Pública Centralizada</w:t>
            </w:r>
          </w:p>
        </w:tc>
        <w:tc>
          <w:tcPr>
            <w:tcW w:w="0" w:type="auto"/>
            <w:shd w:val="clear" w:color="auto" w:fill="auto"/>
            <w:vAlign w:val="center"/>
            <w:hideMark/>
          </w:tcPr>
          <w:p w14:paraId="2A14D213"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 </w:t>
            </w:r>
          </w:p>
        </w:tc>
        <w:tc>
          <w:tcPr>
            <w:tcW w:w="0" w:type="auto"/>
            <w:shd w:val="clear" w:color="auto" w:fill="auto"/>
            <w:vAlign w:val="center"/>
            <w:hideMark/>
          </w:tcPr>
          <w:p w14:paraId="7BCBFCD0"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 </w:t>
            </w:r>
          </w:p>
        </w:tc>
        <w:tc>
          <w:tcPr>
            <w:tcW w:w="0" w:type="auto"/>
            <w:shd w:val="clear" w:color="auto" w:fill="auto"/>
            <w:vAlign w:val="center"/>
            <w:hideMark/>
          </w:tcPr>
          <w:p w14:paraId="5BAEC211"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 </w:t>
            </w:r>
          </w:p>
        </w:tc>
        <w:tc>
          <w:tcPr>
            <w:tcW w:w="0" w:type="auto"/>
            <w:shd w:val="clear" w:color="auto" w:fill="auto"/>
            <w:vAlign w:val="center"/>
            <w:hideMark/>
          </w:tcPr>
          <w:p w14:paraId="5A57EA34"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 </w:t>
            </w:r>
          </w:p>
        </w:tc>
        <w:tc>
          <w:tcPr>
            <w:tcW w:w="1390" w:type="dxa"/>
            <w:shd w:val="clear" w:color="auto" w:fill="auto"/>
            <w:vAlign w:val="center"/>
            <w:hideMark/>
          </w:tcPr>
          <w:p w14:paraId="79C0B989"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 </w:t>
            </w:r>
          </w:p>
        </w:tc>
      </w:tr>
      <w:tr w:rsidR="00D868AB" w:rsidRPr="00D868AB" w14:paraId="4C208E43" w14:textId="77777777" w:rsidTr="00A755A7">
        <w:trPr>
          <w:trHeight w:val="20"/>
        </w:trPr>
        <w:tc>
          <w:tcPr>
            <w:tcW w:w="0" w:type="auto"/>
            <w:shd w:val="clear" w:color="auto" w:fill="auto"/>
            <w:vAlign w:val="center"/>
            <w:hideMark/>
          </w:tcPr>
          <w:p w14:paraId="54BE5754"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010000</w:t>
            </w:r>
          </w:p>
        </w:tc>
        <w:tc>
          <w:tcPr>
            <w:tcW w:w="0" w:type="auto"/>
            <w:shd w:val="clear" w:color="auto" w:fill="auto"/>
            <w:vAlign w:val="center"/>
            <w:hideMark/>
          </w:tcPr>
          <w:p w14:paraId="25291818"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Oficina de la Gubernatura.</w:t>
            </w:r>
          </w:p>
        </w:tc>
        <w:tc>
          <w:tcPr>
            <w:tcW w:w="0" w:type="auto"/>
            <w:shd w:val="clear" w:color="auto" w:fill="auto"/>
            <w:vAlign w:val="center"/>
          </w:tcPr>
          <w:p w14:paraId="348E1DBF"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4B17F7BC"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7187CED8"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19</w:t>
            </w:r>
          </w:p>
        </w:tc>
        <w:tc>
          <w:tcPr>
            <w:tcW w:w="0" w:type="auto"/>
            <w:shd w:val="clear" w:color="auto" w:fill="auto"/>
            <w:vAlign w:val="center"/>
          </w:tcPr>
          <w:p w14:paraId="021735B9"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1390" w:type="dxa"/>
            <w:shd w:val="clear" w:color="auto" w:fill="auto"/>
            <w:vAlign w:val="center"/>
          </w:tcPr>
          <w:p w14:paraId="4F74BA6C"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86,541,326</w:t>
            </w:r>
          </w:p>
        </w:tc>
      </w:tr>
      <w:tr w:rsidR="00D868AB" w:rsidRPr="00D868AB" w14:paraId="45BE3356" w14:textId="77777777" w:rsidTr="00A755A7">
        <w:trPr>
          <w:trHeight w:val="20"/>
        </w:trPr>
        <w:tc>
          <w:tcPr>
            <w:tcW w:w="0" w:type="auto"/>
            <w:shd w:val="clear" w:color="auto" w:fill="auto"/>
            <w:vAlign w:val="center"/>
            <w:hideMark/>
          </w:tcPr>
          <w:p w14:paraId="17FE86B2"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020000</w:t>
            </w:r>
          </w:p>
        </w:tc>
        <w:tc>
          <w:tcPr>
            <w:tcW w:w="0" w:type="auto"/>
            <w:shd w:val="clear" w:color="auto" w:fill="auto"/>
            <w:vAlign w:val="center"/>
            <w:hideMark/>
          </w:tcPr>
          <w:p w14:paraId="1A8212CA"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Secretaría General de Gobierno.</w:t>
            </w:r>
          </w:p>
        </w:tc>
        <w:tc>
          <w:tcPr>
            <w:tcW w:w="0" w:type="auto"/>
            <w:shd w:val="clear" w:color="auto" w:fill="auto"/>
            <w:vAlign w:val="center"/>
          </w:tcPr>
          <w:p w14:paraId="0B1784BC"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4</w:t>
            </w:r>
          </w:p>
        </w:tc>
        <w:tc>
          <w:tcPr>
            <w:tcW w:w="0" w:type="auto"/>
            <w:shd w:val="clear" w:color="auto" w:fill="auto"/>
            <w:vAlign w:val="center"/>
          </w:tcPr>
          <w:p w14:paraId="204BE05D"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4</w:t>
            </w:r>
          </w:p>
        </w:tc>
        <w:tc>
          <w:tcPr>
            <w:tcW w:w="0" w:type="auto"/>
            <w:shd w:val="clear" w:color="auto" w:fill="auto"/>
            <w:vAlign w:val="center"/>
          </w:tcPr>
          <w:p w14:paraId="19EB0EE1"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74</w:t>
            </w:r>
          </w:p>
        </w:tc>
        <w:tc>
          <w:tcPr>
            <w:tcW w:w="0" w:type="auto"/>
            <w:shd w:val="clear" w:color="auto" w:fill="auto"/>
            <w:vAlign w:val="center"/>
          </w:tcPr>
          <w:p w14:paraId="69A67EF7"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4</w:t>
            </w:r>
          </w:p>
        </w:tc>
        <w:tc>
          <w:tcPr>
            <w:tcW w:w="1390" w:type="dxa"/>
            <w:shd w:val="clear" w:color="auto" w:fill="auto"/>
            <w:vAlign w:val="center"/>
          </w:tcPr>
          <w:p w14:paraId="3361B088"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509,667,491</w:t>
            </w:r>
          </w:p>
        </w:tc>
      </w:tr>
      <w:tr w:rsidR="00D868AB" w:rsidRPr="00D868AB" w14:paraId="24BD3F76" w14:textId="77777777" w:rsidTr="00A755A7">
        <w:trPr>
          <w:trHeight w:val="20"/>
        </w:trPr>
        <w:tc>
          <w:tcPr>
            <w:tcW w:w="0" w:type="auto"/>
            <w:shd w:val="clear" w:color="auto" w:fill="auto"/>
            <w:vAlign w:val="center"/>
            <w:hideMark/>
          </w:tcPr>
          <w:p w14:paraId="2CC45398"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030000</w:t>
            </w:r>
          </w:p>
        </w:tc>
        <w:tc>
          <w:tcPr>
            <w:tcW w:w="0" w:type="auto"/>
            <w:shd w:val="clear" w:color="auto" w:fill="auto"/>
            <w:vAlign w:val="center"/>
            <w:hideMark/>
          </w:tcPr>
          <w:p w14:paraId="02C7B089"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Secretaría de Planeación, Finanzas y Administración.</w:t>
            </w:r>
          </w:p>
        </w:tc>
        <w:tc>
          <w:tcPr>
            <w:tcW w:w="0" w:type="auto"/>
            <w:shd w:val="clear" w:color="auto" w:fill="auto"/>
            <w:vAlign w:val="center"/>
          </w:tcPr>
          <w:p w14:paraId="41CC21BB"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4</w:t>
            </w:r>
          </w:p>
        </w:tc>
        <w:tc>
          <w:tcPr>
            <w:tcW w:w="0" w:type="auto"/>
            <w:shd w:val="clear" w:color="auto" w:fill="auto"/>
            <w:vAlign w:val="center"/>
          </w:tcPr>
          <w:p w14:paraId="4F36D1FC"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4</w:t>
            </w:r>
          </w:p>
        </w:tc>
        <w:tc>
          <w:tcPr>
            <w:tcW w:w="0" w:type="auto"/>
            <w:shd w:val="clear" w:color="auto" w:fill="auto"/>
            <w:vAlign w:val="center"/>
          </w:tcPr>
          <w:p w14:paraId="0522933B"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84</w:t>
            </w:r>
          </w:p>
        </w:tc>
        <w:tc>
          <w:tcPr>
            <w:tcW w:w="0" w:type="auto"/>
            <w:shd w:val="clear" w:color="auto" w:fill="auto"/>
            <w:vAlign w:val="center"/>
          </w:tcPr>
          <w:p w14:paraId="1A76FA61"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4</w:t>
            </w:r>
          </w:p>
        </w:tc>
        <w:tc>
          <w:tcPr>
            <w:tcW w:w="1390" w:type="dxa"/>
            <w:shd w:val="clear" w:color="auto" w:fill="auto"/>
            <w:vAlign w:val="center"/>
          </w:tcPr>
          <w:p w14:paraId="61701AB3"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720,510,850</w:t>
            </w:r>
          </w:p>
        </w:tc>
      </w:tr>
      <w:tr w:rsidR="00D868AB" w:rsidRPr="00D868AB" w14:paraId="1E0EF81A" w14:textId="77777777" w:rsidTr="00A755A7">
        <w:trPr>
          <w:trHeight w:val="20"/>
        </w:trPr>
        <w:tc>
          <w:tcPr>
            <w:tcW w:w="0" w:type="auto"/>
            <w:shd w:val="clear" w:color="auto" w:fill="auto"/>
            <w:vAlign w:val="center"/>
            <w:hideMark/>
          </w:tcPr>
          <w:p w14:paraId="0B386411"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040000</w:t>
            </w:r>
          </w:p>
        </w:tc>
        <w:tc>
          <w:tcPr>
            <w:tcW w:w="0" w:type="auto"/>
            <w:shd w:val="clear" w:color="auto" w:fill="auto"/>
            <w:vAlign w:val="center"/>
            <w:hideMark/>
          </w:tcPr>
          <w:p w14:paraId="0D639D9F"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Secretaría de Bienestar, Inclusión Social y Mujeres.</w:t>
            </w:r>
          </w:p>
        </w:tc>
        <w:tc>
          <w:tcPr>
            <w:tcW w:w="0" w:type="auto"/>
            <w:shd w:val="clear" w:color="auto" w:fill="auto"/>
            <w:vAlign w:val="center"/>
          </w:tcPr>
          <w:p w14:paraId="41A28E24"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2</w:t>
            </w:r>
          </w:p>
        </w:tc>
        <w:tc>
          <w:tcPr>
            <w:tcW w:w="0" w:type="auto"/>
            <w:shd w:val="clear" w:color="auto" w:fill="auto"/>
            <w:vAlign w:val="center"/>
          </w:tcPr>
          <w:p w14:paraId="1433C975"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2</w:t>
            </w:r>
          </w:p>
        </w:tc>
        <w:tc>
          <w:tcPr>
            <w:tcW w:w="0" w:type="auto"/>
            <w:shd w:val="clear" w:color="auto" w:fill="auto"/>
            <w:vAlign w:val="center"/>
          </w:tcPr>
          <w:p w14:paraId="21C440D5"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44</w:t>
            </w:r>
          </w:p>
        </w:tc>
        <w:tc>
          <w:tcPr>
            <w:tcW w:w="0" w:type="auto"/>
            <w:shd w:val="clear" w:color="auto" w:fill="auto"/>
            <w:vAlign w:val="center"/>
          </w:tcPr>
          <w:p w14:paraId="00F7EF1E"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2</w:t>
            </w:r>
          </w:p>
        </w:tc>
        <w:tc>
          <w:tcPr>
            <w:tcW w:w="1390" w:type="dxa"/>
            <w:shd w:val="clear" w:color="auto" w:fill="auto"/>
            <w:vAlign w:val="center"/>
          </w:tcPr>
          <w:p w14:paraId="429D0D2B"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628,047,115</w:t>
            </w:r>
          </w:p>
        </w:tc>
      </w:tr>
      <w:tr w:rsidR="00D868AB" w:rsidRPr="00D868AB" w14:paraId="00C4763C" w14:textId="77777777" w:rsidTr="00A755A7">
        <w:trPr>
          <w:trHeight w:val="20"/>
        </w:trPr>
        <w:tc>
          <w:tcPr>
            <w:tcW w:w="0" w:type="auto"/>
            <w:shd w:val="clear" w:color="auto" w:fill="auto"/>
            <w:vAlign w:val="center"/>
            <w:hideMark/>
          </w:tcPr>
          <w:p w14:paraId="3F50B558"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050000</w:t>
            </w:r>
          </w:p>
        </w:tc>
        <w:tc>
          <w:tcPr>
            <w:tcW w:w="0" w:type="auto"/>
            <w:shd w:val="clear" w:color="auto" w:fill="auto"/>
            <w:vAlign w:val="center"/>
            <w:hideMark/>
          </w:tcPr>
          <w:p w14:paraId="1649B7C7"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Secretaría de Infraestructura, Desarrollo Urbano y Movilidad.</w:t>
            </w:r>
          </w:p>
        </w:tc>
        <w:tc>
          <w:tcPr>
            <w:tcW w:w="0" w:type="auto"/>
            <w:shd w:val="clear" w:color="auto" w:fill="auto"/>
            <w:vAlign w:val="center"/>
          </w:tcPr>
          <w:p w14:paraId="251C19B9"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6</w:t>
            </w:r>
          </w:p>
        </w:tc>
        <w:tc>
          <w:tcPr>
            <w:tcW w:w="0" w:type="auto"/>
            <w:shd w:val="clear" w:color="auto" w:fill="auto"/>
            <w:vAlign w:val="center"/>
          </w:tcPr>
          <w:p w14:paraId="42138C2C"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6</w:t>
            </w:r>
          </w:p>
        </w:tc>
        <w:tc>
          <w:tcPr>
            <w:tcW w:w="0" w:type="auto"/>
            <w:shd w:val="clear" w:color="auto" w:fill="auto"/>
            <w:vAlign w:val="center"/>
          </w:tcPr>
          <w:p w14:paraId="02F55625"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51</w:t>
            </w:r>
          </w:p>
        </w:tc>
        <w:tc>
          <w:tcPr>
            <w:tcW w:w="0" w:type="auto"/>
            <w:shd w:val="clear" w:color="auto" w:fill="auto"/>
            <w:vAlign w:val="center"/>
          </w:tcPr>
          <w:p w14:paraId="18F67AF9"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6</w:t>
            </w:r>
          </w:p>
        </w:tc>
        <w:tc>
          <w:tcPr>
            <w:tcW w:w="1390" w:type="dxa"/>
            <w:shd w:val="clear" w:color="auto" w:fill="auto"/>
            <w:vAlign w:val="center"/>
          </w:tcPr>
          <w:p w14:paraId="42D85868"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232,893,185</w:t>
            </w:r>
          </w:p>
        </w:tc>
      </w:tr>
      <w:tr w:rsidR="00D868AB" w:rsidRPr="00D868AB" w14:paraId="51F015B6" w14:textId="77777777" w:rsidTr="00A755A7">
        <w:trPr>
          <w:trHeight w:val="20"/>
        </w:trPr>
        <w:tc>
          <w:tcPr>
            <w:tcW w:w="0" w:type="auto"/>
            <w:shd w:val="clear" w:color="auto" w:fill="auto"/>
            <w:vAlign w:val="center"/>
            <w:hideMark/>
          </w:tcPr>
          <w:p w14:paraId="0BF89738"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060000</w:t>
            </w:r>
          </w:p>
        </w:tc>
        <w:tc>
          <w:tcPr>
            <w:tcW w:w="0" w:type="auto"/>
            <w:shd w:val="clear" w:color="auto" w:fill="auto"/>
            <w:vAlign w:val="center"/>
            <w:hideMark/>
          </w:tcPr>
          <w:p w14:paraId="5ACDF465"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Secretaría de Educación y Cultura.</w:t>
            </w:r>
          </w:p>
        </w:tc>
        <w:tc>
          <w:tcPr>
            <w:tcW w:w="0" w:type="auto"/>
            <w:shd w:val="clear" w:color="auto" w:fill="auto"/>
            <w:vAlign w:val="center"/>
          </w:tcPr>
          <w:p w14:paraId="2A259CC0"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5</w:t>
            </w:r>
          </w:p>
        </w:tc>
        <w:tc>
          <w:tcPr>
            <w:tcW w:w="0" w:type="auto"/>
            <w:shd w:val="clear" w:color="auto" w:fill="auto"/>
            <w:vAlign w:val="center"/>
          </w:tcPr>
          <w:p w14:paraId="7FFB29A5"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5</w:t>
            </w:r>
          </w:p>
        </w:tc>
        <w:tc>
          <w:tcPr>
            <w:tcW w:w="0" w:type="auto"/>
            <w:shd w:val="clear" w:color="auto" w:fill="auto"/>
            <w:vAlign w:val="center"/>
          </w:tcPr>
          <w:p w14:paraId="61798C1C"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35</w:t>
            </w:r>
          </w:p>
        </w:tc>
        <w:tc>
          <w:tcPr>
            <w:tcW w:w="0" w:type="auto"/>
            <w:shd w:val="clear" w:color="auto" w:fill="auto"/>
            <w:vAlign w:val="center"/>
          </w:tcPr>
          <w:p w14:paraId="0F01010A"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5</w:t>
            </w:r>
          </w:p>
        </w:tc>
        <w:tc>
          <w:tcPr>
            <w:tcW w:w="1390" w:type="dxa"/>
            <w:shd w:val="clear" w:color="auto" w:fill="auto"/>
            <w:vAlign w:val="center"/>
          </w:tcPr>
          <w:p w14:paraId="3491A191"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7,397,406,823</w:t>
            </w:r>
          </w:p>
        </w:tc>
      </w:tr>
      <w:tr w:rsidR="00D868AB" w:rsidRPr="00D868AB" w14:paraId="5EE5B366" w14:textId="77777777" w:rsidTr="00A755A7">
        <w:trPr>
          <w:trHeight w:val="20"/>
        </w:trPr>
        <w:tc>
          <w:tcPr>
            <w:tcW w:w="0" w:type="auto"/>
            <w:shd w:val="clear" w:color="auto" w:fill="auto"/>
            <w:vAlign w:val="center"/>
            <w:hideMark/>
          </w:tcPr>
          <w:p w14:paraId="027DBF63"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070000</w:t>
            </w:r>
          </w:p>
        </w:tc>
        <w:tc>
          <w:tcPr>
            <w:tcW w:w="0" w:type="auto"/>
            <w:shd w:val="clear" w:color="auto" w:fill="auto"/>
            <w:vAlign w:val="center"/>
            <w:hideMark/>
          </w:tcPr>
          <w:p w14:paraId="2D23EB65"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Secretaría de Salud.</w:t>
            </w:r>
          </w:p>
        </w:tc>
        <w:tc>
          <w:tcPr>
            <w:tcW w:w="0" w:type="auto"/>
            <w:shd w:val="clear" w:color="auto" w:fill="auto"/>
            <w:vAlign w:val="center"/>
          </w:tcPr>
          <w:p w14:paraId="560A3E89"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620DEB21"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4B023744"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44</w:t>
            </w:r>
          </w:p>
        </w:tc>
        <w:tc>
          <w:tcPr>
            <w:tcW w:w="0" w:type="auto"/>
            <w:shd w:val="clear" w:color="auto" w:fill="auto"/>
            <w:vAlign w:val="center"/>
          </w:tcPr>
          <w:p w14:paraId="2F0F0339"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1390" w:type="dxa"/>
            <w:shd w:val="clear" w:color="auto" w:fill="auto"/>
            <w:vAlign w:val="center"/>
          </w:tcPr>
          <w:p w14:paraId="6DFB5B2D"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2,278,923,012</w:t>
            </w:r>
          </w:p>
        </w:tc>
      </w:tr>
      <w:tr w:rsidR="00D868AB" w:rsidRPr="00D868AB" w14:paraId="6A7F1480" w14:textId="77777777" w:rsidTr="00A755A7">
        <w:trPr>
          <w:trHeight w:val="20"/>
        </w:trPr>
        <w:tc>
          <w:tcPr>
            <w:tcW w:w="0" w:type="auto"/>
            <w:shd w:val="clear" w:color="auto" w:fill="auto"/>
            <w:vAlign w:val="center"/>
            <w:hideMark/>
          </w:tcPr>
          <w:p w14:paraId="2D20392E"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080000</w:t>
            </w:r>
          </w:p>
        </w:tc>
        <w:tc>
          <w:tcPr>
            <w:tcW w:w="0" w:type="auto"/>
            <w:shd w:val="clear" w:color="auto" w:fill="auto"/>
            <w:vAlign w:val="center"/>
            <w:hideMark/>
          </w:tcPr>
          <w:p w14:paraId="483E6D7B"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Secretaría de Desarrollo Económico.</w:t>
            </w:r>
          </w:p>
        </w:tc>
        <w:tc>
          <w:tcPr>
            <w:tcW w:w="0" w:type="auto"/>
            <w:shd w:val="clear" w:color="auto" w:fill="auto"/>
            <w:vAlign w:val="center"/>
          </w:tcPr>
          <w:p w14:paraId="1DFAE45F"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4</w:t>
            </w:r>
          </w:p>
        </w:tc>
        <w:tc>
          <w:tcPr>
            <w:tcW w:w="0" w:type="auto"/>
            <w:shd w:val="clear" w:color="auto" w:fill="auto"/>
            <w:vAlign w:val="center"/>
          </w:tcPr>
          <w:p w14:paraId="3D17DE70"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4</w:t>
            </w:r>
          </w:p>
        </w:tc>
        <w:tc>
          <w:tcPr>
            <w:tcW w:w="0" w:type="auto"/>
            <w:shd w:val="clear" w:color="auto" w:fill="auto"/>
            <w:vAlign w:val="center"/>
          </w:tcPr>
          <w:p w14:paraId="57BD44EE"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73</w:t>
            </w:r>
          </w:p>
        </w:tc>
        <w:tc>
          <w:tcPr>
            <w:tcW w:w="0" w:type="auto"/>
            <w:shd w:val="clear" w:color="auto" w:fill="auto"/>
            <w:vAlign w:val="center"/>
          </w:tcPr>
          <w:p w14:paraId="130A3AED"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4</w:t>
            </w:r>
          </w:p>
        </w:tc>
        <w:tc>
          <w:tcPr>
            <w:tcW w:w="1390" w:type="dxa"/>
            <w:shd w:val="clear" w:color="auto" w:fill="auto"/>
            <w:vAlign w:val="center"/>
          </w:tcPr>
          <w:p w14:paraId="0A834F1F"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239,047,992</w:t>
            </w:r>
          </w:p>
        </w:tc>
      </w:tr>
      <w:tr w:rsidR="00D868AB" w:rsidRPr="00D868AB" w14:paraId="3402A4A2" w14:textId="77777777" w:rsidTr="00A755A7">
        <w:trPr>
          <w:trHeight w:val="20"/>
        </w:trPr>
        <w:tc>
          <w:tcPr>
            <w:tcW w:w="0" w:type="auto"/>
            <w:shd w:val="clear" w:color="auto" w:fill="auto"/>
            <w:vAlign w:val="center"/>
            <w:hideMark/>
          </w:tcPr>
          <w:p w14:paraId="28427434"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090000</w:t>
            </w:r>
          </w:p>
        </w:tc>
        <w:tc>
          <w:tcPr>
            <w:tcW w:w="0" w:type="auto"/>
            <w:shd w:val="clear" w:color="auto" w:fill="auto"/>
            <w:vAlign w:val="center"/>
            <w:hideMark/>
          </w:tcPr>
          <w:p w14:paraId="1870B27B"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Contraloría General del Estado.</w:t>
            </w:r>
          </w:p>
        </w:tc>
        <w:tc>
          <w:tcPr>
            <w:tcW w:w="0" w:type="auto"/>
            <w:shd w:val="clear" w:color="auto" w:fill="auto"/>
            <w:vAlign w:val="center"/>
          </w:tcPr>
          <w:p w14:paraId="367BC604"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45685D2C"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4FCB3308"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34</w:t>
            </w:r>
          </w:p>
        </w:tc>
        <w:tc>
          <w:tcPr>
            <w:tcW w:w="0" w:type="auto"/>
            <w:shd w:val="clear" w:color="auto" w:fill="auto"/>
            <w:vAlign w:val="center"/>
          </w:tcPr>
          <w:p w14:paraId="41718FC6"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1390" w:type="dxa"/>
            <w:shd w:val="clear" w:color="auto" w:fill="auto"/>
            <w:vAlign w:val="center"/>
          </w:tcPr>
          <w:p w14:paraId="3CA57EEA"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21,345,656</w:t>
            </w:r>
          </w:p>
        </w:tc>
      </w:tr>
      <w:tr w:rsidR="00D868AB" w:rsidRPr="00D868AB" w14:paraId="283DC3DA" w14:textId="77777777" w:rsidTr="00A755A7">
        <w:trPr>
          <w:trHeight w:val="20"/>
        </w:trPr>
        <w:tc>
          <w:tcPr>
            <w:tcW w:w="0" w:type="auto"/>
            <w:shd w:val="clear" w:color="auto" w:fill="auto"/>
            <w:vAlign w:val="center"/>
            <w:hideMark/>
          </w:tcPr>
          <w:p w14:paraId="6472BB95"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100000</w:t>
            </w:r>
          </w:p>
        </w:tc>
        <w:tc>
          <w:tcPr>
            <w:tcW w:w="0" w:type="auto"/>
            <w:shd w:val="clear" w:color="auto" w:fill="auto"/>
            <w:vAlign w:val="center"/>
            <w:hideMark/>
          </w:tcPr>
          <w:p w14:paraId="20933014"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Secretaría de Seguridad Pública.</w:t>
            </w:r>
          </w:p>
        </w:tc>
        <w:tc>
          <w:tcPr>
            <w:tcW w:w="0" w:type="auto"/>
            <w:shd w:val="clear" w:color="auto" w:fill="auto"/>
            <w:vAlign w:val="center"/>
          </w:tcPr>
          <w:p w14:paraId="49A826CA"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52E4DDB6"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311A7027"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32</w:t>
            </w:r>
          </w:p>
        </w:tc>
        <w:tc>
          <w:tcPr>
            <w:tcW w:w="0" w:type="auto"/>
            <w:shd w:val="clear" w:color="auto" w:fill="auto"/>
            <w:vAlign w:val="center"/>
          </w:tcPr>
          <w:p w14:paraId="5E4D4442"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1390" w:type="dxa"/>
            <w:shd w:val="clear" w:color="auto" w:fill="auto"/>
            <w:vAlign w:val="center"/>
          </w:tcPr>
          <w:p w14:paraId="55408BBD"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659,639,482</w:t>
            </w:r>
          </w:p>
        </w:tc>
      </w:tr>
      <w:tr w:rsidR="00D868AB" w:rsidRPr="00D868AB" w14:paraId="52F75C38" w14:textId="77777777" w:rsidTr="00A755A7">
        <w:trPr>
          <w:trHeight w:val="20"/>
        </w:trPr>
        <w:tc>
          <w:tcPr>
            <w:tcW w:w="0" w:type="auto"/>
            <w:shd w:val="clear" w:color="auto" w:fill="auto"/>
            <w:vAlign w:val="center"/>
            <w:hideMark/>
          </w:tcPr>
          <w:p w14:paraId="648F5524"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110000</w:t>
            </w:r>
          </w:p>
        </w:tc>
        <w:tc>
          <w:tcPr>
            <w:tcW w:w="0" w:type="auto"/>
            <w:shd w:val="clear" w:color="auto" w:fill="auto"/>
            <w:vAlign w:val="center"/>
            <w:hideMark/>
          </w:tcPr>
          <w:p w14:paraId="69C222D6"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Consejería Jurídica del Poder Ejecutivo del Estado.</w:t>
            </w:r>
          </w:p>
        </w:tc>
        <w:tc>
          <w:tcPr>
            <w:tcW w:w="0" w:type="auto"/>
            <w:shd w:val="clear" w:color="auto" w:fill="auto"/>
            <w:vAlign w:val="center"/>
          </w:tcPr>
          <w:p w14:paraId="57BF6700"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64DF3D1F"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6338AB19" w14:textId="77777777" w:rsidR="00D868AB" w:rsidRPr="00D868AB" w:rsidRDefault="00D868AB" w:rsidP="00D868AB">
            <w:pPr>
              <w:jc w:val="center"/>
              <w:rPr>
                <w:rFonts w:eastAsia="Times New Roman" w:cs="Arial"/>
                <w:color w:val="000000"/>
                <w:sz w:val="16"/>
                <w:szCs w:val="18"/>
              </w:rPr>
            </w:pPr>
            <w:r w:rsidRPr="00D868AB">
              <w:rPr>
                <w:rFonts w:eastAsia="Arial" w:cs="Arial"/>
                <w:color w:val="000000"/>
                <w:sz w:val="16"/>
                <w:szCs w:val="16"/>
              </w:rPr>
              <w:t>20</w:t>
            </w:r>
          </w:p>
        </w:tc>
        <w:tc>
          <w:tcPr>
            <w:tcW w:w="0" w:type="auto"/>
            <w:shd w:val="clear" w:color="auto" w:fill="auto"/>
            <w:vAlign w:val="center"/>
          </w:tcPr>
          <w:p w14:paraId="1008B9F3"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1390" w:type="dxa"/>
            <w:shd w:val="clear" w:color="auto" w:fill="auto"/>
            <w:vAlign w:val="center"/>
          </w:tcPr>
          <w:p w14:paraId="39D246EA"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32,493,560</w:t>
            </w:r>
          </w:p>
        </w:tc>
      </w:tr>
      <w:tr w:rsidR="00D868AB" w:rsidRPr="00D868AB" w14:paraId="355052C3" w14:textId="77777777" w:rsidTr="00A755A7">
        <w:trPr>
          <w:trHeight w:val="20"/>
        </w:trPr>
        <w:tc>
          <w:tcPr>
            <w:tcW w:w="0" w:type="auto"/>
            <w:shd w:val="clear" w:color="auto" w:fill="auto"/>
            <w:vAlign w:val="center"/>
            <w:hideMark/>
          </w:tcPr>
          <w:p w14:paraId="7699A8AE"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 </w:t>
            </w:r>
          </w:p>
        </w:tc>
        <w:tc>
          <w:tcPr>
            <w:tcW w:w="0" w:type="auto"/>
            <w:shd w:val="clear" w:color="auto" w:fill="auto"/>
            <w:vAlign w:val="center"/>
            <w:hideMark/>
          </w:tcPr>
          <w:p w14:paraId="7FE92154"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Poderes del Estado</w:t>
            </w:r>
          </w:p>
        </w:tc>
        <w:tc>
          <w:tcPr>
            <w:tcW w:w="0" w:type="auto"/>
            <w:shd w:val="clear" w:color="auto" w:fill="auto"/>
            <w:vAlign w:val="center"/>
          </w:tcPr>
          <w:p w14:paraId="2DB0991D" w14:textId="77777777" w:rsidR="00D868AB" w:rsidRPr="00D868AB" w:rsidRDefault="00D868AB" w:rsidP="00D868AB">
            <w:pPr>
              <w:jc w:val="center"/>
              <w:rPr>
                <w:rFonts w:eastAsia="Times New Roman" w:cs="Arial"/>
                <w:color w:val="000000"/>
                <w:sz w:val="16"/>
                <w:szCs w:val="18"/>
              </w:rPr>
            </w:pPr>
          </w:p>
        </w:tc>
        <w:tc>
          <w:tcPr>
            <w:tcW w:w="0" w:type="auto"/>
            <w:shd w:val="clear" w:color="auto" w:fill="auto"/>
            <w:vAlign w:val="center"/>
          </w:tcPr>
          <w:p w14:paraId="6AEEC247" w14:textId="77777777" w:rsidR="00D868AB" w:rsidRPr="00D868AB" w:rsidRDefault="00D868AB" w:rsidP="00D868AB">
            <w:pPr>
              <w:jc w:val="center"/>
              <w:rPr>
                <w:rFonts w:eastAsia="Times New Roman" w:cs="Arial"/>
                <w:color w:val="000000"/>
                <w:sz w:val="16"/>
                <w:szCs w:val="18"/>
              </w:rPr>
            </w:pPr>
          </w:p>
        </w:tc>
        <w:tc>
          <w:tcPr>
            <w:tcW w:w="0" w:type="auto"/>
            <w:shd w:val="clear" w:color="auto" w:fill="auto"/>
            <w:vAlign w:val="center"/>
          </w:tcPr>
          <w:p w14:paraId="64A00857" w14:textId="77777777" w:rsidR="00D868AB" w:rsidRPr="00D868AB" w:rsidRDefault="00D868AB" w:rsidP="00D868AB">
            <w:pPr>
              <w:jc w:val="center"/>
              <w:rPr>
                <w:rFonts w:eastAsia="Times New Roman" w:cs="Arial"/>
                <w:color w:val="000000"/>
                <w:sz w:val="16"/>
                <w:szCs w:val="18"/>
              </w:rPr>
            </w:pPr>
          </w:p>
        </w:tc>
        <w:tc>
          <w:tcPr>
            <w:tcW w:w="0" w:type="auto"/>
            <w:shd w:val="clear" w:color="auto" w:fill="auto"/>
            <w:vAlign w:val="center"/>
          </w:tcPr>
          <w:p w14:paraId="6A6CD6D5" w14:textId="77777777" w:rsidR="00D868AB" w:rsidRPr="00D868AB" w:rsidRDefault="00D868AB" w:rsidP="00D868AB">
            <w:pPr>
              <w:jc w:val="center"/>
              <w:rPr>
                <w:rFonts w:eastAsia="Times New Roman" w:cs="Arial"/>
                <w:color w:val="000000"/>
                <w:sz w:val="16"/>
                <w:szCs w:val="18"/>
              </w:rPr>
            </w:pPr>
          </w:p>
        </w:tc>
        <w:tc>
          <w:tcPr>
            <w:tcW w:w="1390" w:type="dxa"/>
            <w:shd w:val="clear" w:color="auto" w:fill="auto"/>
            <w:vAlign w:val="center"/>
          </w:tcPr>
          <w:p w14:paraId="6C7A926D" w14:textId="77777777" w:rsidR="00D868AB" w:rsidRPr="00D868AB" w:rsidRDefault="00D868AB" w:rsidP="00D868AB">
            <w:pPr>
              <w:jc w:val="right"/>
              <w:rPr>
                <w:rFonts w:eastAsia="Times New Roman" w:cs="Arial"/>
                <w:color w:val="000000"/>
                <w:sz w:val="16"/>
                <w:szCs w:val="18"/>
              </w:rPr>
            </w:pPr>
          </w:p>
        </w:tc>
      </w:tr>
      <w:tr w:rsidR="00D868AB" w:rsidRPr="00D868AB" w14:paraId="2A3518EF" w14:textId="77777777" w:rsidTr="00A755A7">
        <w:trPr>
          <w:trHeight w:val="20"/>
        </w:trPr>
        <w:tc>
          <w:tcPr>
            <w:tcW w:w="0" w:type="auto"/>
            <w:shd w:val="clear" w:color="auto" w:fill="auto"/>
            <w:vAlign w:val="center"/>
            <w:hideMark/>
          </w:tcPr>
          <w:p w14:paraId="6583E3B8"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41301</w:t>
            </w:r>
          </w:p>
        </w:tc>
        <w:tc>
          <w:tcPr>
            <w:tcW w:w="0" w:type="auto"/>
            <w:shd w:val="clear" w:color="auto" w:fill="auto"/>
            <w:vAlign w:val="center"/>
            <w:hideMark/>
          </w:tcPr>
          <w:p w14:paraId="0FC404BB"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Poder Judicial del Estado.</w:t>
            </w:r>
          </w:p>
        </w:tc>
        <w:tc>
          <w:tcPr>
            <w:tcW w:w="0" w:type="auto"/>
            <w:shd w:val="clear" w:color="auto" w:fill="auto"/>
            <w:vAlign w:val="center"/>
          </w:tcPr>
          <w:p w14:paraId="6DF62936"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1797EE10"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3A948F97"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11</w:t>
            </w:r>
          </w:p>
        </w:tc>
        <w:tc>
          <w:tcPr>
            <w:tcW w:w="0" w:type="auto"/>
            <w:shd w:val="clear" w:color="auto" w:fill="auto"/>
            <w:vAlign w:val="center"/>
          </w:tcPr>
          <w:p w14:paraId="70555B09"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1390" w:type="dxa"/>
            <w:shd w:val="clear" w:color="auto" w:fill="auto"/>
            <w:vAlign w:val="center"/>
          </w:tcPr>
          <w:p w14:paraId="1592578A"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251,000,000</w:t>
            </w:r>
          </w:p>
        </w:tc>
      </w:tr>
      <w:tr w:rsidR="00D868AB" w:rsidRPr="00D868AB" w14:paraId="6E769120" w14:textId="77777777" w:rsidTr="00A755A7">
        <w:trPr>
          <w:trHeight w:val="20"/>
        </w:trPr>
        <w:tc>
          <w:tcPr>
            <w:tcW w:w="0" w:type="auto"/>
            <w:shd w:val="clear" w:color="auto" w:fill="auto"/>
            <w:vAlign w:val="center"/>
            <w:hideMark/>
          </w:tcPr>
          <w:p w14:paraId="520A4D75"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 </w:t>
            </w:r>
          </w:p>
        </w:tc>
        <w:tc>
          <w:tcPr>
            <w:tcW w:w="0" w:type="auto"/>
            <w:shd w:val="clear" w:color="auto" w:fill="auto"/>
            <w:vAlign w:val="center"/>
            <w:hideMark/>
          </w:tcPr>
          <w:p w14:paraId="704A6A07" w14:textId="77777777" w:rsidR="00D868AB" w:rsidRPr="00D868AB" w:rsidRDefault="00D868AB" w:rsidP="00D868AB">
            <w:pPr>
              <w:jc w:val="center"/>
              <w:rPr>
                <w:rFonts w:eastAsia="Times New Roman" w:cs="Arial"/>
                <w:b/>
                <w:bCs/>
                <w:color w:val="000000"/>
                <w:sz w:val="16"/>
                <w:szCs w:val="18"/>
              </w:rPr>
            </w:pPr>
            <w:r w:rsidRPr="00D868AB">
              <w:rPr>
                <w:rFonts w:eastAsia="Times New Roman" w:cs="Arial"/>
                <w:b/>
                <w:bCs/>
                <w:color w:val="000000"/>
                <w:sz w:val="16"/>
                <w:szCs w:val="18"/>
              </w:rPr>
              <w:t>Órganos Autónomos</w:t>
            </w:r>
          </w:p>
        </w:tc>
        <w:tc>
          <w:tcPr>
            <w:tcW w:w="0" w:type="auto"/>
            <w:shd w:val="clear" w:color="auto" w:fill="auto"/>
            <w:vAlign w:val="center"/>
          </w:tcPr>
          <w:p w14:paraId="71D2774A" w14:textId="77777777" w:rsidR="00D868AB" w:rsidRPr="00D868AB" w:rsidRDefault="00D868AB" w:rsidP="00D868AB">
            <w:pPr>
              <w:jc w:val="center"/>
              <w:rPr>
                <w:rFonts w:eastAsia="Times New Roman" w:cs="Arial"/>
                <w:color w:val="000000"/>
                <w:sz w:val="16"/>
                <w:szCs w:val="18"/>
              </w:rPr>
            </w:pPr>
          </w:p>
        </w:tc>
        <w:tc>
          <w:tcPr>
            <w:tcW w:w="0" w:type="auto"/>
            <w:shd w:val="clear" w:color="auto" w:fill="auto"/>
            <w:vAlign w:val="center"/>
          </w:tcPr>
          <w:p w14:paraId="32374FB0" w14:textId="77777777" w:rsidR="00D868AB" w:rsidRPr="00D868AB" w:rsidRDefault="00D868AB" w:rsidP="00D868AB">
            <w:pPr>
              <w:jc w:val="center"/>
              <w:rPr>
                <w:rFonts w:eastAsia="Times New Roman" w:cs="Arial"/>
                <w:color w:val="000000"/>
                <w:sz w:val="16"/>
                <w:szCs w:val="18"/>
              </w:rPr>
            </w:pPr>
          </w:p>
        </w:tc>
        <w:tc>
          <w:tcPr>
            <w:tcW w:w="0" w:type="auto"/>
            <w:shd w:val="clear" w:color="auto" w:fill="auto"/>
            <w:vAlign w:val="center"/>
          </w:tcPr>
          <w:p w14:paraId="0EF8EBE1" w14:textId="77777777" w:rsidR="00D868AB" w:rsidRPr="00D868AB" w:rsidRDefault="00D868AB" w:rsidP="00D868AB">
            <w:pPr>
              <w:jc w:val="center"/>
              <w:rPr>
                <w:rFonts w:eastAsia="Times New Roman" w:cs="Arial"/>
                <w:color w:val="000000"/>
                <w:sz w:val="16"/>
                <w:szCs w:val="18"/>
              </w:rPr>
            </w:pPr>
          </w:p>
        </w:tc>
        <w:tc>
          <w:tcPr>
            <w:tcW w:w="0" w:type="auto"/>
            <w:shd w:val="clear" w:color="auto" w:fill="auto"/>
            <w:vAlign w:val="center"/>
          </w:tcPr>
          <w:p w14:paraId="7E7DE183" w14:textId="77777777" w:rsidR="00D868AB" w:rsidRPr="00D868AB" w:rsidRDefault="00D868AB" w:rsidP="00D868AB">
            <w:pPr>
              <w:jc w:val="center"/>
              <w:rPr>
                <w:rFonts w:eastAsia="Times New Roman" w:cs="Arial"/>
                <w:color w:val="000000"/>
                <w:sz w:val="16"/>
                <w:szCs w:val="18"/>
              </w:rPr>
            </w:pPr>
          </w:p>
        </w:tc>
        <w:tc>
          <w:tcPr>
            <w:tcW w:w="1390" w:type="dxa"/>
            <w:shd w:val="clear" w:color="auto" w:fill="auto"/>
            <w:vAlign w:val="center"/>
          </w:tcPr>
          <w:p w14:paraId="3E41696F" w14:textId="77777777" w:rsidR="00D868AB" w:rsidRPr="00D868AB" w:rsidRDefault="00D868AB" w:rsidP="00D868AB">
            <w:pPr>
              <w:jc w:val="right"/>
              <w:rPr>
                <w:rFonts w:eastAsia="Times New Roman" w:cs="Arial"/>
                <w:color w:val="000000"/>
                <w:sz w:val="16"/>
                <w:szCs w:val="18"/>
              </w:rPr>
            </w:pPr>
          </w:p>
        </w:tc>
      </w:tr>
      <w:tr w:rsidR="00D868AB" w:rsidRPr="00D868AB" w14:paraId="3E9656F9" w14:textId="77777777" w:rsidTr="00A755A7">
        <w:trPr>
          <w:trHeight w:val="20"/>
        </w:trPr>
        <w:tc>
          <w:tcPr>
            <w:tcW w:w="0" w:type="auto"/>
            <w:shd w:val="clear" w:color="auto" w:fill="auto"/>
            <w:vAlign w:val="center"/>
            <w:hideMark/>
          </w:tcPr>
          <w:p w14:paraId="55AA759B"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41401</w:t>
            </w:r>
          </w:p>
        </w:tc>
        <w:tc>
          <w:tcPr>
            <w:tcW w:w="0" w:type="auto"/>
            <w:shd w:val="clear" w:color="auto" w:fill="auto"/>
            <w:vAlign w:val="center"/>
            <w:hideMark/>
          </w:tcPr>
          <w:p w14:paraId="076E9441"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Comisión de Derechos Humanos del Estado.</w:t>
            </w:r>
          </w:p>
        </w:tc>
        <w:tc>
          <w:tcPr>
            <w:tcW w:w="0" w:type="auto"/>
            <w:shd w:val="clear" w:color="auto" w:fill="auto"/>
            <w:vAlign w:val="center"/>
          </w:tcPr>
          <w:p w14:paraId="383A2607"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29D1BF06"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6E9A12E8"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9</w:t>
            </w:r>
          </w:p>
        </w:tc>
        <w:tc>
          <w:tcPr>
            <w:tcW w:w="0" w:type="auto"/>
            <w:shd w:val="clear" w:color="auto" w:fill="auto"/>
            <w:vAlign w:val="center"/>
          </w:tcPr>
          <w:p w14:paraId="27D4444C"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1390" w:type="dxa"/>
            <w:shd w:val="clear" w:color="auto" w:fill="auto"/>
            <w:vAlign w:val="center"/>
          </w:tcPr>
          <w:p w14:paraId="154CCE63"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13,889,615</w:t>
            </w:r>
          </w:p>
        </w:tc>
      </w:tr>
      <w:tr w:rsidR="00D868AB" w:rsidRPr="00D868AB" w14:paraId="476BB356" w14:textId="77777777" w:rsidTr="00A755A7">
        <w:trPr>
          <w:trHeight w:val="20"/>
        </w:trPr>
        <w:tc>
          <w:tcPr>
            <w:tcW w:w="0" w:type="auto"/>
            <w:shd w:val="clear" w:color="auto" w:fill="auto"/>
            <w:vAlign w:val="center"/>
            <w:hideMark/>
          </w:tcPr>
          <w:p w14:paraId="28937257"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41402</w:t>
            </w:r>
          </w:p>
        </w:tc>
        <w:tc>
          <w:tcPr>
            <w:tcW w:w="0" w:type="auto"/>
            <w:shd w:val="clear" w:color="auto" w:fill="auto"/>
            <w:vAlign w:val="center"/>
            <w:hideMark/>
          </w:tcPr>
          <w:p w14:paraId="3B962BF4"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Fiscalía General del Estado.</w:t>
            </w:r>
          </w:p>
        </w:tc>
        <w:tc>
          <w:tcPr>
            <w:tcW w:w="0" w:type="auto"/>
            <w:shd w:val="clear" w:color="auto" w:fill="auto"/>
            <w:vAlign w:val="center"/>
          </w:tcPr>
          <w:p w14:paraId="0B20F9E6"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0B1FA042"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5753C430"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17</w:t>
            </w:r>
          </w:p>
        </w:tc>
        <w:tc>
          <w:tcPr>
            <w:tcW w:w="0" w:type="auto"/>
            <w:shd w:val="clear" w:color="auto" w:fill="auto"/>
            <w:vAlign w:val="center"/>
          </w:tcPr>
          <w:p w14:paraId="439A58D4"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1390" w:type="dxa"/>
            <w:shd w:val="clear" w:color="auto" w:fill="auto"/>
            <w:vAlign w:val="center"/>
          </w:tcPr>
          <w:p w14:paraId="134E8C5E"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462,668,320</w:t>
            </w:r>
          </w:p>
        </w:tc>
      </w:tr>
      <w:tr w:rsidR="00D868AB" w:rsidRPr="00D868AB" w14:paraId="79CE7CCF" w14:textId="77777777" w:rsidTr="00A755A7">
        <w:trPr>
          <w:trHeight w:val="20"/>
        </w:trPr>
        <w:tc>
          <w:tcPr>
            <w:tcW w:w="0" w:type="auto"/>
            <w:shd w:val="clear" w:color="auto" w:fill="auto"/>
            <w:vAlign w:val="center"/>
            <w:hideMark/>
          </w:tcPr>
          <w:p w14:paraId="09CBC522"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41407</w:t>
            </w:r>
          </w:p>
        </w:tc>
        <w:tc>
          <w:tcPr>
            <w:tcW w:w="0" w:type="auto"/>
            <w:shd w:val="clear" w:color="auto" w:fill="auto"/>
            <w:vAlign w:val="center"/>
            <w:hideMark/>
          </w:tcPr>
          <w:p w14:paraId="6956697D"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Tribunal de Arbitraje y Escalafón.</w:t>
            </w:r>
          </w:p>
        </w:tc>
        <w:tc>
          <w:tcPr>
            <w:tcW w:w="0" w:type="auto"/>
            <w:shd w:val="clear" w:color="auto" w:fill="auto"/>
            <w:vAlign w:val="center"/>
          </w:tcPr>
          <w:p w14:paraId="3319CCD5"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7FD3DAD8"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7D7F9E01"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5</w:t>
            </w:r>
          </w:p>
        </w:tc>
        <w:tc>
          <w:tcPr>
            <w:tcW w:w="0" w:type="auto"/>
            <w:shd w:val="clear" w:color="auto" w:fill="auto"/>
            <w:vAlign w:val="center"/>
          </w:tcPr>
          <w:p w14:paraId="23DD9137"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1390" w:type="dxa"/>
            <w:shd w:val="clear" w:color="auto" w:fill="auto"/>
            <w:vAlign w:val="center"/>
          </w:tcPr>
          <w:p w14:paraId="0618A069"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7,716,314</w:t>
            </w:r>
          </w:p>
        </w:tc>
      </w:tr>
      <w:tr w:rsidR="00D868AB" w:rsidRPr="00D868AB" w14:paraId="5BB59E84" w14:textId="77777777" w:rsidTr="00A755A7">
        <w:trPr>
          <w:trHeight w:val="20"/>
        </w:trPr>
        <w:tc>
          <w:tcPr>
            <w:tcW w:w="0" w:type="auto"/>
            <w:shd w:val="clear" w:color="auto" w:fill="auto"/>
            <w:vAlign w:val="center"/>
            <w:hideMark/>
          </w:tcPr>
          <w:p w14:paraId="019718E6"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41408</w:t>
            </w:r>
          </w:p>
        </w:tc>
        <w:tc>
          <w:tcPr>
            <w:tcW w:w="0" w:type="auto"/>
            <w:shd w:val="clear" w:color="auto" w:fill="auto"/>
            <w:vAlign w:val="center"/>
            <w:hideMark/>
          </w:tcPr>
          <w:p w14:paraId="1CA2E13C"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Tribunal de Justicia Administrativa del Estado.</w:t>
            </w:r>
          </w:p>
        </w:tc>
        <w:tc>
          <w:tcPr>
            <w:tcW w:w="0" w:type="auto"/>
            <w:shd w:val="clear" w:color="auto" w:fill="auto"/>
            <w:vAlign w:val="center"/>
          </w:tcPr>
          <w:p w14:paraId="2FA77EAF"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47B3D448"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0" w:type="auto"/>
            <w:shd w:val="clear" w:color="auto" w:fill="auto"/>
            <w:vAlign w:val="center"/>
          </w:tcPr>
          <w:p w14:paraId="58E3A20A"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5</w:t>
            </w:r>
          </w:p>
        </w:tc>
        <w:tc>
          <w:tcPr>
            <w:tcW w:w="0" w:type="auto"/>
            <w:shd w:val="clear" w:color="auto" w:fill="auto"/>
            <w:vAlign w:val="center"/>
          </w:tcPr>
          <w:p w14:paraId="2FCC2D8E" w14:textId="77777777" w:rsidR="00D868AB" w:rsidRPr="00D868AB" w:rsidRDefault="00D868AB" w:rsidP="00D868AB">
            <w:pPr>
              <w:jc w:val="center"/>
              <w:rPr>
                <w:rFonts w:eastAsia="Times New Roman" w:cs="Arial"/>
                <w:color w:val="000000"/>
                <w:sz w:val="16"/>
                <w:szCs w:val="18"/>
              </w:rPr>
            </w:pPr>
            <w:r w:rsidRPr="00D868AB">
              <w:rPr>
                <w:rFonts w:eastAsia="Arial" w:cs="Arial"/>
                <w:sz w:val="16"/>
                <w:szCs w:val="16"/>
              </w:rPr>
              <w:t>1</w:t>
            </w:r>
          </w:p>
        </w:tc>
        <w:tc>
          <w:tcPr>
            <w:tcW w:w="1390" w:type="dxa"/>
            <w:shd w:val="clear" w:color="auto" w:fill="auto"/>
            <w:vAlign w:val="center"/>
          </w:tcPr>
          <w:p w14:paraId="46FC64D8"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25,343,902</w:t>
            </w:r>
          </w:p>
        </w:tc>
      </w:tr>
      <w:tr w:rsidR="00D868AB" w:rsidRPr="00D868AB" w14:paraId="371ED547" w14:textId="77777777" w:rsidTr="00A755A7">
        <w:trPr>
          <w:trHeight w:val="20"/>
        </w:trPr>
        <w:tc>
          <w:tcPr>
            <w:tcW w:w="0" w:type="auto"/>
            <w:shd w:val="clear" w:color="auto" w:fill="auto"/>
            <w:vAlign w:val="center"/>
            <w:hideMark/>
          </w:tcPr>
          <w:p w14:paraId="618F04F1"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 </w:t>
            </w:r>
          </w:p>
        </w:tc>
        <w:tc>
          <w:tcPr>
            <w:tcW w:w="0" w:type="auto"/>
            <w:shd w:val="clear" w:color="auto" w:fill="auto"/>
            <w:vAlign w:val="center"/>
            <w:hideMark/>
          </w:tcPr>
          <w:p w14:paraId="46BD8D55" w14:textId="77777777" w:rsidR="00D868AB" w:rsidRPr="00D868AB" w:rsidRDefault="00D868AB" w:rsidP="00D868AB">
            <w:pPr>
              <w:rPr>
                <w:rFonts w:eastAsia="Times New Roman" w:cs="Arial"/>
                <w:b/>
                <w:bCs/>
                <w:color w:val="000000"/>
                <w:sz w:val="16"/>
                <w:szCs w:val="18"/>
              </w:rPr>
            </w:pPr>
            <w:r w:rsidRPr="00D868AB">
              <w:rPr>
                <w:rFonts w:eastAsia="Times New Roman" w:cs="Arial"/>
                <w:b/>
                <w:bCs/>
                <w:color w:val="000000"/>
                <w:sz w:val="16"/>
                <w:szCs w:val="18"/>
              </w:rPr>
              <w:t>Administración Pública Paraestatal</w:t>
            </w:r>
          </w:p>
        </w:tc>
        <w:tc>
          <w:tcPr>
            <w:tcW w:w="0" w:type="auto"/>
            <w:shd w:val="clear" w:color="auto" w:fill="auto"/>
            <w:vAlign w:val="center"/>
            <w:hideMark/>
          </w:tcPr>
          <w:p w14:paraId="70E3D26A"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 </w:t>
            </w:r>
          </w:p>
        </w:tc>
        <w:tc>
          <w:tcPr>
            <w:tcW w:w="0" w:type="auto"/>
            <w:shd w:val="clear" w:color="auto" w:fill="auto"/>
            <w:vAlign w:val="center"/>
            <w:hideMark/>
          </w:tcPr>
          <w:p w14:paraId="6F0C12DB"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 </w:t>
            </w:r>
          </w:p>
        </w:tc>
        <w:tc>
          <w:tcPr>
            <w:tcW w:w="0" w:type="auto"/>
            <w:shd w:val="clear" w:color="auto" w:fill="auto"/>
            <w:vAlign w:val="center"/>
            <w:hideMark/>
          </w:tcPr>
          <w:p w14:paraId="3D3C608F"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 </w:t>
            </w:r>
          </w:p>
        </w:tc>
        <w:tc>
          <w:tcPr>
            <w:tcW w:w="0" w:type="auto"/>
            <w:shd w:val="clear" w:color="auto" w:fill="auto"/>
            <w:vAlign w:val="center"/>
            <w:hideMark/>
          </w:tcPr>
          <w:p w14:paraId="5051114F"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 </w:t>
            </w:r>
          </w:p>
        </w:tc>
        <w:tc>
          <w:tcPr>
            <w:tcW w:w="1390" w:type="dxa"/>
            <w:shd w:val="clear" w:color="auto" w:fill="auto"/>
            <w:vAlign w:val="center"/>
          </w:tcPr>
          <w:p w14:paraId="5111E8DA" w14:textId="77777777" w:rsidR="00D868AB" w:rsidRPr="00D868AB" w:rsidRDefault="00D868AB" w:rsidP="00D868AB">
            <w:pPr>
              <w:jc w:val="right"/>
              <w:rPr>
                <w:rFonts w:eastAsia="Times New Roman" w:cs="Arial"/>
                <w:color w:val="000000"/>
                <w:sz w:val="16"/>
                <w:szCs w:val="18"/>
              </w:rPr>
            </w:pPr>
          </w:p>
        </w:tc>
      </w:tr>
      <w:tr w:rsidR="00D868AB" w:rsidRPr="00D868AB" w14:paraId="6C750CD8" w14:textId="77777777" w:rsidTr="00A755A7">
        <w:trPr>
          <w:trHeight w:val="20"/>
        </w:trPr>
        <w:tc>
          <w:tcPr>
            <w:tcW w:w="0" w:type="auto"/>
            <w:shd w:val="clear" w:color="auto" w:fill="auto"/>
            <w:vAlign w:val="center"/>
            <w:hideMark/>
          </w:tcPr>
          <w:p w14:paraId="34E8D5B7"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41502</w:t>
            </w:r>
          </w:p>
        </w:tc>
        <w:tc>
          <w:tcPr>
            <w:tcW w:w="0" w:type="auto"/>
            <w:shd w:val="clear" w:color="auto" w:fill="auto"/>
            <w:vAlign w:val="center"/>
            <w:hideMark/>
          </w:tcPr>
          <w:p w14:paraId="635BADE9"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Sistema para el Desarrollo Integral de la Familia del Estado de Colima.</w:t>
            </w:r>
          </w:p>
        </w:tc>
        <w:tc>
          <w:tcPr>
            <w:tcW w:w="0" w:type="auto"/>
            <w:shd w:val="clear" w:color="auto" w:fill="auto"/>
            <w:vAlign w:val="center"/>
          </w:tcPr>
          <w:p w14:paraId="4F2BBB14"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5BB4DCA2"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4481220C"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28</w:t>
            </w:r>
          </w:p>
        </w:tc>
        <w:tc>
          <w:tcPr>
            <w:tcW w:w="0" w:type="auto"/>
            <w:shd w:val="clear" w:color="auto" w:fill="auto"/>
            <w:vAlign w:val="center"/>
          </w:tcPr>
          <w:p w14:paraId="2903EF1E"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16F913B0"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247,770,648</w:t>
            </w:r>
          </w:p>
        </w:tc>
      </w:tr>
      <w:tr w:rsidR="00D868AB" w:rsidRPr="00D868AB" w14:paraId="2504835B" w14:textId="77777777" w:rsidTr="00A755A7">
        <w:trPr>
          <w:trHeight w:val="20"/>
        </w:trPr>
        <w:tc>
          <w:tcPr>
            <w:tcW w:w="0" w:type="auto"/>
            <w:shd w:val="clear" w:color="auto" w:fill="auto"/>
            <w:vAlign w:val="center"/>
            <w:hideMark/>
          </w:tcPr>
          <w:p w14:paraId="617AA65D"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41503</w:t>
            </w:r>
          </w:p>
        </w:tc>
        <w:tc>
          <w:tcPr>
            <w:tcW w:w="0" w:type="auto"/>
            <w:shd w:val="clear" w:color="auto" w:fill="auto"/>
            <w:vAlign w:val="center"/>
            <w:hideMark/>
          </w:tcPr>
          <w:p w14:paraId="394D2D34"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Colimense del Deporte.</w:t>
            </w:r>
          </w:p>
        </w:tc>
        <w:tc>
          <w:tcPr>
            <w:tcW w:w="0" w:type="auto"/>
            <w:shd w:val="clear" w:color="auto" w:fill="auto"/>
            <w:vAlign w:val="center"/>
          </w:tcPr>
          <w:p w14:paraId="60CC018D"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0D645A03"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5DDDEC1F"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17</w:t>
            </w:r>
          </w:p>
        </w:tc>
        <w:tc>
          <w:tcPr>
            <w:tcW w:w="0" w:type="auto"/>
            <w:shd w:val="clear" w:color="auto" w:fill="auto"/>
            <w:vAlign w:val="center"/>
          </w:tcPr>
          <w:p w14:paraId="25B84298"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28DF9930"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65,426,500</w:t>
            </w:r>
          </w:p>
        </w:tc>
      </w:tr>
      <w:tr w:rsidR="00D868AB" w:rsidRPr="00D868AB" w14:paraId="2750295E" w14:textId="77777777" w:rsidTr="00A755A7">
        <w:trPr>
          <w:trHeight w:val="20"/>
        </w:trPr>
        <w:tc>
          <w:tcPr>
            <w:tcW w:w="0" w:type="auto"/>
            <w:shd w:val="clear" w:color="auto" w:fill="auto"/>
            <w:vAlign w:val="center"/>
            <w:hideMark/>
          </w:tcPr>
          <w:p w14:paraId="39300763"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41504</w:t>
            </w:r>
          </w:p>
        </w:tc>
        <w:tc>
          <w:tcPr>
            <w:tcW w:w="0" w:type="auto"/>
            <w:shd w:val="clear" w:color="auto" w:fill="auto"/>
            <w:vAlign w:val="center"/>
            <w:hideMark/>
          </w:tcPr>
          <w:p w14:paraId="029825D4"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Consejo de Participación Social del Estado de Colima.</w:t>
            </w:r>
          </w:p>
        </w:tc>
        <w:tc>
          <w:tcPr>
            <w:tcW w:w="0" w:type="auto"/>
            <w:shd w:val="clear" w:color="auto" w:fill="auto"/>
            <w:vAlign w:val="center"/>
          </w:tcPr>
          <w:p w14:paraId="21EFE6B9"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0B72FD3C"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5569AFDA"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7</w:t>
            </w:r>
          </w:p>
        </w:tc>
        <w:tc>
          <w:tcPr>
            <w:tcW w:w="0" w:type="auto"/>
            <w:shd w:val="clear" w:color="auto" w:fill="auto"/>
            <w:vAlign w:val="center"/>
          </w:tcPr>
          <w:p w14:paraId="528C1BDB"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64157C58"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517,150</w:t>
            </w:r>
          </w:p>
        </w:tc>
      </w:tr>
      <w:tr w:rsidR="00D868AB" w:rsidRPr="00D868AB" w14:paraId="367C6CD8" w14:textId="77777777" w:rsidTr="00A755A7">
        <w:trPr>
          <w:trHeight w:val="20"/>
        </w:trPr>
        <w:tc>
          <w:tcPr>
            <w:tcW w:w="0" w:type="auto"/>
            <w:shd w:val="clear" w:color="auto" w:fill="auto"/>
            <w:vAlign w:val="center"/>
            <w:hideMark/>
          </w:tcPr>
          <w:p w14:paraId="494FB61E"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41506</w:t>
            </w:r>
          </w:p>
        </w:tc>
        <w:tc>
          <w:tcPr>
            <w:tcW w:w="0" w:type="auto"/>
            <w:shd w:val="clear" w:color="auto" w:fill="auto"/>
            <w:vAlign w:val="center"/>
            <w:hideMark/>
          </w:tcPr>
          <w:p w14:paraId="120A74DE"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para la Atención de los Adultos Mayores.</w:t>
            </w:r>
          </w:p>
        </w:tc>
        <w:tc>
          <w:tcPr>
            <w:tcW w:w="0" w:type="auto"/>
            <w:shd w:val="clear" w:color="auto" w:fill="auto"/>
            <w:vAlign w:val="center"/>
          </w:tcPr>
          <w:p w14:paraId="36322591"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3CD7F901"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44786039"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11</w:t>
            </w:r>
          </w:p>
        </w:tc>
        <w:tc>
          <w:tcPr>
            <w:tcW w:w="0" w:type="auto"/>
            <w:shd w:val="clear" w:color="auto" w:fill="auto"/>
            <w:vAlign w:val="center"/>
          </w:tcPr>
          <w:p w14:paraId="591041C6"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5FB82551"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6,230,231</w:t>
            </w:r>
          </w:p>
        </w:tc>
      </w:tr>
      <w:tr w:rsidR="00D868AB" w:rsidRPr="00D868AB" w14:paraId="605AD912" w14:textId="77777777" w:rsidTr="00A755A7">
        <w:trPr>
          <w:trHeight w:val="20"/>
        </w:trPr>
        <w:tc>
          <w:tcPr>
            <w:tcW w:w="0" w:type="auto"/>
            <w:shd w:val="clear" w:color="auto" w:fill="auto"/>
            <w:vAlign w:val="center"/>
            <w:hideMark/>
          </w:tcPr>
          <w:p w14:paraId="5E685AD5"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41507</w:t>
            </w:r>
          </w:p>
        </w:tc>
        <w:tc>
          <w:tcPr>
            <w:tcW w:w="0" w:type="auto"/>
            <w:shd w:val="clear" w:color="auto" w:fill="auto"/>
            <w:vAlign w:val="center"/>
            <w:hideMark/>
          </w:tcPr>
          <w:p w14:paraId="64717857"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Colimense de Infraestructura Física Educativa.</w:t>
            </w:r>
          </w:p>
        </w:tc>
        <w:tc>
          <w:tcPr>
            <w:tcW w:w="0" w:type="auto"/>
            <w:shd w:val="clear" w:color="auto" w:fill="auto"/>
            <w:vAlign w:val="center"/>
          </w:tcPr>
          <w:p w14:paraId="70228F13"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78D7B433"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062902BD"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21</w:t>
            </w:r>
          </w:p>
        </w:tc>
        <w:tc>
          <w:tcPr>
            <w:tcW w:w="0" w:type="auto"/>
            <w:shd w:val="clear" w:color="auto" w:fill="auto"/>
            <w:vAlign w:val="center"/>
          </w:tcPr>
          <w:p w14:paraId="6E5ACA06"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2C053F51"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12,537,827</w:t>
            </w:r>
          </w:p>
        </w:tc>
      </w:tr>
      <w:tr w:rsidR="00D868AB" w:rsidRPr="00D868AB" w14:paraId="03A9FF1C" w14:textId="77777777" w:rsidTr="00A755A7">
        <w:trPr>
          <w:trHeight w:val="20"/>
        </w:trPr>
        <w:tc>
          <w:tcPr>
            <w:tcW w:w="0" w:type="auto"/>
            <w:shd w:val="clear" w:color="auto" w:fill="auto"/>
            <w:vAlign w:val="center"/>
            <w:hideMark/>
          </w:tcPr>
          <w:p w14:paraId="18466ECB"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41508</w:t>
            </w:r>
          </w:p>
        </w:tc>
        <w:tc>
          <w:tcPr>
            <w:tcW w:w="0" w:type="auto"/>
            <w:shd w:val="clear" w:color="auto" w:fill="auto"/>
            <w:vAlign w:val="center"/>
            <w:hideMark/>
          </w:tcPr>
          <w:p w14:paraId="611520C2"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Junta de Asistencia Privada.</w:t>
            </w:r>
          </w:p>
        </w:tc>
        <w:tc>
          <w:tcPr>
            <w:tcW w:w="0" w:type="auto"/>
            <w:shd w:val="clear" w:color="auto" w:fill="auto"/>
            <w:vAlign w:val="center"/>
          </w:tcPr>
          <w:p w14:paraId="0296A977"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68EFFECA"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5A0E6CF1"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4</w:t>
            </w:r>
          </w:p>
        </w:tc>
        <w:tc>
          <w:tcPr>
            <w:tcW w:w="0" w:type="auto"/>
            <w:shd w:val="clear" w:color="auto" w:fill="auto"/>
            <w:vAlign w:val="center"/>
          </w:tcPr>
          <w:p w14:paraId="7676370F"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302B2EAA"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2,068,600</w:t>
            </w:r>
          </w:p>
        </w:tc>
      </w:tr>
      <w:tr w:rsidR="00D868AB" w:rsidRPr="00D868AB" w14:paraId="3E7739F4" w14:textId="77777777" w:rsidTr="00A755A7">
        <w:trPr>
          <w:trHeight w:val="20"/>
        </w:trPr>
        <w:tc>
          <w:tcPr>
            <w:tcW w:w="0" w:type="auto"/>
            <w:shd w:val="clear" w:color="auto" w:fill="auto"/>
            <w:vAlign w:val="center"/>
            <w:hideMark/>
          </w:tcPr>
          <w:p w14:paraId="2BAC965C"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41509</w:t>
            </w:r>
          </w:p>
        </w:tc>
        <w:tc>
          <w:tcPr>
            <w:tcW w:w="0" w:type="auto"/>
            <w:shd w:val="clear" w:color="auto" w:fill="auto"/>
            <w:vAlign w:val="center"/>
            <w:hideMark/>
          </w:tcPr>
          <w:p w14:paraId="17112250"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Universidad Tecnológica de Manzanillo.</w:t>
            </w:r>
          </w:p>
        </w:tc>
        <w:tc>
          <w:tcPr>
            <w:tcW w:w="0" w:type="auto"/>
            <w:shd w:val="clear" w:color="auto" w:fill="auto"/>
            <w:vAlign w:val="center"/>
          </w:tcPr>
          <w:p w14:paraId="075E1734"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3FACEBF3"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67E49CBF"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43</w:t>
            </w:r>
          </w:p>
        </w:tc>
        <w:tc>
          <w:tcPr>
            <w:tcW w:w="0" w:type="auto"/>
            <w:shd w:val="clear" w:color="auto" w:fill="auto"/>
            <w:vAlign w:val="center"/>
          </w:tcPr>
          <w:p w14:paraId="485E3290"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60C69CB8"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24,000,000</w:t>
            </w:r>
          </w:p>
        </w:tc>
      </w:tr>
      <w:tr w:rsidR="00D868AB" w:rsidRPr="00D868AB" w14:paraId="0320C3A1" w14:textId="77777777" w:rsidTr="00A755A7">
        <w:trPr>
          <w:trHeight w:val="20"/>
        </w:trPr>
        <w:tc>
          <w:tcPr>
            <w:tcW w:w="0" w:type="auto"/>
            <w:shd w:val="clear" w:color="auto" w:fill="auto"/>
            <w:vAlign w:val="center"/>
            <w:hideMark/>
          </w:tcPr>
          <w:p w14:paraId="7EF709D2"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41510</w:t>
            </w:r>
          </w:p>
        </w:tc>
        <w:tc>
          <w:tcPr>
            <w:tcW w:w="0" w:type="auto"/>
            <w:shd w:val="clear" w:color="auto" w:fill="auto"/>
            <w:vAlign w:val="center"/>
            <w:hideMark/>
          </w:tcPr>
          <w:p w14:paraId="6640C8BB"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Colimense de Radio y Televisión.</w:t>
            </w:r>
          </w:p>
        </w:tc>
        <w:tc>
          <w:tcPr>
            <w:tcW w:w="0" w:type="auto"/>
            <w:shd w:val="clear" w:color="auto" w:fill="auto"/>
            <w:vAlign w:val="center"/>
          </w:tcPr>
          <w:p w14:paraId="5E61891F"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5ED64646"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5D52C75E"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6</w:t>
            </w:r>
          </w:p>
        </w:tc>
        <w:tc>
          <w:tcPr>
            <w:tcW w:w="0" w:type="auto"/>
            <w:shd w:val="clear" w:color="auto" w:fill="auto"/>
            <w:vAlign w:val="center"/>
          </w:tcPr>
          <w:p w14:paraId="4BB7361E"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4EA3F5FD"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23,748,507</w:t>
            </w:r>
          </w:p>
        </w:tc>
      </w:tr>
      <w:tr w:rsidR="00D868AB" w:rsidRPr="00D868AB" w14:paraId="092C0095" w14:textId="77777777" w:rsidTr="00A755A7">
        <w:trPr>
          <w:trHeight w:val="20"/>
        </w:trPr>
        <w:tc>
          <w:tcPr>
            <w:tcW w:w="0" w:type="auto"/>
            <w:shd w:val="clear" w:color="auto" w:fill="auto"/>
            <w:vAlign w:val="center"/>
          </w:tcPr>
          <w:p w14:paraId="1AFDAD5D" w14:textId="77777777" w:rsidR="00D868AB" w:rsidRPr="00D868AB" w:rsidRDefault="00D868AB" w:rsidP="00D868AB">
            <w:pPr>
              <w:jc w:val="center"/>
              <w:rPr>
                <w:rFonts w:eastAsia="Times New Roman" w:cs="Arial"/>
                <w:color w:val="000000"/>
                <w:sz w:val="16"/>
                <w:szCs w:val="16"/>
              </w:rPr>
            </w:pPr>
            <w:r w:rsidRPr="00D868AB">
              <w:rPr>
                <w:rFonts w:cs="Arial"/>
                <w:sz w:val="16"/>
                <w:szCs w:val="16"/>
              </w:rPr>
              <w:t>41511</w:t>
            </w:r>
          </w:p>
        </w:tc>
        <w:tc>
          <w:tcPr>
            <w:tcW w:w="0" w:type="auto"/>
            <w:shd w:val="clear" w:color="auto" w:fill="auto"/>
            <w:vAlign w:val="center"/>
          </w:tcPr>
          <w:p w14:paraId="10F09345" w14:textId="77777777" w:rsidR="00D868AB" w:rsidRPr="00D868AB" w:rsidRDefault="00D868AB" w:rsidP="00D868AB">
            <w:pPr>
              <w:rPr>
                <w:rFonts w:eastAsia="Times New Roman" w:cs="Arial"/>
                <w:color w:val="000000"/>
                <w:sz w:val="16"/>
                <w:szCs w:val="16"/>
              </w:rPr>
            </w:pPr>
            <w:r w:rsidRPr="00D868AB">
              <w:rPr>
                <w:rFonts w:cs="Arial"/>
                <w:sz w:val="16"/>
                <w:szCs w:val="16"/>
              </w:rPr>
              <w:t>Centro de Conciliación Laboral del Estado de Colima.</w:t>
            </w:r>
          </w:p>
        </w:tc>
        <w:tc>
          <w:tcPr>
            <w:tcW w:w="0" w:type="auto"/>
            <w:shd w:val="clear" w:color="auto" w:fill="auto"/>
            <w:vAlign w:val="center"/>
          </w:tcPr>
          <w:p w14:paraId="784E774F"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75440935"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4E222BAA"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6</w:t>
            </w:r>
          </w:p>
        </w:tc>
        <w:tc>
          <w:tcPr>
            <w:tcW w:w="0" w:type="auto"/>
            <w:shd w:val="clear" w:color="auto" w:fill="auto"/>
            <w:vAlign w:val="center"/>
          </w:tcPr>
          <w:p w14:paraId="0FF20AE0"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5397FF5A"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10,000,000</w:t>
            </w:r>
          </w:p>
        </w:tc>
      </w:tr>
      <w:tr w:rsidR="00D868AB" w:rsidRPr="00D868AB" w14:paraId="5F61EF7C" w14:textId="77777777" w:rsidTr="00A755A7">
        <w:trPr>
          <w:trHeight w:val="20"/>
        </w:trPr>
        <w:tc>
          <w:tcPr>
            <w:tcW w:w="0" w:type="auto"/>
            <w:shd w:val="clear" w:color="auto" w:fill="auto"/>
            <w:vAlign w:val="center"/>
            <w:hideMark/>
          </w:tcPr>
          <w:p w14:paraId="781F0248"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41512</w:t>
            </w:r>
          </w:p>
        </w:tc>
        <w:tc>
          <w:tcPr>
            <w:tcW w:w="0" w:type="auto"/>
            <w:shd w:val="clear" w:color="auto" w:fill="auto"/>
            <w:vAlign w:val="center"/>
            <w:hideMark/>
          </w:tcPr>
          <w:p w14:paraId="58A78029"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Consejo Estatal para la Prevención y Atención a la Violencia Familiar.</w:t>
            </w:r>
          </w:p>
        </w:tc>
        <w:tc>
          <w:tcPr>
            <w:tcW w:w="0" w:type="auto"/>
            <w:shd w:val="clear" w:color="auto" w:fill="auto"/>
            <w:vAlign w:val="center"/>
          </w:tcPr>
          <w:p w14:paraId="2CEC966A"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0B531B1B"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0E438FF0"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8</w:t>
            </w:r>
          </w:p>
        </w:tc>
        <w:tc>
          <w:tcPr>
            <w:tcW w:w="0" w:type="auto"/>
            <w:shd w:val="clear" w:color="auto" w:fill="auto"/>
            <w:vAlign w:val="center"/>
          </w:tcPr>
          <w:p w14:paraId="50F59558"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786F42C8"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3,927,906</w:t>
            </w:r>
          </w:p>
        </w:tc>
      </w:tr>
      <w:tr w:rsidR="00D868AB" w:rsidRPr="00D868AB" w14:paraId="6FD515CD" w14:textId="77777777" w:rsidTr="00A755A7">
        <w:trPr>
          <w:trHeight w:val="20"/>
        </w:trPr>
        <w:tc>
          <w:tcPr>
            <w:tcW w:w="0" w:type="auto"/>
            <w:shd w:val="clear" w:color="auto" w:fill="auto"/>
            <w:vAlign w:val="center"/>
            <w:hideMark/>
          </w:tcPr>
          <w:p w14:paraId="4B2D5990"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41513</w:t>
            </w:r>
          </w:p>
        </w:tc>
        <w:tc>
          <w:tcPr>
            <w:tcW w:w="0" w:type="auto"/>
            <w:shd w:val="clear" w:color="auto" w:fill="auto"/>
            <w:vAlign w:val="center"/>
            <w:hideMark/>
          </w:tcPr>
          <w:p w14:paraId="25D1CA46"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Colimense para la Discapacidad.</w:t>
            </w:r>
          </w:p>
        </w:tc>
        <w:tc>
          <w:tcPr>
            <w:tcW w:w="0" w:type="auto"/>
            <w:shd w:val="clear" w:color="auto" w:fill="auto"/>
            <w:vAlign w:val="center"/>
          </w:tcPr>
          <w:p w14:paraId="7C49948D"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2DD4DD1C"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5A3346A0"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10</w:t>
            </w:r>
          </w:p>
        </w:tc>
        <w:tc>
          <w:tcPr>
            <w:tcW w:w="0" w:type="auto"/>
            <w:shd w:val="clear" w:color="auto" w:fill="auto"/>
            <w:vAlign w:val="center"/>
          </w:tcPr>
          <w:p w14:paraId="7C293E97"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55531839"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3,764,564</w:t>
            </w:r>
          </w:p>
        </w:tc>
      </w:tr>
      <w:tr w:rsidR="00D868AB" w:rsidRPr="00D868AB" w14:paraId="66775EDE" w14:textId="77777777" w:rsidTr="00A755A7">
        <w:trPr>
          <w:trHeight w:val="20"/>
        </w:trPr>
        <w:tc>
          <w:tcPr>
            <w:tcW w:w="0" w:type="auto"/>
            <w:shd w:val="clear" w:color="auto" w:fill="auto"/>
            <w:vAlign w:val="center"/>
            <w:hideMark/>
          </w:tcPr>
          <w:p w14:paraId="5CB2442B"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lastRenderedPageBreak/>
              <w:t>41514</w:t>
            </w:r>
          </w:p>
        </w:tc>
        <w:tc>
          <w:tcPr>
            <w:tcW w:w="0" w:type="auto"/>
            <w:shd w:val="clear" w:color="auto" w:fill="auto"/>
            <w:vAlign w:val="center"/>
            <w:hideMark/>
          </w:tcPr>
          <w:p w14:paraId="3DEE18A3"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Comisión Estatal del Agua de Colima.</w:t>
            </w:r>
          </w:p>
        </w:tc>
        <w:tc>
          <w:tcPr>
            <w:tcW w:w="0" w:type="auto"/>
            <w:shd w:val="clear" w:color="auto" w:fill="auto"/>
            <w:vAlign w:val="center"/>
          </w:tcPr>
          <w:p w14:paraId="7233F815"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4EC139C9"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65D2AD1B"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17</w:t>
            </w:r>
          </w:p>
        </w:tc>
        <w:tc>
          <w:tcPr>
            <w:tcW w:w="0" w:type="auto"/>
            <w:shd w:val="clear" w:color="auto" w:fill="auto"/>
            <w:vAlign w:val="center"/>
          </w:tcPr>
          <w:p w14:paraId="5E47E3E3"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06FE57B5"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4,567,059</w:t>
            </w:r>
          </w:p>
        </w:tc>
      </w:tr>
      <w:tr w:rsidR="00D868AB" w:rsidRPr="00D868AB" w14:paraId="078E44DF" w14:textId="77777777" w:rsidTr="00A755A7">
        <w:trPr>
          <w:trHeight w:val="20"/>
        </w:trPr>
        <w:tc>
          <w:tcPr>
            <w:tcW w:w="0" w:type="auto"/>
            <w:shd w:val="clear" w:color="auto" w:fill="auto"/>
            <w:vAlign w:val="center"/>
            <w:hideMark/>
          </w:tcPr>
          <w:p w14:paraId="0C7F599F"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41515</w:t>
            </w:r>
          </w:p>
        </w:tc>
        <w:tc>
          <w:tcPr>
            <w:tcW w:w="0" w:type="auto"/>
            <w:shd w:val="clear" w:color="auto" w:fill="auto"/>
            <w:vAlign w:val="center"/>
            <w:hideMark/>
          </w:tcPr>
          <w:p w14:paraId="0C9DDC9E"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Colimense de las Mujeres.</w:t>
            </w:r>
          </w:p>
        </w:tc>
        <w:tc>
          <w:tcPr>
            <w:tcW w:w="0" w:type="auto"/>
            <w:shd w:val="clear" w:color="auto" w:fill="auto"/>
            <w:vAlign w:val="center"/>
          </w:tcPr>
          <w:p w14:paraId="1F254130"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73429338"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5C16C1CE"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19</w:t>
            </w:r>
          </w:p>
        </w:tc>
        <w:tc>
          <w:tcPr>
            <w:tcW w:w="0" w:type="auto"/>
            <w:shd w:val="clear" w:color="auto" w:fill="auto"/>
            <w:vAlign w:val="center"/>
          </w:tcPr>
          <w:p w14:paraId="7015DC6A"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11B5D3E2"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26,450,505</w:t>
            </w:r>
          </w:p>
        </w:tc>
      </w:tr>
      <w:tr w:rsidR="00D868AB" w:rsidRPr="00D868AB" w14:paraId="17DD1D25" w14:textId="77777777" w:rsidTr="00A755A7">
        <w:trPr>
          <w:trHeight w:val="20"/>
        </w:trPr>
        <w:tc>
          <w:tcPr>
            <w:tcW w:w="0" w:type="auto"/>
            <w:shd w:val="clear" w:color="auto" w:fill="auto"/>
            <w:vAlign w:val="center"/>
            <w:hideMark/>
          </w:tcPr>
          <w:p w14:paraId="77F4C23A"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41517</w:t>
            </w:r>
          </w:p>
        </w:tc>
        <w:tc>
          <w:tcPr>
            <w:tcW w:w="0" w:type="auto"/>
            <w:shd w:val="clear" w:color="auto" w:fill="auto"/>
            <w:vAlign w:val="center"/>
            <w:hideMark/>
          </w:tcPr>
          <w:p w14:paraId="03CC1326"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Colegio de Educación Profesional Técnica del Estado de Colima.</w:t>
            </w:r>
          </w:p>
        </w:tc>
        <w:tc>
          <w:tcPr>
            <w:tcW w:w="0" w:type="auto"/>
            <w:shd w:val="clear" w:color="auto" w:fill="auto"/>
            <w:vAlign w:val="center"/>
          </w:tcPr>
          <w:p w14:paraId="470757D2"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7FC0E3E9"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25F44C92"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10</w:t>
            </w:r>
          </w:p>
        </w:tc>
        <w:tc>
          <w:tcPr>
            <w:tcW w:w="0" w:type="auto"/>
            <w:shd w:val="clear" w:color="auto" w:fill="auto"/>
            <w:vAlign w:val="center"/>
          </w:tcPr>
          <w:p w14:paraId="282A384F"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76BEFC2C"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2,068,600</w:t>
            </w:r>
          </w:p>
        </w:tc>
      </w:tr>
      <w:tr w:rsidR="00D868AB" w:rsidRPr="00D868AB" w14:paraId="444A528A" w14:textId="77777777" w:rsidTr="00A755A7">
        <w:trPr>
          <w:trHeight w:val="20"/>
        </w:trPr>
        <w:tc>
          <w:tcPr>
            <w:tcW w:w="0" w:type="auto"/>
            <w:shd w:val="clear" w:color="auto" w:fill="auto"/>
            <w:vAlign w:val="center"/>
            <w:hideMark/>
          </w:tcPr>
          <w:p w14:paraId="18B3E358"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41521</w:t>
            </w:r>
          </w:p>
        </w:tc>
        <w:tc>
          <w:tcPr>
            <w:tcW w:w="0" w:type="auto"/>
            <w:shd w:val="clear" w:color="auto" w:fill="auto"/>
            <w:vAlign w:val="center"/>
            <w:hideMark/>
          </w:tcPr>
          <w:p w14:paraId="482564B6"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Colimense para la Sociedad de la Información y el Conocimiento.</w:t>
            </w:r>
          </w:p>
        </w:tc>
        <w:tc>
          <w:tcPr>
            <w:tcW w:w="0" w:type="auto"/>
            <w:shd w:val="clear" w:color="auto" w:fill="auto"/>
            <w:vAlign w:val="center"/>
          </w:tcPr>
          <w:p w14:paraId="5D95675E"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47AB6567"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155DFB9C"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11</w:t>
            </w:r>
          </w:p>
        </w:tc>
        <w:tc>
          <w:tcPr>
            <w:tcW w:w="0" w:type="auto"/>
            <w:shd w:val="clear" w:color="auto" w:fill="auto"/>
            <w:vAlign w:val="center"/>
          </w:tcPr>
          <w:p w14:paraId="518A4552"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409236BA"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17,687,913</w:t>
            </w:r>
          </w:p>
        </w:tc>
      </w:tr>
      <w:tr w:rsidR="00D868AB" w:rsidRPr="00D868AB" w14:paraId="0576FC9B" w14:textId="77777777" w:rsidTr="00A755A7">
        <w:trPr>
          <w:trHeight w:val="20"/>
        </w:trPr>
        <w:tc>
          <w:tcPr>
            <w:tcW w:w="0" w:type="auto"/>
            <w:shd w:val="clear" w:color="auto" w:fill="auto"/>
            <w:vAlign w:val="center"/>
            <w:hideMark/>
          </w:tcPr>
          <w:p w14:paraId="724D5138"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41522</w:t>
            </w:r>
          </w:p>
        </w:tc>
        <w:tc>
          <w:tcPr>
            <w:tcW w:w="0" w:type="auto"/>
            <w:shd w:val="clear" w:color="auto" w:fill="auto"/>
            <w:vAlign w:val="center"/>
            <w:hideMark/>
          </w:tcPr>
          <w:p w14:paraId="1B31D06D"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para el Medio Ambiente y Desarrollo Sustentable.</w:t>
            </w:r>
          </w:p>
        </w:tc>
        <w:tc>
          <w:tcPr>
            <w:tcW w:w="0" w:type="auto"/>
            <w:shd w:val="clear" w:color="auto" w:fill="auto"/>
            <w:vAlign w:val="center"/>
          </w:tcPr>
          <w:p w14:paraId="61159B78"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14FA3B70"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5EC7004B"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36</w:t>
            </w:r>
          </w:p>
        </w:tc>
        <w:tc>
          <w:tcPr>
            <w:tcW w:w="0" w:type="auto"/>
            <w:shd w:val="clear" w:color="auto" w:fill="auto"/>
            <w:vAlign w:val="center"/>
          </w:tcPr>
          <w:p w14:paraId="13631776"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5B87D804"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12,536,172</w:t>
            </w:r>
          </w:p>
        </w:tc>
      </w:tr>
      <w:tr w:rsidR="00D868AB" w:rsidRPr="00D868AB" w14:paraId="1A9C7560" w14:textId="77777777" w:rsidTr="00A755A7">
        <w:trPr>
          <w:trHeight w:val="20"/>
        </w:trPr>
        <w:tc>
          <w:tcPr>
            <w:tcW w:w="0" w:type="auto"/>
            <w:shd w:val="clear" w:color="auto" w:fill="auto"/>
            <w:vAlign w:val="center"/>
            <w:hideMark/>
          </w:tcPr>
          <w:p w14:paraId="40C5700B"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41523</w:t>
            </w:r>
          </w:p>
        </w:tc>
        <w:tc>
          <w:tcPr>
            <w:tcW w:w="0" w:type="auto"/>
            <w:shd w:val="clear" w:color="auto" w:fill="auto"/>
            <w:vAlign w:val="center"/>
            <w:hideMark/>
          </w:tcPr>
          <w:p w14:paraId="71683680"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para el Registro del Territorio del Estado de Colima.</w:t>
            </w:r>
          </w:p>
        </w:tc>
        <w:tc>
          <w:tcPr>
            <w:tcW w:w="0" w:type="auto"/>
            <w:shd w:val="clear" w:color="auto" w:fill="auto"/>
            <w:vAlign w:val="center"/>
          </w:tcPr>
          <w:p w14:paraId="45FFCAE7"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0117EA3F"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0D821CB3"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9</w:t>
            </w:r>
          </w:p>
        </w:tc>
        <w:tc>
          <w:tcPr>
            <w:tcW w:w="0" w:type="auto"/>
            <w:shd w:val="clear" w:color="auto" w:fill="auto"/>
            <w:vAlign w:val="center"/>
          </w:tcPr>
          <w:p w14:paraId="5393C024"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663F047F"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39,868,422</w:t>
            </w:r>
          </w:p>
        </w:tc>
      </w:tr>
      <w:tr w:rsidR="00D868AB" w:rsidRPr="00D868AB" w14:paraId="23768459" w14:textId="77777777" w:rsidTr="00A755A7">
        <w:trPr>
          <w:trHeight w:val="20"/>
        </w:trPr>
        <w:tc>
          <w:tcPr>
            <w:tcW w:w="0" w:type="auto"/>
            <w:shd w:val="clear" w:color="auto" w:fill="auto"/>
            <w:vAlign w:val="center"/>
          </w:tcPr>
          <w:p w14:paraId="7F4F934D" w14:textId="77777777" w:rsidR="00D868AB" w:rsidRPr="00D868AB" w:rsidRDefault="00D868AB" w:rsidP="00D868AB">
            <w:pPr>
              <w:jc w:val="center"/>
              <w:rPr>
                <w:rFonts w:eastAsia="Times New Roman" w:cs="Arial"/>
                <w:color w:val="000000"/>
                <w:sz w:val="16"/>
                <w:szCs w:val="16"/>
              </w:rPr>
            </w:pPr>
            <w:r w:rsidRPr="00D868AB">
              <w:rPr>
                <w:rFonts w:cs="Arial"/>
                <w:sz w:val="16"/>
                <w:szCs w:val="16"/>
              </w:rPr>
              <w:t>41527</w:t>
            </w:r>
          </w:p>
        </w:tc>
        <w:tc>
          <w:tcPr>
            <w:tcW w:w="0" w:type="auto"/>
            <w:shd w:val="clear" w:color="auto" w:fill="auto"/>
            <w:vAlign w:val="center"/>
          </w:tcPr>
          <w:p w14:paraId="2AD2F05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8"/>
              </w:rPr>
              <w:t xml:space="preserve">Colegio de Educación Profesional Técnica (Tecomán). </w:t>
            </w:r>
          </w:p>
        </w:tc>
        <w:tc>
          <w:tcPr>
            <w:tcW w:w="0" w:type="auto"/>
            <w:shd w:val="clear" w:color="auto" w:fill="auto"/>
            <w:vAlign w:val="center"/>
          </w:tcPr>
          <w:p w14:paraId="795B7E70"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460E9569"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3886A766"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10</w:t>
            </w:r>
          </w:p>
        </w:tc>
        <w:tc>
          <w:tcPr>
            <w:tcW w:w="0" w:type="auto"/>
            <w:shd w:val="clear" w:color="auto" w:fill="auto"/>
            <w:vAlign w:val="center"/>
          </w:tcPr>
          <w:p w14:paraId="20D0CE1F"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05803B7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3,700,000</w:t>
            </w:r>
          </w:p>
        </w:tc>
      </w:tr>
      <w:tr w:rsidR="00D868AB" w:rsidRPr="00D868AB" w14:paraId="5C93718A" w14:textId="77777777" w:rsidTr="00A755A7">
        <w:trPr>
          <w:trHeight w:val="20"/>
        </w:trPr>
        <w:tc>
          <w:tcPr>
            <w:tcW w:w="0" w:type="auto"/>
            <w:shd w:val="clear" w:color="auto" w:fill="auto"/>
            <w:vAlign w:val="center"/>
            <w:hideMark/>
          </w:tcPr>
          <w:p w14:paraId="14C019AF"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41560</w:t>
            </w:r>
          </w:p>
        </w:tc>
        <w:tc>
          <w:tcPr>
            <w:tcW w:w="0" w:type="auto"/>
            <w:shd w:val="clear" w:color="auto" w:fill="auto"/>
            <w:vAlign w:val="center"/>
            <w:hideMark/>
          </w:tcPr>
          <w:p w14:paraId="28A60FC3"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Secretaría Ejecutiva del Sistema Anticorrupción del Estado de Colima.</w:t>
            </w:r>
          </w:p>
        </w:tc>
        <w:tc>
          <w:tcPr>
            <w:tcW w:w="0" w:type="auto"/>
            <w:shd w:val="clear" w:color="auto" w:fill="auto"/>
            <w:vAlign w:val="center"/>
          </w:tcPr>
          <w:p w14:paraId="05B786BB"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6CB87412"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7B49C2F5"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10</w:t>
            </w:r>
          </w:p>
        </w:tc>
        <w:tc>
          <w:tcPr>
            <w:tcW w:w="0" w:type="auto"/>
            <w:shd w:val="clear" w:color="auto" w:fill="auto"/>
            <w:vAlign w:val="center"/>
          </w:tcPr>
          <w:p w14:paraId="57C92AE9"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5B801ADD"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5,000,000</w:t>
            </w:r>
          </w:p>
        </w:tc>
      </w:tr>
      <w:tr w:rsidR="00D868AB" w:rsidRPr="00D868AB" w14:paraId="39586089" w14:textId="77777777" w:rsidTr="00A755A7">
        <w:trPr>
          <w:trHeight w:val="20"/>
        </w:trPr>
        <w:tc>
          <w:tcPr>
            <w:tcW w:w="0" w:type="auto"/>
            <w:shd w:val="clear" w:color="auto" w:fill="auto"/>
            <w:vAlign w:val="center"/>
            <w:hideMark/>
          </w:tcPr>
          <w:p w14:paraId="1F77B27F"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41561</w:t>
            </w:r>
          </w:p>
        </w:tc>
        <w:tc>
          <w:tcPr>
            <w:tcW w:w="0" w:type="auto"/>
            <w:shd w:val="clear" w:color="auto" w:fill="auto"/>
            <w:vAlign w:val="center"/>
            <w:hideMark/>
          </w:tcPr>
          <w:p w14:paraId="4E07732D"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Órgano de Gestión y Control del Patrimonio Inmobiliario del Estado de Colima.</w:t>
            </w:r>
          </w:p>
        </w:tc>
        <w:tc>
          <w:tcPr>
            <w:tcW w:w="0" w:type="auto"/>
            <w:shd w:val="clear" w:color="auto" w:fill="auto"/>
            <w:vAlign w:val="center"/>
          </w:tcPr>
          <w:p w14:paraId="0EDA524D"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68941C5A"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1510945F"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6</w:t>
            </w:r>
          </w:p>
        </w:tc>
        <w:tc>
          <w:tcPr>
            <w:tcW w:w="0" w:type="auto"/>
            <w:shd w:val="clear" w:color="auto" w:fill="auto"/>
            <w:vAlign w:val="center"/>
          </w:tcPr>
          <w:p w14:paraId="3818B4AA"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26D7A16C"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1,500,000</w:t>
            </w:r>
          </w:p>
        </w:tc>
      </w:tr>
      <w:tr w:rsidR="00D868AB" w:rsidRPr="00D868AB" w14:paraId="6BA465A9" w14:textId="77777777" w:rsidTr="00A755A7">
        <w:trPr>
          <w:trHeight w:val="20"/>
        </w:trPr>
        <w:tc>
          <w:tcPr>
            <w:tcW w:w="0" w:type="auto"/>
            <w:shd w:val="clear" w:color="auto" w:fill="auto"/>
            <w:vAlign w:val="center"/>
            <w:hideMark/>
          </w:tcPr>
          <w:p w14:paraId="0E7C395F"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41562</w:t>
            </w:r>
          </w:p>
        </w:tc>
        <w:tc>
          <w:tcPr>
            <w:tcW w:w="0" w:type="auto"/>
            <w:shd w:val="clear" w:color="auto" w:fill="auto"/>
            <w:vAlign w:val="center"/>
            <w:hideMark/>
          </w:tcPr>
          <w:p w14:paraId="4EB19D92"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Universidad de Colima.</w:t>
            </w:r>
          </w:p>
        </w:tc>
        <w:tc>
          <w:tcPr>
            <w:tcW w:w="0" w:type="auto"/>
            <w:shd w:val="clear" w:color="auto" w:fill="auto"/>
            <w:vAlign w:val="center"/>
          </w:tcPr>
          <w:p w14:paraId="0EF6BC63"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2AA5ED58"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3A8F1878"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40</w:t>
            </w:r>
          </w:p>
        </w:tc>
        <w:tc>
          <w:tcPr>
            <w:tcW w:w="0" w:type="auto"/>
            <w:shd w:val="clear" w:color="auto" w:fill="auto"/>
            <w:vAlign w:val="center"/>
          </w:tcPr>
          <w:p w14:paraId="1EAA82B8"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0E659F7E"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500,030,275</w:t>
            </w:r>
          </w:p>
        </w:tc>
      </w:tr>
      <w:tr w:rsidR="00D868AB" w:rsidRPr="00D868AB" w14:paraId="3D25B2A4" w14:textId="77777777" w:rsidTr="00A755A7">
        <w:trPr>
          <w:trHeight w:val="20"/>
        </w:trPr>
        <w:tc>
          <w:tcPr>
            <w:tcW w:w="0" w:type="auto"/>
            <w:shd w:val="clear" w:color="auto" w:fill="auto"/>
            <w:vAlign w:val="center"/>
            <w:hideMark/>
          </w:tcPr>
          <w:p w14:paraId="1CDCE9C6"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41563</w:t>
            </w:r>
          </w:p>
        </w:tc>
        <w:tc>
          <w:tcPr>
            <w:tcW w:w="0" w:type="auto"/>
            <w:shd w:val="clear" w:color="auto" w:fill="auto"/>
            <w:vAlign w:val="center"/>
            <w:hideMark/>
          </w:tcPr>
          <w:p w14:paraId="620121A0"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Procuraduría de Protección de Niñas, Niños y Adolescentes del Estado de Colima.</w:t>
            </w:r>
          </w:p>
        </w:tc>
        <w:tc>
          <w:tcPr>
            <w:tcW w:w="0" w:type="auto"/>
            <w:shd w:val="clear" w:color="auto" w:fill="auto"/>
            <w:vAlign w:val="center"/>
          </w:tcPr>
          <w:p w14:paraId="6073E904"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59BF1BE3"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139DC0B7"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8</w:t>
            </w:r>
          </w:p>
        </w:tc>
        <w:tc>
          <w:tcPr>
            <w:tcW w:w="0" w:type="auto"/>
            <w:shd w:val="clear" w:color="auto" w:fill="auto"/>
            <w:vAlign w:val="center"/>
          </w:tcPr>
          <w:p w14:paraId="25F6D984"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0A0356CD"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11,411,409</w:t>
            </w:r>
          </w:p>
        </w:tc>
      </w:tr>
      <w:tr w:rsidR="00D868AB" w:rsidRPr="00D868AB" w14:paraId="36B2CECC" w14:textId="77777777" w:rsidTr="00A755A7">
        <w:trPr>
          <w:trHeight w:val="20"/>
        </w:trPr>
        <w:tc>
          <w:tcPr>
            <w:tcW w:w="0" w:type="auto"/>
            <w:shd w:val="clear" w:color="auto" w:fill="auto"/>
            <w:vAlign w:val="center"/>
            <w:hideMark/>
          </w:tcPr>
          <w:p w14:paraId="6A4311F2"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44301</w:t>
            </w:r>
          </w:p>
        </w:tc>
        <w:tc>
          <w:tcPr>
            <w:tcW w:w="0" w:type="auto"/>
            <w:shd w:val="clear" w:color="auto" w:fill="auto"/>
            <w:vAlign w:val="center"/>
            <w:hideMark/>
          </w:tcPr>
          <w:p w14:paraId="2A145EFC"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Tecnológico de Colima.</w:t>
            </w:r>
          </w:p>
        </w:tc>
        <w:tc>
          <w:tcPr>
            <w:tcW w:w="0" w:type="auto"/>
            <w:shd w:val="clear" w:color="auto" w:fill="auto"/>
            <w:vAlign w:val="center"/>
          </w:tcPr>
          <w:p w14:paraId="6A8CBCDD"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343669E4"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2689101E"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36</w:t>
            </w:r>
          </w:p>
        </w:tc>
        <w:tc>
          <w:tcPr>
            <w:tcW w:w="0" w:type="auto"/>
            <w:shd w:val="clear" w:color="auto" w:fill="auto"/>
            <w:vAlign w:val="center"/>
          </w:tcPr>
          <w:p w14:paraId="733C22E4"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6513766B"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13,445,900</w:t>
            </w:r>
          </w:p>
        </w:tc>
      </w:tr>
      <w:tr w:rsidR="00D868AB" w:rsidRPr="00D868AB" w14:paraId="148E48E1" w14:textId="77777777" w:rsidTr="00A755A7">
        <w:trPr>
          <w:trHeight w:val="20"/>
        </w:trPr>
        <w:tc>
          <w:tcPr>
            <w:tcW w:w="0" w:type="auto"/>
            <w:shd w:val="clear" w:color="auto" w:fill="auto"/>
            <w:vAlign w:val="center"/>
            <w:hideMark/>
          </w:tcPr>
          <w:p w14:paraId="04B43F7B"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44305</w:t>
            </w:r>
          </w:p>
        </w:tc>
        <w:tc>
          <w:tcPr>
            <w:tcW w:w="0" w:type="auto"/>
            <w:shd w:val="clear" w:color="auto" w:fill="auto"/>
            <w:vAlign w:val="center"/>
            <w:hideMark/>
          </w:tcPr>
          <w:p w14:paraId="11F3FD38"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Instituto Estatal de Educación para Adultos.</w:t>
            </w:r>
          </w:p>
        </w:tc>
        <w:tc>
          <w:tcPr>
            <w:tcW w:w="0" w:type="auto"/>
            <w:shd w:val="clear" w:color="auto" w:fill="auto"/>
            <w:vAlign w:val="center"/>
          </w:tcPr>
          <w:p w14:paraId="58461546"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13AB06A8"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232B27E9"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9</w:t>
            </w:r>
          </w:p>
        </w:tc>
        <w:tc>
          <w:tcPr>
            <w:tcW w:w="0" w:type="auto"/>
            <w:shd w:val="clear" w:color="auto" w:fill="auto"/>
            <w:vAlign w:val="center"/>
          </w:tcPr>
          <w:p w14:paraId="49A6D70F"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209523E2"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7,351,351</w:t>
            </w:r>
          </w:p>
        </w:tc>
      </w:tr>
      <w:tr w:rsidR="00D868AB" w:rsidRPr="00D868AB" w14:paraId="4E3A9458" w14:textId="77777777" w:rsidTr="00A755A7">
        <w:trPr>
          <w:trHeight w:val="20"/>
        </w:trPr>
        <w:tc>
          <w:tcPr>
            <w:tcW w:w="0" w:type="auto"/>
            <w:shd w:val="clear" w:color="auto" w:fill="auto"/>
            <w:vAlign w:val="center"/>
            <w:hideMark/>
          </w:tcPr>
          <w:p w14:paraId="318EA6EC" w14:textId="77777777" w:rsidR="00D868AB" w:rsidRPr="00D868AB" w:rsidRDefault="00D868AB" w:rsidP="00D868AB">
            <w:pPr>
              <w:jc w:val="center"/>
              <w:rPr>
                <w:rFonts w:eastAsia="Times New Roman" w:cs="Arial"/>
                <w:color w:val="000000"/>
                <w:sz w:val="16"/>
                <w:szCs w:val="18"/>
              </w:rPr>
            </w:pPr>
            <w:r w:rsidRPr="00D868AB">
              <w:rPr>
                <w:rFonts w:eastAsia="Times New Roman" w:cs="Arial"/>
                <w:color w:val="000000"/>
                <w:sz w:val="16"/>
                <w:szCs w:val="18"/>
              </w:rPr>
              <w:t>44801</w:t>
            </w:r>
          </w:p>
        </w:tc>
        <w:tc>
          <w:tcPr>
            <w:tcW w:w="0" w:type="auto"/>
            <w:shd w:val="clear" w:color="auto" w:fill="auto"/>
            <w:vAlign w:val="center"/>
            <w:hideMark/>
          </w:tcPr>
          <w:p w14:paraId="48A674A4" w14:textId="77777777" w:rsidR="00D868AB" w:rsidRPr="00D868AB" w:rsidRDefault="00D868AB" w:rsidP="00D868AB">
            <w:pPr>
              <w:rPr>
                <w:rFonts w:eastAsia="Times New Roman" w:cs="Arial"/>
                <w:color w:val="000000"/>
                <w:sz w:val="16"/>
                <w:szCs w:val="18"/>
              </w:rPr>
            </w:pPr>
            <w:r w:rsidRPr="00D868AB">
              <w:rPr>
                <w:rFonts w:eastAsia="Times New Roman" w:cs="Arial"/>
                <w:color w:val="000000"/>
                <w:sz w:val="16"/>
                <w:szCs w:val="18"/>
              </w:rPr>
              <w:t>Unidad Estatal de Protección Civil.</w:t>
            </w:r>
          </w:p>
        </w:tc>
        <w:tc>
          <w:tcPr>
            <w:tcW w:w="0" w:type="auto"/>
            <w:shd w:val="clear" w:color="auto" w:fill="auto"/>
            <w:vAlign w:val="center"/>
          </w:tcPr>
          <w:p w14:paraId="34D5874E"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7EB47900"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0" w:type="auto"/>
            <w:shd w:val="clear" w:color="auto" w:fill="auto"/>
            <w:vAlign w:val="center"/>
          </w:tcPr>
          <w:p w14:paraId="6C92E1A5"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18</w:t>
            </w:r>
          </w:p>
        </w:tc>
        <w:tc>
          <w:tcPr>
            <w:tcW w:w="0" w:type="auto"/>
            <w:shd w:val="clear" w:color="auto" w:fill="auto"/>
            <w:vAlign w:val="center"/>
          </w:tcPr>
          <w:p w14:paraId="59E75F77" w14:textId="77777777" w:rsidR="00D868AB" w:rsidRPr="00D868AB" w:rsidRDefault="00D868AB" w:rsidP="00D868AB">
            <w:pPr>
              <w:jc w:val="center"/>
              <w:rPr>
                <w:rFonts w:eastAsia="Times New Roman" w:cs="Arial"/>
                <w:color w:val="000000"/>
                <w:sz w:val="16"/>
                <w:szCs w:val="16"/>
              </w:rPr>
            </w:pPr>
            <w:r w:rsidRPr="00D868AB">
              <w:rPr>
                <w:rFonts w:eastAsia="Arial" w:cs="Arial"/>
                <w:color w:val="000000"/>
                <w:sz w:val="16"/>
                <w:szCs w:val="16"/>
              </w:rPr>
              <w:t>1</w:t>
            </w:r>
          </w:p>
        </w:tc>
        <w:tc>
          <w:tcPr>
            <w:tcW w:w="1390" w:type="dxa"/>
            <w:shd w:val="clear" w:color="auto" w:fill="auto"/>
            <w:vAlign w:val="center"/>
          </w:tcPr>
          <w:p w14:paraId="1C46410F" w14:textId="77777777" w:rsidR="00D868AB" w:rsidRPr="00D868AB" w:rsidRDefault="00D868AB" w:rsidP="00D868AB">
            <w:pPr>
              <w:jc w:val="right"/>
              <w:rPr>
                <w:rFonts w:eastAsia="Times New Roman" w:cs="Arial"/>
                <w:color w:val="000000"/>
                <w:sz w:val="16"/>
                <w:szCs w:val="18"/>
              </w:rPr>
            </w:pPr>
            <w:r w:rsidRPr="00D868AB">
              <w:rPr>
                <w:rFonts w:cs="Arial"/>
                <w:color w:val="000000"/>
                <w:sz w:val="16"/>
                <w:szCs w:val="16"/>
              </w:rPr>
              <w:t>19,383,525</w:t>
            </w:r>
          </w:p>
        </w:tc>
      </w:tr>
      <w:tr w:rsidR="00D868AB" w:rsidRPr="00D868AB" w14:paraId="6AC0EDC9" w14:textId="77777777" w:rsidTr="00A755A7">
        <w:trPr>
          <w:trHeight w:val="20"/>
        </w:trPr>
        <w:tc>
          <w:tcPr>
            <w:tcW w:w="0" w:type="auto"/>
            <w:shd w:val="clear" w:color="auto" w:fill="auto"/>
            <w:vAlign w:val="center"/>
          </w:tcPr>
          <w:p w14:paraId="3859E124" w14:textId="77777777" w:rsidR="00D868AB" w:rsidRPr="00D868AB" w:rsidRDefault="00D868AB" w:rsidP="00D868AB">
            <w:pPr>
              <w:jc w:val="center"/>
              <w:rPr>
                <w:rFonts w:eastAsia="Times New Roman" w:cs="Arial"/>
                <w:color w:val="000000"/>
                <w:sz w:val="16"/>
                <w:szCs w:val="18"/>
              </w:rPr>
            </w:pPr>
          </w:p>
        </w:tc>
        <w:tc>
          <w:tcPr>
            <w:tcW w:w="0" w:type="auto"/>
            <w:shd w:val="clear" w:color="auto" w:fill="auto"/>
            <w:vAlign w:val="center"/>
          </w:tcPr>
          <w:p w14:paraId="6B1EEE81" w14:textId="77777777" w:rsidR="00D868AB" w:rsidRPr="00D868AB" w:rsidRDefault="00D868AB" w:rsidP="00D868AB">
            <w:pPr>
              <w:jc w:val="center"/>
              <w:rPr>
                <w:rFonts w:eastAsia="Times New Roman" w:cs="Arial"/>
                <w:color w:val="000000"/>
                <w:sz w:val="16"/>
                <w:szCs w:val="18"/>
              </w:rPr>
            </w:pPr>
            <w:r w:rsidRPr="00D868AB">
              <w:rPr>
                <w:rFonts w:eastAsia="Times New Roman" w:cs="Arial"/>
                <w:b/>
                <w:bCs/>
                <w:color w:val="000000"/>
                <w:sz w:val="16"/>
                <w:szCs w:val="18"/>
              </w:rPr>
              <w:t>Total</w:t>
            </w:r>
          </w:p>
        </w:tc>
        <w:tc>
          <w:tcPr>
            <w:tcW w:w="0" w:type="auto"/>
            <w:shd w:val="clear" w:color="auto" w:fill="auto"/>
            <w:vAlign w:val="center"/>
          </w:tcPr>
          <w:p w14:paraId="1CB0AF32" w14:textId="77777777" w:rsidR="00D868AB" w:rsidRPr="00D868AB" w:rsidRDefault="00D868AB" w:rsidP="00D868AB">
            <w:pPr>
              <w:jc w:val="center"/>
              <w:rPr>
                <w:rFonts w:eastAsia="Arial" w:cs="Arial"/>
                <w:color w:val="000000"/>
                <w:sz w:val="16"/>
                <w:szCs w:val="16"/>
              </w:rPr>
            </w:pPr>
            <w:r w:rsidRPr="00D868AB">
              <w:rPr>
                <w:rFonts w:eastAsia="Arial" w:cs="Arial"/>
                <w:b/>
                <w:color w:val="000000"/>
                <w:sz w:val="16"/>
                <w:szCs w:val="16"/>
              </w:rPr>
              <w:t>60</w:t>
            </w:r>
          </w:p>
        </w:tc>
        <w:tc>
          <w:tcPr>
            <w:tcW w:w="0" w:type="auto"/>
            <w:shd w:val="clear" w:color="auto" w:fill="auto"/>
            <w:vAlign w:val="center"/>
          </w:tcPr>
          <w:p w14:paraId="413DCD08" w14:textId="77777777" w:rsidR="00D868AB" w:rsidRPr="00D868AB" w:rsidRDefault="00D868AB" w:rsidP="00D868AB">
            <w:pPr>
              <w:jc w:val="center"/>
              <w:rPr>
                <w:rFonts w:eastAsia="Arial" w:cs="Arial"/>
                <w:color w:val="000000"/>
                <w:sz w:val="16"/>
                <w:szCs w:val="16"/>
              </w:rPr>
            </w:pPr>
            <w:r w:rsidRPr="00D868AB">
              <w:rPr>
                <w:rFonts w:eastAsia="Arial" w:cs="Arial"/>
                <w:b/>
                <w:color w:val="000000"/>
                <w:sz w:val="16"/>
                <w:szCs w:val="16"/>
              </w:rPr>
              <w:t>60</w:t>
            </w:r>
          </w:p>
        </w:tc>
        <w:tc>
          <w:tcPr>
            <w:tcW w:w="0" w:type="auto"/>
            <w:shd w:val="clear" w:color="auto" w:fill="auto"/>
            <w:vAlign w:val="center"/>
          </w:tcPr>
          <w:p w14:paraId="7AEF8AC3" w14:textId="77777777" w:rsidR="00D868AB" w:rsidRPr="00D868AB" w:rsidRDefault="00D868AB" w:rsidP="00D868AB">
            <w:pPr>
              <w:jc w:val="center"/>
              <w:rPr>
                <w:rFonts w:eastAsia="Arial" w:cs="Arial"/>
                <w:color w:val="000000"/>
                <w:sz w:val="16"/>
                <w:szCs w:val="16"/>
              </w:rPr>
            </w:pPr>
            <w:r w:rsidRPr="00D868AB">
              <w:rPr>
                <w:rFonts w:eastAsia="Arial" w:cs="Arial"/>
                <w:b/>
                <w:color w:val="000000"/>
                <w:sz w:val="16"/>
                <w:szCs w:val="16"/>
              </w:rPr>
              <w:t>957</w:t>
            </w:r>
          </w:p>
        </w:tc>
        <w:tc>
          <w:tcPr>
            <w:tcW w:w="0" w:type="auto"/>
            <w:shd w:val="clear" w:color="auto" w:fill="auto"/>
            <w:vAlign w:val="center"/>
          </w:tcPr>
          <w:p w14:paraId="52AB5965" w14:textId="77777777" w:rsidR="00D868AB" w:rsidRPr="00D868AB" w:rsidRDefault="00D868AB" w:rsidP="00D868AB">
            <w:pPr>
              <w:jc w:val="center"/>
              <w:rPr>
                <w:rFonts w:eastAsia="Arial" w:cs="Arial"/>
                <w:color w:val="000000"/>
                <w:sz w:val="16"/>
                <w:szCs w:val="16"/>
              </w:rPr>
            </w:pPr>
            <w:r w:rsidRPr="00D868AB">
              <w:rPr>
                <w:rFonts w:eastAsia="Arial" w:cs="Arial"/>
                <w:b/>
                <w:color w:val="000000"/>
                <w:sz w:val="16"/>
                <w:szCs w:val="16"/>
              </w:rPr>
              <w:t>60</w:t>
            </w:r>
          </w:p>
        </w:tc>
        <w:tc>
          <w:tcPr>
            <w:tcW w:w="1390" w:type="dxa"/>
            <w:shd w:val="clear" w:color="auto" w:fill="auto"/>
            <w:vAlign w:val="center"/>
          </w:tcPr>
          <w:p w14:paraId="12914997" w14:textId="77777777" w:rsidR="00D868AB" w:rsidRPr="00D868AB" w:rsidRDefault="00D868AB" w:rsidP="00D868AB">
            <w:pPr>
              <w:jc w:val="right"/>
              <w:rPr>
                <w:rFonts w:cs="Arial"/>
                <w:color w:val="000000"/>
                <w:sz w:val="16"/>
                <w:szCs w:val="16"/>
              </w:rPr>
            </w:pPr>
            <w:r w:rsidRPr="00D868AB">
              <w:rPr>
                <w:rFonts w:cs="Arial"/>
                <w:b/>
                <w:bCs/>
                <w:color w:val="000000"/>
                <w:sz w:val="16"/>
                <w:szCs w:val="16"/>
              </w:rPr>
              <w:t>14,632,127,707</w:t>
            </w:r>
          </w:p>
        </w:tc>
      </w:tr>
    </w:tbl>
    <w:p w14:paraId="066F2040" w14:textId="77777777" w:rsidR="00D868AB" w:rsidRPr="00D868AB" w:rsidRDefault="00D868AB" w:rsidP="00D868AB">
      <w:pPr>
        <w:ind w:left="142" w:right="191"/>
        <w:rPr>
          <w:rFonts w:cs="Arial"/>
          <w:sz w:val="16"/>
          <w:lang w:val="es-ES"/>
        </w:rPr>
      </w:pPr>
      <w:r w:rsidRPr="00D868AB">
        <w:rPr>
          <w:rFonts w:cs="Arial"/>
          <w:b/>
          <w:sz w:val="16"/>
          <w:lang w:val="es-ES"/>
        </w:rPr>
        <w:t>Siglas</w:t>
      </w:r>
      <w:r w:rsidRPr="00D868AB">
        <w:rPr>
          <w:rFonts w:cs="Arial"/>
          <w:sz w:val="16"/>
          <w:lang w:val="es-ES"/>
        </w:rPr>
        <w:t xml:space="preserve">: </w:t>
      </w:r>
      <w:r w:rsidRPr="00D868AB">
        <w:rPr>
          <w:rFonts w:cs="Arial"/>
          <w:b/>
          <w:sz w:val="16"/>
          <w:lang w:val="es-ES"/>
        </w:rPr>
        <w:t>PP</w:t>
      </w:r>
      <w:r w:rsidRPr="00D868AB">
        <w:rPr>
          <w:rFonts w:cs="Arial"/>
          <w:sz w:val="16"/>
          <w:lang w:val="es-ES"/>
        </w:rPr>
        <w:t xml:space="preserve">, Programa Presupuestario; </w:t>
      </w:r>
      <w:r w:rsidRPr="00D868AB">
        <w:rPr>
          <w:rFonts w:cs="Arial"/>
          <w:b/>
          <w:sz w:val="16"/>
          <w:lang w:val="es-ES"/>
        </w:rPr>
        <w:t>#MIR</w:t>
      </w:r>
      <w:r w:rsidRPr="00D868AB">
        <w:rPr>
          <w:rFonts w:cs="Arial"/>
          <w:sz w:val="16"/>
          <w:lang w:val="es-ES"/>
        </w:rPr>
        <w:t xml:space="preserve">, Cantidad de Matriz de Indicadores para Resultados; </w:t>
      </w:r>
      <w:r w:rsidRPr="00D868AB">
        <w:rPr>
          <w:rFonts w:cs="Arial"/>
          <w:b/>
          <w:sz w:val="16"/>
          <w:lang w:val="es-ES"/>
        </w:rPr>
        <w:t>IR</w:t>
      </w:r>
      <w:r w:rsidRPr="00D868AB">
        <w:rPr>
          <w:rFonts w:cs="Arial"/>
          <w:sz w:val="16"/>
          <w:lang w:val="es-ES"/>
        </w:rPr>
        <w:t xml:space="preserve">, Indicadores de Resultados; </w:t>
      </w:r>
      <w:r w:rsidRPr="00D868AB">
        <w:rPr>
          <w:rFonts w:cs="Arial"/>
          <w:b/>
          <w:sz w:val="16"/>
          <w:lang w:val="es-ES"/>
        </w:rPr>
        <w:t>OA</w:t>
      </w:r>
      <w:r w:rsidRPr="00D868AB">
        <w:rPr>
          <w:rFonts w:cs="Arial"/>
          <w:sz w:val="16"/>
          <w:lang w:val="es-ES"/>
        </w:rPr>
        <w:t>, Objetivos Anuales.</w:t>
      </w:r>
    </w:p>
    <w:p w14:paraId="7034DDC3" w14:textId="77777777" w:rsidR="00D868AB" w:rsidRPr="00D868AB" w:rsidRDefault="00D868AB" w:rsidP="00D868AB">
      <w:pPr>
        <w:rPr>
          <w:rFonts w:cs="Arial"/>
          <w:lang w:val="es-ES"/>
        </w:rPr>
      </w:pPr>
    </w:p>
    <w:p w14:paraId="372C699E" w14:textId="77777777" w:rsidR="00D868AB" w:rsidRPr="00D868AB" w:rsidRDefault="00D868AB" w:rsidP="00D868AB">
      <w:pPr>
        <w:rPr>
          <w:rFonts w:cs="Arial"/>
          <w:lang w:val="es-ES"/>
        </w:rPr>
      </w:pPr>
      <w:r w:rsidRPr="00D868AB">
        <w:rPr>
          <w:rFonts w:cs="Arial"/>
          <w:lang w:val="es-ES"/>
        </w:rPr>
        <w:t xml:space="preserve">En el </w:t>
      </w:r>
      <w:r w:rsidRPr="00D868AB">
        <w:rPr>
          <w:rFonts w:cs="Arial"/>
          <w:b/>
          <w:lang w:val="es-ES"/>
        </w:rPr>
        <w:t>Anexo 10 Proyectos Presupuestarios por Dependencia</w:t>
      </w:r>
      <w:r w:rsidRPr="00D868AB">
        <w:rPr>
          <w:rFonts w:cs="Arial"/>
          <w:lang w:val="es-ES"/>
        </w:rPr>
        <w:t>, se enlistan los Proyectos Presupuestarios organizados por Dependencia.</w:t>
      </w:r>
    </w:p>
    <w:p w14:paraId="3DDC9BE7" w14:textId="77777777" w:rsidR="00D868AB" w:rsidRPr="00D868AB" w:rsidRDefault="00D868AB" w:rsidP="00D868AB">
      <w:pPr>
        <w:rPr>
          <w:rFonts w:cs="Arial"/>
          <w:lang w:val="es-ES"/>
        </w:rPr>
      </w:pPr>
    </w:p>
    <w:p w14:paraId="5355CE06" w14:textId="77777777" w:rsidR="00D868AB" w:rsidRPr="00D868AB" w:rsidRDefault="00D868AB" w:rsidP="00D868AB">
      <w:pPr>
        <w:rPr>
          <w:rFonts w:cs="Arial"/>
          <w:lang w:val="es-ES"/>
        </w:rPr>
      </w:pPr>
      <w:r w:rsidRPr="00D868AB">
        <w:rPr>
          <w:rFonts w:cs="Arial"/>
          <w:lang w:val="es-ES"/>
        </w:rPr>
        <w:t xml:space="preserve">El </w:t>
      </w:r>
      <w:r w:rsidRPr="00D868AB">
        <w:rPr>
          <w:rFonts w:cs="Arial"/>
          <w:b/>
          <w:lang w:val="es-ES"/>
        </w:rPr>
        <w:t xml:space="preserve">Anexo 11 Matrices de Indicadores para Resultados (MIR) </w:t>
      </w:r>
      <w:r w:rsidRPr="00D868AB">
        <w:rPr>
          <w:rFonts w:cs="Arial"/>
          <w:lang w:val="es-ES"/>
        </w:rPr>
        <w:t xml:space="preserve">y el </w:t>
      </w:r>
      <w:r w:rsidRPr="00D868AB">
        <w:rPr>
          <w:rFonts w:cs="Arial"/>
          <w:b/>
          <w:lang w:val="es-ES"/>
        </w:rPr>
        <w:t>Anexo 12</w:t>
      </w:r>
      <w:r w:rsidRPr="00D868AB">
        <w:rPr>
          <w:rFonts w:cs="Arial"/>
          <w:lang w:val="es-ES"/>
        </w:rPr>
        <w:t xml:space="preserve"> las</w:t>
      </w:r>
      <w:r w:rsidRPr="00D868AB">
        <w:rPr>
          <w:rFonts w:cs="Arial"/>
          <w:b/>
          <w:lang w:val="es-ES"/>
        </w:rPr>
        <w:t xml:space="preserve"> Fichas de Indicadores para Resultados (FTI), </w:t>
      </w:r>
      <w:r w:rsidRPr="00D868AB">
        <w:rPr>
          <w:rFonts w:cs="Arial"/>
          <w:lang w:val="es-ES"/>
        </w:rPr>
        <w:t xml:space="preserve">presentan las MIR y las FTI de cada uno de los Programas Presupuestarios del Gobierno del Estado que forman parte del Presupuesto basado en Resultados. </w:t>
      </w:r>
    </w:p>
    <w:p w14:paraId="1DCDA59B" w14:textId="77777777" w:rsidR="00D868AB" w:rsidRPr="00D868AB" w:rsidRDefault="00D868AB" w:rsidP="00D868AB">
      <w:pPr>
        <w:rPr>
          <w:rFonts w:cs="Arial"/>
          <w:lang w:val="es-ES"/>
        </w:rPr>
      </w:pPr>
    </w:p>
    <w:p w14:paraId="7556F496" w14:textId="77777777" w:rsidR="00D868AB" w:rsidRPr="00D868AB" w:rsidRDefault="00D868AB" w:rsidP="00D868AB">
      <w:pPr>
        <w:jc w:val="center"/>
        <w:rPr>
          <w:rFonts w:eastAsia="Times New Roman" w:cs="Arial"/>
          <w:b/>
          <w:lang w:val="es-ES"/>
        </w:rPr>
      </w:pPr>
      <w:bookmarkStart w:id="292" w:name="_Toc522869323"/>
      <w:bookmarkStart w:id="293" w:name="_Toc526757541"/>
      <w:bookmarkStart w:id="294" w:name="_Toc22022010"/>
      <w:bookmarkStart w:id="295" w:name="_Toc22983248"/>
      <w:bookmarkStart w:id="296" w:name="_Toc465292963"/>
      <w:bookmarkStart w:id="297" w:name="_Toc465292891"/>
      <w:r w:rsidRPr="00D868AB">
        <w:rPr>
          <w:rFonts w:eastAsia="Times New Roman" w:cs="Arial"/>
          <w:b/>
          <w:lang w:val="es-ES"/>
        </w:rPr>
        <w:t xml:space="preserve">CAPÍTULO </w:t>
      </w:r>
      <w:bookmarkEnd w:id="292"/>
      <w:bookmarkEnd w:id="293"/>
      <w:bookmarkEnd w:id="294"/>
      <w:bookmarkEnd w:id="295"/>
      <w:r w:rsidRPr="00D868AB">
        <w:rPr>
          <w:rFonts w:eastAsia="Times New Roman" w:cs="Arial"/>
          <w:b/>
          <w:lang w:val="es-ES"/>
        </w:rPr>
        <w:t>II</w:t>
      </w:r>
    </w:p>
    <w:p w14:paraId="23F2110F" w14:textId="77777777" w:rsidR="00D868AB" w:rsidRPr="00D868AB" w:rsidRDefault="00D868AB" w:rsidP="00D868AB">
      <w:pPr>
        <w:keepNext/>
        <w:keepLines/>
        <w:jc w:val="center"/>
        <w:outlineLvl w:val="0"/>
        <w:rPr>
          <w:rFonts w:eastAsia="Times New Roman" w:cs="Arial"/>
          <w:b/>
          <w:szCs w:val="32"/>
          <w:lang w:val="es-ES"/>
        </w:rPr>
      </w:pPr>
      <w:bookmarkStart w:id="298" w:name="_Toc522869324"/>
      <w:bookmarkStart w:id="299" w:name="_Toc526757542"/>
      <w:bookmarkStart w:id="300" w:name="_Toc22022011"/>
      <w:bookmarkStart w:id="301" w:name="_Toc22983249"/>
      <w:r w:rsidRPr="00D868AB">
        <w:rPr>
          <w:rFonts w:eastAsia="Times New Roman" w:cs="Arial"/>
          <w:b/>
          <w:szCs w:val="32"/>
          <w:lang w:val="es-ES"/>
        </w:rPr>
        <w:t>DE LA EVALUACIÓN DEL DESEMPEÑO</w:t>
      </w:r>
      <w:bookmarkEnd w:id="296"/>
      <w:bookmarkEnd w:id="297"/>
      <w:bookmarkEnd w:id="298"/>
      <w:bookmarkEnd w:id="299"/>
      <w:bookmarkEnd w:id="300"/>
      <w:bookmarkEnd w:id="301"/>
    </w:p>
    <w:p w14:paraId="18853BF3" w14:textId="77777777" w:rsidR="00D868AB" w:rsidRPr="00D868AB" w:rsidRDefault="00D868AB" w:rsidP="00D868AB">
      <w:pPr>
        <w:rPr>
          <w:rFonts w:cs="Arial"/>
          <w:b/>
          <w:lang w:val="es-ES"/>
        </w:rPr>
      </w:pPr>
    </w:p>
    <w:p w14:paraId="4A59A867" w14:textId="77777777" w:rsidR="00D868AB" w:rsidRPr="00D868AB" w:rsidRDefault="00D868AB" w:rsidP="00D868AB">
      <w:pPr>
        <w:rPr>
          <w:rFonts w:cs="Arial"/>
          <w:lang w:val="es-ES"/>
        </w:rPr>
      </w:pPr>
      <w:r w:rsidRPr="00D868AB">
        <w:rPr>
          <w:rFonts w:cs="Arial"/>
          <w:b/>
          <w:lang w:val="es-ES"/>
        </w:rPr>
        <w:t>Artículo 86</w:t>
      </w:r>
      <w:r w:rsidRPr="00D868AB">
        <w:rPr>
          <w:rFonts w:cs="Arial"/>
          <w:lang w:val="es-ES"/>
        </w:rPr>
        <w:t>. Los recursos públicos de que dispongan los Entes Públicos serán sujetos al Sistema de Evaluación del Desempeño, con el propósito de orientar la operación de los Programas Presupuestarios al logro de resultados.</w:t>
      </w:r>
    </w:p>
    <w:p w14:paraId="6C9E4A10" w14:textId="77777777" w:rsidR="00D868AB" w:rsidRPr="00D868AB" w:rsidRDefault="00D868AB" w:rsidP="00D868AB">
      <w:pPr>
        <w:rPr>
          <w:rFonts w:cs="Arial"/>
          <w:lang w:val="es-ES"/>
        </w:rPr>
      </w:pPr>
    </w:p>
    <w:p w14:paraId="0F8C2F11" w14:textId="77777777" w:rsidR="00D868AB" w:rsidRPr="00D868AB" w:rsidRDefault="00D868AB" w:rsidP="00D868AB">
      <w:pPr>
        <w:rPr>
          <w:rFonts w:cs="Arial"/>
          <w:lang w:val="es-ES"/>
        </w:rPr>
      </w:pPr>
      <w:r w:rsidRPr="00D868AB">
        <w:rPr>
          <w:rFonts w:cs="Arial"/>
          <w:lang w:val="es-ES"/>
        </w:rPr>
        <w:t>El Poder Legislativo, el Poder Judicial y los Órganos Autónomos del Estado, diseñarán y operarán su propio Sistema de Evaluación del Desempeño, de conformidad con el marco legal vigente que les sea aplicable.</w:t>
      </w:r>
    </w:p>
    <w:p w14:paraId="0FF65E58" w14:textId="77777777" w:rsidR="00D868AB" w:rsidRPr="00D868AB" w:rsidRDefault="00D868AB" w:rsidP="00D868AB">
      <w:pPr>
        <w:rPr>
          <w:rFonts w:cs="Arial"/>
          <w:lang w:val="es-ES"/>
        </w:rPr>
      </w:pPr>
    </w:p>
    <w:p w14:paraId="798E0E29" w14:textId="77777777" w:rsidR="00D868AB" w:rsidRPr="00D868AB" w:rsidRDefault="00D868AB" w:rsidP="00D868AB">
      <w:pPr>
        <w:rPr>
          <w:rFonts w:cs="Arial"/>
          <w:lang w:val="es-ES"/>
        </w:rPr>
      </w:pPr>
      <w:r w:rsidRPr="00D868AB">
        <w:rPr>
          <w:rFonts w:cs="Arial"/>
          <w:lang w:val="es-ES"/>
        </w:rPr>
        <w:lastRenderedPageBreak/>
        <w:t>El Titular del Ejecutivo, a través de la Secretaría y a petición expresa del Congreso del Estado, del Poder Judicial y de los Órganos Autónomos del Estado, les proporcionará la asesoría y apoyo técnico que requieran en materia de Evaluación del Desempeño.</w:t>
      </w:r>
    </w:p>
    <w:p w14:paraId="59C243F0" w14:textId="77777777" w:rsidR="00D868AB" w:rsidRPr="00D868AB" w:rsidRDefault="00D868AB" w:rsidP="00D868AB">
      <w:pPr>
        <w:rPr>
          <w:rFonts w:cs="Arial"/>
          <w:lang w:val="es-ES"/>
        </w:rPr>
      </w:pPr>
    </w:p>
    <w:p w14:paraId="0CB53092" w14:textId="77777777" w:rsidR="00D868AB" w:rsidRPr="00D868AB" w:rsidRDefault="00D868AB" w:rsidP="00D868AB">
      <w:pPr>
        <w:rPr>
          <w:rFonts w:cs="Arial"/>
          <w:lang w:val="es-ES"/>
        </w:rPr>
      </w:pPr>
      <w:r w:rsidRPr="00D868AB">
        <w:rPr>
          <w:rFonts w:cs="Arial"/>
          <w:b/>
          <w:lang w:val="es-ES"/>
        </w:rPr>
        <w:t>Artículo 87.</w:t>
      </w:r>
      <w:r w:rsidRPr="00D868AB">
        <w:rPr>
          <w:rFonts w:cs="Arial"/>
          <w:lang w:val="es-ES"/>
        </w:rPr>
        <w:t xml:space="preserve"> Es obligación de la Administración Pública Centralizada y la Administración Pública Paraestatal, en materia de evaluación del desempeño, las siguientes:</w:t>
      </w:r>
    </w:p>
    <w:p w14:paraId="1E151779" w14:textId="77777777" w:rsidR="00D868AB" w:rsidRPr="00D868AB" w:rsidRDefault="00D868AB" w:rsidP="00D868AB">
      <w:pPr>
        <w:numPr>
          <w:ilvl w:val="0"/>
          <w:numId w:val="14"/>
        </w:numPr>
        <w:tabs>
          <w:tab w:val="left" w:pos="709"/>
        </w:tabs>
        <w:ind w:left="709" w:hanging="425"/>
        <w:contextualSpacing/>
        <w:rPr>
          <w:rFonts w:cs="Arial"/>
          <w:lang w:val="es-ES"/>
        </w:rPr>
      </w:pPr>
      <w:r w:rsidRPr="00D868AB">
        <w:rPr>
          <w:rFonts w:cs="Arial"/>
          <w:lang w:val="es-ES"/>
        </w:rPr>
        <w:t>Elaborar y proponer a la Secretaría, los Indicadores de Desempeño de los Programas Presupuestarios;</w:t>
      </w:r>
    </w:p>
    <w:p w14:paraId="2A324CE8" w14:textId="77777777" w:rsidR="00D868AB" w:rsidRPr="00D868AB" w:rsidRDefault="00D868AB" w:rsidP="00D868AB">
      <w:pPr>
        <w:numPr>
          <w:ilvl w:val="0"/>
          <w:numId w:val="14"/>
        </w:numPr>
        <w:tabs>
          <w:tab w:val="left" w:pos="709"/>
        </w:tabs>
        <w:ind w:left="709" w:hanging="425"/>
        <w:contextualSpacing/>
        <w:rPr>
          <w:rFonts w:cs="Arial"/>
          <w:lang w:val="es-ES"/>
        </w:rPr>
      </w:pPr>
      <w:r w:rsidRPr="00D868AB">
        <w:rPr>
          <w:rFonts w:cs="Arial"/>
          <w:lang w:val="es-ES"/>
        </w:rPr>
        <w:t>Realizar la evaluación por sí mismos o a través de evaluadores externos, del grado de cumplimiento de los Indicadores de Desempeño, con cargo a su propio presupuesto, dicha evaluación deberá ser enterada a la Secretaría de Planeación, Finanzas y Administración;</w:t>
      </w:r>
    </w:p>
    <w:p w14:paraId="66BD32DA" w14:textId="77777777" w:rsidR="00D868AB" w:rsidRPr="00D868AB" w:rsidRDefault="00D868AB" w:rsidP="00D868AB">
      <w:pPr>
        <w:numPr>
          <w:ilvl w:val="0"/>
          <w:numId w:val="14"/>
        </w:numPr>
        <w:tabs>
          <w:tab w:val="left" w:pos="709"/>
        </w:tabs>
        <w:ind w:left="709" w:hanging="425"/>
        <w:contextualSpacing/>
        <w:rPr>
          <w:rFonts w:cs="Arial"/>
          <w:lang w:val="es-ES"/>
        </w:rPr>
      </w:pPr>
      <w:r w:rsidRPr="00D868AB">
        <w:rPr>
          <w:rFonts w:cs="Arial"/>
          <w:lang w:val="es-ES"/>
        </w:rPr>
        <w:t>Dar seguimiento y monitoreo de los Indicadores Estratégicos e Indicadores de Gestión de los programas presupuestarios;</w:t>
      </w:r>
    </w:p>
    <w:p w14:paraId="0354B57B" w14:textId="77777777" w:rsidR="00D868AB" w:rsidRPr="00D868AB" w:rsidRDefault="00D868AB" w:rsidP="00D868AB">
      <w:pPr>
        <w:numPr>
          <w:ilvl w:val="0"/>
          <w:numId w:val="14"/>
        </w:numPr>
        <w:tabs>
          <w:tab w:val="left" w:pos="709"/>
        </w:tabs>
        <w:ind w:left="709" w:hanging="425"/>
        <w:contextualSpacing/>
        <w:rPr>
          <w:rFonts w:cs="Arial"/>
          <w:lang w:val="es-ES"/>
        </w:rPr>
      </w:pPr>
      <w:r w:rsidRPr="00D868AB">
        <w:rPr>
          <w:rFonts w:cs="Arial"/>
          <w:lang w:val="es-ES"/>
        </w:rPr>
        <w:t>Atender las revisiones y recomendaciones derivadas de los informes de las evaluaciones del desempeño;</w:t>
      </w:r>
    </w:p>
    <w:p w14:paraId="63C2F2D1" w14:textId="77777777" w:rsidR="00D868AB" w:rsidRPr="00D868AB" w:rsidRDefault="00D868AB" w:rsidP="00D868AB">
      <w:pPr>
        <w:numPr>
          <w:ilvl w:val="0"/>
          <w:numId w:val="14"/>
        </w:numPr>
        <w:tabs>
          <w:tab w:val="left" w:pos="709"/>
        </w:tabs>
        <w:ind w:left="709" w:hanging="425"/>
        <w:contextualSpacing/>
        <w:rPr>
          <w:rFonts w:cs="Arial"/>
          <w:lang w:val="es-ES"/>
        </w:rPr>
      </w:pPr>
      <w:r w:rsidRPr="00D868AB">
        <w:rPr>
          <w:rFonts w:cs="Arial"/>
          <w:lang w:val="es-ES"/>
        </w:rPr>
        <w:t>Informar trimestralmente a la Secretaría los resultados de los Indicadores de Desempeño de los programas presupuestarios a su cargo, dentro de los veinte días siguientes a la conclusión del periodo correspondiente, respecto de los Indicadores de Desempeño, cuya periodicidad de su cálculo así lo permita;</w:t>
      </w:r>
    </w:p>
    <w:p w14:paraId="48EA328A" w14:textId="77777777" w:rsidR="00D868AB" w:rsidRPr="00D868AB" w:rsidRDefault="00D868AB" w:rsidP="00D868AB">
      <w:pPr>
        <w:numPr>
          <w:ilvl w:val="0"/>
          <w:numId w:val="14"/>
        </w:numPr>
        <w:tabs>
          <w:tab w:val="left" w:pos="709"/>
        </w:tabs>
        <w:ind w:left="709" w:hanging="425"/>
        <w:contextualSpacing/>
        <w:rPr>
          <w:rFonts w:cs="Arial"/>
          <w:lang w:val="es-ES"/>
        </w:rPr>
      </w:pPr>
      <w:r w:rsidRPr="00D868AB">
        <w:rPr>
          <w:rFonts w:cs="Arial"/>
          <w:lang w:val="es-ES"/>
        </w:rPr>
        <w:t>Publicar la información derivada de la evaluación del desempeño, en los términos que marca la legislación en materia de trasparencia;</w:t>
      </w:r>
    </w:p>
    <w:p w14:paraId="5BA1B737" w14:textId="77777777" w:rsidR="00D868AB" w:rsidRPr="00D868AB" w:rsidRDefault="00D868AB" w:rsidP="00D868AB">
      <w:pPr>
        <w:numPr>
          <w:ilvl w:val="0"/>
          <w:numId w:val="14"/>
        </w:numPr>
        <w:tabs>
          <w:tab w:val="left" w:pos="709"/>
        </w:tabs>
        <w:ind w:left="709" w:hanging="425"/>
        <w:contextualSpacing/>
        <w:rPr>
          <w:rFonts w:cs="Arial"/>
          <w:lang w:val="es-ES"/>
        </w:rPr>
      </w:pPr>
      <w:r w:rsidRPr="00D868AB">
        <w:rPr>
          <w:rFonts w:cs="Arial"/>
          <w:lang w:val="es-ES"/>
        </w:rPr>
        <w:t>Elaborar e implementar proyectos de mejora para incorporarlos en el diseño, adecuación y operación de los programas a su cargo, atendiendo los resultados de las evaluaciones e informar los avances con oportunidad; y</w:t>
      </w:r>
    </w:p>
    <w:p w14:paraId="65FEA613" w14:textId="77777777" w:rsidR="00D868AB" w:rsidRPr="00D868AB" w:rsidRDefault="00D868AB" w:rsidP="00D868AB">
      <w:pPr>
        <w:numPr>
          <w:ilvl w:val="0"/>
          <w:numId w:val="14"/>
        </w:numPr>
        <w:tabs>
          <w:tab w:val="left" w:pos="709"/>
        </w:tabs>
        <w:ind w:left="709" w:hanging="425"/>
        <w:contextualSpacing/>
        <w:rPr>
          <w:rFonts w:cs="Arial"/>
          <w:lang w:val="es-ES"/>
        </w:rPr>
      </w:pPr>
      <w:r w:rsidRPr="00D868AB">
        <w:rPr>
          <w:rFonts w:cs="Arial"/>
          <w:lang w:val="es-ES"/>
        </w:rPr>
        <w:t>Acordar con la Secretaría las adecuaciones a los programas presupuestarios en cumplimiento de las recomendaciones resultantes de los procesos de seguimiento y evaluación.</w:t>
      </w:r>
    </w:p>
    <w:p w14:paraId="753612B9" w14:textId="77777777" w:rsidR="00D868AB" w:rsidRPr="00D868AB" w:rsidRDefault="00D868AB" w:rsidP="00D868AB">
      <w:pPr>
        <w:rPr>
          <w:rFonts w:cs="Arial"/>
          <w:lang w:val="es-ES"/>
        </w:rPr>
      </w:pPr>
    </w:p>
    <w:p w14:paraId="36792BA8" w14:textId="77777777" w:rsidR="00D868AB" w:rsidRPr="00D868AB" w:rsidRDefault="00D868AB" w:rsidP="00D868AB">
      <w:pPr>
        <w:rPr>
          <w:rFonts w:cs="Arial"/>
          <w:lang w:val="es-ES"/>
        </w:rPr>
      </w:pPr>
      <w:r w:rsidRPr="00D868AB">
        <w:rPr>
          <w:rFonts w:cs="Arial"/>
          <w:b/>
          <w:lang w:val="es-ES"/>
        </w:rPr>
        <w:t>Artículo 88</w:t>
      </w:r>
      <w:r w:rsidRPr="00D868AB">
        <w:rPr>
          <w:rFonts w:cs="Arial"/>
          <w:lang w:val="es-ES"/>
        </w:rPr>
        <w:t>. La evaluación de los recursos se efectuará en base a indicadores que contengan los programas de los presupuestos respectivos de cada Ente Público, permitirán medir el grado de eficacia, eficiencia y economía con la que se realizó la gestión de los recursos y si estos se destinaron a cubrir los objetivos para lo que fueron destinados.</w:t>
      </w:r>
    </w:p>
    <w:p w14:paraId="618CADF6" w14:textId="77777777" w:rsidR="00D868AB" w:rsidRPr="00D868AB" w:rsidRDefault="00D868AB" w:rsidP="00D868AB">
      <w:pPr>
        <w:rPr>
          <w:rFonts w:cs="Arial"/>
          <w:lang w:val="es-ES"/>
        </w:rPr>
      </w:pPr>
    </w:p>
    <w:p w14:paraId="6CFA9FB7" w14:textId="77777777" w:rsidR="00D868AB" w:rsidRPr="00D868AB" w:rsidRDefault="00D868AB" w:rsidP="00D868AB">
      <w:pPr>
        <w:rPr>
          <w:rFonts w:cs="Arial"/>
          <w:lang w:val="es-ES"/>
        </w:rPr>
      </w:pPr>
      <w:r w:rsidRPr="00D868AB">
        <w:rPr>
          <w:rFonts w:cs="Arial"/>
          <w:lang w:val="es-ES"/>
        </w:rPr>
        <w:t>Los resultados que arrojen dichas evaluaciones deberán publicarse en sus páginas de Internet, según lo dispuesto en el artículo 79 de la Ley General de Contabilidad Gubernamental.</w:t>
      </w:r>
    </w:p>
    <w:p w14:paraId="65CE1827" w14:textId="77777777" w:rsidR="00D868AB" w:rsidRPr="00D868AB" w:rsidRDefault="00D868AB" w:rsidP="00D868AB">
      <w:pPr>
        <w:rPr>
          <w:rFonts w:cs="Arial"/>
          <w:strike/>
          <w:lang w:val="es-ES"/>
        </w:rPr>
      </w:pPr>
    </w:p>
    <w:p w14:paraId="2E8186EE" w14:textId="77777777" w:rsidR="00D868AB" w:rsidRPr="00D868AB" w:rsidRDefault="00D868AB" w:rsidP="00D868AB">
      <w:pPr>
        <w:rPr>
          <w:rFonts w:cs="Arial"/>
          <w:lang w:val="es-ES"/>
        </w:rPr>
      </w:pPr>
      <w:r w:rsidRPr="00D868AB">
        <w:rPr>
          <w:rFonts w:cs="Arial"/>
          <w:b/>
          <w:lang w:val="es-ES"/>
        </w:rPr>
        <w:t>Artículo 89</w:t>
      </w:r>
      <w:r w:rsidRPr="00D868AB">
        <w:rPr>
          <w:rFonts w:cs="Arial"/>
          <w:lang w:val="es-ES"/>
        </w:rPr>
        <w:t xml:space="preserve">. En el proceso de integración de la información financiera para la elaboración del Anteproyecto de Presupuesto correspondiente al Ejercicio Fiscal 2023, la Secretaría </w:t>
      </w:r>
      <w:r w:rsidRPr="00D868AB">
        <w:rPr>
          <w:rFonts w:cs="Arial"/>
          <w:lang w:val="es-ES"/>
        </w:rPr>
        <w:lastRenderedPageBreak/>
        <w:t>deberá incorporar los resultados que deriven de los procesos de implantación y operación del Presupuesto basado en Resultados y del Sistema de Evaluación del Desempeño, establecidos en términos del artículo 134 de la Constitución Política de los Estados Unidos Mexicanos y de lo previsto en los artículos 107 y 108 de la Constitución Política del Estado Libre y Soberano de Colima.</w:t>
      </w:r>
    </w:p>
    <w:p w14:paraId="3A222E7B" w14:textId="77777777" w:rsidR="00D868AB" w:rsidRPr="00D868AB" w:rsidRDefault="00D868AB" w:rsidP="00D868AB">
      <w:pPr>
        <w:rPr>
          <w:rFonts w:cs="Arial"/>
          <w:lang w:val="es-ES"/>
        </w:rPr>
      </w:pPr>
    </w:p>
    <w:p w14:paraId="4C5DEC3D" w14:textId="77777777" w:rsidR="00D868AB" w:rsidRPr="00D868AB" w:rsidRDefault="00D868AB" w:rsidP="00D868AB">
      <w:pPr>
        <w:jc w:val="center"/>
        <w:rPr>
          <w:rFonts w:eastAsia="Times New Roman" w:cs="Arial"/>
          <w:b/>
          <w:lang w:val="es-ES"/>
        </w:rPr>
      </w:pPr>
      <w:bookmarkStart w:id="302" w:name="_Toc522869325"/>
      <w:bookmarkStart w:id="303" w:name="_Toc526757543"/>
      <w:bookmarkStart w:id="304" w:name="_Toc22022012"/>
      <w:bookmarkStart w:id="305" w:name="_Toc22983250"/>
      <w:bookmarkStart w:id="306" w:name="_Toc465292964"/>
      <w:bookmarkStart w:id="307" w:name="_Toc465292892"/>
      <w:r w:rsidRPr="00D868AB">
        <w:rPr>
          <w:rFonts w:eastAsia="Times New Roman" w:cs="Arial"/>
          <w:b/>
          <w:lang w:val="es-ES"/>
        </w:rPr>
        <w:t>CAPÍTULO III</w:t>
      </w:r>
      <w:bookmarkEnd w:id="302"/>
      <w:bookmarkEnd w:id="303"/>
      <w:bookmarkEnd w:id="304"/>
      <w:bookmarkEnd w:id="305"/>
    </w:p>
    <w:p w14:paraId="4A3CCBE8" w14:textId="77777777" w:rsidR="00D868AB" w:rsidRPr="00D868AB" w:rsidRDefault="00D868AB" w:rsidP="00D868AB">
      <w:pPr>
        <w:keepNext/>
        <w:keepLines/>
        <w:jc w:val="center"/>
        <w:outlineLvl w:val="0"/>
        <w:rPr>
          <w:rFonts w:eastAsia="Times New Roman" w:cs="Arial"/>
          <w:b/>
          <w:szCs w:val="32"/>
          <w:lang w:val="es-ES"/>
        </w:rPr>
      </w:pPr>
      <w:bookmarkStart w:id="308" w:name="_Toc22983251"/>
      <w:bookmarkEnd w:id="306"/>
      <w:bookmarkEnd w:id="307"/>
      <w:r w:rsidRPr="00D868AB">
        <w:rPr>
          <w:rFonts w:eastAsia="Times New Roman" w:cs="Arial"/>
          <w:b/>
          <w:szCs w:val="32"/>
          <w:lang w:val="es-ES"/>
        </w:rPr>
        <w:t>AGENDA 2030 Y LOS OBJETIVOS DE DESARROLLO SOSTENIBLE</w:t>
      </w:r>
      <w:bookmarkEnd w:id="308"/>
    </w:p>
    <w:p w14:paraId="196764C4" w14:textId="77777777" w:rsidR="00D868AB" w:rsidRPr="00D868AB" w:rsidRDefault="00D868AB" w:rsidP="00D868AB">
      <w:pPr>
        <w:rPr>
          <w:rFonts w:cs="Arial"/>
          <w:b/>
          <w:lang w:val="es-ES"/>
        </w:rPr>
      </w:pPr>
    </w:p>
    <w:p w14:paraId="2E9172BE" w14:textId="77777777" w:rsidR="00D868AB" w:rsidRPr="00D868AB" w:rsidRDefault="00D868AB" w:rsidP="00D868AB">
      <w:pPr>
        <w:rPr>
          <w:rFonts w:cs="Arial"/>
          <w:lang w:val="es-ES"/>
        </w:rPr>
      </w:pPr>
      <w:r w:rsidRPr="00D868AB">
        <w:rPr>
          <w:rFonts w:cs="Arial"/>
          <w:b/>
          <w:lang w:val="es-ES"/>
        </w:rPr>
        <w:t>Artículo 90</w:t>
      </w:r>
      <w:r w:rsidRPr="00D868AB">
        <w:rPr>
          <w:rFonts w:cs="Arial"/>
          <w:lang w:val="es-ES"/>
        </w:rPr>
        <w:t xml:space="preserve">. En cumplimiento a lo dispuesto por el artículo 2º de la Constitución Política del Estado Libre y Soberano de Colima el artículo 41, fracción II, de la Ley Federal de Presupuesto y Responsabilidad Hacendaria; así como para cumplir los compromisos derivados de la </w:t>
      </w:r>
      <w:r w:rsidRPr="00D868AB">
        <w:rPr>
          <w:rFonts w:cs="Arial"/>
          <w:b/>
          <w:lang w:val="es-ES"/>
        </w:rPr>
        <w:t xml:space="preserve">Agenda 2030 y los Objetivos de Desarrollo Sostenible, </w:t>
      </w:r>
      <w:r w:rsidRPr="00D868AB">
        <w:rPr>
          <w:rFonts w:cs="Arial"/>
          <w:lang w:val="es-ES"/>
        </w:rPr>
        <w:t>emitida por la Organización de las Naciones Unidas (ONU); las Dependencias de la Administración Pública Centralizada y Entidades de la Administración Pública Paraestatal, en el ámbito de sus respectivas competencias y con cargo a sus presupuestos, adoptarán medidas para destinar recursos orientados a atender esta obligación. Se detalla:</w:t>
      </w:r>
    </w:p>
    <w:p w14:paraId="1CEBBE10" w14:textId="77777777" w:rsidR="00D868AB" w:rsidRPr="00D868AB" w:rsidRDefault="00D868AB" w:rsidP="00D868AB">
      <w:pPr>
        <w:keepNext/>
        <w:keepLines/>
        <w:outlineLvl w:val="2"/>
        <w:rPr>
          <w:rFonts w:eastAsia="Times New Roman" w:cs="Times New Roman"/>
          <w:b/>
          <w:szCs w:val="24"/>
          <w:lang w:val="es-ES" w:eastAsia="en-US"/>
        </w:rPr>
      </w:pPr>
    </w:p>
    <w:tbl>
      <w:tblPr>
        <w:tblW w:w="6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46"/>
        <w:gridCol w:w="4034"/>
        <w:gridCol w:w="1660"/>
      </w:tblGrid>
      <w:tr w:rsidR="00D868AB" w:rsidRPr="00D868AB" w14:paraId="33A49DA5" w14:textId="77777777" w:rsidTr="00A755A7">
        <w:trPr>
          <w:trHeight w:val="20"/>
          <w:jc w:val="center"/>
        </w:trPr>
        <w:tc>
          <w:tcPr>
            <w:tcW w:w="6540" w:type="dxa"/>
            <w:gridSpan w:val="3"/>
            <w:tcBorders>
              <w:top w:val="nil"/>
              <w:left w:val="nil"/>
              <w:bottom w:val="single" w:sz="4" w:space="0" w:color="auto"/>
              <w:right w:val="nil"/>
            </w:tcBorders>
            <w:shd w:val="clear" w:color="auto" w:fill="auto"/>
            <w:noWrap/>
            <w:vAlign w:val="center"/>
          </w:tcPr>
          <w:p w14:paraId="1AE739E4"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sz w:val="20"/>
                <w:szCs w:val="20"/>
                <w:lang w:val="es-ES"/>
              </w:rPr>
              <w:t xml:space="preserve">Tabla 63. </w:t>
            </w:r>
            <w:r w:rsidRPr="00D868AB">
              <w:rPr>
                <w:rFonts w:cs="Arial"/>
                <w:b/>
                <w:sz w:val="20"/>
                <w:szCs w:val="20"/>
                <w:lang w:val="es-ES"/>
              </w:rPr>
              <w:t>Agenda 2030 y los Objetivos de Desarrollo Sostenible</w:t>
            </w:r>
          </w:p>
        </w:tc>
      </w:tr>
      <w:tr w:rsidR="00D868AB" w:rsidRPr="00D868AB" w14:paraId="74690C4C" w14:textId="77777777" w:rsidTr="00A755A7">
        <w:trPr>
          <w:trHeight w:val="20"/>
          <w:jc w:val="center"/>
        </w:trPr>
        <w:tc>
          <w:tcPr>
            <w:tcW w:w="846" w:type="dxa"/>
            <w:tcBorders>
              <w:top w:val="single" w:sz="4" w:space="0" w:color="auto"/>
            </w:tcBorders>
            <w:shd w:val="clear" w:color="auto" w:fill="auto"/>
            <w:noWrap/>
            <w:vAlign w:val="center"/>
            <w:hideMark/>
          </w:tcPr>
          <w:p w14:paraId="4D409729"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Clave</w:t>
            </w:r>
          </w:p>
        </w:tc>
        <w:tc>
          <w:tcPr>
            <w:tcW w:w="4034" w:type="dxa"/>
            <w:tcBorders>
              <w:top w:val="single" w:sz="4" w:space="0" w:color="auto"/>
            </w:tcBorders>
            <w:shd w:val="clear" w:color="auto" w:fill="auto"/>
            <w:vAlign w:val="center"/>
            <w:hideMark/>
          </w:tcPr>
          <w:p w14:paraId="41F3E007"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Objetivo</w:t>
            </w:r>
          </w:p>
        </w:tc>
        <w:tc>
          <w:tcPr>
            <w:tcW w:w="1660" w:type="dxa"/>
            <w:tcBorders>
              <w:top w:val="single" w:sz="4" w:space="0" w:color="auto"/>
            </w:tcBorders>
            <w:shd w:val="clear" w:color="auto" w:fill="auto"/>
            <w:vAlign w:val="center"/>
            <w:hideMark/>
          </w:tcPr>
          <w:p w14:paraId="43E6481B"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Asignación Presupuestal</w:t>
            </w:r>
          </w:p>
        </w:tc>
      </w:tr>
      <w:tr w:rsidR="00D868AB" w:rsidRPr="00D868AB" w14:paraId="0F09F887" w14:textId="77777777" w:rsidTr="00A755A7">
        <w:trPr>
          <w:trHeight w:val="20"/>
          <w:jc w:val="center"/>
        </w:trPr>
        <w:tc>
          <w:tcPr>
            <w:tcW w:w="846" w:type="dxa"/>
            <w:shd w:val="clear" w:color="auto" w:fill="auto"/>
            <w:noWrap/>
            <w:vAlign w:val="center"/>
            <w:hideMark/>
          </w:tcPr>
          <w:p w14:paraId="7D09AD4D"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A</w:t>
            </w:r>
          </w:p>
        </w:tc>
        <w:tc>
          <w:tcPr>
            <w:tcW w:w="4034" w:type="dxa"/>
            <w:shd w:val="clear" w:color="auto" w:fill="auto"/>
            <w:vAlign w:val="center"/>
            <w:hideMark/>
          </w:tcPr>
          <w:p w14:paraId="774A602D"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Fin de la Pobreza.</w:t>
            </w:r>
          </w:p>
        </w:tc>
        <w:tc>
          <w:tcPr>
            <w:tcW w:w="1660" w:type="dxa"/>
            <w:shd w:val="clear" w:color="auto" w:fill="auto"/>
            <w:vAlign w:val="center"/>
          </w:tcPr>
          <w:p w14:paraId="7B588C44"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358,224,133</w:t>
            </w:r>
          </w:p>
        </w:tc>
      </w:tr>
      <w:tr w:rsidR="00D868AB" w:rsidRPr="00D868AB" w14:paraId="3C21ABF1" w14:textId="77777777" w:rsidTr="00A755A7">
        <w:trPr>
          <w:trHeight w:val="20"/>
          <w:jc w:val="center"/>
        </w:trPr>
        <w:tc>
          <w:tcPr>
            <w:tcW w:w="846" w:type="dxa"/>
            <w:shd w:val="clear" w:color="auto" w:fill="auto"/>
            <w:noWrap/>
            <w:vAlign w:val="center"/>
            <w:hideMark/>
          </w:tcPr>
          <w:p w14:paraId="0C901535"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B</w:t>
            </w:r>
          </w:p>
        </w:tc>
        <w:tc>
          <w:tcPr>
            <w:tcW w:w="4034" w:type="dxa"/>
            <w:shd w:val="clear" w:color="auto" w:fill="auto"/>
            <w:vAlign w:val="center"/>
            <w:hideMark/>
          </w:tcPr>
          <w:p w14:paraId="0E8A54A5"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Hambre Cero.</w:t>
            </w:r>
          </w:p>
        </w:tc>
        <w:tc>
          <w:tcPr>
            <w:tcW w:w="1660" w:type="dxa"/>
            <w:shd w:val="clear" w:color="auto" w:fill="auto"/>
            <w:vAlign w:val="center"/>
          </w:tcPr>
          <w:p w14:paraId="6BDDEEDE"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400,364,452</w:t>
            </w:r>
          </w:p>
        </w:tc>
      </w:tr>
      <w:tr w:rsidR="00D868AB" w:rsidRPr="00D868AB" w14:paraId="5B49E5FC" w14:textId="77777777" w:rsidTr="00A755A7">
        <w:trPr>
          <w:trHeight w:val="20"/>
          <w:jc w:val="center"/>
        </w:trPr>
        <w:tc>
          <w:tcPr>
            <w:tcW w:w="846" w:type="dxa"/>
            <w:shd w:val="clear" w:color="auto" w:fill="auto"/>
            <w:noWrap/>
            <w:vAlign w:val="center"/>
            <w:hideMark/>
          </w:tcPr>
          <w:p w14:paraId="72CE089A"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C</w:t>
            </w:r>
          </w:p>
        </w:tc>
        <w:tc>
          <w:tcPr>
            <w:tcW w:w="4034" w:type="dxa"/>
            <w:shd w:val="clear" w:color="auto" w:fill="auto"/>
            <w:vAlign w:val="center"/>
            <w:hideMark/>
          </w:tcPr>
          <w:p w14:paraId="652CE3CB"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Salud y Bienestar.</w:t>
            </w:r>
          </w:p>
        </w:tc>
        <w:tc>
          <w:tcPr>
            <w:tcW w:w="1660" w:type="dxa"/>
            <w:shd w:val="clear" w:color="auto" w:fill="auto"/>
            <w:vAlign w:val="center"/>
          </w:tcPr>
          <w:p w14:paraId="062BD9A9"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2,346,227,595</w:t>
            </w:r>
          </w:p>
        </w:tc>
      </w:tr>
      <w:tr w:rsidR="00D868AB" w:rsidRPr="00D868AB" w14:paraId="31491B92" w14:textId="77777777" w:rsidTr="00A755A7">
        <w:trPr>
          <w:trHeight w:val="20"/>
          <w:jc w:val="center"/>
        </w:trPr>
        <w:tc>
          <w:tcPr>
            <w:tcW w:w="846" w:type="dxa"/>
            <w:shd w:val="clear" w:color="auto" w:fill="auto"/>
            <w:noWrap/>
            <w:vAlign w:val="center"/>
            <w:hideMark/>
          </w:tcPr>
          <w:p w14:paraId="3D08DA3A"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D</w:t>
            </w:r>
          </w:p>
        </w:tc>
        <w:tc>
          <w:tcPr>
            <w:tcW w:w="4034" w:type="dxa"/>
            <w:shd w:val="clear" w:color="auto" w:fill="auto"/>
            <w:vAlign w:val="center"/>
            <w:hideMark/>
          </w:tcPr>
          <w:p w14:paraId="17A8A935"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Educación de Calidad.</w:t>
            </w:r>
          </w:p>
        </w:tc>
        <w:tc>
          <w:tcPr>
            <w:tcW w:w="1660" w:type="dxa"/>
            <w:shd w:val="clear" w:color="auto" w:fill="auto"/>
            <w:vAlign w:val="center"/>
          </w:tcPr>
          <w:p w14:paraId="3C700A54"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7,911,599,339</w:t>
            </w:r>
          </w:p>
        </w:tc>
      </w:tr>
      <w:tr w:rsidR="00D868AB" w:rsidRPr="00D868AB" w14:paraId="73866273" w14:textId="77777777" w:rsidTr="00A755A7">
        <w:trPr>
          <w:trHeight w:val="20"/>
          <w:jc w:val="center"/>
        </w:trPr>
        <w:tc>
          <w:tcPr>
            <w:tcW w:w="846" w:type="dxa"/>
            <w:shd w:val="clear" w:color="auto" w:fill="auto"/>
            <w:noWrap/>
            <w:vAlign w:val="center"/>
            <w:hideMark/>
          </w:tcPr>
          <w:p w14:paraId="5CB38ED2"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E</w:t>
            </w:r>
          </w:p>
        </w:tc>
        <w:tc>
          <w:tcPr>
            <w:tcW w:w="4034" w:type="dxa"/>
            <w:shd w:val="clear" w:color="auto" w:fill="auto"/>
            <w:vAlign w:val="center"/>
            <w:hideMark/>
          </w:tcPr>
          <w:p w14:paraId="6F7B05DF"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 xml:space="preserve">Igualdad de Género. </w:t>
            </w:r>
          </w:p>
        </w:tc>
        <w:tc>
          <w:tcPr>
            <w:tcW w:w="1660" w:type="dxa"/>
            <w:shd w:val="clear" w:color="auto" w:fill="auto"/>
            <w:vAlign w:val="center"/>
          </w:tcPr>
          <w:p w14:paraId="5D9D3851"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39,611,904</w:t>
            </w:r>
          </w:p>
        </w:tc>
      </w:tr>
      <w:tr w:rsidR="00D868AB" w:rsidRPr="00D868AB" w14:paraId="12EF2C17" w14:textId="77777777" w:rsidTr="00A755A7">
        <w:trPr>
          <w:trHeight w:val="20"/>
          <w:jc w:val="center"/>
        </w:trPr>
        <w:tc>
          <w:tcPr>
            <w:tcW w:w="846" w:type="dxa"/>
            <w:shd w:val="clear" w:color="auto" w:fill="auto"/>
            <w:noWrap/>
            <w:vAlign w:val="center"/>
            <w:hideMark/>
          </w:tcPr>
          <w:p w14:paraId="057BCC9E"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F</w:t>
            </w:r>
          </w:p>
        </w:tc>
        <w:tc>
          <w:tcPr>
            <w:tcW w:w="4034" w:type="dxa"/>
            <w:shd w:val="clear" w:color="auto" w:fill="auto"/>
            <w:vAlign w:val="center"/>
            <w:hideMark/>
          </w:tcPr>
          <w:p w14:paraId="7965802B"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Agua Limpia y Saneamiento.</w:t>
            </w:r>
          </w:p>
        </w:tc>
        <w:tc>
          <w:tcPr>
            <w:tcW w:w="1660" w:type="dxa"/>
            <w:shd w:val="clear" w:color="auto" w:fill="auto"/>
            <w:vAlign w:val="center"/>
          </w:tcPr>
          <w:p w14:paraId="45F2E95B"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13,867,059</w:t>
            </w:r>
          </w:p>
        </w:tc>
      </w:tr>
      <w:tr w:rsidR="00D868AB" w:rsidRPr="00D868AB" w14:paraId="1167CF87" w14:textId="77777777" w:rsidTr="00A755A7">
        <w:trPr>
          <w:trHeight w:val="20"/>
          <w:jc w:val="center"/>
        </w:trPr>
        <w:tc>
          <w:tcPr>
            <w:tcW w:w="846" w:type="dxa"/>
            <w:shd w:val="clear" w:color="auto" w:fill="auto"/>
            <w:noWrap/>
            <w:vAlign w:val="center"/>
            <w:hideMark/>
          </w:tcPr>
          <w:p w14:paraId="7C7B34A3"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G</w:t>
            </w:r>
          </w:p>
        </w:tc>
        <w:tc>
          <w:tcPr>
            <w:tcW w:w="4034" w:type="dxa"/>
            <w:shd w:val="clear" w:color="auto" w:fill="auto"/>
            <w:vAlign w:val="center"/>
            <w:hideMark/>
          </w:tcPr>
          <w:p w14:paraId="1D9F3998"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Energía Asequible y No Contaminante.</w:t>
            </w:r>
          </w:p>
        </w:tc>
        <w:tc>
          <w:tcPr>
            <w:tcW w:w="1660" w:type="dxa"/>
            <w:shd w:val="clear" w:color="auto" w:fill="auto"/>
            <w:vAlign w:val="center"/>
          </w:tcPr>
          <w:p w14:paraId="007130BF"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0</w:t>
            </w:r>
          </w:p>
        </w:tc>
      </w:tr>
      <w:tr w:rsidR="00D868AB" w:rsidRPr="00D868AB" w14:paraId="16F68BC5" w14:textId="77777777" w:rsidTr="00A755A7">
        <w:trPr>
          <w:trHeight w:val="20"/>
          <w:jc w:val="center"/>
        </w:trPr>
        <w:tc>
          <w:tcPr>
            <w:tcW w:w="846" w:type="dxa"/>
            <w:shd w:val="clear" w:color="auto" w:fill="auto"/>
            <w:noWrap/>
            <w:vAlign w:val="center"/>
            <w:hideMark/>
          </w:tcPr>
          <w:p w14:paraId="5691341A"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H</w:t>
            </w:r>
          </w:p>
        </w:tc>
        <w:tc>
          <w:tcPr>
            <w:tcW w:w="4034" w:type="dxa"/>
            <w:shd w:val="clear" w:color="auto" w:fill="auto"/>
            <w:vAlign w:val="center"/>
            <w:hideMark/>
          </w:tcPr>
          <w:p w14:paraId="1B88A86B"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Trabajo Decente y Crecimiento económico.</w:t>
            </w:r>
          </w:p>
        </w:tc>
        <w:tc>
          <w:tcPr>
            <w:tcW w:w="1660" w:type="dxa"/>
            <w:shd w:val="clear" w:color="auto" w:fill="auto"/>
            <w:vAlign w:val="center"/>
          </w:tcPr>
          <w:p w14:paraId="64B1E04B"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1,531,300,852</w:t>
            </w:r>
          </w:p>
        </w:tc>
      </w:tr>
      <w:tr w:rsidR="00D868AB" w:rsidRPr="00D868AB" w14:paraId="2C9D9381" w14:textId="77777777" w:rsidTr="00A755A7">
        <w:trPr>
          <w:trHeight w:val="20"/>
          <w:jc w:val="center"/>
        </w:trPr>
        <w:tc>
          <w:tcPr>
            <w:tcW w:w="846" w:type="dxa"/>
            <w:shd w:val="clear" w:color="auto" w:fill="auto"/>
            <w:noWrap/>
            <w:vAlign w:val="center"/>
            <w:hideMark/>
          </w:tcPr>
          <w:p w14:paraId="0B5CB4F9"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I</w:t>
            </w:r>
          </w:p>
        </w:tc>
        <w:tc>
          <w:tcPr>
            <w:tcW w:w="4034" w:type="dxa"/>
            <w:shd w:val="clear" w:color="auto" w:fill="auto"/>
            <w:vAlign w:val="center"/>
            <w:hideMark/>
          </w:tcPr>
          <w:p w14:paraId="7E9774F8"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Industria, Innovación e Infraestructura.</w:t>
            </w:r>
          </w:p>
        </w:tc>
        <w:tc>
          <w:tcPr>
            <w:tcW w:w="1660" w:type="dxa"/>
            <w:shd w:val="clear" w:color="auto" w:fill="auto"/>
            <w:vAlign w:val="center"/>
          </w:tcPr>
          <w:p w14:paraId="136F36FF"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177,701,201</w:t>
            </w:r>
          </w:p>
        </w:tc>
      </w:tr>
      <w:tr w:rsidR="00D868AB" w:rsidRPr="00D868AB" w14:paraId="2853F976" w14:textId="77777777" w:rsidTr="00A755A7">
        <w:trPr>
          <w:trHeight w:val="20"/>
          <w:jc w:val="center"/>
        </w:trPr>
        <w:tc>
          <w:tcPr>
            <w:tcW w:w="846" w:type="dxa"/>
            <w:shd w:val="clear" w:color="auto" w:fill="auto"/>
            <w:noWrap/>
            <w:vAlign w:val="center"/>
            <w:hideMark/>
          </w:tcPr>
          <w:p w14:paraId="34307E8D"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J</w:t>
            </w:r>
          </w:p>
        </w:tc>
        <w:tc>
          <w:tcPr>
            <w:tcW w:w="4034" w:type="dxa"/>
            <w:shd w:val="clear" w:color="auto" w:fill="auto"/>
            <w:vAlign w:val="center"/>
            <w:hideMark/>
          </w:tcPr>
          <w:p w14:paraId="4373B406"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Reducción de Desigualdades.</w:t>
            </w:r>
          </w:p>
        </w:tc>
        <w:tc>
          <w:tcPr>
            <w:tcW w:w="1660" w:type="dxa"/>
            <w:shd w:val="clear" w:color="auto" w:fill="auto"/>
            <w:vAlign w:val="center"/>
          </w:tcPr>
          <w:p w14:paraId="48CE2AFD"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522,789,790</w:t>
            </w:r>
          </w:p>
        </w:tc>
      </w:tr>
      <w:tr w:rsidR="00D868AB" w:rsidRPr="00D868AB" w14:paraId="343347EF" w14:textId="77777777" w:rsidTr="00A755A7">
        <w:trPr>
          <w:trHeight w:val="20"/>
          <w:jc w:val="center"/>
        </w:trPr>
        <w:tc>
          <w:tcPr>
            <w:tcW w:w="846" w:type="dxa"/>
            <w:shd w:val="clear" w:color="auto" w:fill="auto"/>
            <w:noWrap/>
            <w:vAlign w:val="center"/>
            <w:hideMark/>
          </w:tcPr>
          <w:p w14:paraId="3895FDA2"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K</w:t>
            </w:r>
          </w:p>
        </w:tc>
        <w:tc>
          <w:tcPr>
            <w:tcW w:w="4034" w:type="dxa"/>
            <w:shd w:val="clear" w:color="auto" w:fill="auto"/>
            <w:vAlign w:val="center"/>
            <w:hideMark/>
          </w:tcPr>
          <w:p w14:paraId="6D2FFA8D"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Ciudades y Comunidades Sostenibles.</w:t>
            </w:r>
          </w:p>
        </w:tc>
        <w:tc>
          <w:tcPr>
            <w:tcW w:w="1660" w:type="dxa"/>
            <w:shd w:val="clear" w:color="auto" w:fill="auto"/>
            <w:vAlign w:val="center"/>
          </w:tcPr>
          <w:p w14:paraId="64ABF718"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236,186,267</w:t>
            </w:r>
          </w:p>
        </w:tc>
      </w:tr>
      <w:tr w:rsidR="00D868AB" w:rsidRPr="00D868AB" w14:paraId="53F92B54" w14:textId="77777777" w:rsidTr="00A755A7">
        <w:trPr>
          <w:trHeight w:val="20"/>
          <w:jc w:val="center"/>
        </w:trPr>
        <w:tc>
          <w:tcPr>
            <w:tcW w:w="846" w:type="dxa"/>
            <w:shd w:val="clear" w:color="auto" w:fill="auto"/>
            <w:noWrap/>
            <w:vAlign w:val="center"/>
            <w:hideMark/>
          </w:tcPr>
          <w:p w14:paraId="2E5B6B1A"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L</w:t>
            </w:r>
          </w:p>
        </w:tc>
        <w:tc>
          <w:tcPr>
            <w:tcW w:w="4034" w:type="dxa"/>
            <w:shd w:val="clear" w:color="auto" w:fill="auto"/>
            <w:vAlign w:val="center"/>
            <w:hideMark/>
          </w:tcPr>
          <w:p w14:paraId="04287EAB"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Producción y Consumo Responsables.</w:t>
            </w:r>
          </w:p>
        </w:tc>
        <w:tc>
          <w:tcPr>
            <w:tcW w:w="1660" w:type="dxa"/>
            <w:shd w:val="clear" w:color="auto" w:fill="auto"/>
            <w:vAlign w:val="center"/>
          </w:tcPr>
          <w:p w14:paraId="20901EC5"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0</w:t>
            </w:r>
          </w:p>
        </w:tc>
      </w:tr>
      <w:tr w:rsidR="00D868AB" w:rsidRPr="00D868AB" w14:paraId="181E0C32" w14:textId="77777777" w:rsidTr="00A755A7">
        <w:trPr>
          <w:trHeight w:val="20"/>
          <w:jc w:val="center"/>
        </w:trPr>
        <w:tc>
          <w:tcPr>
            <w:tcW w:w="846" w:type="dxa"/>
            <w:shd w:val="clear" w:color="auto" w:fill="auto"/>
            <w:noWrap/>
            <w:vAlign w:val="center"/>
            <w:hideMark/>
          </w:tcPr>
          <w:p w14:paraId="19002576"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M</w:t>
            </w:r>
          </w:p>
        </w:tc>
        <w:tc>
          <w:tcPr>
            <w:tcW w:w="4034" w:type="dxa"/>
            <w:shd w:val="clear" w:color="auto" w:fill="auto"/>
            <w:vAlign w:val="center"/>
            <w:hideMark/>
          </w:tcPr>
          <w:p w14:paraId="35A9E195"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Acción por el Clima.</w:t>
            </w:r>
          </w:p>
        </w:tc>
        <w:tc>
          <w:tcPr>
            <w:tcW w:w="1660" w:type="dxa"/>
            <w:shd w:val="clear" w:color="auto" w:fill="auto"/>
            <w:vAlign w:val="center"/>
          </w:tcPr>
          <w:p w14:paraId="513FD011"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27,000,000</w:t>
            </w:r>
          </w:p>
        </w:tc>
      </w:tr>
      <w:tr w:rsidR="00D868AB" w:rsidRPr="00D868AB" w14:paraId="2B3EC930" w14:textId="77777777" w:rsidTr="00A755A7">
        <w:trPr>
          <w:trHeight w:val="20"/>
          <w:jc w:val="center"/>
        </w:trPr>
        <w:tc>
          <w:tcPr>
            <w:tcW w:w="846" w:type="dxa"/>
            <w:shd w:val="clear" w:color="auto" w:fill="auto"/>
            <w:noWrap/>
            <w:vAlign w:val="center"/>
            <w:hideMark/>
          </w:tcPr>
          <w:p w14:paraId="53C6A2D8"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N</w:t>
            </w:r>
          </w:p>
        </w:tc>
        <w:tc>
          <w:tcPr>
            <w:tcW w:w="4034" w:type="dxa"/>
            <w:shd w:val="clear" w:color="auto" w:fill="auto"/>
            <w:vAlign w:val="center"/>
            <w:hideMark/>
          </w:tcPr>
          <w:p w14:paraId="066219A8"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Vida Submarina.</w:t>
            </w:r>
          </w:p>
        </w:tc>
        <w:tc>
          <w:tcPr>
            <w:tcW w:w="1660" w:type="dxa"/>
            <w:shd w:val="clear" w:color="auto" w:fill="auto"/>
            <w:vAlign w:val="center"/>
          </w:tcPr>
          <w:p w14:paraId="7C7EE5B2"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0</w:t>
            </w:r>
          </w:p>
        </w:tc>
      </w:tr>
      <w:tr w:rsidR="00D868AB" w:rsidRPr="00D868AB" w14:paraId="128FE14E" w14:textId="77777777" w:rsidTr="00A755A7">
        <w:trPr>
          <w:trHeight w:val="20"/>
          <w:jc w:val="center"/>
        </w:trPr>
        <w:tc>
          <w:tcPr>
            <w:tcW w:w="846" w:type="dxa"/>
            <w:shd w:val="clear" w:color="auto" w:fill="auto"/>
            <w:noWrap/>
            <w:vAlign w:val="center"/>
            <w:hideMark/>
          </w:tcPr>
          <w:p w14:paraId="22B90317"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O</w:t>
            </w:r>
          </w:p>
        </w:tc>
        <w:tc>
          <w:tcPr>
            <w:tcW w:w="4034" w:type="dxa"/>
            <w:shd w:val="clear" w:color="auto" w:fill="auto"/>
            <w:vAlign w:val="center"/>
            <w:hideMark/>
          </w:tcPr>
          <w:p w14:paraId="2EB85C3A"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Vida de Ecosistemas Terrestres.</w:t>
            </w:r>
          </w:p>
        </w:tc>
        <w:tc>
          <w:tcPr>
            <w:tcW w:w="1660" w:type="dxa"/>
            <w:shd w:val="clear" w:color="auto" w:fill="auto"/>
            <w:vAlign w:val="center"/>
          </w:tcPr>
          <w:p w14:paraId="71B6F2DC"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46,788,778</w:t>
            </w:r>
          </w:p>
        </w:tc>
      </w:tr>
      <w:tr w:rsidR="00D868AB" w:rsidRPr="00D868AB" w14:paraId="36DD89C4" w14:textId="77777777" w:rsidTr="00A755A7">
        <w:trPr>
          <w:trHeight w:val="20"/>
          <w:jc w:val="center"/>
        </w:trPr>
        <w:tc>
          <w:tcPr>
            <w:tcW w:w="846" w:type="dxa"/>
            <w:shd w:val="clear" w:color="auto" w:fill="auto"/>
            <w:noWrap/>
            <w:vAlign w:val="center"/>
            <w:hideMark/>
          </w:tcPr>
          <w:p w14:paraId="34C318B8"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P</w:t>
            </w:r>
          </w:p>
        </w:tc>
        <w:tc>
          <w:tcPr>
            <w:tcW w:w="4034" w:type="dxa"/>
            <w:shd w:val="clear" w:color="auto" w:fill="auto"/>
            <w:vAlign w:val="center"/>
            <w:hideMark/>
          </w:tcPr>
          <w:p w14:paraId="3B982B34"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Paz, Justicia e Instituciones Sólidas.</w:t>
            </w:r>
          </w:p>
        </w:tc>
        <w:tc>
          <w:tcPr>
            <w:tcW w:w="1660" w:type="dxa"/>
            <w:shd w:val="clear" w:color="auto" w:fill="auto"/>
            <w:vAlign w:val="center"/>
          </w:tcPr>
          <w:p w14:paraId="57BE33FE"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6,053,986,047</w:t>
            </w:r>
          </w:p>
        </w:tc>
      </w:tr>
      <w:tr w:rsidR="00D868AB" w:rsidRPr="00D868AB" w14:paraId="727ADA83" w14:textId="77777777" w:rsidTr="00A755A7">
        <w:trPr>
          <w:trHeight w:val="20"/>
          <w:jc w:val="center"/>
        </w:trPr>
        <w:tc>
          <w:tcPr>
            <w:tcW w:w="846" w:type="dxa"/>
            <w:shd w:val="clear" w:color="auto" w:fill="auto"/>
            <w:noWrap/>
            <w:vAlign w:val="center"/>
            <w:hideMark/>
          </w:tcPr>
          <w:p w14:paraId="6BFAECA8" w14:textId="77777777" w:rsidR="00D868AB" w:rsidRPr="00D868AB" w:rsidRDefault="00D868AB" w:rsidP="00D868AB">
            <w:pPr>
              <w:jc w:val="center"/>
              <w:rPr>
                <w:rFonts w:eastAsia="Times New Roman" w:cs="Arial"/>
                <w:color w:val="000000"/>
                <w:sz w:val="20"/>
                <w:szCs w:val="20"/>
              </w:rPr>
            </w:pPr>
            <w:r w:rsidRPr="00D868AB">
              <w:rPr>
                <w:rFonts w:eastAsia="Times New Roman" w:cs="Arial"/>
                <w:color w:val="000000"/>
                <w:sz w:val="20"/>
                <w:szCs w:val="20"/>
              </w:rPr>
              <w:t>Q</w:t>
            </w:r>
          </w:p>
        </w:tc>
        <w:tc>
          <w:tcPr>
            <w:tcW w:w="4034" w:type="dxa"/>
            <w:shd w:val="clear" w:color="auto" w:fill="auto"/>
            <w:vAlign w:val="center"/>
            <w:hideMark/>
          </w:tcPr>
          <w:p w14:paraId="1455DBAD" w14:textId="77777777" w:rsidR="00D868AB" w:rsidRPr="00D868AB" w:rsidRDefault="00D868AB" w:rsidP="00D868AB">
            <w:pPr>
              <w:rPr>
                <w:rFonts w:eastAsia="Times New Roman" w:cs="Arial"/>
                <w:color w:val="000000"/>
                <w:sz w:val="20"/>
                <w:szCs w:val="20"/>
              </w:rPr>
            </w:pPr>
            <w:r w:rsidRPr="00D868AB">
              <w:rPr>
                <w:rFonts w:eastAsia="Times New Roman" w:cs="Arial"/>
                <w:color w:val="000000"/>
                <w:sz w:val="20"/>
                <w:szCs w:val="20"/>
              </w:rPr>
              <w:t>Alianzas para lograr los Objetivos.</w:t>
            </w:r>
          </w:p>
        </w:tc>
        <w:tc>
          <w:tcPr>
            <w:tcW w:w="1660" w:type="dxa"/>
            <w:shd w:val="clear" w:color="auto" w:fill="auto"/>
            <w:vAlign w:val="center"/>
          </w:tcPr>
          <w:p w14:paraId="3CD92C07" w14:textId="77777777" w:rsidR="00D868AB" w:rsidRPr="00D868AB" w:rsidRDefault="00D868AB" w:rsidP="00D868AB">
            <w:pPr>
              <w:jc w:val="right"/>
              <w:rPr>
                <w:rFonts w:eastAsia="Times New Roman" w:cs="Arial"/>
                <w:color w:val="000000"/>
                <w:sz w:val="20"/>
                <w:szCs w:val="20"/>
              </w:rPr>
            </w:pPr>
            <w:r w:rsidRPr="00D868AB">
              <w:rPr>
                <w:rFonts w:cs="Arial"/>
                <w:color w:val="000000"/>
                <w:sz w:val="20"/>
                <w:szCs w:val="20"/>
              </w:rPr>
              <w:t>889,652,583</w:t>
            </w:r>
          </w:p>
        </w:tc>
      </w:tr>
      <w:tr w:rsidR="00D868AB" w:rsidRPr="00D868AB" w14:paraId="6B4D82B8" w14:textId="77777777" w:rsidTr="00A755A7">
        <w:trPr>
          <w:trHeight w:val="20"/>
          <w:jc w:val="center"/>
        </w:trPr>
        <w:tc>
          <w:tcPr>
            <w:tcW w:w="846" w:type="dxa"/>
            <w:shd w:val="clear" w:color="auto" w:fill="auto"/>
            <w:vAlign w:val="center"/>
            <w:hideMark/>
          </w:tcPr>
          <w:p w14:paraId="6E1DC8DA" w14:textId="77777777" w:rsidR="00D868AB" w:rsidRPr="00D868AB" w:rsidRDefault="00D868AB" w:rsidP="00D868AB">
            <w:pPr>
              <w:jc w:val="left"/>
              <w:rPr>
                <w:rFonts w:eastAsia="Times New Roman" w:cs="Arial"/>
                <w:b/>
                <w:bCs/>
                <w:color w:val="000000"/>
                <w:sz w:val="20"/>
                <w:szCs w:val="20"/>
              </w:rPr>
            </w:pPr>
          </w:p>
        </w:tc>
        <w:tc>
          <w:tcPr>
            <w:tcW w:w="4034" w:type="dxa"/>
            <w:shd w:val="clear" w:color="auto" w:fill="auto"/>
            <w:vAlign w:val="center"/>
            <w:hideMark/>
          </w:tcPr>
          <w:p w14:paraId="07AF3761" w14:textId="77777777" w:rsidR="00D868AB" w:rsidRPr="00D868AB" w:rsidRDefault="00D868AB" w:rsidP="00D868AB">
            <w:pPr>
              <w:jc w:val="center"/>
              <w:rPr>
                <w:rFonts w:eastAsia="Times New Roman" w:cs="Arial"/>
                <w:b/>
                <w:bCs/>
                <w:color w:val="000000"/>
                <w:sz w:val="20"/>
                <w:szCs w:val="20"/>
              </w:rPr>
            </w:pPr>
            <w:r w:rsidRPr="00D868AB">
              <w:rPr>
                <w:rFonts w:eastAsia="Times New Roman" w:cs="Arial"/>
                <w:b/>
                <w:bCs/>
                <w:color w:val="000000"/>
                <w:sz w:val="20"/>
                <w:szCs w:val="20"/>
              </w:rPr>
              <w:t>Total</w:t>
            </w:r>
          </w:p>
        </w:tc>
        <w:tc>
          <w:tcPr>
            <w:tcW w:w="1660" w:type="dxa"/>
            <w:shd w:val="clear" w:color="auto" w:fill="auto"/>
            <w:vAlign w:val="center"/>
          </w:tcPr>
          <w:p w14:paraId="67EC322B" w14:textId="77777777" w:rsidR="00D868AB" w:rsidRPr="00D868AB" w:rsidRDefault="00D868AB" w:rsidP="00D868AB">
            <w:pPr>
              <w:jc w:val="right"/>
              <w:rPr>
                <w:rFonts w:eastAsia="Times New Roman" w:cs="Arial"/>
                <w:b/>
                <w:bCs/>
                <w:color w:val="000000"/>
                <w:sz w:val="20"/>
                <w:szCs w:val="20"/>
              </w:rPr>
            </w:pPr>
            <w:r w:rsidRPr="00D868AB">
              <w:rPr>
                <w:rFonts w:cs="Arial"/>
                <w:b/>
                <w:bCs/>
                <w:color w:val="000000"/>
                <w:sz w:val="20"/>
                <w:szCs w:val="20"/>
              </w:rPr>
              <w:t>20,555,300,000</w:t>
            </w:r>
          </w:p>
        </w:tc>
      </w:tr>
    </w:tbl>
    <w:p w14:paraId="179CCAA7" w14:textId="77777777" w:rsidR="00D868AB" w:rsidRPr="00D868AB" w:rsidRDefault="00D868AB" w:rsidP="00D868AB">
      <w:pPr>
        <w:rPr>
          <w:rFonts w:cs="Arial"/>
        </w:rPr>
      </w:pPr>
    </w:p>
    <w:p w14:paraId="75171B3E" w14:textId="77777777" w:rsidR="00D868AB" w:rsidRPr="00D868AB" w:rsidRDefault="00D868AB" w:rsidP="00D868AB">
      <w:pPr>
        <w:rPr>
          <w:rFonts w:cs="Arial"/>
          <w:lang w:val="es-ES"/>
        </w:rPr>
      </w:pPr>
      <w:r w:rsidRPr="00D868AB">
        <w:rPr>
          <w:rFonts w:cs="Arial"/>
          <w:lang w:val="es-ES"/>
        </w:rPr>
        <w:lastRenderedPageBreak/>
        <w:t>El detalle de las metas de la Agenda 2030 se muestra en el</w:t>
      </w:r>
      <w:r w:rsidRPr="00D868AB">
        <w:rPr>
          <w:rFonts w:cs="Arial"/>
        </w:rPr>
        <w:t xml:space="preserve"> </w:t>
      </w:r>
      <w:r w:rsidRPr="00D868AB">
        <w:rPr>
          <w:rFonts w:cs="Arial"/>
          <w:b/>
          <w:lang w:val="es-ES"/>
        </w:rPr>
        <w:t>Anexo 13</w:t>
      </w:r>
      <w:r w:rsidRPr="00D868AB">
        <w:rPr>
          <w:rFonts w:cs="Arial"/>
          <w:lang w:val="es-ES"/>
        </w:rPr>
        <w:t xml:space="preserve"> </w:t>
      </w:r>
      <w:r w:rsidRPr="00D868AB">
        <w:rPr>
          <w:rFonts w:cs="Arial"/>
          <w:b/>
          <w:lang w:val="es-ES"/>
        </w:rPr>
        <w:t>Objetivos y Metas de Desarrollo Sostenible de la Agenda 2030</w:t>
      </w:r>
      <w:r w:rsidRPr="00D868AB">
        <w:rPr>
          <w:rFonts w:cs="Arial"/>
          <w:lang w:val="es-ES"/>
        </w:rPr>
        <w:t xml:space="preserve">. </w:t>
      </w:r>
    </w:p>
    <w:p w14:paraId="127D0AAB" w14:textId="77777777" w:rsidR="00D868AB" w:rsidRPr="00D868AB" w:rsidRDefault="00D868AB" w:rsidP="00D868AB">
      <w:pPr>
        <w:rPr>
          <w:rFonts w:cs="Arial"/>
          <w:b/>
          <w:lang w:val="es-ES"/>
        </w:rPr>
      </w:pPr>
    </w:p>
    <w:p w14:paraId="620F0062" w14:textId="77777777" w:rsidR="00D868AB" w:rsidRPr="00D868AB" w:rsidRDefault="00D868AB" w:rsidP="00D868AB">
      <w:pPr>
        <w:rPr>
          <w:rFonts w:cs="Arial"/>
          <w:lang w:val="es-ES"/>
        </w:rPr>
      </w:pPr>
      <w:r w:rsidRPr="00D868AB">
        <w:rPr>
          <w:rFonts w:cs="Arial"/>
          <w:b/>
          <w:lang w:val="es-ES"/>
        </w:rPr>
        <w:t>Artículo 91</w:t>
      </w:r>
      <w:r w:rsidRPr="00D868AB">
        <w:rPr>
          <w:rFonts w:cs="Arial"/>
          <w:lang w:val="es-ES"/>
        </w:rPr>
        <w:t xml:space="preserve">. La persona Titular del Poder Ejecutivo, a través </w:t>
      </w:r>
      <w:r w:rsidRPr="00D868AB">
        <w:rPr>
          <w:rFonts w:eastAsia="Times New Roman" w:cs="Arial"/>
        </w:rPr>
        <w:t>de la Administración Pública Centralizada y la Administración Pública Paraestatal</w:t>
      </w:r>
      <w:r w:rsidRPr="00D868AB">
        <w:rPr>
          <w:rFonts w:cs="Arial"/>
          <w:lang w:val="es-ES"/>
        </w:rPr>
        <w:t xml:space="preserve">, impulsará la igualdad de oportunidades entre mujeres y hombres, así como la erradicación de la violencia de género, para lograr la transversalidad de la Perspectiva de Género en la planeación, diseño, programación, aplicación, seguimiento y evaluación de los Programas Presupuestarios y proyectos de la Administración Pública Estatal. Para tal efecto, las </w:t>
      </w:r>
      <w:r w:rsidRPr="00D868AB">
        <w:rPr>
          <w:rFonts w:eastAsia="Times New Roman" w:cs="Arial"/>
        </w:rPr>
        <w:t>Dependencias de la Administración Pública Centralizada y Entidades de la Administración Pública Paraestatal</w:t>
      </w:r>
      <w:r w:rsidRPr="00D868AB">
        <w:rPr>
          <w:rFonts w:cs="Arial"/>
          <w:lang w:val="es-ES"/>
        </w:rPr>
        <w:t xml:space="preserve"> en el ejercicio de su presupuesto deberán considerar lo siguiente: </w:t>
      </w:r>
    </w:p>
    <w:p w14:paraId="748EADA1" w14:textId="77777777" w:rsidR="00D868AB" w:rsidRPr="00D868AB" w:rsidRDefault="00D868AB" w:rsidP="00D868AB">
      <w:pPr>
        <w:numPr>
          <w:ilvl w:val="0"/>
          <w:numId w:val="12"/>
        </w:numPr>
        <w:ind w:hanging="436"/>
        <w:contextualSpacing/>
        <w:rPr>
          <w:rFonts w:eastAsia="Times New Roman" w:cs="Arial"/>
        </w:rPr>
      </w:pPr>
      <w:r w:rsidRPr="00D868AB">
        <w:rPr>
          <w:rFonts w:eastAsia="Times New Roman" w:cs="Arial"/>
        </w:rPr>
        <w:t>Basarse en la Perspectiva de Género para la programación, presupuestación y ejercicio del Gasto Público y reflejarla en la Metodología de Marco Lógico de los Programas Presupuestarios a su cargo;</w:t>
      </w:r>
    </w:p>
    <w:p w14:paraId="20A7E743" w14:textId="77777777" w:rsidR="00D868AB" w:rsidRPr="00D868AB" w:rsidRDefault="00D868AB" w:rsidP="00D868AB">
      <w:pPr>
        <w:numPr>
          <w:ilvl w:val="0"/>
          <w:numId w:val="12"/>
        </w:numPr>
        <w:ind w:hanging="436"/>
        <w:contextualSpacing/>
        <w:rPr>
          <w:rFonts w:eastAsia="Times New Roman" w:cs="Arial"/>
        </w:rPr>
      </w:pPr>
      <w:r w:rsidRPr="00D868AB">
        <w:rPr>
          <w:rFonts w:eastAsia="Times New Roman" w:cs="Arial"/>
        </w:rPr>
        <w:t>Promover la Perspectiva de Género en aquellos Programas Presupuestarios que aun cuando no estén dirigidos a mitigar o solventar desigualdades de género, se puedan observar variaciones en los beneficios específicos para mujeres y hombres;</w:t>
      </w:r>
    </w:p>
    <w:p w14:paraId="645FACDC" w14:textId="77777777" w:rsidR="00D868AB" w:rsidRPr="00D868AB" w:rsidRDefault="00D868AB" w:rsidP="00D868AB">
      <w:pPr>
        <w:numPr>
          <w:ilvl w:val="0"/>
          <w:numId w:val="12"/>
        </w:numPr>
        <w:ind w:hanging="436"/>
        <w:contextualSpacing/>
        <w:rPr>
          <w:rFonts w:eastAsia="Times New Roman" w:cs="Arial"/>
        </w:rPr>
      </w:pPr>
      <w:r w:rsidRPr="00D868AB">
        <w:rPr>
          <w:rFonts w:eastAsia="Times New Roman" w:cs="Arial"/>
        </w:rPr>
        <w:t>Emprender acciones que permitan avanzar en la consolidación de la equidad de género;</w:t>
      </w:r>
    </w:p>
    <w:p w14:paraId="4577649D" w14:textId="77777777" w:rsidR="00D868AB" w:rsidRPr="00D868AB" w:rsidRDefault="00D868AB" w:rsidP="00D868AB">
      <w:pPr>
        <w:numPr>
          <w:ilvl w:val="0"/>
          <w:numId w:val="12"/>
        </w:numPr>
        <w:ind w:hanging="436"/>
        <w:contextualSpacing/>
        <w:rPr>
          <w:rFonts w:cs="Arial"/>
          <w:lang w:val="es-ES"/>
        </w:rPr>
      </w:pPr>
      <w:r w:rsidRPr="00D868AB">
        <w:rPr>
          <w:rFonts w:eastAsia="Times New Roman" w:cs="Arial"/>
        </w:rPr>
        <w:t xml:space="preserve">Atender los requerimientos de información para el seguimiento y monitoreo de las acciones con Perspectiva de Género, a través de Indicadores de Género y Estadística Desagregada por Sexo; y </w:t>
      </w:r>
    </w:p>
    <w:p w14:paraId="105BBC12" w14:textId="77777777" w:rsidR="00D868AB" w:rsidRPr="00D868AB" w:rsidRDefault="00D868AB" w:rsidP="00D868AB">
      <w:pPr>
        <w:numPr>
          <w:ilvl w:val="0"/>
          <w:numId w:val="12"/>
        </w:numPr>
        <w:ind w:hanging="436"/>
        <w:contextualSpacing/>
        <w:rPr>
          <w:rFonts w:cs="Arial"/>
          <w:lang w:val="es-ES"/>
        </w:rPr>
      </w:pPr>
      <w:r w:rsidRPr="00D868AB">
        <w:rPr>
          <w:rFonts w:cs="Arial"/>
          <w:lang w:val="es-ES"/>
        </w:rPr>
        <w:t>Seguir cumpliendo con las acciones derivadas de la Declaratoria de Alerta de Violencia de Genero contra las Mujeres del Estado de Colima (AVG) y en el Dictamen sobre la Implementación de las Propuestas Contenidas en las Conclusiones del Informe Emitido por el Grupo de Trabajo Conformado para atender la solicitud de Alerta de Violencia de Género contra las Mujeres en el Estado de Colima.</w:t>
      </w:r>
    </w:p>
    <w:p w14:paraId="2A4ABAA2" w14:textId="77777777" w:rsidR="00D868AB" w:rsidRPr="00D868AB" w:rsidRDefault="00D868AB" w:rsidP="00D868AB">
      <w:pPr>
        <w:numPr>
          <w:ilvl w:val="0"/>
          <w:numId w:val="12"/>
        </w:numPr>
        <w:contextualSpacing/>
        <w:rPr>
          <w:rFonts w:cs="Arial"/>
          <w:lang w:val="es-ES"/>
        </w:rPr>
      </w:pPr>
      <w:r w:rsidRPr="00D868AB">
        <w:rPr>
          <w:rFonts w:cs="Arial"/>
          <w:lang w:val="es-ES"/>
        </w:rPr>
        <w:t>Para apoyar a la igualdad entre mujeres y hombres en el Estado de Colima se prevén recursos en diversos programas transversales del Poder Ejecutivo, mismos que promuevan la erradicación de la violencia de género, adicionalmente los entes públicos deberán adoptar acciones para identificar los recursos empleados en el cumplimiento de esta tarea, así como continuar fomentándola, a través de los diferentes programas que ejecutan con cargo a los recursos públicos.</w:t>
      </w:r>
    </w:p>
    <w:p w14:paraId="0FE6A641" w14:textId="77777777" w:rsidR="00D868AB" w:rsidRPr="00D868AB" w:rsidRDefault="00D868AB" w:rsidP="00D868AB">
      <w:pPr>
        <w:keepNext/>
        <w:keepLines/>
        <w:ind w:left="360"/>
        <w:jc w:val="center"/>
        <w:outlineLvl w:val="1"/>
        <w:rPr>
          <w:rFonts w:eastAsia="Times New Roman" w:cs="Arial"/>
          <w:b/>
          <w:lang w:val="es-ES"/>
        </w:rPr>
      </w:pPr>
    </w:p>
    <w:tbl>
      <w:tblPr>
        <w:tblW w:w="7080" w:type="dxa"/>
        <w:jc w:val="center"/>
        <w:tblCellMar>
          <w:left w:w="70" w:type="dxa"/>
          <w:right w:w="70" w:type="dxa"/>
        </w:tblCellMar>
        <w:tblLook w:val="04A0" w:firstRow="1" w:lastRow="0" w:firstColumn="1" w:lastColumn="0" w:noHBand="0" w:noVBand="1"/>
      </w:tblPr>
      <w:tblGrid>
        <w:gridCol w:w="5540"/>
        <w:gridCol w:w="1540"/>
      </w:tblGrid>
      <w:tr w:rsidR="00D868AB" w:rsidRPr="00D868AB" w14:paraId="6949DCFF" w14:textId="77777777" w:rsidTr="00A755A7">
        <w:trPr>
          <w:trHeight w:val="20"/>
          <w:tblHeader/>
          <w:jc w:val="center"/>
        </w:trPr>
        <w:tc>
          <w:tcPr>
            <w:tcW w:w="7080" w:type="dxa"/>
            <w:gridSpan w:val="2"/>
            <w:tcBorders>
              <w:bottom w:val="single" w:sz="4" w:space="0" w:color="auto"/>
            </w:tcBorders>
            <w:shd w:val="clear" w:color="auto" w:fill="auto"/>
            <w:noWrap/>
            <w:vAlign w:val="center"/>
          </w:tcPr>
          <w:p w14:paraId="1E84D771" w14:textId="77777777" w:rsidR="00D868AB" w:rsidRPr="00D868AB" w:rsidRDefault="00D868AB" w:rsidP="00D868AB">
            <w:pPr>
              <w:jc w:val="center"/>
              <w:rPr>
                <w:rFonts w:eastAsia="Times New Roman" w:cs="Arial"/>
                <w:b/>
                <w:bCs/>
                <w:sz w:val="20"/>
                <w:lang w:val="es-ES"/>
              </w:rPr>
            </w:pPr>
            <w:bookmarkStart w:id="309" w:name="_Toc22022016"/>
            <w:bookmarkStart w:id="310" w:name="_Toc22983252"/>
            <w:r w:rsidRPr="00D868AB">
              <w:rPr>
                <w:rFonts w:eastAsia="Times New Roman" w:cs="Arial"/>
                <w:b/>
                <w:sz w:val="20"/>
                <w:lang w:val="es-ES"/>
              </w:rPr>
              <w:t>Tabla 64. Igualdad de Oportunidades entre Mujeres y Hombres</w:t>
            </w:r>
            <w:bookmarkEnd w:id="309"/>
            <w:bookmarkEnd w:id="310"/>
          </w:p>
        </w:tc>
      </w:tr>
      <w:tr w:rsidR="00D868AB" w:rsidRPr="00D868AB" w14:paraId="7427FC65" w14:textId="77777777" w:rsidTr="00A755A7">
        <w:trPr>
          <w:trHeight w:val="20"/>
          <w:tblHeader/>
          <w:jc w:val="center"/>
        </w:trPr>
        <w:tc>
          <w:tcPr>
            <w:tcW w:w="5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FFF66" w14:textId="77777777" w:rsidR="00D868AB" w:rsidRPr="00D868AB" w:rsidRDefault="00D868AB" w:rsidP="00D868AB">
            <w:pPr>
              <w:jc w:val="center"/>
              <w:rPr>
                <w:rFonts w:eastAsia="Times New Roman" w:cs="Arial"/>
                <w:b/>
                <w:bCs/>
                <w:sz w:val="18"/>
              </w:rPr>
            </w:pPr>
            <w:r w:rsidRPr="00D868AB">
              <w:rPr>
                <w:rFonts w:eastAsia="Times New Roman" w:cs="Arial"/>
                <w:b/>
                <w:bCs/>
                <w:sz w:val="18"/>
                <w:lang w:val="es-ES"/>
              </w:rPr>
              <w:t>Concepto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7E5C0F2" w14:textId="77777777" w:rsidR="00D868AB" w:rsidRPr="00D868AB" w:rsidRDefault="00D868AB" w:rsidP="00D868AB">
            <w:pPr>
              <w:jc w:val="center"/>
              <w:rPr>
                <w:rFonts w:eastAsia="Times New Roman" w:cs="Arial"/>
                <w:b/>
                <w:bCs/>
                <w:sz w:val="18"/>
              </w:rPr>
            </w:pPr>
            <w:r w:rsidRPr="00D868AB">
              <w:rPr>
                <w:rFonts w:eastAsia="Times New Roman" w:cs="Arial"/>
                <w:b/>
                <w:bCs/>
                <w:sz w:val="18"/>
                <w:lang w:val="es-ES"/>
              </w:rPr>
              <w:t>Asignación Presupuestal</w:t>
            </w:r>
          </w:p>
        </w:tc>
      </w:tr>
      <w:tr w:rsidR="00D868AB" w:rsidRPr="00D868AB" w14:paraId="57355B2C" w14:textId="77777777" w:rsidTr="00A755A7">
        <w:trPr>
          <w:trHeight w:val="2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D0AB1E4" w14:textId="77777777" w:rsidR="00D868AB" w:rsidRPr="00D868AB" w:rsidRDefault="00D868AB" w:rsidP="00D868AB">
            <w:pPr>
              <w:rPr>
                <w:rFonts w:eastAsia="Times New Roman" w:cs="Arial"/>
                <w:sz w:val="18"/>
              </w:rPr>
            </w:pPr>
            <w:r w:rsidRPr="00D868AB">
              <w:rPr>
                <w:rFonts w:cs="Arial"/>
                <w:color w:val="000000"/>
                <w:sz w:val="18"/>
              </w:rPr>
              <w:t>Discriminación por cuestiones de género.</w:t>
            </w:r>
          </w:p>
        </w:tc>
        <w:tc>
          <w:tcPr>
            <w:tcW w:w="1540" w:type="dxa"/>
            <w:tcBorders>
              <w:top w:val="nil"/>
              <w:left w:val="nil"/>
              <w:bottom w:val="single" w:sz="4" w:space="0" w:color="auto"/>
              <w:right w:val="single" w:sz="4" w:space="0" w:color="auto"/>
            </w:tcBorders>
            <w:shd w:val="clear" w:color="auto" w:fill="auto"/>
            <w:noWrap/>
            <w:vAlign w:val="center"/>
          </w:tcPr>
          <w:p w14:paraId="5E5753C3" w14:textId="77777777" w:rsidR="00D868AB" w:rsidRPr="00D868AB" w:rsidRDefault="00D868AB" w:rsidP="00D868AB">
            <w:pPr>
              <w:jc w:val="right"/>
              <w:rPr>
                <w:rFonts w:eastAsia="Times New Roman" w:cs="Arial"/>
                <w:sz w:val="18"/>
              </w:rPr>
            </w:pPr>
            <w:r w:rsidRPr="00D868AB">
              <w:rPr>
                <w:rFonts w:cs="Arial"/>
                <w:color w:val="000000"/>
                <w:sz w:val="18"/>
                <w:szCs w:val="18"/>
              </w:rPr>
              <w:t xml:space="preserve">19,844,575 </w:t>
            </w:r>
          </w:p>
        </w:tc>
      </w:tr>
      <w:tr w:rsidR="00D868AB" w:rsidRPr="00D868AB" w14:paraId="13F156A3" w14:textId="77777777" w:rsidTr="00A755A7">
        <w:trPr>
          <w:trHeight w:val="2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34F78013" w14:textId="77777777" w:rsidR="00D868AB" w:rsidRPr="00D868AB" w:rsidRDefault="00D868AB" w:rsidP="00D868AB">
            <w:pPr>
              <w:rPr>
                <w:rFonts w:eastAsia="Times New Roman" w:cs="Arial"/>
                <w:sz w:val="18"/>
              </w:rPr>
            </w:pPr>
            <w:r w:rsidRPr="00D868AB">
              <w:rPr>
                <w:rFonts w:cs="Arial"/>
                <w:color w:val="000000"/>
                <w:sz w:val="18"/>
              </w:rPr>
              <w:t>Violencia por cuestiones de género.</w:t>
            </w:r>
          </w:p>
        </w:tc>
        <w:tc>
          <w:tcPr>
            <w:tcW w:w="1540" w:type="dxa"/>
            <w:tcBorders>
              <w:top w:val="nil"/>
              <w:left w:val="nil"/>
              <w:bottom w:val="single" w:sz="4" w:space="0" w:color="auto"/>
              <w:right w:val="single" w:sz="4" w:space="0" w:color="auto"/>
            </w:tcBorders>
            <w:shd w:val="clear" w:color="auto" w:fill="auto"/>
            <w:noWrap/>
            <w:vAlign w:val="center"/>
          </w:tcPr>
          <w:p w14:paraId="15F9319F" w14:textId="77777777" w:rsidR="00D868AB" w:rsidRPr="00D868AB" w:rsidRDefault="00D868AB" w:rsidP="00D868AB">
            <w:pPr>
              <w:jc w:val="right"/>
              <w:rPr>
                <w:rFonts w:eastAsia="Times New Roman" w:cs="Arial"/>
                <w:sz w:val="18"/>
              </w:rPr>
            </w:pPr>
            <w:r w:rsidRPr="00D868AB">
              <w:rPr>
                <w:rFonts w:cs="Arial"/>
                <w:color w:val="000000"/>
                <w:sz w:val="18"/>
                <w:szCs w:val="18"/>
              </w:rPr>
              <w:t xml:space="preserve">16,148,571 </w:t>
            </w:r>
          </w:p>
        </w:tc>
      </w:tr>
      <w:tr w:rsidR="00D868AB" w:rsidRPr="00D868AB" w14:paraId="77848F47" w14:textId="77777777" w:rsidTr="00A755A7">
        <w:trPr>
          <w:trHeight w:val="2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C9575B2" w14:textId="77777777" w:rsidR="00D868AB" w:rsidRPr="00D868AB" w:rsidRDefault="00D868AB" w:rsidP="00D868AB">
            <w:pPr>
              <w:rPr>
                <w:rFonts w:eastAsia="Times New Roman" w:cs="Arial"/>
                <w:sz w:val="18"/>
              </w:rPr>
            </w:pPr>
            <w:r w:rsidRPr="00D868AB">
              <w:rPr>
                <w:rFonts w:cs="Arial"/>
                <w:color w:val="000000"/>
                <w:sz w:val="18"/>
              </w:rPr>
              <w:t>Igualdad sustantiva.</w:t>
            </w:r>
          </w:p>
        </w:tc>
        <w:tc>
          <w:tcPr>
            <w:tcW w:w="1540" w:type="dxa"/>
            <w:tcBorders>
              <w:top w:val="nil"/>
              <w:left w:val="nil"/>
              <w:bottom w:val="single" w:sz="4" w:space="0" w:color="auto"/>
              <w:right w:val="single" w:sz="4" w:space="0" w:color="auto"/>
            </w:tcBorders>
            <w:shd w:val="clear" w:color="auto" w:fill="auto"/>
            <w:noWrap/>
            <w:vAlign w:val="center"/>
          </w:tcPr>
          <w:p w14:paraId="7CD0F644" w14:textId="77777777" w:rsidR="00D868AB" w:rsidRPr="00D868AB" w:rsidRDefault="00D868AB" w:rsidP="00D868AB">
            <w:pPr>
              <w:jc w:val="right"/>
              <w:rPr>
                <w:rFonts w:eastAsia="Times New Roman" w:cs="Arial"/>
                <w:sz w:val="18"/>
              </w:rPr>
            </w:pPr>
            <w:r w:rsidRPr="00D868AB">
              <w:rPr>
                <w:rFonts w:cs="Arial"/>
                <w:color w:val="000000"/>
                <w:sz w:val="18"/>
                <w:szCs w:val="18"/>
              </w:rPr>
              <w:t xml:space="preserve">1,875,398 </w:t>
            </w:r>
          </w:p>
        </w:tc>
      </w:tr>
      <w:tr w:rsidR="00D868AB" w:rsidRPr="00D868AB" w14:paraId="7521B703" w14:textId="77777777" w:rsidTr="00A755A7">
        <w:trPr>
          <w:trHeight w:val="20"/>
          <w:jc w:val="center"/>
        </w:trPr>
        <w:tc>
          <w:tcPr>
            <w:tcW w:w="5540" w:type="dxa"/>
            <w:tcBorders>
              <w:top w:val="nil"/>
              <w:left w:val="single" w:sz="4" w:space="0" w:color="auto"/>
              <w:bottom w:val="single" w:sz="4" w:space="0" w:color="auto"/>
              <w:right w:val="single" w:sz="4" w:space="0" w:color="auto"/>
            </w:tcBorders>
            <w:shd w:val="clear" w:color="auto" w:fill="auto"/>
            <w:noWrap/>
            <w:vAlign w:val="bottom"/>
          </w:tcPr>
          <w:p w14:paraId="33798B4F" w14:textId="77777777" w:rsidR="00D868AB" w:rsidRPr="00D868AB" w:rsidRDefault="00D868AB" w:rsidP="00D868AB">
            <w:pPr>
              <w:rPr>
                <w:rFonts w:eastAsia="Times New Roman" w:cs="Arial"/>
                <w:sz w:val="18"/>
              </w:rPr>
            </w:pPr>
            <w:r w:rsidRPr="00D868AB">
              <w:rPr>
                <w:rFonts w:cs="Arial"/>
                <w:color w:val="000000"/>
                <w:sz w:val="18"/>
              </w:rPr>
              <w:lastRenderedPageBreak/>
              <w:t>Derechos reproductivos.</w:t>
            </w:r>
          </w:p>
        </w:tc>
        <w:tc>
          <w:tcPr>
            <w:tcW w:w="1540" w:type="dxa"/>
            <w:tcBorders>
              <w:top w:val="nil"/>
              <w:left w:val="nil"/>
              <w:bottom w:val="single" w:sz="4" w:space="0" w:color="auto"/>
              <w:right w:val="single" w:sz="4" w:space="0" w:color="auto"/>
            </w:tcBorders>
            <w:shd w:val="clear" w:color="auto" w:fill="auto"/>
            <w:noWrap/>
            <w:vAlign w:val="center"/>
          </w:tcPr>
          <w:p w14:paraId="58E21A8F" w14:textId="77777777" w:rsidR="00D868AB" w:rsidRPr="00D868AB" w:rsidRDefault="00D868AB" w:rsidP="00D868AB">
            <w:pPr>
              <w:jc w:val="right"/>
              <w:rPr>
                <w:rFonts w:eastAsia="Times New Roman" w:cs="Arial"/>
                <w:sz w:val="18"/>
              </w:rPr>
            </w:pPr>
            <w:r w:rsidRPr="00D868AB">
              <w:rPr>
                <w:rFonts w:cs="Arial"/>
                <w:color w:val="000000"/>
                <w:sz w:val="18"/>
                <w:szCs w:val="18"/>
              </w:rPr>
              <w:t xml:space="preserve">1,743,360 </w:t>
            </w:r>
          </w:p>
        </w:tc>
      </w:tr>
      <w:tr w:rsidR="00D868AB" w:rsidRPr="00D868AB" w14:paraId="1874F4EB" w14:textId="77777777" w:rsidTr="00A755A7">
        <w:trPr>
          <w:trHeight w:val="20"/>
          <w:jc w:val="center"/>
        </w:trPr>
        <w:tc>
          <w:tcPr>
            <w:tcW w:w="5540" w:type="dxa"/>
            <w:tcBorders>
              <w:top w:val="nil"/>
              <w:left w:val="single" w:sz="4" w:space="0" w:color="auto"/>
              <w:bottom w:val="single" w:sz="4" w:space="0" w:color="auto"/>
              <w:right w:val="single" w:sz="4" w:space="0" w:color="auto"/>
            </w:tcBorders>
            <w:shd w:val="clear" w:color="auto" w:fill="auto"/>
            <w:noWrap/>
            <w:vAlign w:val="center"/>
            <w:hideMark/>
          </w:tcPr>
          <w:p w14:paraId="2976F0D7" w14:textId="77777777" w:rsidR="00D868AB" w:rsidRPr="00D868AB" w:rsidRDefault="00D868AB" w:rsidP="00D868AB">
            <w:pPr>
              <w:jc w:val="center"/>
              <w:rPr>
                <w:rFonts w:eastAsia="Times New Roman" w:cs="Arial"/>
                <w:b/>
                <w:bCs/>
                <w:sz w:val="18"/>
              </w:rPr>
            </w:pPr>
            <w:r w:rsidRPr="00D868AB">
              <w:rPr>
                <w:rFonts w:cs="Arial"/>
                <w:b/>
                <w:bCs/>
                <w:color w:val="000000"/>
                <w:sz w:val="18"/>
              </w:rPr>
              <w:t>Total</w:t>
            </w:r>
          </w:p>
        </w:tc>
        <w:tc>
          <w:tcPr>
            <w:tcW w:w="1540" w:type="dxa"/>
            <w:tcBorders>
              <w:top w:val="nil"/>
              <w:left w:val="nil"/>
              <w:bottom w:val="single" w:sz="4" w:space="0" w:color="auto"/>
              <w:right w:val="single" w:sz="4" w:space="0" w:color="auto"/>
            </w:tcBorders>
            <w:shd w:val="clear" w:color="auto" w:fill="auto"/>
            <w:noWrap/>
            <w:vAlign w:val="center"/>
          </w:tcPr>
          <w:p w14:paraId="53024098" w14:textId="77777777" w:rsidR="00D868AB" w:rsidRPr="00D868AB" w:rsidRDefault="00D868AB" w:rsidP="00D868AB">
            <w:pPr>
              <w:jc w:val="right"/>
              <w:rPr>
                <w:rFonts w:eastAsia="Times New Roman" w:cs="Arial"/>
                <w:b/>
                <w:sz w:val="18"/>
              </w:rPr>
            </w:pPr>
            <w:r w:rsidRPr="00D868AB">
              <w:rPr>
                <w:rFonts w:cs="Arial"/>
                <w:b/>
                <w:bCs/>
                <w:color w:val="000000"/>
                <w:sz w:val="18"/>
                <w:szCs w:val="18"/>
              </w:rPr>
              <w:t xml:space="preserve">39,611,904 </w:t>
            </w:r>
          </w:p>
        </w:tc>
      </w:tr>
    </w:tbl>
    <w:p w14:paraId="59E48BD9" w14:textId="77777777" w:rsidR="00D868AB" w:rsidRPr="00D868AB" w:rsidRDefault="00D868AB" w:rsidP="00D868AB">
      <w:pPr>
        <w:rPr>
          <w:rFonts w:cs="Arial"/>
          <w:b/>
          <w:lang w:val="es-ES"/>
        </w:rPr>
      </w:pPr>
    </w:p>
    <w:p w14:paraId="2FD5F1AE" w14:textId="77777777" w:rsidR="00D868AB" w:rsidRPr="00D868AB" w:rsidRDefault="00D868AB" w:rsidP="00D868AB">
      <w:pPr>
        <w:rPr>
          <w:rFonts w:eastAsia="Times New Roman" w:cs="Arial"/>
        </w:rPr>
      </w:pPr>
      <w:r w:rsidRPr="00D868AB">
        <w:rPr>
          <w:rFonts w:cs="Arial"/>
          <w:b/>
          <w:lang w:val="es-ES"/>
        </w:rPr>
        <w:t xml:space="preserve">Artículo 92. </w:t>
      </w:r>
      <w:r w:rsidRPr="00D868AB">
        <w:rPr>
          <w:rFonts w:cs="Arial"/>
          <w:lang w:val="es-ES"/>
        </w:rPr>
        <w:t>En cumplimiento a lo dispuesto por el artículo 4º de la Constitución Política de los Estados Unidos Mexicanos, que señala que en todas las decisiones y actuaciones del Estado se debe priorizar el principio del interés superior de la niñez, garantizando de manera plena sus derechos; así como por lo señalado en la Ley General de los Derechos de Niñas, Niños y Adolescentes, que establece que los programas y políticas públicas tendrán un enfoque integral, transversal y con perspectiva de derechos humanos en su diseño e instrumentación; se identifican las asignaciones presupuestarias para la niñez.</w:t>
      </w:r>
    </w:p>
    <w:p w14:paraId="3DA55EA0" w14:textId="77777777" w:rsidR="00D868AB" w:rsidRPr="00D868AB" w:rsidRDefault="00D868AB" w:rsidP="00D868AB">
      <w:pPr>
        <w:rPr>
          <w:rFonts w:cs="Arial"/>
          <w:lang w:val="es-ES"/>
        </w:rPr>
      </w:pPr>
    </w:p>
    <w:p w14:paraId="0C2C05BB" w14:textId="77777777" w:rsidR="00D868AB" w:rsidRPr="00D868AB" w:rsidRDefault="00D868AB" w:rsidP="00D868AB">
      <w:pPr>
        <w:rPr>
          <w:rFonts w:cs="Arial"/>
          <w:lang w:val="es-ES"/>
        </w:rPr>
      </w:pPr>
      <w:r w:rsidRPr="00D868AB">
        <w:rPr>
          <w:rFonts w:cs="Arial"/>
          <w:lang w:val="es-ES"/>
        </w:rPr>
        <w:t xml:space="preserve">Se identifican y clasifican los Proyectos Presupuestarios de acuerdo a la metodología establecida por el </w:t>
      </w:r>
      <w:r w:rsidRPr="00D868AB">
        <w:rPr>
          <w:rFonts w:cs="Arial"/>
          <w:b/>
          <w:lang w:val="es-ES"/>
        </w:rPr>
        <w:t>Fondo de las Naciones Unidas para la Infancia (UNICEF)</w:t>
      </w:r>
      <w:r w:rsidRPr="00D868AB">
        <w:rPr>
          <w:rFonts w:cs="Arial"/>
          <w:lang w:val="es-ES"/>
        </w:rPr>
        <w:t xml:space="preserve">, en términos de los derechos fundamentales, los cuales son: </w:t>
      </w:r>
    </w:p>
    <w:p w14:paraId="713CCAFB" w14:textId="77777777" w:rsidR="00D868AB" w:rsidRPr="00D868AB" w:rsidRDefault="00D868AB" w:rsidP="00D868AB">
      <w:pPr>
        <w:keepNext/>
        <w:keepLines/>
        <w:jc w:val="center"/>
        <w:outlineLvl w:val="1"/>
        <w:rPr>
          <w:rFonts w:eastAsia="Times New Roman"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1"/>
        <w:gridCol w:w="1607"/>
      </w:tblGrid>
      <w:tr w:rsidR="00D868AB" w:rsidRPr="00D868AB" w14:paraId="7ECBF4BE" w14:textId="77777777" w:rsidTr="00A755A7">
        <w:trPr>
          <w:trHeight w:val="20"/>
          <w:tblHeader/>
          <w:jc w:val="center"/>
        </w:trPr>
        <w:tc>
          <w:tcPr>
            <w:tcW w:w="7118" w:type="dxa"/>
            <w:gridSpan w:val="2"/>
            <w:tcBorders>
              <w:top w:val="nil"/>
              <w:left w:val="nil"/>
              <w:bottom w:val="single" w:sz="4" w:space="0" w:color="auto"/>
              <w:right w:val="nil"/>
            </w:tcBorders>
            <w:shd w:val="clear" w:color="auto" w:fill="auto"/>
            <w:noWrap/>
            <w:vAlign w:val="center"/>
          </w:tcPr>
          <w:p w14:paraId="4443F99E" w14:textId="77777777" w:rsidR="00D868AB" w:rsidRPr="00D868AB" w:rsidRDefault="00D868AB" w:rsidP="00D868AB">
            <w:pPr>
              <w:jc w:val="center"/>
              <w:rPr>
                <w:rFonts w:cs="Arial"/>
                <w:b/>
                <w:bCs/>
                <w:sz w:val="20"/>
                <w:lang w:val="es-ES"/>
              </w:rPr>
            </w:pPr>
            <w:bookmarkStart w:id="311" w:name="_Toc526757547"/>
            <w:bookmarkStart w:id="312" w:name="_Toc22022017"/>
            <w:bookmarkStart w:id="313" w:name="_Toc22983253"/>
            <w:r w:rsidRPr="00D868AB">
              <w:rPr>
                <w:rFonts w:eastAsia="Times New Roman" w:cs="Arial"/>
                <w:b/>
                <w:sz w:val="20"/>
                <w:lang w:val="es-ES"/>
              </w:rPr>
              <w:t xml:space="preserve">Tabla 65. </w:t>
            </w:r>
            <w:r w:rsidRPr="00D868AB">
              <w:rPr>
                <w:rFonts w:cs="Arial"/>
                <w:b/>
                <w:sz w:val="20"/>
                <w:lang w:val="es-ES"/>
              </w:rPr>
              <w:t>Derechos de Niñas, Niños y Adolescentes</w:t>
            </w:r>
            <w:bookmarkEnd w:id="311"/>
            <w:bookmarkEnd w:id="312"/>
            <w:bookmarkEnd w:id="313"/>
          </w:p>
        </w:tc>
      </w:tr>
      <w:tr w:rsidR="00D868AB" w:rsidRPr="00D868AB" w14:paraId="25B63C55" w14:textId="77777777" w:rsidTr="00A755A7">
        <w:trPr>
          <w:trHeight w:val="20"/>
          <w:tblHeader/>
          <w:jc w:val="center"/>
        </w:trPr>
        <w:tc>
          <w:tcPr>
            <w:tcW w:w="5511" w:type="dxa"/>
            <w:tcBorders>
              <w:top w:val="single" w:sz="4" w:space="0" w:color="auto"/>
            </w:tcBorders>
            <w:shd w:val="clear" w:color="auto" w:fill="auto"/>
            <w:noWrap/>
            <w:vAlign w:val="center"/>
            <w:hideMark/>
          </w:tcPr>
          <w:p w14:paraId="71790EC3" w14:textId="77777777" w:rsidR="00D868AB" w:rsidRPr="00D868AB" w:rsidRDefault="00D868AB" w:rsidP="00D868AB">
            <w:pPr>
              <w:jc w:val="center"/>
              <w:rPr>
                <w:rFonts w:cs="Arial"/>
                <w:b/>
                <w:bCs/>
                <w:sz w:val="18"/>
                <w:lang w:val="es-ES"/>
              </w:rPr>
            </w:pPr>
            <w:r w:rsidRPr="00D868AB">
              <w:rPr>
                <w:rFonts w:cs="Arial"/>
                <w:b/>
                <w:sz w:val="18"/>
                <w:lang w:val="es-ES"/>
              </w:rPr>
              <w:t>Derechos Fundamentales (UNICEF)</w:t>
            </w:r>
          </w:p>
        </w:tc>
        <w:tc>
          <w:tcPr>
            <w:tcW w:w="1607" w:type="dxa"/>
            <w:tcBorders>
              <w:top w:val="single" w:sz="4" w:space="0" w:color="auto"/>
            </w:tcBorders>
            <w:shd w:val="clear" w:color="auto" w:fill="auto"/>
            <w:vAlign w:val="center"/>
            <w:hideMark/>
          </w:tcPr>
          <w:p w14:paraId="4C3844DA" w14:textId="77777777" w:rsidR="00D868AB" w:rsidRPr="00D868AB" w:rsidRDefault="00D868AB" w:rsidP="00D868AB">
            <w:pPr>
              <w:jc w:val="center"/>
              <w:rPr>
                <w:rFonts w:cs="Arial"/>
                <w:b/>
                <w:bCs/>
                <w:sz w:val="18"/>
                <w:lang w:val="es-ES"/>
              </w:rPr>
            </w:pPr>
            <w:r w:rsidRPr="00D868AB">
              <w:rPr>
                <w:rFonts w:cs="Arial"/>
                <w:b/>
                <w:bCs/>
                <w:sz w:val="18"/>
                <w:lang w:val="es-ES"/>
              </w:rPr>
              <w:t>Asignación Presupuestal</w:t>
            </w:r>
          </w:p>
        </w:tc>
      </w:tr>
      <w:tr w:rsidR="00D868AB" w:rsidRPr="00D868AB" w14:paraId="6ED429B2" w14:textId="77777777" w:rsidTr="00A755A7">
        <w:trPr>
          <w:trHeight w:val="20"/>
          <w:jc w:val="center"/>
        </w:trPr>
        <w:tc>
          <w:tcPr>
            <w:tcW w:w="5511" w:type="dxa"/>
            <w:shd w:val="clear" w:color="auto" w:fill="auto"/>
            <w:noWrap/>
            <w:vAlign w:val="center"/>
          </w:tcPr>
          <w:p w14:paraId="5B355A40" w14:textId="77777777" w:rsidR="00D868AB" w:rsidRPr="00D868AB" w:rsidRDefault="00D868AB" w:rsidP="00D868AB">
            <w:pPr>
              <w:rPr>
                <w:rFonts w:cs="Arial"/>
                <w:sz w:val="18"/>
                <w:lang w:val="es-ES"/>
              </w:rPr>
            </w:pPr>
            <w:r w:rsidRPr="00D868AB">
              <w:rPr>
                <w:rFonts w:cs="Arial"/>
                <w:sz w:val="18"/>
                <w:lang w:val="es-ES"/>
              </w:rPr>
              <w:t>Derecho al Desarrollo.</w:t>
            </w:r>
          </w:p>
        </w:tc>
        <w:tc>
          <w:tcPr>
            <w:tcW w:w="1607" w:type="dxa"/>
            <w:shd w:val="clear" w:color="auto" w:fill="auto"/>
            <w:noWrap/>
            <w:vAlign w:val="center"/>
          </w:tcPr>
          <w:p w14:paraId="28D42D22" w14:textId="77777777" w:rsidR="00D868AB" w:rsidRPr="00D868AB" w:rsidRDefault="00D868AB" w:rsidP="00D868AB">
            <w:pPr>
              <w:jc w:val="right"/>
              <w:rPr>
                <w:rFonts w:cs="Arial"/>
                <w:sz w:val="18"/>
                <w:lang w:val="es-ES"/>
              </w:rPr>
            </w:pPr>
            <w:r w:rsidRPr="00D868AB">
              <w:rPr>
                <w:rFonts w:cs="Arial"/>
                <w:color w:val="000000"/>
                <w:sz w:val="18"/>
                <w:szCs w:val="18"/>
              </w:rPr>
              <w:t xml:space="preserve">4,940,452,184 </w:t>
            </w:r>
          </w:p>
        </w:tc>
      </w:tr>
      <w:tr w:rsidR="00D868AB" w:rsidRPr="00D868AB" w14:paraId="5E36D0CA" w14:textId="77777777" w:rsidTr="00A755A7">
        <w:trPr>
          <w:trHeight w:val="20"/>
          <w:jc w:val="center"/>
        </w:trPr>
        <w:tc>
          <w:tcPr>
            <w:tcW w:w="5511" w:type="dxa"/>
            <w:shd w:val="clear" w:color="auto" w:fill="auto"/>
            <w:noWrap/>
            <w:vAlign w:val="center"/>
          </w:tcPr>
          <w:p w14:paraId="5C508248" w14:textId="77777777" w:rsidR="00D868AB" w:rsidRPr="00D868AB" w:rsidRDefault="00D868AB" w:rsidP="00D868AB">
            <w:pPr>
              <w:rPr>
                <w:rFonts w:cs="Arial"/>
                <w:sz w:val="18"/>
                <w:lang w:val="es-ES"/>
              </w:rPr>
            </w:pPr>
            <w:r w:rsidRPr="00D868AB">
              <w:rPr>
                <w:rFonts w:cs="Arial"/>
                <w:sz w:val="18"/>
                <w:lang w:val="es-ES"/>
              </w:rPr>
              <w:t>Derecho a la Protección.</w:t>
            </w:r>
          </w:p>
        </w:tc>
        <w:tc>
          <w:tcPr>
            <w:tcW w:w="1607" w:type="dxa"/>
            <w:shd w:val="clear" w:color="auto" w:fill="auto"/>
            <w:noWrap/>
            <w:vAlign w:val="center"/>
          </w:tcPr>
          <w:p w14:paraId="17A2DE4C" w14:textId="77777777" w:rsidR="00D868AB" w:rsidRPr="00D868AB" w:rsidRDefault="00D868AB" w:rsidP="00D868AB">
            <w:pPr>
              <w:jc w:val="right"/>
              <w:rPr>
                <w:rFonts w:cs="Arial"/>
                <w:sz w:val="18"/>
                <w:lang w:val="es-ES"/>
              </w:rPr>
            </w:pPr>
            <w:r w:rsidRPr="00D868AB">
              <w:rPr>
                <w:rFonts w:cs="Arial"/>
                <w:color w:val="000000"/>
                <w:sz w:val="18"/>
                <w:szCs w:val="18"/>
              </w:rPr>
              <w:t xml:space="preserve">12,836,582 </w:t>
            </w:r>
          </w:p>
        </w:tc>
      </w:tr>
      <w:tr w:rsidR="00D868AB" w:rsidRPr="00D868AB" w14:paraId="3580825C" w14:textId="77777777" w:rsidTr="00A755A7">
        <w:trPr>
          <w:trHeight w:val="20"/>
          <w:jc w:val="center"/>
        </w:trPr>
        <w:tc>
          <w:tcPr>
            <w:tcW w:w="5511" w:type="dxa"/>
            <w:shd w:val="clear" w:color="auto" w:fill="auto"/>
            <w:noWrap/>
            <w:vAlign w:val="center"/>
          </w:tcPr>
          <w:p w14:paraId="77F4C4A6" w14:textId="77777777" w:rsidR="00D868AB" w:rsidRPr="00D868AB" w:rsidRDefault="00D868AB" w:rsidP="00D868AB">
            <w:pPr>
              <w:rPr>
                <w:rFonts w:cs="Arial"/>
                <w:sz w:val="18"/>
                <w:lang w:val="es-ES"/>
              </w:rPr>
            </w:pPr>
            <w:r w:rsidRPr="00D868AB">
              <w:rPr>
                <w:rFonts w:cs="Arial"/>
                <w:sz w:val="18"/>
                <w:lang w:val="es-ES"/>
              </w:rPr>
              <w:t>Derecho a la Participación.</w:t>
            </w:r>
          </w:p>
        </w:tc>
        <w:tc>
          <w:tcPr>
            <w:tcW w:w="1607" w:type="dxa"/>
            <w:shd w:val="clear" w:color="auto" w:fill="auto"/>
            <w:noWrap/>
            <w:vAlign w:val="center"/>
          </w:tcPr>
          <w:p w14:paraId="04290A65" w14:textId="77777777" w:rsidR="00D868AB" w:rsidRPr="00D868AB" w:rsidRDefault="00D868AB" w:rsidP="00D868AB">
            <w:pPr>
              <w:jc w:val="right"/>
              <w:rPr>
                <w:rFonts w:cs="Arial"/>
                <w:sz w:val="18"/>
                <w:lang w:val="es-ES"/>
              </w:rPr>
            </w:pPr>
            <w:r w:rsidRPr="00D868AB">
              <w:rPr>
                <w:rFonts w:cs="Arial"/>
                <w:color w:val="000000"/>
                <w:sz w:val="18"/>
                <w:szCs w:val="18"/>
              </w:rPr>
              <w:t xml:space="preserve">4,571,449 </w:t>
            </w:r>
          </w:p>
        </w:tc>
      </w:tr>
      <w:tr w:rsidR="00D868AB" w:rsidRPr="00D868AB" w14:paraId="0F8CC805" w14:textId="77777777" w:rsidTr="00A755A7">
        <w:trPr>
          <w:trHeight w:val="20"/>
          <w:jc w:val="center"/>
        </w:trPr>
        <w:tc>
          <w:tcPr>
            <w:tcW w:w="5511" w:type="dxa"/>
            <w:shd w:val="clear" w:color="auto" w:fill="auto"/>
            <w:noWrap/>
            <w:vAlign w:val="center"/>
          </w:tcPr>
          <w:p w14:paraId="1E15C9B5" w14:textId="77777777" w:rsidR="00D868AB" w:rsidRPr="00D868AB" w:rsidRDefault="00D868AB" w:rsidP="00D868AB">
            <w:pPr>
              <w:rPr>
                <w:rFonts w:cs="Arial"/>
                <w:sz w:val="18"/>
                <w:lang w:val="es-ES"/>
              </w:rPr>
            </w:pPr>
            <w:r w:rsidRPr="00D868AB">
              <w:rPr>
                <w:rFonts w:cs="Arial"/>
                <w:sz w:val="18"/>
                <w:lang w:val="es-ES"/>
              </w:rPr>
              <w:t>Derecho a la Supervivencia.</w:t>
            </w:r>
          </w:p>
        </w:tc>
        <w:tc>
          <w:tcPr>
            <w:tcW w:w="1607" w:type="dxa"/>
            <w:shd w:val="clear" w:color="auto" w:fill="auto"/>
            <w:noWrap/>
            <w:vAlign w:val="center"/>
          </w:tcPr>
          <w:p w14:paraId="44E7E6C4" w14:textId="77777777" w:rsidR="00D868AB" w:rsidRPr="00D868AB" w:rsidRDefault="00D868AB" w:rsidP="00D868AB">
            <w:pPr>
              <w:jc w:val="right"/>
              <w:rPr>
                <w:rFonts w:cs="Arial"/>
                <w:sz w:val="18"/>
                <w:lang w:val="es-ES"/>
              </w:rPr>
            </w:pPr>
            <w:r w:rsidRPr="00D868AB">
              <w:rPr>
                <w:rFonts w:cs="Arial"/>
                <w:color w:val="000000"/>
                <w:sz w:val="18"/>
                <w:szCs w:val="18"/>
              </w:rPr>
              <w:t xml:space="preserve">1,030,565,653 </w:t>
            </w:r>
          </w:p>
        </w:tc>
      </w:tr>
      <w:tr w:rsidR="00D868AB" w:rsidRPr="00D868AB" w14:paraId="5C5EC973" w14:textId="77777777" w:rsidTr="00A755A7">
        <w:trPr>
          <w:trHeight w:val="20"/>
          <w:jc w:val="center"/>
        </w:trPr>
        <w:tc>
          <w:tcPr>
            <w:tcW w:w="5511" w:type="dxa"/>
            <w:shd w:val="clear" w:color="auto" w:fill="auto"/>
            <w:noWrap/>
            <w:vAlign w:val="center"/>
          </w:tcPr>
          <w:p w14:paraId="26E220FD" w14:textId="77777777" w:rsidR="00D868AB" w:rsidRPr="00D868AB" w:rsidRDefault="00D868AB" w:rsidP="00D868AB">
            <w:pPr>
              <w:jc w:val="center"/>
              <w:rPr>
                <w:rFonts w:cs="Arial"/>
                <w:b/>
                <w:sz w:val="18"/>
                <w:lang w:val="es-ES"/>
              </w:rPr>
            </w:pPr>
            <w:r w:rsidRPr="00D868AB">
              <w:rPr>
                <w:rFonts w:cs="Arial"/>
                <w:b/>
                <w:sz w:val="18"/>
                <w:lang w:val="es-ES"/>
              </w:rPr>
              <w:t>Total</w:t>
            </w:r>
          </w:p>
        </w:tc>
        <w:tc>
          <w:tcPr>
            <w:tcW w:w="1607" w:type="dxa"/>
            <w:shd w:val="clear" w:color="auto" w:fill="auto"/>
            <w:noWrap/>
            <w:vAlign w:val="center"/>
          </w:tcPr>
          <w:p w14:paraId="4C185417" w14:textId="77777777" w:rsidR="00D868AB" w:rsidRPr="00D868AB" w:rsidRDefault="00D868AB" w:rsidP="00D868AB">
            <w:pPr>
              <w:jc w:val="right"/>
              <w:rPr>
                <w:rFonts w:cs="Arial"/>
                <w:b/>
                <w:sz w:val="18"/>
                <w:lang w:val="es-ES"/>
              </w:rPr>
            </w:pPr>
            <w:r w:rsidRPr="00D868AB">
              <w:rPr>
                <w:rFonts w:cs="Arial"/>
                <w:b/>
                <w:bCs/>
                <w:color w:val="000000"/>
                <w:sz w:val="18"/>
                <w:szCs w:val="18"/>
              </w:rPr>
              <w:t xml:space="preserve">5,988,425,868 </w:t>
            </w:r>
          </w:p>
        </w:tc>
      </w:tr>
    </w:tbl>
    <w:p w14:paraId="3B632B7A" w14:textId="77777777" w:rsidR="00D868AB" w:rsidRPr="00D868AB" w:rsidRDefault="00D868AB" w:rsidP="00D868AB">
      <w:pPr>
        <w:rPr>
          <w:rFonts w:cs="Arial"/>
          <w:b/>
          <w:lang w:val="es-ES"/>
        </w:rPr>
      </w:pPr>
    </w:p>
    <w:p w14:paraId="6687B3F8" w14:textId="77777777" w:rsidR="00D868AB" w:rsidRPr="00D868AB" w:rsidRDefault="00D868AB" w:rsidP="00D868AB">
      <w:pPr>
        <w:rPr>
          <w:rFonts w:cs="Arial"/>
          <w:lang w:val="es-ES"/>
        </w:rPr>
      </w:pPr>
      <w:r w:rsidRPr="00D868AB">
        <w:rPr>
          <w:rFonts w:cs="Arial"/>
          <w:b/>
          <w:lang w:val="es-ES"/>
        </w:rPr>
        <w:t>Artículo 93</w:t>
      </w:r>
      <w:r w:rsidRPr="00D868AB">
        <w:rPr>
          <w:rFonts w:cs="Arial"/>
          <w:lang w:val="es-ES"/>
        </w:rPr>
        <w:t xml:space="preserve">. En materia de enfoque transversal del presupuesto para los derechos de los jóvenes, se deberá atender lo previsto en la Ley de la Juventud del Estado de Colima, la cual tiene por objeto regir las políticas públicas y sociales de la juventud, a efecto de contribuir al desarrollo integral de la misma, mediante su inclusión social plena al proceso de desarrollo económico, educativo y cultural. </w:t>
      </w:r>
    </w:p>
    <w:p w14:paraId="7F102A53" w14:textId="77777777" w:rsidR="00D868AB" w:rsidRPr="00D868AB" w:rsidRDefault="00D868AB" w:rsidP="00D868AB">
      <w:pPr>
        <w:rPr>
          <w:rFonts w:cs="Arial"/>
          <w:lang w:val="es-ES"/>
        </w:rPr>
      </w:pPr>
    </w:p>
    <w:p w14:paraId="2A34AE4F" w14:textId="77777777" w:rsidR="00D868AB" w:rsidRPr="00D868AB" w:rsidRDefault="00D868AB" w:rsidP="00D868AB">
      <w:pPr>
        <w:rPr>
          <w:rFonts w:cs="Arial"/>
          <w:lang w:val="es-ES"/>
        </w:rPr>
      </w:pPr>
      <w:r w:rsidRPr="00D868AB">
        <w:rPr>
          <w:rFonts w:cs="Arial"/>
          <w:b/>
          <w:lang w:val="es-ES"/>
        </w:rPr>
        <w:t>Artículo 94</w:t>
      </w:r>
      <w:r w:rsidRPr="00D868AB">
        <w:rPr>
          <w:rFonts w:cs="Arial"/>
          <w:lang w:val="es-ES"/>
        </w:rPr>
        <w:t>. En la priorización de acciones para la atención a grupos vulnerables, se privilegiará la atención a: indígenas, adultos en plenitud, jefas de familia, niñas, niños y adolescentes en situación de riesgo, mujeres víctimas de violencia y personas con discapacidad. Lo anterior, en el marco de lo previsto en la Ley de Desarrollo Social para el Estado de Colima, la cual tiene por objeto promover, proteger y garantizar el pleno ejercicio de los derechos sociales de los habitantes de la Entidad, consagrados en la Constitución Política de los Estados Unidos Mexicanos y la propia del Estado Libre y Soberano de Colima, mediante una Política Estatal de Desarrollo Social orientada a:</w:t>
      </w:r>
    </w:p>
    <w:p w14:paraId="420FE5CA" w14:textId="77777777" w:rsidR="00D868AB" w:rsidRPr="00D868AB" w:rsidRDefault="00D868AB" w:rsidP="00D868AB">
      <w:pPr>
        <w:numPr>
          <w:ilvl w:val="0"/>
          <w:numId w:val="13"/>
        </w:numPr>
        <w:ind w:hanging="436"/>
        <w:contextualSpacing/>
        <w:rPr>
          <w:rFonts w:eastAsia="Times New Roman" w:cs="Arial"/>
        </w:rPr>
      </w:pPr>
      <w:r w:rsidRPr="00D868AB">
        <w:rPr>
          <w:rFonts w:eastAsia="Times New Roman" w:cs="Arial"/>
        </w:rPr>
        <w:lastRenderedPageBreak/>
        <w:t xml:space="preserve">Cumplir con la responsabilidad social del Estado y Municipios, asumiendo plenamente las obligaciones constitucionales en materia de desarrollo social, a efecto de garantizar el pleno goce de sus derechos sociales universales; </w:t>
      </w:r>
    </w:p>
    <w:p w14:paraId="76EF4F18" w14:textId="77777777" w:rsidR="00D868AB" w:rsidRPr="00D868AB" w:rsidRDefault="00D868AB" w:rsidP="00D868AB">
      <w:pPr>
        <w:numPr>
          <w:ilvl w:val="0"/>
          <w:numId w:val="13"/>
        </w:numPr>
        <w:ind w:hanging="436"/>
        <w:contextualSpacing/>
        <w:rPr>
          <w:rFonts w:eastAsia="Times New Roman" w:cs="Arial"/>
        </w:rPr>
      </w:pPr>
      <w:r w:rsidRPr="00D868AB">
        <w:rPr>
          <w:rFonts w:eastAsia="Times New Roman" w:cs="Arial"/>
        </w:rPr>
        <w:t>Generar las condiciones que aseguren el desarrollo social y el pleno disfrute de los derechos sociales;</w:t>
      </w:r>
    </w:p>
    <w:p w14:paraId="55BA4E51" w14:textId="77777777" w:rsidR="00D868AB" w:rsidRPr="00D868AB" w:rsidRDefault="00D868AB" w:rsidP="00D868AB">
      <w:pPr>
        <w:numPr>
          <w:ilvl w:val="0"/>
          <w:numId w:val="13"/>
        </w:numPr>
        <w:ind w:hanging="436"/>
        <w:contextualSpacing/>
        <w:rPr>
          <w:rFonts w:eastAsia="Times New Roman" w:cs="Arial"/>
        </w:rPr>
      </w:pPr>
      <w:r w:rsidRPr="00D868AB">
        <w:rPr>
          <w:rFonts w:eastAsia="Times New Roman" w:cs="Arial"/>
        </w:rPr>
        <w:t>Garantizar el derecho igualitario e incondicional de toda persona al desarrollo social y el acceso a sus programas;</w:t>
      </w:r>
    </w:p>
    <w:p w14:paraId="675B6A57" w14:textId="77777777" w:rsidR="00D868AB" w:rsidRPr="00D868AB" w:rsidRDefault="00D868AB" w:rsidP="00D868AB">
      <w:pPr>
        <w:numPr>
          <w:ilvl w:val="0"/>
          <w:numId w:val="13"/>
        </w:numPr>
        <w:ind w:hanging="436"/>
        <w:contextualSpacing/>
        <w:rPr>
          <w:rFonts w:eastAsia="Times New Roman" w:cs="Arial"/>
        </w:rPr>
      </w:pPr>
      <w:r w:rsidRPr="00D868AB">
        <w:rPr>
          <w:rFonts w:eastAsia="Times New Roman" w:cs="Arial"/>
        </w:rPr>
        <w:t>Combatir con eficiencia la pobreza, la marginación y la exclusión social;</w:t>
      </w:r>
    </w:p>
    <w:p w14:paraId="390B818B" w14:textId="77777777" w:rsidR="00D868AB" w:rsidRPr="00D868AB" w:rsidRDefault="00D868AB" w:rsidP="00D868AB">
      <w:pPr>
        <w:numPr>
          <w:ilvl w:val="0"/>
          <w:numId w:val="13"/>
        </w:numPr>
        <w:ind w:left="709" w:hanging="425"/>
        <w:contextualSpacing/>
        <w:rPr>
          <w:rFonts w:eastAsia="Times New Roman" w:cs="Arial"/>
        </w:rPr>
      </w:pPr>
      <w:r w:rsidRPr="00D868AB">
        <w:rPr>
          <w:rFonts w:eastAsia="Times New Roman" w:cs="Arial"/>
        </w:rPr>
        <w:t>Implementar acciones que busquen la plena equidad social para todos los grupos excluidos, en condiciones de subordinación o discriminación por razones de su condición socioeconómica, edad, sexo, pertenencia étnica o racial, características físicas, preferencia sexual, origen nacional, práctica religiosa o cualquier otra;</w:t>
      </w:r>
    </w:p>
    <w:p w14:paraId="09758798" w14:textId="77777777" w:rsidR="00D868AB" w:rsidRPr="00D868AB" w:rsidRDefault="00D868AB" w:rsidP="00D868AB">
      <w:pPr>
        <w:numPr>
          <w:ilvl w:val="0"/>
          <w:numId w:val="13"/>
        </w:numPr>
        <w:ind w:hanging="436"/>
        <w:contextualSpacing/>
        <w:rPr>
          <w:rFonts w:eastAsia="Times New Roman" w:cs="Arial"/>
        </w:rPr>
      </w:pPr>
      <w:r w:rsidRPr="00D868AB">
        <w:rPr>
          <w:rFonts w:eastAsia="Times New Roman" w:cs="Arial"/>
        </w:rPr>
        <w:t>Establecer las bases para un desarrollo social integral, garantizando la evaluación del impacto de los programas de desarrollo social; y</w:t>
      </w:r>
    </w:p>
    <w:p w14:paraId="7CDF7A60" w14:textId="77777777" w:rsidR="00D868AB" w:rsidRPr="00D868AB" w:rsidRDefault="00D868AB" w:rsidP="00D868AB">
      <w:pPr>
        <w:numPr>
          <w:ilvl w:val="0"/>
          <w:numId w:val="13"/>
        </w:numPr>
        <w:ind w:hanging="436"/>
        <w:contextualSpacing/>
        <w:rPr>
          <w:rFonts w:eastAsia="Times New Roman" w:cs="Arial"/>
        </w:rPr>
      </w:pPr>
      <w:r w:rsidRPr="00D868AB">
        <w:rPr>
          <w:rFonts w:eastAsia="Times New Roman" w:cs="Arial"/>
        </w:rPr>
        <w:t>Garantizar la inclusión social y determinar las bases para la promoción y participación social organizada y para su vinculación con los programas, estrategias y recursos gubernamentales para el desarrollo social.</w:t>
      </w:r>
    </w:p>
    <w:p w14:paraId="2466C2DE" w14:textId="77777777" w:rsidR="00D868AB" w:rsidRPr="00D868AB" w:rsidRDefault="00D868AB" w:rsidP="00D868AB">
      <w:pPr>
        <w:ind w:left="720"/>
        <w:contextualSpacing/>
        <w:rPr>
          <w:rFonts w:eastAsia="Times New Roman" w:cs="Arial"/>
        </w:rPr>
      </w:pPr>
    </w:p>
    <w:p w14:paraId="154E7A38" w14:textId="77777777" w:rsidR="00D868AB" w:rsidRPr="00D868AB" w:rsidRDefault="00D868AB" w:rsidP="00D868AB">
      <w:pPr>
        <w:rPr>
          <w:rFonts w:cs="Arial"/>
          <w:lang w:val="es-ES"/>
        </w:rPr>
      </w:pPr>
      <w:r w:rsidRPr="00D868AB">
        <w:rPr>
          <w:rFonts w:cs="Arial"/>
          <w:b/>
          <w:lang w:val="es-ES"/>
        </w:rPr>
        <w:t>Artículo 95</w:t>
      </w:r>
      <w:r w:rsidRPr="00D868AB">
        <w:rPr>
          <w:rFonts w:cs="Arial"/>
          <w:lang w:val="es-ES"/>
        </w:rPr>
        <w:t>. L</w:t>
      </w:r>
      <w:r w:rsidRPr="00D868AB">
        <w:rPr>
          <w:rFonts w:eastAsia="Times New Roman" w:cs="Arial"/>
        </w:rPr>
        <w:t>a Administración Pública Centralizada y la Administración Pública Paraestatal</w:t>
      </w:r>
      <w:r w:rsidRPr="00D868AB">
        <w:rPr>
          <w:rFonts w:cs="Arial"/>
          <w:lang w:val="es-ES"/>
        </w:rPr>
        <w:t>, en el ámbito de sus respectivas competencias y con cargo a sus presupuestos, adoptarán medidas para destinar recursos orientados a atender la mitigación de los efectos del cambio climático en función de lo previsto en la Ley para la Mitigación y Adaptación ante los Efectos del Cambio Climático para el Estado de Colima.</w:t>
      </w:r>
    </w:p>
    <w:p w14:paraId="7EB37953" w14:textId="77777777" w:rsidR="00D868AB" w:rsidRPr="00D868AB" w:rsidRDefault="00D868AB" w:rsidP="00D868AB">
      <w:pPr>
        <w:keepNext/>
        <w:keepLines/>
        <w:jc w:val="center"/>
        <w:outlineLvl w:val="1"/>
        <w:rPr>
          <w:rFonts w:eastAsia="Times New Roman" w:cs="Arial"/>
          <w:b/>
          <w:lang w:val="es-ES"/>
        </w:rPr>
      </w:pPr>
    </w:p>
    <w:tbl>
      <w:tblPr>
        <w:tblW w:w="7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14"/>
        <w:gridCol w:w="1531"/>
      </w:tblGrid>
      <w:tr w:rsidR="00D868AB" w:rsidRPr="00D868AB" w14:paraId="7E704C32" w14:textId="77777777" w:rsidTr="00A755A7">
        <w:trPr>
          <w:trHeight w:val="20"/>
          <w:tblHeader/>
          <w:jc w:val="center"/>
        </w:trPr>
        <w:tc>
          <w:tcPr>
            <w:tcW w:w="7445" w:type="dxa"/>
            <w:gridSpan w:val="2"/>
            <w:tcBorders>
              <w:top w:val="nil"/>
              <w:left w:val="nil"/>
              <w:bottom w:val="single" w:sz="4" w:space="0" w:color="auto"/>
              <w:right w:val="nil"/>
            </w:tcBorders>
            <w:shd w:val="clear" w:color="auto" w:fill="auto"/>
            <w:noWrap/>
            <w:vAlign w:val="center"/>
          </w:tcPr>
          <w:p w14:paraId="46427431" w14:textId="77777777" w:rsidR="00D868AB" w:rsidRPr="00D868AB" w:rsidRDefault="00D868AB" w:rsidP="00D868AB">
            <w:pPr>
              <w:jc w:val="center"/>
              <w:rPr>
                <w:rFonts w:eastAsia="Times New Roman" w:cs="Arial"/>
                <w:b/>
                <w:bCs/>
                <w:sz w:val="20"/>
              </w:rPr>
            </w:pPr>
            <w:r w:rsidRPr="00D868AB">
              <w:rPr>
                <w:rFonts w:eastAsia="Times New Roman" w:cs="Arial"/>
                <w:b/>
                <w:bCs/>
                <w:sz w:val="20"/>
              </w:rPr>
              <w:t>Tabla 66. Mitigación y Adaptación ante los Efectos del Cambio Climático</w:t>
            </w:r>
          </w:p>
        </w:tc>
      </w:tr>
      <w:tr w:rsidR="00D868AB" w:rsidRPr="00D868AB" w14:paraId="37E38E41" w14:textId="77777777" w:rsidTr="00A755A7">
        <w:trPr>
          <w:trHeight w:val="20"/>
          <w:tblHeader/>
          <w:jc w:val="center"/>
        </w:trPr>
        <w:tc>
          <w:tcPr>
            <w:tcW w:w="5914" w:type="dxa"/>
            <w:tcBorders>
              <w:top w:val="single" w:sz="4" w:space="0" w:color="auto"/>
            </w:tcBorders>
            <w:shd w:val="clear" w:color="auto" w:fill="auto"/>
            <w:noWrap/>
            <w:vAlign w:val="center"/>
            <w:hideMark/>
          </w:tcPr>
          <w:p w14:paraId="3528168C" w14:textId="77777777" w:rsidR="00D868AB" w:rsidRPr="00D868AB" w:rsidRDefault="00D868AB" w:rsidP="00D868AB">
            <w:pPr>
              <w:jc w:val="center"/>
              <w:rPr>
                <w:rFonts w:eastAsia="Times New Roman" w:cs="Arial"/>
                <w:b/>
                <w:bCs/>
                <w:sz w:val="18"/>
              </w:rPr>
            </w:pPr>
            <w:r w:rsidRPr="00D868AB">
              <w:rPr>
                <w:rFonts w:eastAsia="Times New Roman" w:cs="Arial"/>
                <w:b/>
                <w:bCs/>
                <w:sz w:val="18"/>
              </w:rPr>
              <w:t>Concepto</w:t>
            </w:r>
          </w:p>
        </w:tc>
        <w:tc>
          <w:tcPr>
            <w:tcW w:w="1531" w:type="dxa"/>
            <w:tcBorders>
              <w:top w:val="single" w:sz="4" w:space="0" w:color="auto"/>
            </w:tcBorders>
            <w:shd w:val="clear" w:color="auto" w:fill="auto"/>
            <w:vAlign w:val="center"/>
            <w:hideMark/>
          </w:tcPr>
          <w:p w14:paraId="5DF5C06A" w14:textId="77777777" w:rsidR="00D868AB" w:rsidRPr="00D868AB" w:rsidRDefault="00D868AB" w:rsidP="00D868AB">
            <w:pPr>
              <w:jc w:val="center"/>
              <w:rPr>
                <w:rFonts w:eastAsia="Times New Roman" w:cs="Arial"/>
                <w:b/>
                <w:bCs/>
                <w:sz w:val="18"/>
              </w:rPr>
            </w:pPr>
            <w:r w:rsidRPr="00D868AB">
              <w:rPr>
                <w:rFonts w:eastAsia="Times New Roman" w:cs="Arial"/>
                <w:b/>
                <w:bCs/>
                <w:sz w:val="18"/>
              </w:rPr>
              <w:t>Asignación Presupuestal</w:t>
            </w:r>
          </w:p>
        </w:tc>
      </w:tr>
      <w:tr w:rsidR="00D868AB" w:rsidRPr="00D868AB" w14:paraId="645E11CC" w14:textId="77777777" w:rsidTr="00A755A7">
        <w:trPr>
          <w:trHeight w:val="20"/>
          <w:jc w:val="center"/>
        </w:trPr>
        <w:tc>
          <w:tcPr>
            <w:tcW w:w="5914" w:type="dxa"/>
            <w:shd w:val="clear" w:color="auto" w:fill="auto"/>
            <w:noWrap/>
            <w:vAlign w:val="center"/>
            <w:hideMark/>
          </w:tcPr>
          <w:p w14:paraId="2FD53519" w14:textId="77777777" w:rsidR="00D868AB" w:rsidRPr="00D868AB" w:rsidRDefault="00D868AB" w:rsidP="00D868AB">
            <w:pPr>
              <w:rPr>
                <w:rFonts w:eastAsia="Times New Roman" w:cs="Arial"/>
                <w:sz w:val="18"/>
              </w:rPr>
            </w:pPr>
            <w:r w:rsidRPr="00D868AB">
              <w:rPr>
                <w:rFonts w:cs="Arial"/>
                <w:color w:val="000000"/>
                <w:sz w:val="18"/>
              </w:rPr>
              <w:t>Agua Limpia y Saneamiento.</w:t>
            </w:r>
          </w:p>
        </w:tc>
        <w:tc>
          <w:tcPr>
            <w:tcW w:w="1531" w:type="dxa"/>
            <w:shd w:val="clear" w:color="auto" w:fill="auto"/>
            <w:vAlign w:val="center"/>
          </w:tcPr>
          <w:p w14:paraId="2162BFA0" w14:textId="77777777" w:rsidR="00D868AB" w:rsidRPr="00D868AB" w:rsidRDefault="00D868AB" w:rsidP="00D868AB">
            <w:pPr>
              <w:jc w:val="right"/>
              <w:rPr>
                <w:rFonts w:eastAsia="Times New Roman" w:cs="Arial"/>
                <w:sz w:val="18"/>
              </w:rPr>
            </w:pPr>
            <w:r w:rsidRPr="00D868AB">
              <w:rPr>
                <w:rFonts w:cs="Arial"/>
                <w:color w:val="000000"/>
                <w:sz w:val="18"/>
                <w:szCs w:val="18"/>
              </w:rPr>
              <w:t xml:space="preserve">13,867,059 </w:t>
            </w:r>
          </w:p>
        </w:tc>
      </w:tr>
      <w:tr w:rsidR="00D868AB" w:rsidRPr="00D868AB" w14:paraId="64AEE1DA" w14:textId="77777777" w:rsidTr="00A755A7">
        <w:trPr>
          <w:trHeight w:val="20"/>
          <w:jc w:val="center"/>
        </w:trPr>
        <w:tc>
          <w:tcPr>
            <w:tcW w:w="5914" w:type="dxa"/>
            <w:shd w:val="clear" w:color="auto" w:fill="auto"/>
            <w:noWrap/>
            <w:vAlign w:val="center"/>
            <w:hideMark/>
          </w:tcPr>
          <w:p w14:paraId="07DDB38D" w14:textId="77777777" w:rsidR="00D868AB" w:rsidRPr="00D868AB" w:rsidRDefault="00D868AB" w:rsidP="00D868AB">
            <w:pPr>
              <w:rPr>
                <w:rFonts w:eastAsia="Times New Roman" w:cs="Arial"/>
                <w:sz w:val="18"/>
              </w:rPr>
            </w:pPr>
            <w:r w:rsidRPr="00D868AB">
              <w:rPr>
                <w:rFonts w:cs="Arial"/>
                <w:color w:val="000000"/>
                <w:sz w:val="18"/>
              </w:rPr>
              <w:t>Energía Asequible y No Contaminante.</w:t>
            </w:r>
          </w:p>
        </w:tc>
        <w:tc>
          <w:tcPr>
            <w:tcW w:w="1531" w:type="dxa"/>
            <w:shd w:val="clear" w:color="auto" w:fill="auto"/>
            <w:vAlign w:val="center"/>
          </w:tcPr>
          <w:p w14:paraId="5F3DE609" w14:textId="77777777" w:rsidR="00D868AB" w:rsidRPr="00D868AB" w:rsidRDefault="00D868AB" w:rsidP="00D868AB">
            <w:pPr>
              <w:jc w:val="right"/>
              <w:rPr>
                <w:rFonts w:eastAsia="Times New Roman" w:cs="Arial"/>
                <w:sz w:val="18"/>
              </w:rPr>
            </w:pPr>
            <w:r w:rsidRPr="00D868AB">
              <w:rPr>
                <w:rFonts w:cs="Arial"/>
                <w:color w:val="000000"/>
                <w:sz w:val="18"/>
                <w:szCs w:val="18"/>
              </w:rPr>
              <w:t xml:space="preserve">0 </w:t>
            </w:r>
          </w:p>
        </w:tc>
      </w:tr>
      <w:tr w:rsidR="00D868AB" w:rsidRPr="00D868AB" w14:paraId="6FCDC9C1" w14:textId="77777777" w:rsidTr="00A755A7">
        <w:trPr>
          <w:trHeight w:val="20"/>
          <w:jc w:val="center"/>
        </w:trPr>
        <w:tc>
          <w:tcPr>
            <w:tcW w:w="5914" w:type="dxa"/>
            <w:shd w:val="clear" w:color="auto" w:fill="auto"/>
            <w:noWrap/>
            <w:vAlign w:val="center"/>
            <w:hideMark/>
          </w:tcPr>
          <w:p w14:paraId="241B4855" w14:textId="77777777" w:rsidR="00D868AB" w:rsidRPr="00D868AB" w:rsidRDefault="00D868AB" w:rsidP="00D868AB">
            <w:pPr>
              <w:rPr>
                <w:rFonts w:eastAsia="Times New Roman" w:cs="Arial"/>
                <w:sz w:val="18"/>
              </w:rPr>
            </w:pPr>
            <w:r w:rsidRPr="00D868AB">
              <w:rPr>
                <w:rFonts w:cs="Arial"/>
                <w:color w:val="000000"/>
                <w:sz w:val="18"/>
              </w:rPr>
              <w:t>Ciudades y Comunidades Sostenibles.</w:t>
            </w:r>
          </w:p>
        </w:tc>
        <w:tc>
          <w:tcPr>
            <w:tcW w:w="1531" w:type="dxa"/>
            <w:shd w:val="clear" w:color="auto" w:fill="auto"/>
            <w:vAlign w:val="center"/>
          </w:tcPr>
          <w:p w14:paraId="45B29A14" w14:textId="77777777" w:rsidR="00D868AB" w:rsidRPr="00D868AB" w:rsidRDefault="00D868AB" w:rsidP="00D868AB">
            <w:pPr>
              <w:jc w:val="right"/>
              <w:rPr>
                <w:rFonts w:eastAsia="Times New Roman" w:cs="Arial"/>
                <w:sz w:val="18"/>
              </w:rPr>
            </w:pPr>
            <w:r w:rsidRPr="00D868AB">
              <w:rPr>
                <w:rFonts w:cs="Arial"/>
                <w:color w:val="000000"/>
                <w:sz w:val="18"/>
                <w:szCs w:val="18"/>
              </w:rPr>
              <w:t xml:space="preserve">236,186,267 </w:t>
            </w:r>
          </w:p>
        </w:tc>
      </w:tr>
      <w:tr w:rsidR="00D868AB" w:rsidRPr="00D868AB" w14:paraId="3BC2A77A" w14:textId="77777777" w:rsidTr="00A755A7">
        <w:trPr>
          <w:trHeight w:val="20"/>
          <w:jc w:val="center"/>
        </w:trPr>
        <w:tc>
          <w:tcPr>
            <w:tcW w:w="5914" w:type="dxa"/>
            <w:shd w:val="clear" w:color="auto" w:fill="auto"/>
            <w:noWrap/>
            <w:vAlign w:val="center"/>
            <w:hideMark/>
          </w:tcPr>
          <w:p w14:paraId="44C1DECF" w14:textId="77777777" w:rsidR="00D868AB" w:rsidRPr="00D868AB" w:rsidRDefault="00D868AB" w:rsidP="00D868AB">
            <w:pPr>
              <w:rPr>
                <w:rFonts w:eastAsia="Times New Roman" w:cs="Arial"/>
                <w:sz w:val="18"/>
              </w:rPr>
            </w:pPr>
            <w:r w:rsidRPr="00D868AB">
              <w:rPr>
                <w:rFonts w:cs="Arial"/>
                <w:color w:val="000000"/>
                <w:sz w:val="18"/>
              </w:rPr>
              <w:t>Vida de Ecosistemas Terrestres.</w:t>
            </w:r>
          </w:p>
        </w:tc>
        <w:tc>
          <w:tcPr>
            <w:tcW w:w="1531" w:type="dxa"/>
            <w:shd w:val="clear" w:color="auto" w:fill="auto"/>
            <w:vAlign w:val="center"/>
          </w:tcPr>
          <w:p w14:paraId="5C8D820A" w14:textId="77777777" w:rsidR="00D868AB" w:rsidRPr="00D868AB" w:rsidRDefault="00D868AB" w:rsidP="00D868AB">
            <w:pPr>
              <w:jc w:val="right"/>
              <w:rPr>
                <w:rFonts w:eastAsia="Times New Roman" w:cs="Arial"/>
                <w:sz w:val="18"/>
              </w:rPr>
            </w:pPr>
            <w:r w:rsidRPr="00D868AB">
              <w:rPr>
                <w:rFonts w:cs="Arial"/>
                <w:color w:val="000000"/>
                <w:sz w:val="18"/>
                <w:szCs w:val="18"/>
              </w:rPr>
              <w:t xml:space="preserve">46,788,778 </w:t>
            </w:r>
          </w:p>
        </w:tc>
      </w:tr>
      <w:tr w:rsidR="00D868AB" w:rsidRPr="00D868AB" w14:paraId="2D834B1A" w14:textId="77777777" w:rsidTr="00A755A7">
        <w:trPr>
          <w:trHeight w:val="20"/>
          <w:jc w:val="center"/>
        </w:trPr>
        <w:tc>
          <w:tcPr>
            <w:tcW w:w="5914" w:type="dxa"/>
            <w:shd w:val="clear" w:color="auto" w:fill="auto"/>
            <w:noWrap/>
            <w:vAlign w:val="center"/>
            <w:hideMark/>
          </w:tcPr>
          <w:p w14:paraId="359FD81A" w14:textId="77777777" w:rsidR="00D868AB" w:rsidRPr="00D868AB" w:rsidRDefault="00D868AB" w:rsidP="00D868AB">
            <w:pPr>
              <w:jc w:val="center"/>
              <w:rPr>
                <w:rFonts w:eastAsia="Times New Roman" w:cs="Arial"/>
                <w:b/>
                <w:bCs/>
                <w:sz w:val="18"/>
              </w:rPr>
            </w:pPr>
            <w:r w:rsidRPr="00D868AB">
              <w:rPr>
                <w:rFonts w:eastAsia="Times New Roman" w:cs="Arial"/>
                <w:b/>
                <w:bCs/>
                <w:sz w:val="18"/>
              </w:rPr>
              <w:t>Total</w:t>
            </w:r>
          </w:p>
        </w:tc>
        <w:tc>
          <w:tcPr>
            <w:tcW w:w="1531" w:type="dxa"/>
            <w:shd w:val="clear" w:color="auto" w:fill="auto"/>
            <w:noWrap/>
            <w:vAlign w:val="center"/>
          </w:tcPr>
          <w:p w14:paraId="50321CAF" w14:textId="77777777" w:rsidR="00D868AB" w:rsidRPr="00D868AB" w:rsidRDefault="00D868AB" w:rsidP="00D868AB">
            <w:pPr>
              <w:jc w:val="right"/>
              <w:rPr>
                <w:rFonts w:eastAsia="Times New Roman" w:cs="Arial"/>
                <w:b/>
                <w:bCs/>
                <w:sz w:val="18"/>
              </w:rPr>
            </w:pPr>
            <w:r w:rsidRPr="00D868AB">
              <w:rPr>
                <w:rFonts w:cs="Arial"/>
                <w:b/>
                <w:bCs/>
                <w:color w:val="000000"/>
                <w:sz w:val="18"/>
                <w:szCs w:val="18"/>
              </w:rPr>
              <w:t xml:space="preserve">296,842,104 </w:t>
            </w:r>
          </w:p>
        </w:tc>
      </w:tr>
    </w:tbl>
    <w:p w14:paraId="20E50302" w14:textId="77777777" w:rsidR="00D868AB" w:rsidRPr="00D868AB" w:rsidRDefault="00D868AB" w:rsidP="00D868AB">
      <w:pPr>
        <w:rPr>
          <w:rFonts w:cs="Arial"/>
          <w:lang w:val="es-ES"/>
        </w:rPr>
      </w:pPr>
    </w:p>
    <w:p w14:paraId="0CB1200C" w14:textId="77777777" w:rsidR="00D868AB" w:rsidRPr="00D868AB" w:rsidRDefault="00D868AB" w:rsidP="00D868AB">
      <w:pPr>
        <w:rPr>
          <w:rFonts w:cs="Arial"/>
          <w:lang w:val="es-ES"/>
        </w:rPr>
      </w:pPr>
      <w:r w:rsidRPr="00D868AB">
        <w:rPr>
          <w:rFonts w:cs="Arial"/>
          <w:b/>
          <w:lang w:val="es-ES"/>
        </w:rPr>
        <w:t>Artículo 96</w:t>
      </w:r>
      <w:r w:rsidRPr="00D868AB">
        <w:rPr>
          <w:rFonts w:cs="Arial"/>
          <w:lang w:val="es-ES"/>
        </w:rPr>
        <w:t>. En cumplimiento a lo dispuesto por el artículo 6º de la Constitución Política de los Estados Unidos Mexicanos y artículo 5º de la Constitución Política del Estado Libre y Soberano de Colima, en materia de transparencia y acceso a la información pública, se identifican las asignaciones presupuestarias que las Dependencias de la Administración Pública Centralizada y Entidades de la Administración Pública Paraestatal, para que en el ámbito de sus respectivas competencias y con cargo a sus presupuestos, adopten medidas a fin de destinar recursos para atender esta obligación.</w:t>
      </w:r>
    </w:p>
    <w:p w14:paraId="0227284E" w14:textId="77777777" w:rsidR="00D868AB" w:rsidRPr="00D868AB" w:rsidRDefault="00D868AB" w:rsidP="00D868AB">
      <w:pPr>
        <w:rPr>
          <w:rFonts w:cs="Arial"/>
          <w:lang w:val="es-ES"/>
        </w:rPr>
      </w:pPr>
    </w:p>
    <w:p w14:paraId="3341F7CD" w14:textId="77777777" w:rsidR="00D868AB" w:rsidRPr="00D868AB" w:rsidRDefault="00D868AB" w:rsidP="00D868AB">
      <w:pPr>
        <w:jc w:val="center"/>
        <w:rPr>
          <w:rFonts w:eastAsia="Times New Roman" w:cs="Arial"/>
          <w:b/>
          <w:lang w:val="es-ES"/>
        </w:rPr>
      </w:pPr>
      <w:bookmarkStart w:id="314" w:name="_Toc22022019"/>
      <w:bookmarkStart w:id="315" w:name="_Toc22983255"/>
      <w:r w:rsidRPr="00D868AB">
        <w:rPr>
          <w:rFonts w:eastAsia="Times New Roman" w:cs="Arial"/>
          <w:b/>
          <w:lang w:val="es-ES"/>
        </w:rPr>
        <w:lastRenderedPageBreak/>
        <w:t>TITULO QUINTO</w:t>
      </w:r>
      <w:bookmarkEnd w:id="314"/>
      <w:bookmarkEnd w:id="315"/>
    </w:p>
    <w:p w14:paraId="04CC478C" w14:textId="77777777" w:rsidR="00D868AB" w:rsidRPr="00D868AB" w:rsidRDefault="00D868AB" w:rsidP="00D868AB">
      <w:pPr>
        <w:keepNext/>
        <w:keepLines/>
        <w:jc w:val="center"/>
        <w:outlineLvl w:val="0"/>
        <w:rPr>
          <w:rFonts w:eastAsia="Times New Roman" w:cs="Arial"/>
          <w:b/>
          <w:szCs w:val="32"/>
          <w:lang w:val="es-ES"/>
        </w:rPr>
      </w:pPr>
      <w:bookmarkStart w:id="316" w:name="_Toc22022020"/>
      <w:bookmarkStart w:id="317" w:name="_Toc22983256"/>
      <w:r w:rsidRPr="00D868AB">
        <w:rPr>
          <w:rFonts w:eastAsia="Times New Roman" w:cs="Arial"/>
          <w:b/>
          <w:szCs w:val="32"/>
          <w:lang w:val="es-ES"/>
        </w:rPr>
        <w:t>DEL GASTO PROGRAMABLE Y NO PROGRAMABLE</w:t>
      </w:r>
      <w:bookmarkEnd w:id="316"/>
      <w:bookmarkEnd w:id="317"/>
    </w:p>
    <w:p w14:paraId="2BE188B2" w14:textId="77777777" w:rsidR="00D868AB" w:rsidRPr="00D868AB" w:rsidRDefault="00D868AB" w:rsidP="00D868AB">
      <w:pPr>
        <w:rPr>
          <w:rFonts w:eastAsia="Times New Roman" w:cs="Arial"/>
          <w:lang w:val="es-ES"/>
        </w:rPr>
      </w:pPr>
    </w:p>
    <w:p w14:paraId="0645EF68" w14:textId="77777777" w:rsidR="00D868AB" w:rsidRPr="00D868AB" w:rsidRDefault="00D868AB" w:rsidP="00D868AB">
      <w:pPr>
        <w:jc w:val="center"/>
        <w:rPr>
          <w:rFonts w:cs="Arial"/>
          <w:b/>
          <w:lang w:val="es-ES"/>
        </w:rPr>
      </w:pPr>
      <w:r w:rsidRPr="00D868AB">
        <w:rPr>
          <w:rFonts w:cs="Arial"/>
          <w:b/>
          <w:lang w:val="es-ES"/>
        </w:rPr>
        <w:t xml:space="preserve">CAPÍTULO ÚNICO </w:t>
      </w:r>
    </w:p>
    <w:p w14:paraId="43FE1AFC" w14:textId="77777777" w:rsidR="00D868AB" w:rsidRPr="00D868AB" w:rsidRDefault="00D868AB" w:rsidP="00D868AB">
      <w:pPr>
        <w:jc w:val="center"/>
        <w:rPr>
          <w:rFonts w:cs="Arial"/>
          <w:b/>
          <w:lang w:val="es-ES"/>
        </w:rPr>
      </w:pPr>
      <w:r w:rsidRPr="00D868AB">
        <w:rPr>
          <w:rFonts w:cs="Arial"/>
          <w:b/>
          <w:lang w:val="es-ES"/>
        </w:rPr>
        <w:t>CLASIFICACIÓN DE LOS RECURSOS</w:t>
      </w:r>
    </w:p>
    <w:p w14:paraId="065E03DA" w14:textId="77777777" w:rsidR="00D868AB" w:rsidRPr="00D868AB" w:rsidRDefault="00D868AB" w:rsidP="00D868AB">
      <w:pPr>
        <w:tabs>
          <w:tab w:val="left" w:pos="3832"/>
        </w:tabs>
        <w:rPr>
          <w:rFonts w:cs="Arial"/>
          <w:lang w:val="es-ES"/>
        </w:rPr>
      </w:pPr>
    </w:p>
    <w:p w14:paraId="5FC66E8D" w14:textId="77777777" w:rsidR="00D868AB" w:rsidRPr="00D868AB" w:rsidRDefault="00D868AB" w:rsidP="00D868AB">
      <w:pPr>
        <w:rPr>
          <w:rFonts w:cs="Arial"/>
          <w:lang w:val="es-ES"/>
        </w:rPr>
      </w:pPr>
      <w:r w:rsidRPr="00D868AB">
        <w:rPr>
          <w:rFonts w:cs="Arial"/>
          <w:b/>
          <w:lang w:val="es-ES"/>
        </w:rPr>
        <w:t>Artículo 97</w:t>
      </w:r>
      <w:r w:rsidRPr="00D868AB">
        <w:rPr>
          <w:rFonts w:cs="Arial"/>
          <w:lang w:val="es-ES"/>
        </w:rPr>
        <w:t>. La clasificación del Presupuesto de Egresos del Estado de Colima para el Ejercicio Fiscal 2023, ordenada por Gasto Programable y Gasto No Programable, es la siguiente:</w:t>
      </w:r>
    </w:p>
    <w:p w14:paraId="5A8C0571" w14:textId="77777777" w:rsidR="00D868AB" w:rsidRPr="00D868AB" w:rsidRDefault="00D868AB" w:rsidP="00D868AB">
      <w:pPr>
        <w:rPr>
          <w:rFonts w:cs="Arial"/>
          <w:lang w:val="es-ES"/>
        </w:rPr>
      </w:pPr>
    </w:p>
    <w:p w14:paraId="48B9A14F" w14:textId="77777777" w:rsidR="00D868AB" w:rsidRPr="00D868AB" w:rsidRDefault="00D868AB" w:rsidP="00D868AB">
      <w:pPr>
        <w:rPr>
          <w:rFonts w:cs="Arial"/>
          <w:lang w:val="es-ES"/>
        </w:rPr>
      </w:pPr>
      <w:r w:rsidRPr="00D868AB">
        <w:rPr>
          <w:rFonts w:cs="Arial"/>
          <w:lang w:val="es-ES"/>
        </w:rPr>
        <w:t xml:space="preserve">I. La </w:t>
      </w:r>
      <w:r w:rsidRPr="00D868AB">
        <w:rPr>
          <w:rFonts w:cs="Arial"/>
          <w:b/>
          <w:lang w:val="es-ES"/>
        </w:rPr>
        <w:t>Clasificación por Objeto del Gasto</w:t>
      </w:r>
      <w:r w:rsidRPr="00D868AB">
        <w:rPr>
          <w:rFonts w:cs="Arial"/>
          <w:lang w:val="es-ES"/>
        </w:rPr>
        <w:t>, desglosada a Tercer Nivel, es la siguiente:</w:t>
      </w:r>
    </w:p>
    <w:p w14:paraId="146E24B3" w14:textId="77777777" w:rsidR="00D868AB" w:rsidRPr="00D868AB" w:rsidRDefault="00D868AB" w:rsidP="00D868AB">
      <w:pPr>
        <w:keepNext/>
        <w:keepLines/>
        <w:jc w:val="center"/>
        <w:outlineLvl w:val="1"/>
        <w:rPr>
          <w:rFonts w:eastAsia="Times New Roman" w:cs="Arial"/>
          <w:b/>
          <w:lang w:val="es-ES"/>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0"/>
        <w:gridCol w:w="3973"/>
        <w:gridCol w:w="1276"/>
        <w:gridCol w:w="1276"/>
        <w:gridCol w:w="1275"/>
      </w:tblGrid>
      <w:tr w:rsidR="00D868AB" w:rsidRPr="00D868AB" w14:paraId="4B78F75E" w14:textId="77777777" w:rsidTr="00A755A7">
        <w:trPr>
          <w:trHeight w:val="470"/>
          <w:tblHeader/>
          <w:jc w:val="center"/>
        </w:trPr>
        <w:tc>
          <w:tcPr>
            <w:tcW w:w="8500" w:type="dxa"/>
            <w:gridSpan w:val="5"/>
            <w:tcBorders>
              <w:top w:val="nil"/>
              <w:left w:val="nil"/>
              <w:bottom w:val="single" w:sz="4" w:space="0" w:color="auto"/>
              <w:right w:val="nil"/>
            </w:tcBorders>
            <w:shd w:val="clear" w:color="auto" w:fill="auto"/>
            <w:noWrap/>
            <w:vAlign w:val="center"/>
          </w:tcPr>
          <w:p w14:paraId="6082A810" w14:textId="77777777" w:rsidR="00D868AB" w:rsidRPr="00D868AB" w:rsidRDefault="00D868AB" w:rsidP="00D868AB">
            <w:pPr>
              <w:jc w:val="center"/>
              <w:rPr>
                <w:rFonts w:cs="Arial"/>
                <w:b/>
                <w:sz w:val="20"/>
                <w:szCs w:val="16"/>
                <w:lang w:val="es-ES"/>
              </w:rPr>
            </w:pPr>
            <w:r w:rsidRPr="00D868AB">
              <w:rPr>
                <w:rFonts w:eastAsia="Times New Roman" w:cs="Arial"/>
                <w:b/>
                <w:bCs/>
                <w:color w:val="000000"/>
                <w:sz w:val="20"/>
                <w:szCs w:val="16"/>
              </w:rPr>
              <w:t xml:space="preserve">Tabla 67. </w:t>
            </w:r>
            <w:r w:rsidRPr="00D868AB">
              <w:rPr>
                <w:rFonts w:cs="Arial"/>
                <w:b/>
                <w:sz w:val="20"/>
                <w:szCs w:val="16"/>
                <w:lang w:val="es-ES"/>
              </w:rPr>
              <w:t>Clasificación por Objeto del Gasto</w:t>
            </w:r>
          </w:p>
          <w:p w14:paraId="0F766121" w14:textId="77777777" w:rsidR="00D868AB" w:rsidRPr="00D868AB" w:rsidRDefault="00D868AB" w:rsidP="00D868AB">
            <w:pPr>
              <w:jc w:val="center"/>
              <w:rPr>
                <w:rFonts w:eastAsia="Times New Roman" w:cs="Arial"/>
                <w:b/>
                <w:bCs/>
                <w:color w:val="000000"/>
                <w:sz w:val="20"/>
                <w:szCs w:val="16"/>
              </w:rPr>
            </w:pPr>
            <w:r w:rsidRPr="00D868AB">
              <w:rPr>
                <w:rFonts w:cs="Arial"/>
                <w:b/>
                <w:sz w:val="18"/>
                <w:szCs w:val="16"/>
                <w:lang w:val="es-ES"/>
              </w:rPr>
              <w:t>(Gasto Programable, Gasto No Programable)</w:t>
            </w:r>
          </w:p>
        </w:tc>
      </w:tr>
      <w:tr w:rsidR="00D868AB" w:rsidRPr="00D868AB" w14:paraId="621240F5" w14:textId="77777777" w:rsidTr="00A755A7">
        <w:tblPrEx>
          <w:jc w:val="left"/>
        </w:tblPrEx>
        <w:trPr>
          <w:trHeight w:val="20"/>
          <w:tblHeader/>
        </w:trPr>
        <w:tc>
          <w:tcPr>
            <w:tcW w:w="700" w:type="dxa"/>
            <w:tcBorders>
              <w:top w:val="single" w:sz="4" w:space="0" w:color="auto"/>
            </w:tcBorders>
            <w:shd w:val="clear" w:color="auto" w:fill="auto"/>
            <w:noWrap/>
            <w:vAlign w:val="center"/>
            <w:hideMark/>
          </w:tcPr>
          <w:p w14:paraId="7AB6BCD1" w14:textId="77777777" w:rsidR="00D868AB" w:rsidRPr="00D868AB" w:rsidRDefault="00D868AB" w:rsidP="00D868AB">
            <w:pPr>
              <w:jc w:val="center"/>
              <w:rPr>
                <w:rFonts w:eastAsia="Times New Roman" w:cs="Arial"/>
                <w:b/>
                <w:bCs/>
                <w:color w:val="000000"/>
                <w:sz w:val="14"/>
                <w:szCs w:val="14"/>
              </w:rPr>
            </w:pPr>
            <w:r w:rsidRPr="00D868AB">
              <w:rPr>
                <w:rFonts w:eastAsia="Times New Roman" w:cs="Arial"/>
                <w:b/>
                <w:bCs/>
                <w:color w:val="000000"/>
                <w:sz w:val="14"/>
                <w:szCs w:val="14"/>
              </w:rPr>
              <w:t>Capítulo</w:t>
            </w:r>
          </w:p>
        </w:tc>
        <w:tc>
          <w:tcPr>
            <w:tcW w:w="3973" w:type="dxa"/>
            <w:tcBorders>
              <w:top w:val="single" w:sz="4" w:space="0" w:color="auto"/>
            </w:tcBorders>
            <w:shd w:val="clear" w:color="auto" w:fill="auto"/>
            <w:vAlign w:val="center"/>
            <w:hideMark/>
          </w:tcPr>
          <w:p w14:paraId="4F769ECD"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Concepto</w:t>
            </w:r>
          </w:p>
        </w:tc>
        <w:tc>
          <w:tcPr>
            <w:tcW w:w="1276" w:type="dxa"/>
            <w:tcBorders>
              <w:top w:val="single" w:sz="4" w:space="0" w:color="auto"/>
            </w:tcBorders>
            <w:shd w:val="clear" w:color="auto" w:fill="auto"/>
            <w:vAlign w:val="center"/>
            <w:hideMark/>
          </w:tcPr>
          <w:p w14:paraId="14B7088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Gasto Programable</w:t>
            </w:r>
          </w:p>
        </w:tc>
        <w:tc>
          <w:tcPr>
            <w:tcW w:w="1276" w:type="dxa"/>
            <w:tcBorders>
              <w:top w:val="single" w:sz="4" w:space="0" w:color="auto"/>
            </w:tcBorders>
            <w:shd w:val="clear" w:color="auto" w:fill="auto"/>
            <w:vAlign w:val="center"/>
            <w:hideMark/>
          </w:tcPr>
          <w:p w14:paraId="4CCDCACD"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Gasto No Programable</w:t>
            </w:r>
          </w:p>
        </w:tc>
        <w:tc>
          <w:tcPr>
            <w:tcW w:w="1275" w:type="dxa"/>
            <w:tcBorders>
              <w:top w:val="single" w:sz="4" w:space="0" w:color="auto"/>
            </w:tcBorders>
            <w:shd w:val="clear" w:color="auto" w:fill="auto"/>
            <w:vAlign w:val="center"/>
            <w:hideMark/>
          </w:tcPr>
          <w:p w14:paraId="0DE9EC13"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Asignación Presupuestal</w:t>
            </w:r>
          </w:p>
        </w:tc>
      </w:tr>
      <w:tr w:rsidR="00D868AB" w:rsidRPr="00D868AB" w14:paraId="6E67FA92" w14:textId="77777777" w:rsidTr="00A755A7">
        <w:tblPrEx>
          <w:jc w:val="left"/>
        </w:tblPrEx>
        <w:trPr>
          <w:trHeight w:val="20"/>
        </w:trPr>
        <w:tc>
          <w:tcPr>
            <w:tcW w:w="700" w:type="dxa"/>
            <w:shd w:val="clear" w:color="auto" w:fill="auto"/>
            <w:noWrap/>
            <w:vAlign w:val="center"/>
            <w:hideMark/>
          </w:tcPr>
          <w:p w14:paraId="7152EFB6"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10000</w:t>
            </w:r>
          </w:p>
        </w:tc>
        <w:tc>
          <w:tcPr>
            <w:tcW w:w="3973" w:type="dxa"/>
            <w:shd w:val="clear" w:color="auto" w:fill="auto"/>
            <w:vAlign w:val="center"/>
            <w:hideMark/>
          </w:tcPr>
          <w:p w14:paraId="15C30ADC"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SERVICIOS PERSONALES.</w:t>
            </w:r>
          </w:p>
        </w:tc>
        <w:tc>
          <w:tcPr>
            <w:tcW w:w="1276" w:type="dxa"/>
            <w:shd w:val="clear" w:color="auto" w:fill="auto"/>
            <w:noWrap/>
            <w:vAlign w:val="center"/>
          </w:tcPr>
          <w:p w14:paraId="7684699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2,179,669,974 </w:t>
            </w:r>
          </w:p>
        </w:tc>
        <w:tc>
          <w:tcPr>
            <w:tcW w:w="1276" w:type="dxa"/>
            <w:shd w:val="clear" w:color="auto" w:fill="auto"/>
            <w:noWrap/>
            <w:vAlign w:val="center"/>
          </w:tcPr>
          <w:p w14:paraId="50D2E31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455F270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2,179,669,974 </w:t>
            </w:r>
          </w:p>
        </w:tc>
      </w:tr>
      <w:tr w:rsidR="00D868AB" w:rsidRPr="00D868AB" w14:paraId="78233372" w14:textId="77777777" w:rsidTr="00A755A7">
        <w:tblPrEx>
          <w:jc w:val="left"/>
        </w:tblPrEx>
        <w:trPr>
          <w:trHeight w:val="20"/>
        </w:trPr>
        <w:tc>
          <w:tcPr>
            <w:tcW w:w="700" w:type="dxa"/>
            <w:shd w:val="clear" w:color="auto" w:fill="auto"/>
            <w:noWrap/>
            <w:vAlign w:val="center"/>
            <w:hideMark/>
          </w:tcPr>
          <w:p w14:paraId="2604AF7F"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11000</w:t>
            </w:r>
          </w:p>
        </w:tc>
        <w:tc>
          <w:tcPr>
            <w:tcW w:w="3973" w:type="dxa"/>
            <w:shd w:val="clear" w:color="auto" w:fill="auto"/>
            <w:vAlign w:val="center"/>
            <w:hideMark/>
          </w:tcPr>
          <w:p w14:paraId="1CCD69BD"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REMUNERACIONES AL PERSONAL DE CARACTER PERMANENTE.</w:t>
            </w:r>
          </w:p>
        </w:tc>
        <w:tc>
          <w:tcPr>
            <w:tcW w:w="1276" w:type="dxa"/>
            <w:shd w:val="clear" w:color="auto" w:fill="auto"/>
            <w:noWrap/>
            <w:vAlign w:val="center"/>
          </w:tcPr>
          <w:p w14:paraId="0F5E3FE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796,455,504 </w:t>
            </w:r>
          </w:p>
        </w:tc>
        <w:tc>
          <w:tcPr>
            <w:tcW w:w="1276" w:type="dxa"/>
            <w:shd w:val="clear" w:color="auto" w:fill="auto"/>
            <w:noWrap/>
            <w:vAlign w:val="center"/>
          </w:tcPr>
          <w:p w14:paraId="2DC5EB9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1CEAD61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796,455,504 </w:t>
            </w:r>
          </w:p>
        </w:tc>
      </w:tr>
      <w:tr w:rsidR="00D868AB" w:rsidRPr="00D868AB" w14:paraId="6897BCA8" w14:textId="77777777" w:rsidTr="00A755A7">
        <w:tblPrEx>
          <w:jc w:val="left"/>
        </w:tblPrEx>
        <w:trPr>
          <w:trHeight w:val="20"/>
        </w:trPr>
        <w:tc>
          <w:tcPr>
            <w:tcW w:w="700" w:type="dxa"/>
            <w:shd w:val="clear" w:color="auto" w:fill="auto"/>
            <w:noWrap/>
            <w:vAlign w:val="center"/>
            <w:hideMark/>
          </w:tcPr>
          <w:p w14:paraId="7979A47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11100</w:t>
            </w:r>
          </w:p>
        </w:tc>
        <w:tc>
          <w:tcPr>
            <w:tcW w:w="3973" w:type="dxa"/>
            <w:shd w:val="clear" w:color="auto" w:fill="auto"/>
            <w:vAlign w:val="center"/>
            <w:hideMark/>
          </w:tcPr>
          <w:p w14:paraId="4AA7FD7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Dietas.</w:t>
            </w:r>
          </w:p>
        </w:tc>
        <w:tc>
          <w:tcPr>
            <w:tcW w:w="1276" w:type="dxa"/>
            <w:shd w:val="clear" w:color="auto" w:fill="auto"/>
            <w:noWrap/>
            <w:vAlign w:val="center"/>
          </w:tcPr>
          <w:p w14:paraId="29B4998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0727FD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39F7D5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F7CB6FA" w14:textId="77777777" w:rsidTr="00A755A7">
        <w:tblPrEx>
          <w:jc w:val="left"/>
        </w:tblPrEx>
        <w:trPr>
          <w:trHeight w:val="20"/>
        </w:trPr>
        <w:tc>
          <w:tcPr>
            <w:tcW w:w="700" w:type="dxa"/>
            <w:shd w:val="clear" w:color="auto" w:fill="auto"/>
            <w:noWrap/>
            <w:vAlign w:val="center"/>
            <w:hideMark/>
          </w:tcPr>
          <w:p w14:paraId="202D5B4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11200</w:t>
            </w:r>
          </w:p>
        </w:tc>
        <w:tc>
          <w:tcPr>
            <w:tcW w:w="3973" w:type="dxa"/>
            <w:shd w:val="clear" w:color="auto" w:fill="auto"/>
            <w:vAlign w:val="center"/>
            <w:hideMark/>
          </w:tcPr>
          <w:p w14:paraId="0712F83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Haberes.</w:t>
            </w:r>
          </w:p>
        </w:tc>
        <w:tc>
          <w:tcPr>
            <w:tcW w:w="1276" w:type="dxa"/>
            <w:shd w:val="clear" w:color="auto" w:fill="auto"/>
            <w:noWrap/>
            <w:vAlign w:val="center"/>
          </w:tcPr>
          <w:p w14:paraId="7DC894B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2FE28A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B6AE91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6446802" w14:textId="77777777" w:rsidTr="00A755A7">
        <w:tblPrEx>
          <w:jc w:val="left"/>
        </w:tblPrEx>
        <w:trPr>
          <w:trHeight w:val="20"/>
        </w:trPr>
        <w:tc>
          <w:tcPr>
            <w:tcW w:w="700" w:type="dxa"/>
            <w:shd w:val="clear" w:color="auto" w:fill="auto"/>
            <w:noWrap/>
            <w:vAlign w:val="center"/>
            <w:hideMark/>
          </w:tcPr>
          <w:p w14:paraId="3E84615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11300</w:t>
            </w:r>
          </w:p>
        </w:tc>
        <w:tc>
          <w:tcPr>
            <w:tcW w:w="3973" w:type="dxa"/>
            <w:shd w:val="clear" w:color="auto" w:fill="auto"/>
            <w:vAlign w:val="center"/>
            <w:hideMark/>
          </w:tcPr>
          <w:p w14:paraId="7796721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Sueldos base al personal permanente.</w:t>
            </w:r>
          </w:p>
        </w:tc>
        <w:tc>
          <w:tcPr>
            <w:tcW w:w="1276" w:type="dxa"/>
            <w:shd w:val="clear" w:color="auto" w:fill="auto"/>
            <w:noWrap/>
            <w:vAlign w:val="center"/>
          </w:tcPr>
          <w:p w14:paraId="61A3940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796,455,504 </w:t>
            </w:r>
          </w:p>
        </w:tc>
        <w:tc>
          <w:tcPr>
            <w:tcW w:w="1276" w:type="dxa"/>
            <w:shd w:val="clear" w:color="auto" w:fill="auto"/>
            <w:noWrap/>
            <w:vAlign w:val="center"/>
          </w:tcPr>
          <w:p w14:paraId="5B72A8E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8C5C5D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796,455,504 </w:t>
            </w:r>
          </w:p>
        </w:tc>
      </w:tr>
      <w:tr w:rsidR="00D868AB" w:rsidRPr="00D868AB" w14:paraId="6706F84D" w14:textId="77777777" w:rsidTr="00A755A7">
        <w:tblPrEx>
          <w:jc w:val="left"/>
        </w:tblPrEx>
        <w:trPr>
          <w:trHeight w:val="20"/>
        </w:trPr>
        <w:tc>
          <w:tcPr>
            <w:tcW w:w="700" w:type="dxa"/>
            <w:shd w:val="clear" w:color="auto" w:fill="auto"/>
            <w:noWrap/>
            <w:vAlign w:val="center"/>
            <w:hideMark/>
          </w:tcPr>
          <w:p w14:paraId="7956DB7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11400</w:t>
            </w:r>
          </w:p>
        </w:tc>
        <w:tc>
          <w:tcPr>
            <w:tcW w:w="3973" w:type="dxa"/>
            <w:shd w:val="clear" w:color="auto" w:fill="auto"/>
            <w:vAlign w:val="center"/>
            <w:hideMark/>
          </w:tcPr>
          <w:p w14:paraId="142E035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Remuneraciones por adscripción laboral en el extranjero.</w:t>
            </w:r>
          </w:p>
        </w:tc>
        <w:tc>
          <w:tcPr>
            <w:tcW w:w="1276" w:type="dxa"/>
            <w:shd w:val="clear" w:color="auto" w:fill="auto"/>
            <w:noWrap/>
            <w:vAlign w:val="center"/>
          </w:tcPr>
          <w:p w14:paraId="44426FA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3C3289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0F94CE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7D10DE1" w14:textId="77777777" w:rsidTr="00A755A7">
        <w:tblPrEx>
          <w:jc w:val="left"/>
        </w:tblPrEx>
        <w:trPr>
          <w:trHeight w:val="20"/>
        </w:trPr>
        <w:tc>
          <w:tcPr>
            <w:tcW w:w="700" w:type="dxa"/>
            <w:shd w:val="clear" w:color="auto" w:fill="auto"/>
            <w:noWrap/>
            <w:vAlign w:val="center"/>
            <w:hideMark/>
          </w:tcPr>
          <w:p w14:paraId="11709464"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12000</w:t>
            </w:r>
          </w:p>
        </w:tc>
        <w:tc>
          <w:tcPr>
            <w:tcW w:w="3973" w:type="dxa"/>
            <w:shd w:val="clear" w:color="auto" w:fill="auto"/>
            <w:vAlign w:val="center"/>
            <w:hideMark/>
          </w:tcPr>
          <w:p w14:paraId="26F981D1"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REMUNERACIONES AL PERSONAL DE CARACTER TRANSITORIO.</w:t>
            </w:r>
          </w:p>
        </w:tc>
        <w:tc>
          <w:tcPr>
            <w:tcW w:w="1276" w:type="dxa"/>
            <w:shd w:val="clear" w:color="auto" w:fill="auto"/>
            <w:noWrap/>
            <w:vAlign w:val="center"/>
          </w:tcPr>
          <w:p w14:paraId="4CF5FF53"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53,275,332 </w:t>
            </w:r>
          </w:p>
        </w:tc>
        <w:tc>
          <w:tcPr>
            <w:tcW w:w="1276" w:type="dxa"/>
            <w:shd w:val="clear" w:color="auto" w:fill="auto"/>
            <w:noWrap/>
            <w:vAlign w:val="center"/>
          </w:tcPr>
          <w:p w14:paraId="1450E92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7F0E048A"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53,275,332 </w:t>
            </w:r>
          </w:p>
        </w:tc>
      </w:tr>
      <w:tr w:rsidR="00D868AB" w:rsidRPr="00D868AB" w14:paraId="597EDE5D" w14:textId="77777777" w:rsidTr="00A755A7">
        <w:tblPrEx>
          <w:jc w:val="left"/>
        </w:tblPrEx>
        <w:trPr>
          <w:trHeight w:val="20"/>
        </w:trPr>
        <w:tc>
          <w:tcPr>
            <w:tcW w:w="700" w:type="dxa"/>
            <w:shd w:val="clear" w:color="auto" w:fill="auto"/>
            <w:noWrap/>
            <w:vAlign w:val="center"/>
            <w:hideMark/>
          </w:tcPr>
          <w:p w14:paraId="0A0E526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12100</w:t>
            </w:r>
          </w:p>
        </w:tc>
        <w:tc>
          <w:tcPr>
            <w:tcW w:w="3973" w:type="dxa"/>
            <w:shd w:val="clear" w:color="auto" w:fill="auto"/>
            <w:vAlign w:val="center"/>
            <w:hideMark/>
          </w:tcPr>
          <w:p w14:paraId="627AD3F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Honorarios asimilables a salarios.</w:t>
            </w:r>
          </w:p>
        </w:tc>
        <w:tc>
          <w:tcPr>
            <w:tcW w:w="1276" w:type="dxa"/>
            <w:shd w:val="clear" w:color="auto" w:fill="auto"/>
            <w:noWrap/>
            <w:vAlign w:val="center"/>
          </w:tcPr>
          <w:p w14:paraId="1D2363B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1B4E59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3D83BE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B70AC48" w14:textId="77777777" w:rsidTr="00A755A7">
        <w:tblPrEx>
          <w:jc w:val="left"/>
        </w:tblPrEx>
        <w:trPr>
          <w:trHeight w:val="20"/>
        </w:trPr>
        <w:tc>
          <w:tcPr>
            <w:tcW w:w="700" w:type="dxa"/>
            <w:shd w:val="clear" w:color="auto" w:fill="auto"/>
            <w:noWrap/>
            <w:vAlign w:val="center"/>
            <w:hideMark/>
          </w:tcPr>
          <w:p w14:paraId="732580A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12200</w:t>
            </w:r>
          </w:p>
        </w:tc>
        <w:tc>
          <w:tcPr>
            <w:tcW w:w="3973" w:type="dxa"/>
            <w:shd w:val="clear" w:color="auto" w:fill="auto"/>
            <w:vAlign w:val="center"/>
            <w:hideMark/>
          </w:tcPr>
          <w:p w14:paraId="00C4A17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Sueldos base al personal eventual.</w:t>
            </w:r>
          </w:p>
        </w:tc>
        <w:tc>
          <w:tcPr>
            <w:tcW w:w="1276" w:type="dxa"/>
            <w:shd w:val="clear" w:color="auto" w:fill="auto"/>
            <w:noWrap/>
            <w:vAlign w:val="center"/>
          </w:tcPr>
          <w:p w14:paraId="127236C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53,275,332 </w:t>
            </w:r>
          </w:p>
        </w:tc>
        <w:tc>
          <w:tcPr>
            <w:tcW w:w="1276" w:type="dxa"/>
            <w:shd w:val="clear" w:color="auto" w:fill="auto"/>
            <w:noWrap/>
            <w:vAlign w:val="center"/>
          </w:tcPr>
          <w:p w14:paraId="42AB67A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4B33E7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53,275,332 </w:t>
            </w:r>
          </w:p>
        </w:tc>
      </w:tr>
      <w:tr w:rsidR="00D868AB" w:rsidRPr="00D868AB" w14:paraId="6D3CCC7C" w14:textId="77777777" w:rsidTr="00A755A7">
        <w:tblPrEx>
          <w:jc w:val="left"/>
        </w:tblPrEx>
        <w:trPr>
          <w:trHeight w:val="20"/>
        </w:trPr>
        <w:tc>
          <w:tcPr>
            <w:tcW w:w="700" w:type="dxa"/>
            <w:shd w:val="clear" w:color="auto" w:fill="auto"/>
            <w:noWrap/>
            <w:vAlign w:val="center"/>
            <w:hideMark/>
          </w:tcPr>
          <w:p w14:paraId="1C8E177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12300</w:t>
            </w:r>
          </w:p>
        </w:tc>
        <w:tc>
          <w:tcPr>
            <w:tcW w:w="3973" w:type="dxa"/>
            <w:shd w:val="clear" w:color="auto" w:fill="auto"/>
            <w:vAlign w:val="center"/>
            <w:hideMark/>
          </w:tcPr>
          <w:p w14:paraId="12269A0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Retribuciones por servicios de carácter social.</w:t>
            </w:r>
          </w:p>
        </w:tc>
        <w:tc>
          <w:tcPr>
            <w:tcW w:w="1276" w:type="dxa"/>
            <w:shd w:val="clear" w:color="auto" w:fill="auto"/>
            <w:noWrap/>
            <w:vAlign w:val="center"/>
          </w:tcPr>
          <w:p w14:paraId="6DF0C78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9245C7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2FC1EF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5C90241" w14:textId="77777777" w:rsidTr="00A755A7">
        <w:tblPrEx>
          <w:jc w:val="left"/>
        </w:tblPrEx>
        <w:trPr>
          <w:trHeight w:val="20"/>
        </w:trPr>
        <w:tc>
          <w:tcPr>
            <w:tcW w:w="700" w:type="dxa"/>
            <w:shd w:val="clear" w:color="auto" w:fill="auto"/>
            <w:noWrap/>
            <w:vAlign w:val="center"/>
            <w:hideMark/>
          </w:tcPr>
          <w:p w14:paraId="507D9A5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12400</w:t>
            </w:r>
          </w:p>
        </w:tc>
        <w:tc>
          <w:tcPr>
            <w:tcW w:w="3973" w:type="dxa"/>
            <w:shd w:val="clear" w:color="auto" w:fill="auto"/>
            <w:vAlign w:val="center"/>
            <w:hideMark/>
          </w:tcPr>
          <w:p w14:paraId="7D961D9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Retribución a los representantes de los trabajadores y de los patrones en la Junta de Conciliación y Arbitraje.</w:t>
            </w:r>
          </w:p>
        </w:tc>
        <w:tc>
          <w:tcPr>
            <w:tcW w:w="1276" w:type="dxa"/>
            <w:shd w:val="clear" w:color="auto" w:fill="auto"/>
            <w:noWrap/>
            <w:vAlign w:val="center"/>
          </w:tcPr>
          <w:p w14:paraId="02F9457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FEA3DB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84DA53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00FE759" w14:textId="77777777" w:rsidTr="00A755A7">
        <w:tblPrEx>
          <w:jc w:val="left"/>
        </w:tblPrEx>
        <w:trPr>
          <w:trHeight w:val="20"/>
        </w:trPr>
        <w:tc>
          <w:tcPr>
            <w:tcW w:w="700" w:type="dxa"/>
            <w:shd w:val="clear" w:color="auto" w:fill="auto"/>
            <w:noWrap/>
            <w:vAlign w:val="center"/>
            <w:hideMark/>
          </w:tcPr>
          <w:p w14:paraId="6B68636F"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13000</w:t>
            </w:r>
          </w:p>
        </w:tc>
        <w:tc>
          <w:tcPr>
            <w:tcW w:w="3973" w:type="dxa"/>
            <w:shd w:val="clear" w:color="auto" w:fill="auto"/>
            <w:vAlign w:val="center"/>
            <w:hideMark/>
          </w:tcPr>
          <w:p w14:paraId="1EBB81C7"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REMUNERACIONES ADICIONALES Y ESPECIALES.</w:t>
            </w:r>
          </w:p>
        </w:tc>
        <w:tc>
          <w:tcPr>
            <w:tcW w:w="1276" w:type="dxa"/>
            <w:shd w:val="clear" w:color="auto" w:fill="auto"/>
            <w:noWrap/>
            <w:vAlign w:val="center"/>
          </w:tcPr>
          <w:p w14:paraId="1A6E6AD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497,467,110 </w:t>
            </w:r>
          </w:p>
        </w:tc>
        <w:tc>
          <w:tcPr>
            <w:tcW w:w="1276" w:type="dxa"/>
            <w:shd w:val="clear" w:color="auto" w:fill="auto"/>
            <w:noWrap/>
            <w:vAlign w:val="center"/>
          </w:tcPr>
          <w:p w14:paraId="1906634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251B36B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497,467,110 </w:t>
            </w:r>
          </w:p>
        </w:tc>
      </w:tr>
      <w:tr w:rsidR="00D868AB" w:rsidRPr="00D868AB" w14:paraId="709ACA35" w14:textId="77777777" w:rsidTr="00A755A7">
        <w:tblPrEx>
          <w:jc w:val="left"/>
        </w:tblPrEx>
        <w:trPr>
          <w:trHeight w:val="20"/>
        </w:trPr>
        <w:tc>
          <w:tcPr>
            <w:tcW w:w="700" w:type="dxa"/>
            <w:shd w:val="clear" w:color="auto" w:fill="auto"/>
            <w:noWrap/>
            <w:vAlign w:val="center"/>
            <w:hideMark/>
          </w:tcPr>
          <w:p w14:paraId="1D2B106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13100</w:t>
            </w:r>
          </w:p>
        </w:tc>
        <w:tc>
          <w:tcPr>
            <w:tcW w:w="3973" w:type="dxa"/>
            <w:shd w:val="clear" w:color="auto" w:fill="auto"/>
            <w:vAlign w:val="center"/>
            <w:hideMark/>
          </w:tcPr>
          <w:p w14:paraId="18204B4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Primas por años de servicios efectivos prestados.</w:t>
            </w:r>
          </w:p>
        </w:tc>
        <w:tc>
          <w:tcPr>
            <w:tcW w:w="1276" w:type="dxa"/>
            <w:shd w:val="clear" w:color="auto" w:fill="auto"/>
            <w:noWrap/>
            <w:vAlign w:val="center"/>
          </w:tcPr>
          <w:p w14:paraId="29F4CE2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82,306,116 </w:t>
            </w:r>
          </w:p>
        </w:tc>
        <w:tc>
          <w:tcPr>
            <w:tcW w:w="1276" w:type="dxa"/>
            <w:shd w:val="clear" w:color="auto" w:fill="auto"/>
            <w:noWrap/>
            <w:vAlign w:val="center"/>
          </w:tcPr>
          <w:p w14:paraId="2F96064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97B0C7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82,306,116 </w:t>
            </w:r>
          </w:p>
        </w:tc>
      </w:tr>
      <w:tr w:rsidR="00D868AB" w:rsidRPr="00D868AB" w14:paraId="6031187C" w14:textId="77777777" w:rsidTr="00A755A7">
        <w:tblPrEx>
          <w:jc w:val="left"/>
        </w:tblPrEx>
        <w:trPr>
          <w:trHeight w:val="20"/>
        </w:trPr>
        <w:tc>
          <w:tcPr>
            <w:tcW w:w="700" w:type="dxa"/>
            <w:shd w:val="clear" w:color="auto" w:fill="auto"/>
            <w:noWrap/>
            <w:vAlign w:val="center"/>
            <w:hideMark/>
          </w:tcPr>
          <w:p w14:paraId="7D4C594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13200</w:t>
            </w:r>
          </w:p>
        </w:tc>
        <w:tc>
          <w:tcPr>
            <w:tcW w:w="3973" w:type="dxa"/>
            <w:shd w:val="clear" w:color="auto" w:fill="auto"/>
            <w:vAlign w:val="center"/>
            <w:hideMark/>
          </w:tcPr>
          <w:p w14:paraId="750AB72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Primas de vacaciones, dominical y gratificación de fin de año.</w:t>
            </w:r>
          </w:p>
        </w:tc>
        <w:tc>
          <w:tcPr>
            <w:tcW w:w="1276" w:type="dxa"/>
            <w:shd w:val="clear" w:color="auto" w:fill="auto"/>
            <w:noWrap/>
            <w:vAlign w:val="center"/>
          </w:tcPr>
          <w:p w14:paraId="3721982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193,517,392 </w:t>
            </w:r>
          </w:p>
        </w:tc>
        <w:tc>
          <w:tcPr>
            <w:tcW w:w="1276" w:type="dxa"/>
            <w:shd w:val="clear" w:color="auto" w:fill="auto"/>
            <w:noWrap/>
            <w:vAlign w:val="center"/>
          </w:tcPr>
          <w:p w14:paraId="1ED6FE8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8EFBCF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193,517,392 </w:t>
            </w:r>
          </w:p>
        </w:tc>
      </w:tr>
      <w:tr w:rsidR="00D868AB" w:rsidRPr="00D868AB" w14:paraId="54C59449" w14:textId="77777777" w:rsidTr="00A755A7">
        <w:tblPrEx>
          <w:jc w:val="left"/>
        </w:tblPrEx>
        <w:trPr>
          <w:trHeight w:val="20"/>
        </w:trPr>
        <w:tc>
          <w:tcPr>
            <w:tcW w:w="700" w:type="dxa"/>
            <w:shd w:val="clear" w:color="auto" w:fill="auto"/>
            <w:noWrap/>
            <w:vAlign w:val="center"/>
            <w:hideMark/>
          </w:tcPr>
          <w:p w14:paraId="5685353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13300</w:t>
            </w:r>
          </w:p>
        </w:tc>
        <w:tc>
          <w:tcPr>
            <w:tcW w:w="3973" w:type="dxa"/>
            <w:shd w:val="clear" w:color="auto" w:fill="auto"/>
            <w:vAlign w:val="center"/>
            <w:hideMark/>
          </w:tcPr>
          <w:p w14:paraId="4F56AB6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Horas extraordinarias.</w:t>
            </w:r>
          </w:p>
        </w:tc>
        <w:tc>
          <w:tcPr>
            <w:tcW w:w="1276" w:type="dxa"/>
            <w:shd w:val="clear" w:color="auto" w:fill="auto"/>
            <w:noWrap/>
            <w:vAlign w:val="center"/>
          </w:tcPr>
          <w:p w14:paraId="4AFBAD3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550,080 </w:t>
            </w:r>
          </w:p>
        </w:tc>
        <w:tc>
          <w:tcPr>
            <w:tcW w:w="1276" w:type="dxa"/>
            <w:shd w:val="clear" w:color="auto" w:fill="auto"/>
            <w:noWrap/>
            <w:vAlign w:val="center"/>
          </w:tcPr>
          <w:p w14:paraId="34312CC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D8F128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550,080 </w:t>
            </w:r>
          </w:p>
        </w:tc>
      </w:tr>
      <w:tr w:rsidR="00D868AB" w:rsidRPr="00D868AB" w14:paraId="555386C2" w14:textId="77777777" w:rsidTr="00A755A7">
        <w:tblPrEx>
          <w:jc w:val="left"/>
        </w:tblPrEx>
        <w:trPr>
          <w:trHeight w:val="20"/>
        </w:trPr>
        <w:tc>
          <w:tcPr>
            <w:tcW w:w="700" w:type="dxa"/>
            <w:shd w:val="clear" w:color="auto" w:fill="auto"/>
            <w:noWrap/>
            <w:vAlign w:val="center"/>
            <w:hideMark/>
          </w:tcPr>
          <w:p w14:paraId="3AD6A1E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13400</w:t>
            </w:r>
          </w:p>
        </w:tc>
        <w:tc>
          <w:tcPr>
            <w:tcW w:w="3973" w:type="dxa"/>
            <w:shd w:val="clear" w:color="auto" w:fill="auto"/>
            <w:vAlign w:val="center"/>
            <w:hideMark/>
          </w:tcPr>
          <w:p w14:paraId="570E6F5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Compensaciones.</w:t>
            </w:r>
          </w:p>
        </w:tc>
        <w:tc>
          <w:tcPr>
            <w:tcW w:w="1276" w:type="dxa"/>
            <w:shd w:val="clear" w:color="auto" w:fill="auto"/>
            <w:noWrap/>
            <w:vAlign w:val="center"/>
          </w:tcPr>
          <w:p w14:paraId="5FD2349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221,093,522 </w:t>
            </w:r>
          </w:p>
        </w:tc>
        <w:tc>
          <w:tcPr>
            <w:tcW w:w="1276" w:type="dxa"/>
            <w:shd w:val="clear" w:color="auto" w:fill="auto"/>
            <w:noWrap/>
            <w:vAlign w:val="center"/>
          </w:tcPr>
          <w:p w14:paraId="1E37A85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8411F1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221,093,522 </w:t>
            </w:r>
          </w:p>
        </w:tc>
      </w:tr>
      <w:tr w:rsidR="00D868AB" w:rsidRPr="00D868AB" w14:paraId="0AD7ED56" w14:textId="77777777" w:rsidTr="00A755A7">
        <w:tblPrEx>
          <w:jc w:val="left"/>
        </w:tblPrEx>
        <w:trPr>
          <w:trHeight w:val="20"/>
        </w:trPr>
        <w:tc>
          <w:tcPr>
            <w:tcW w:w="700" w:type="dxa"/>
            <w:shd w:val="clear" w:color="auto" w:fill="auto"/>
            <w:noWrap/>
            <w:vAlign w:val="center"/>
            <w:hideMark/>
          </w:tcPr>
          <w:p w14:paraId="0065978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13500</w:t>
            </w:r>
          </w:p>
        </w:tc>
        <w:tc>
          <w:tcPr>
            <w:tcW w:w="3973" w:type="dxa"/>
            <w:shd w:val="clear" w:color="auto" w:fill="auto"/>
            <w:vAlign w:val="center"/>
            <w:hideMark/>
          </w:tcPr>
          <w:p w14:paraId="54738BE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Sobrehaberes.</w:t>
            </w:r>
          </w:p>
        </w:tc>
        <w:tc>
          <w:tcPr>
            <w:tcW w:w="1276" w:type="dxa"/>
            <w:shd w:val="clear" w:color="auto" w:fill="auto"/>
            <w:noWrap/>
            <w:vAlign w:val="center"/>
          </w:tcPr>
          <w:p w14:paraId="6FCA358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B73FE1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BE6A86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886DB64" w14:textId="77777777" w:rsidTr="00A755A7">
        <w:tblPrEx>
          <w:jc w:val="left"/>
        </w:tblPrEx>
        <w:trPr>
          <w:trHeight w:val="20"/>
        </w:trPr>
        <w:tc>
          <w:tcPr>
            <w:tcW w:w="700" w:type="dxa"/>
            <w:shd w:val="clear" w:color="auto" w:fill="auto"/>
            <w:noWrap/>
            <w:vAlign w:val="center"/>
            <w:hideMark/>
          </w:tcPr>
          <w:p w14:paraId="18B8B56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13600</w:t>
            </w:r>
          </w:p>
        </w:tc>
        <w:tc>
          <w:tcPr>
            <w:tcW w:w="3973" w:type="dxa"/>
            <w:shd w:val="clear" w:color="auto" w:fill="auto"/>
            <w:vAlign w:val="center"/>
            <w:hideMark/>
          </w:tcPr>
          <w:p w14:paraId="01146DB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Asignaciones de técnico, de mando, por comisión, de vuelo y de técnico especial.</w:t>
            </w:r>
          </w:p>
        </w:tc>
        <w:tc>
          <w:tcPr>
            <w:tcW w:w="1276" w:type="dxa"/>
            <w:shd w:val="clear" w:color="auto" w:fill="auto"/>
            <w:noWrap/>
            <w:vAlign w:val="center"/>
          </w:tcPr>
          <w:p w14:paraId="07C0CC0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A60399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88EC77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C328CA7" w14:textId="77777777" w:rsidTr="00A755A7">
        <w:tblPrEx>
          <w:jc w:val="left"/>
        </w:tblPrEx>
        <w:trPr>
          <w:trHeight w:val="20"/>
        </w:trPr>
        <w:tc>
          <w:tcPr>
            <w:tcW w:w="700" w:type="dxa"/>
            <w:shd w:val="clear" w:color="auto" w:fill="auto"/>
            <w:noWrap/>
            <w:vAlign w:val="center"/>
            <w:hideMark/>
          </w:tcPr>
          <w:p w14:paraId="389B3B2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13700</w:t>
            </w:r>
          </w:p>
        </w:tc>
        <w:tc>
          <w:tcPr>
            <w:tcW w:w="3973" w:type="dxa"/>
            <w:shd w:val="clear" w:color="auto" w:fill="auto"/>
            <w:vAlign w:val="center"/>
            <w:hideMark/>
          </w:tcPr>
          <w:p w14:paraId="3639CCC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Honorarios especiales.</w:t>
            </w:r>
          </w:p>
        </w:tc>
        <w:tc>
          <w:tcPr>
            <w:tcW w:w="1276" w:type="dxa"/>
            <w:shd w:val="clear" w:color="auto" w:fill="auto"/>
            <w:noWrap/>
            <w:vAlign w:val="center"/>
          </w:tcPr>
          <w:p w14:paraId="6271E2E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619C3D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57B748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4FE42DF" w14:textId="77777777" w:rsidTr="00A755A7">
        <w:tblPrEx>
          <w:jc w:val="left"/>
        </w:tblPrEx>
        <w:trPr>
          <w:trHeight w:val="20"/>
        </w:trPr>
        <w:tc>
          <w:tcPr>
            <w:tcW w:w="700" w:type="dxa"/>
            <w:shd w:val="clear" w:color="auto" w:fill="auto"/>
            <w:noWrap/>
            <w:vAlign w:val="center"/>
            <w:hideMark/>
          </w:tcPr>
          <w:p w14:paraId="4A4AB73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13800</w:t>
            </w:r>
          </w:p>
        </w:tc>
        <w:tc>
          <w:tcPr>
            <w:tcW w:w="3973" w:type="dxa"/>
            <w:shd w:val="clear" w:color="auto" w:fill="auto"/>
            <w:vAlign w:val="center"/>
            <w:hideMark/>
          </w:tcPr>
          <w:p w14:paraId="2F62821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Participaciones por vigilancia en el cumplimiento de las leyes y custodia de valores.</w:t>
            </w:r>
          </w:p>
        </w:tc>
        <w:tc>
          <w:tcPr>
            <w:tcW w:w="1276" w:type="dxa"/>
            <w:shd w:val="clear" w:color="auto" w:fill="auto"/>
            <w:noWrap/>
            <w:vAlign w:val="center"/>
          </w:tcPr>
          <w:p w14:paraId="71252AB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9E43BB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3D4C7B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B1697F2" w14:textId="77777777" w:rsidTr="00A755A7">
        <w:tblPrEx>
          <w:jc w:val="left"/>
        </w:tblPrEx>
        <w:trPr>
          <w:trHeight w:val="20"/>
        </w:trPr>
        <w:tc>
          <w:tcPr>
            <w:tcW w:w="700" w:type="dxa"/>
            <w:shd w:val="clear" w:color="auto" w:fill="auto"/>
            <w:noWrap/>
            <w:vAlign w:val="center"/>
            <w:hideMark/>
          </w:tcPr>
          <w:p w14:paraId="79582FDD"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14000</w:t>
            </w:r>
          </w:p>
        </w:tc>
        <w:tc>
          <w:tcPr>
            <w:tcW w:w="3973" w:type="dxa"/>
            <w:shd w:val="clear" w:color="auto" w:fill="auto"/>
            <w:vAlign w:val="center"/>
            <w:hideMark/>
          </w:tcPr>
          <w:p w14:paraId="47311CBB"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SEGURIDAD SOCIAL.</w:t>
            </w:r>
          </w:p>
        </w:tc>
        <w:tc>
          <w:tcPr>
            <w:tcW w:w="1276" w:type="dxa"/>
            <w:shd w:val="clear" w:color="auto" w:fill="auto"/>
            <w:noWrap/>
            <w:vAlign w:val="center"/>
          </w:tcPr>
          <w:p w14:paraId="42281E0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170,815,860 </w:t>
            </w:r>
          </w:p>
        </w:tc>
        <w:tc>
          <w:tcPr>
            <w:tcW w:w="1276" w:type="dxa"/>
            <w:shd w:val="clear" w:color="auto" w:fill="auto"/>
            <w:noWrap/>
            <w:vAlign w:val="center"/>
          </w:tcPr>
          <w:p w14:paraId="1815DD0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19CDE6A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170,815,860 </w:t>
            </w:r>
          </w:p>
        </w:tc>
      </w:tr>
      <w:tr w:rsidR="00D868AB" w:rsidRPr="00D868AB" w14:paraId="62C328C2" w14:textId="77777777" w:rsidTr="00A755A7">
        <w:tblPrEx>
          <w:jc w:val="left"/>
        </w:tblPrEx>
        <w:trPr>
          <w:trHeight w:val="20"/>
        </w:trPr>
        <w:tc>
          <w:tcPr>
            <w:tcW w:w="700" w:type="dxa"/>
            <w:shd w:val="clear" w:color="auto" w:fill="auto"/>
            <w:noWrap/>
            <w:vAlign w:val="center"/>
            <w:hideMark/>
          </w:tcPr>
          <w:p w14:paraId="7CCFDB6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14100</w:t>
            </w:r>
          </w:p>
        </w:tc>
        <w:tc>
          <w:tcPr>
            <w:tcW w:w="3973" w:type="dxa"/>
            <w:shd w:val="clear" w:color="auto" w:fill="auto"/>
            <w:vAlign w:val="center"/>
            <w:hideMark/>
          </w:tcPr>
          <w:p w14:paraId="4D20087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de seguridad social.</w:t>
            </w:r>
          </w:p>
        </w:tc>
        <w:tc>
          <w:tcPr>
            <w:tcW w:w="1276" w:type="dxa"/>
            <w:shd w:val="clear" w:color="auto" w:fill="auto"/>
            <w:noWrap/>
            <w:vAlign w:val="center"/>
          </w:tcPr>
          <w:p w14:paraId="60F2346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165,585,132 </w:t>
            </w:r>
          </w:p>
        </w:tc>
        <w:tc>
          <w:tcPr>
            <w:tcW w:w="1276" w:type="dxa"/>
            <w:shd w:val="clear" w:color="auto" w:fill="auto"/>
            <w:noWrap/>
            <w:vAlign w:val="center"/>
          </w:tcPr>
          <w:p w14:paraId="46D1CFA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A17166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165,585,132 </w:t>
            </w:r>
          </w:p>
        </w:tc>
      </w:tr>
      <w:tr w:rsidR="00D868AB" w:rsidRPr="00D868AB" w14:paraId="70AFBF3B" w14:textId="77777777" w:rsidTr="00A755A7">
        <w:tblPrEx>
          <w:jc w:val="left"/>
        </w:tblPrEx>
        <w:trPr>
          <w:trHeight w:val="20"/>
        </w:trPr>
        <w:tc>
          <w:tcPr>
            <w:tcW w:w="700" w:type="dxa"/>
            <w:shd w:val="clear" w:color="auto" w:fill="auto"/>
            <w:noWrap/>
            <w:vAlign w:val="center"/>
            <w:hideMark/>
          </w:tcPr>
          <w:p w14:paraId="73FF954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14200</w:t>
            </w:r>
          </w:p>
        </w:tc>
        <w:tc>
          <w:tcPr>
            <w:tcW w:w="3973" w:type="dxa"/>
            <w:shd w:val="clear" w:color="auto" w:fill="auto"/>
            <w:vAlign w:val="center"/>
            <w:hideMark/>
          </w:tcPr>
          <w:p w14:paraId="2F0EE03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a fondos de vivienda.</w:t>
            </w:r>
          </w:p>
        </w:tc>
        <w:tc>
          <w:tcPr>
            <w:tcW w:w="1276" w:type="dxa"/>
            <w:shd w:val="clear" w:color="auto" w:fill="auto"/>
            <w:noWrap/>
            <w:vAlign w:val="center"/>
          </w:tcPr>
          <w:p w14:paraId="68BBAD8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1,852,512 </w:t>
            </w:r>
          </w:p>
        </w:tc>
        <w:tc>
          <w:tcPr>
            <w:tcW w:w="1276" w:type="dxa"/>
            <w:shd w:val="clear" w:color="auto" w:fill="auto"/>
            <w:noWrap/>
            <w:vAlign w:val="center"/>
          </w:tcPr>
          <w:p w14:paraId="02FC622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74DD9F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1,852,512 </w:t>
            </w:r>
          </w:p>
        </w:tc>
      </w:tr>
      <w:tr w:rsidR="00D868AB" w:rsidRPr="00D868AB" w14:paraId="090FB168" w14:textId="77777777" w:rsidTr="00A755A7">
        <w:tblPrEx>
          <w:jc w:val="left"/>
        </w:tblPrEx>
        <w:trPr>
          <w:trHeight w:val="20"/>
        </w:trPr>
        <w:tc>
          <w:tcPr>
            <w:tcW w:w="700" w:type="dxa"/>
            <w:shd w:val="clear" w:color="auto" w:fill="auto"/>
            <w:noWrap/>
            <w:vAlign w:val="center"/>
            <w:hideMark/>
          </w:tcPr>
          <w:p w14:paraId="21483DD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14300</w:t>
            </w:r>
          </w:p>
        </w:tc>
        <w:tc>
          <w:tcPr>
            <w:tcW w:w="3973" w:type="dxa"/>
            <w:shd w:val="clear" w:color="auto" w:fill="auto"/>
            <w:vAlign w:val="center"/>
            <w:hideMark/>
          </w:tcPr>
          <w:p w14:paraId="6B79EB7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al sistema para el retiro.</w:t>
            </w:r>
          </w:p>
        </w:tc>
        <w:tc>
          <w:tcPr>
            <w:tcW w:w="1276" w:type="dxa"/>
            <w:shd w:val="clear" w:color="auto" w:fill="auto"/>
            <w:noWrap/>
            <w:vAlign w:val="center"/>
          </w:tcPr>
          <w:p w14:paraId="3F4B76E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2,912,268 </w:t>
            </w:r>
          </w:p>
        </w:tc>
        <w:tc>
          <w:tcPr>
            <w:tcW w:w="1276" w:type="dxa"/>
            <w:shd w:val="clear" w:color="auto" w:fill="auto"/>
            <w:noWrap/>
            <w:vAlign w:val="center"/>
          </w:tcPr>
          <w:p w14:paraId="4D1D056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D664FC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2,912,268 </w:t>
            </w:r>
          </w:p>
        </w:tc>
      </w:tr>
      <w:tr w:rsidR="00D868AB" w:rsidRPr="00D868AB" w14:paraId="3FAF5F11" w14:textId="77777777" w:rsidTr="00A755A7">
        <w:tblPrEx>
          <w:jc w:val="left"/>
        </w:tblPrEx>
        <w:trPr>
          <w:trHeight w:val="20"/>
        </w:trPr>
        <w:tc>
          <w:tcPr>
            <w:tcW w:w="700" w:type="dxa"/>
            <w:shd w:val="clear" w:color="auto" w:fill="auto"/>
            <w:noWrap/>
            <w:vAlign w:val="center"/>
            <w:hideMark/>
          </w:tcPr>
          <w:p w14:paraId="3A159F1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14400</w:t>
            </w:r>
          </w:p>
        </w:tc>
        <w:tc>
          <w:tcPr>
            <w:tcW w:w="3973" w:type="dxa"/>
            <w:shd w:val="clear" w:color="auto" w:fill="auto"/>
            <w:vAlign w:val="center"/>
            <w:hideMark/>
          </w:tcPr>
          <w:p w14:paraId="6A85646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para seguros.</w:t>
            </w:r>
          </w:p>
        </w:tc>
        <w:tc>
          <w:tcPr>
            <w:tcW w:w="1276" w:type="dxa"/>
            <w:shd w:val="clear" w:color="auto" w:fill="auto"/>
            <w:noWrap/>
            <w:vAlign w:val="center"/>
          </w:tcPr>
          <w:p w14:paraId="1A690FC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465,948 </w:t>
            </w:r>
          </w:p>
        </w:tc>
        <w:tc>
          <w:tcPr>
            <w:tcW w:w="1276" w:type="dxa"/>
            <w:shd w:val="clear" w:color="auto" w:fill="auto"/>
            <w:noWrap/>
            <w:vAlign w:val="center"/>
          </w:tcPr>
          <w:p w14:paraId="4B8FB2D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2CBCE1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465,948 </w:t>
            </w:r>
          </w:p>
        </w:tc>
      </w:tr>
      <w:tr w:rsidR="00D868AB" w:rsidRPr="00D868AB" w14:paraId="39614C54" w14:textId="77777777" w:rsidTr="00A755A7">
        <w:tblPrEx>
          <w:jc w:val="left"/>
        </w:tblPrEx>
        <w:trPr>
          <w:trHeight w:val="20"/>
        </w:trPr>
        <w:tc>
          <w:tcPr>
            <w:tcW w:w="700" w:type="dxa"/>
            <w:shd w:val="clear" w:color="auto" w:fill="auto"/>
            <w:noWrap/>
            <w:vAlign w:val="center"/>
            <w:hideMark/>
          </w:tcPr>
          <w:p w14:paraId="45DEE6EB"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lastRenderedPageBreak/>
              <w:t>15000</w:t>
            </w:r>
          </w:p>
        </w:tc>
        <w:tc>
          <w:tcPr>
            <w:tcW w:w="3973" w:type="dxa"/>
            <w:shd w:val="clear" w:color="auto" w:fill="auto"/>
            <w:vAlign w:val="center"/>
            <w:hideMark/>
          </w:tcPr>
          <w:p w14:paraId="134D93C0"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OTRAS PRESTACIONES SOCIALES Y ECONÓMICAS.</w:t>
            </w:r>
          </w:p>
        </w:tc>
        <w:tc>
          <w:tcPr>
            <w:tcW w:w="1276" w:type="dxa"/>
            <w:shd w:val="clear" w:color="auto" w:fill="auto"/>
            <w:noWrap/>
            <w:vAlign w:val="center"/>
          </w:tcPr>
          <w:p w14:paraId="2229E01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491,576,666 </w:t>
            </w:r>
          </w:p>
        </w:tc>
        <w:tc>
          <w:tcPr>
            <w:tcW w:w="1276" w:type="dxa"/>
            <w:shd w:val="clear" w:color="auto" w:fill="auto"/>
            <w:noWrap/>
            <w:vAlign w:val="center"/>
          </w:tcPr>
          <w:p w14:paraId="3B86230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23F998A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491,576,666 </w:t>
            </w:r>
          </w:p>
        </w:tc>
      </w:tr>
      <w:tr w:rsidR="00D868AB" w:rsidRPr="00D868AB" w14:paraId="29F9A80C" w14:textId="77777777" w:rsidTr="00A755A7">
        <w:tblPrEx>
          <w:jc w:val="left"/>
        </w:tblPrEx>
        <w:trPr>
          <w:trHeight w:val="20"/>
        </w:trPr>
        <w:tc>
          <w:tcPr>
            <w:tcW w:w="700" w:type="dxa"/>
            <w:shd w:val="clear" w:color="auto" w:fill="auto"/>
            <w:noWrap/>
            <w:vAlign w:val="center"/>
            <w:hideMark/>
          </w:tcPr>
          <w:p w14:paraId="64BA054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15100</w:t>
            </w:r>
          </w:p>
        </w:tc>
        <w:tc>
          <w:tcPr>
            <w:tcW w:w="3973" w:type="dxa"/>
            <w:shd w:val="clear" w:color="auto" w:fill="auto"/>
            <w:vAlign w:val="center"/>
            <w:hideMark/>
          </w:tcPr>
          <w:p w14:paraId="4F6A9CE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Cuotas para el fondo de ahorro y fondo de trabajo.</w:t>
            </w:r>
          </w:p>
        </w:tc>
        <w:tc>
          <w:tcPr>
            <w:tcW w:w="1276" w:type="dxa"/>
            <w:shd w:val="clear" w:color="auto" w:fill="auto"/>
            <w:noWrap/>
            <w:vAlign w:val="center"/>
          </w:tcPr>
          <w:p w14:paraId="48118D9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13,116,312 </w:t>
            </w:r>
          </w:p>
        </w:tc>
        <w:tc>
          <w:tcPr>
            <w:tcW w:w="1276" w:type="dxa"/>
            <w:shd w:val="clear" w:color="auto" w:fill="auto"/>
            <w:noWrap/>
            <w:vAlign w:val="center"/>
          </w:tcPr>
          <w:p w14:paraId="64721E5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901ED4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13,116,312 </w:t>
            </w:r>
          </w:p>
        </w:tc>
      </w:tr>
      <w:tr w:rsidR="00D868AB" w:rsidRPr="00D868AB" w14:paraId="7C6E51AD" w14:textId="77777777" w:rsidTr="00A755A7">
        <w:tblPrEx>
          <w:jc w:val="left"/>
        </w:tblPrEx>
        <w:trPr>
          <w:trHeight w:val="20"/>
        </w:trPr>
        <w:tc>
          <w:tcPr>
            <w:tcW w:w="700" w:type="dxa"/>
            <w:shd w:val="clear" w:color="auto" w:fill="auto"/>
            <w:noWrap/>
            <w:vAlign w:val="center"/>
            <w:hideMark/>
          </w:tcPr>
          <w:p w14:paraId="69B09E9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15200</w:t>
            </w:r>
          </w:p>
        </w:tc>
        <w:tc>
          <w:tcPr>
            <w:tcW w:w="3973" w:type="dxa"/>
            <w:shd w:val="clear" w:color="auto" w:fill="auto"/>
            <w:vAlign w:val="center"/>
            <w:hideMark/>
          </w:tcPr>
          <w:p w14:paraId="37C1C71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Indemnizaciones.</w:t>
            </w:r>
          </w:p>
        </w:tc>
        <w:tc>
          <w:tcPr>
            <w:tcW w:w="1276" w:type="dxa"/>
            <w:shd w:val="clear" w:color="auto" w:fill="auto"/>
            <w:noWrap/>
            <w:vAlign w:val="center"/>
          </w:tcPr>
          <w:p w14:paraId="1FFFF0A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7,999,956 </w:t>
            </w:r>
          </w:p>
        </w:tc>
        <w:tc>
          <w:tcPr>
            <w:tcW w:w="1276" w:type="dxa"/>
            <w:shd w:val="clear" w:color="auto" w:fill="auto"/>
            <w:noWrap/>
            <w:vAlign w:val="center"/>
          </w:tcPr>
          <w:p w14:paraId="38C0506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4DA0E9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7,999,956 </w:t>
            </w:r>
          </w:p>
        </w:tc>
      </w:tr>
      <w:tr w:rsidR="00D868AB" w:rsidRPr="00D868AB" w14:paraId="5C1F5F3F" w14:textId="77777777" w:rsidTr="00A755A7">
        <w:tblPrEx>
          <w:jc w:val="left"/>
        </w:tblPrEx>
        <w:trPr>
          <w:trHeight w:val="20"/>
        </w:trPr>
        <w:tc>
          <w:tcPr>
            <w:tcW w:w="700" w:type="dxa"/>
            <w:shd w:val="clear" w:color="auto" w:fill="auto"/>
            <w:noWrap/>
            <w:vAlign w:val="center"/>
            <w:hideMark/>
          </w:tcPr>
          <w:p w14:paraId="2F405B1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15300</w:t>
            </w:r>
          </w:p>
        </w:tc>
        <w:tc>
          <w:tcPr>
            <w:tcW w:w="3973" w:type="dxa"/>
            <w:shd w:val="clear" w:color="auto" w:fill="auto"/>
            <w:vAlign w:val="center"/>
            <w:hideMark/>
          </w:tcPr>
          <w:p w14:paraId="52F3B4A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Prestaciones y haberes de retiro.</w:t>
            </w:r>
          </w:p>
        </w:tc>
        <w:tc>
          <w:tcPr>
            <w:tcW w:w="1276" w:type="dxa"/>
            <w:shd w:val="clear" w:color="auto" w:fill="auto"/>
            <w:noWrap/>
            <w:vAlign w:val="center"/>
          </w:tcPr>
          <w:p w14:paraId="6A66846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3,542,976 </w:t>
            </w:r>
          </w:p>
        </w:tc>
        <w:tc>
          <w:tcPr>
            <w:tcW w:w="1276" w:type="dxa"/>
            <w:shd w:val="clear" w:color="auto" w:fill="auto"/>
            <w:noWrap/>
            <w:vAlign w:val="center"/>
          </w:tcPr>
          <w:p w14:paraId="79F2F29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85125A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3,542,976 </w:t>
            </w:r>
          </w:p>
        </w:tc>
      </w:tr>
      <w:tr w:rsidR="00D868AB" w:rsidRPr="00D868AB" w14:paraId="59C10CE4" w14:textId="77777777" w:rsidTr="00A755A7">
        <w:tblPrEx>
          <w:jc w:val="left"/>
        </w:tblPrEx>
        <w:trPr>
          <w:trHeight w:val="20"/>
        </w:trPr>
        <w:tc>
          <w:tcPr>
            <w:tcW w:w="700" w:type="dxa"/>
            <w:shd w:val="clear" w:color="auto" w:fill="auto"/>
            <w:noWrap/>
            <w:vAlign w:val="center"/>
            <w:hideMark/>
          </w:tcPr>
          <w:p w14:paraId="3A95E86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15400</w:t>
            </w:r>
          </w:p>
        </w:tc>
        <w:tc>
          <w:tcPr>
            <w:tcW w:w="3973" w:type="dxa"/>
            <w:shd w:val="clear" w:color="auto" w:fill="auto"/>
            <w:vAlign w:val="center"/>
            <w:hideMark/>
          </w:tcPr>
          <w:p w14:paraId="24017C3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Prestaciones contractuales.</w:t>
            </w:r>
          </w:p>
        </w:tc>
        <w:tc>
          <w:tcPr>
            <w:tcW w:w="1276" w:type="dxa"/>
            <w:shd w:val="clear" w:color="auto" w:fill="auto"/>
            <w:noWrap/>
            <w:vAlign w:val="center"/>
          </w:tcPr>
          <w:p w14:paraId="6806A6F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255,028,601 </w:t>
            </w:r>
          </w:p>
        </w:tc>
        <w:tc>
          <w:tcPr>
            <w:tcW w:w="1276" w:type="dxa"/>
            <w:shd w:val="clear" w:color="auto" w:fill="auto"/>
            <w:noWrap/>
            <w:vAlign w:val="center"/>
          </w:tcPr>
          <w:p w14:paraId="6241186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65298E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255,028,601 </w:t>
            </w:r>
          </w:p>
        </w:tc>
      </w:tr>
      <w:tr w:rsidR="00D868AB" w:rsidRPr="00D868AB" w14:paraId="0312A1C2" w14:textId="77777777" w:rsidTr="00A755A7">
        <w:tblPrEx>
          <w:jc w:val="left"/>
        </w:tblPrEx>
        <w:trPr>
          <w:trHeight w:val="20"/>
        </w:trPr>
        <w:tc>
          <w:tcPr>
            <w:tcW w:w="700" w:type="dxa"/>
            <w:shd w:val="clear" w:color="auto" w:fill="auto"/>
            <w:noWrap/>
            <w:vAlign w:val="center"/>
            <w:hideMark/>
          </w:tcPr>
          <w:p w14:paraId="5E18768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15500</w:t>
            </w:r>
          </w:p>
        </w:tc>
        <w:tc>
          <w:tcPr>
            <w:tcW w:w="3973" w:type="dxa"/>
            <w:shd w:val="clear" w:color="auto" w:fill="auto"/>
            <w:vAlign w:val="center"/>
            <w:hideMark/>
          </w:tcPr>
          <w:p w14:paraId="6B88AC0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Apoyos a la capacitación de los servidores públicos.</w:t>
            </w:r>
          </w:p>
        </w:tc>
        <w:tc>
          <w:tcPr>
            <w:tcW w:w="1276" w:type="dxa"/>
            <w:shd w:val="clear" w:color="auto" w:fill="auto"/>
            <w:noWrap/>
            <w:vAlign w:val="center"/>
          </w:tcPr>
          <w:p w14:paraId="753C7A3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13,436,521 </w:t>
            </w:r>
          </w:p>
        </w:tc>
        <w:tc>
          <w:tcPr>
            <w:tcW w:w="1276" w:type="dxa"/>
            <w:shd w:val="clear" w:color="auto" w:fill="auto"/>
            <w:noWrap/>
            <w:vAlign w:val="center"/>
          </w:tcPr>
          <w:p w14:paraId="2C2932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3788EF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13,436,521 </w:t>
            </w:r>
          </w:p>
        </w:tc>
      </w:tr>
      <w:tr w:rsidR="00D868AB" w:rsidRPr="00D868AB" w14:paraId="714608C5" w14:textId="77777777" w:rsidTr="00A755A7">
        <w:tblPrEx>
          <w:jc w:val="left"/>
        </w:tblPrEx>
        <w:trPr>
          <w:trHeight w:val="20"/>
        </w:trPr>
        <w:tc>
          <w:tcPr>
            <w:tcW w:w="700" w:type="dxa"/>
            <w:shd w:val="clear" w:color="auto" w:fill="auto"/>
            <w:noWrap/>
            <w:vAlign w:val="center"/>
            <w:hideMark/>
          </w:tcPr>
          <w:p w14:paraId="7CD4502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15900</w:t>
            </w:r>
          </w:p>
        </w:tc>
        <w:tc>
          <w:tcPr>
            <w:tcW w:w="3973" w:type="dxa"/>
            <w:shd w:val="clear" w:color="auto" w:fill="auto"/>
            <w:vAlign w:val="center"/>
            <w:hideMark/>
          </w:tcPr>
          <w:p w14:paraId="7813458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Otras prestaciones sociales y económicas.</w:t>
            </w:r>
          </w:p>
        </w:tc>
        <w:tc>
          <w:tcPr>
            <w:tcW w:w="1276" w:type="dxa"/>
            <w:shd w:val="clear" w:color="auto" w:fill="auto"/>
            <w:noWrap/>
            <w:vAlign w:val="center"/>
          </w:tcPr>
          <w:p w14:paraId="1660264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198,452,300 </w:t>
            </w:r>
          </w:p>
        </w:tc>
        <w:tc>
          <w:tcPr>
            <w:tcW w:w="1276" w:type="dxa"/>
            <w:shd w:val="clear" w:color="auto" w:fill="auto"/>
            <w:noWrap/>
            <w:vAlign w:val="center"/>
          </w:tcPr>
          <w:p w14:paraId="01A9A64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45D7B0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198,452,300 </w:t>
            </w:r>
          </w:p>
        </w:tc>
      </w:tr>
      <w:tr w:rsidR="00D868AB" w:rsidRPr="00D868AB" w14:paraId="2D7B00BC" w14:textId="77777777" w:rsidTr="00A755A7">
        <w:tblPrEx>
          <w:jc w:val="left"/>
        </w:tblPrEx>
        <w:trPr>
          <w:trHeight w:val="20"/>
        </w:trPr>
        <w:tc>
          <w:tcPr>
            <w:tcW w:w="700" w:type="dxa"/>
            <w:shd w:val="clear" w:color="auto" w:fill="auto"/>
            <w:noWrap/>
            <w:vAlign w:val="center"/>
            <w:hideMark/>
          </w:tcPr>
          <w:p w14:paraId="26CB6694"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16000</w:t>
            </w:r>
          </w:p>
        </w:tc>
        <w:tc>
          <w:tcPr>
            <w:tcW w:w="3973" w:type="dxa"/>
            <w:shd w:val="clear" w:color="auto" w:fill="auto"/>
            <w:vAlign w:val="center"/>
            <w:hideMark/>
          </w:tcPr>
          <w:p w14:paraId="642AFCBA"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PREVISIONES.</w:t>
            </w:r>
          </w:p>
        </w:tc>
        <w:tc>
          <w:tcPr>
            <w:tcW w:w="1276" w:type="dxa"/>
            <w:shd w:val="clear" w:color="auto" w:fill="auto"/>
            <w:noWrap/>
            <w:vAlign w:val="center"/>
          </w:tcPr>
          <w:p w14:paraId="602E57EA"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82,029,468 </w:t>
            </w:r>
          </w:p>
        </w:tc>
        <w:tc>
          <w:tcPr>
            <w:tcW w:w="1276" w:type="dxa"/>
            <w:shd w:val="clear" w:color="auto" w:fill="auto"/>
            <w:noWrap/>
            <w:vAlign w:val="center"/>
          </w:tcPr>
          <w:p w14:paraId="6CEF9ED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3FAEBC4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82,029,468 </w:t>
            </w:r>
          </w:p>
        </w:tc>
      </w:tr>
      <w:tr w:rsidR="00D868AB" w:rsidRPr="00D868AB" w14:paraId="2241DA86" w14:textId="77777777" w:rsidTr="00A755A7">
        <w:tblPrEx>
          <w:jc w:val="left"/>
        </w:tblPrEx>
        <w:trPr>
          <w:trHeight w:val="20"/>
        </w:trPr>
        <w:tc>
          <w:tcPr>
            <w:tcW w:w="700" w:type="dxa"/>
            <w:shd w:val="clear" w:color="auto" w:fill="auto"/>
            <w:noWrap/>
            <w:vAlign w:val="center"/>
            <w:hideMark/>
          </w:tcPr>
          <w:p w14:paraId="62D8049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16100</w:t>
            </w:r>
          </w:p>
        </w:tc>
        <w:tc>
          <w:tcPr>
            <w:tcW w:w="3973" w:type="dxa"/>
            <w:shd w:val="clear" w:color="auto" w:fill="auto"/>
            <w:vAlign w:val="center"/>
            <w:hideMark/>
          </w:tcPr>
          <w:p w14:paraId="1433E11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Previsiones de carácter laboral, económica y de seguridad social.</w:t>
            </w:r>
          </w:p>
        </w:tc>
        <w:tc>
          <w:tcPr>
            <w:tcW w:w="1276" w:type="dxa"/>
            <w:shd w:val="clear" w:color="auto" w:fill="auto"/>
            <w:noWrap/>
            <w:vAlign w:val="center"/>
          </w:tcPr>
          <w:p w14:paraId="254F85A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82,029,468 </w:t>
            </w:r>
          </w:p>
        </w:tc>
        <w:tc>
          <w:tcPr>
            <w:tcW w:w="1276" w:type="dxa"/>
            <w:shd w:val="clear" w:color="auto" w:fill="auto"/>
            <w:noWrap/>
            <w:vAlign w:val="center"/>
          </w:tcPr>
          <w:p w14:paraId="76C71E0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FD7BB8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82,029,468 </w:t>
            </w:r>
          </w:p>
        </w:tc>
      </w:tr>
      <w:tr w:rsidR="00D868AB" w:rsidRPr="00D868AB" w14:paraId="61409B60" w14:textId="77777777" w:rsidTr="00A755A7">
        <w:tblPrEx>
          <w:jc w:val="left"/>
        </w:tblPrEx>
        <w:trPr>
          <w:trHeight w:val="20"/>
        </w:trPr>
        <w:tc>
          <w:tcPr>
            <w:tcW w:w="700" w:type="dxa"/>
            <w:shd w:val="clear" w:color="auto" w:fill="auto"/>
            <w:noWrap/>
            <w:vAlign w:val="center"/>
            <w:hideMark/>
          </w:tcPr>
          <w:p w14:paraId="53690E29"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17000</w:t>
            </w:r>
          </w:p>
        </w:tc>
        <w:tc>
          <w:tcPr>
            <w:tcW w:w="3973" w:type="dxa"/>
            <w:shd w:val="clear" w:color="auto" w:fill="auto"/>
            <w:vAlign w:val="center"/>
            <w:hideMark/>
          </w:tcPr>
          <w:p w14:paraId="00511FAD"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PAGO DE ESTÍMULOS A SERVIDORES PUBLICOS.</w:t>
            </w:r>
          </w:p>
        </w:tc>
        <w:tc>
          <w:tcPr>
            <w:tcW w:w="1276" w:type="dxa"/>
            <w:shd w:val="clear" w:color="auto" w:fill="auto"/>
            <w:noWrap/>
            <w:vAlign w:val="center"/>
          </w:tcPr>
          <w:p w14:paraId="4338EF1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88,050,034 </w:t>
            </w:r>
          </w:p>
        </w:tc>
        <w:tc>
          <w:tcPr>
            <w:tcW w:w="1276" w:type="dxa"/>
            <w:shd w:val="clear" w:color="auto" w:fill="auto"/>
            <w:noWrap/>
            <w:vAlign w:val="center"/>
          </w:tcPr>
          <w:p w14:paraId="7A39048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786F4F4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88,050,034 </w:t>
            </w:r>
          </w:p>
        </w:tc>
      </w:tr>
      <w:tr w:rsidR="00D868AB" w:rsidRPr="00D868AB" w14:paraId="0DCD774C" w14:textId="77777777" w:rsidTr="00A755A7">
        <w:tblPrEx>
          <w:jc w:val="left"/>
        </w:tblPrEx>
        <w:trPr>
          <w:trHeight w:val="20"/>
        </w:trPr>
        <w:tc>
          <w:tcPr>
            <w:tcW w:w="700" w:type="dxa"/>
            <w:shd w:val="clear" w:color="auto" w:fill="auto"/>
            <w:noWrap/>
            <w:vAlign w:val="center"/>
            <w:hideMark/>
          </w:tcPr>
          <w:p w14:paraId="06958A3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17100</w:t>
            </w:r>
          </w:p>
        </w:tc>
        <w:tc>
          <w:tcPr>
            <w:tcW w:w="3973" w:type="dxa"/>
            <w:shd w:val="clear" w:color="auto" w:fill="auto"/>
            <w:vAlign w:val="center"/>
            <w:hideMark/>
          </w:tcPr>
          <w:p w14:paraId="31E43FB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Estímulos.</w:t>
            </w:r>
          </w:p>
        </w:tc>
        <w:tc>
          <w:tcPr>
            <w:tcW w:w="1276" w:type="dxa"/>
            <w:shd w:val="clear" w:color="auto" w:fill="auto"/>
            <w:noWrap/>
            <w:vAlign w:val="center"/>
          </w:tcPr>
          <w:p w14:paraId="1C6E14B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88,050,034 </w:t>
            </w:r>
          </w:p>
        </w:tc>
        <w:tc>
          <w:tcPr>
            <w:tcW w:w="1276" w:type="dxa"/>
            <w:shd w:val="clear" w:color="auto" w:fill="auto"/>
            <w:noWrap/>
            <w:vAlign w:val="center"/>
          </w:tcPr>
          <w:p w14:paraId="461EAA1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1712CB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88,050,034 </w:t>
            </w:r>
          </w:p>
        </w:tc>
      </w:tr>
      <w:tr w:rsidR="00D868AB" w:rsidRPr="00D868AB" w14:paraId="01A9CF89" w14:textId="77777777" w:rsidTr="00A755A7">
        <w:tblPrEx>
          <w:jc w:val="left"/>
        </w:tblPrEx>
        <w:trPr>
          <w:trHeight w:val="20"/>
        </w:trPr>
        <w:tc>
          <w:tcPr>
            <w:tcW w:w="700" w:type="dxa"/>
            <w:shd w:val="clear" w:color="auto" w:fill="auto"/>
            <w:noWrap/>
            <w:vAlign w:val="center"/>
            <w:hideMark/>
          </w:tcPr>
          <w:p w14:paraId="1E665A0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17200</w:t>
            </w:r>
          </w:p>
        </w:tc>
        <w:tc>
          <w:tcPr>
            <w:tcW w:w="3973" w:type="dxa"/>
            <w:shd w:val="clear" w:color="auto" w:fill="auto"/>
            <w:vAlign w:val="center"/>
            <w:hideMark/>
          </w:tcPr>
          <w:p w14:paraId="579899F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Recompensas.</w:t>
            </w:r>
          </w:p>
        </w:tc>
        <w:tc>
          <w:tcPr>
            <w:tcW w:w="1276" w:type="dxa"/>
            <w:shd w:val="clear" w:color="auto" w:fill="auto"/>
            <w:noWrap/>
            <w:vAlign w:val="center"/>
          </w:tcPr>
          <w:p w14:paraId="1457169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C093B8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93D59C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43C373B" w14:textId="77777777" w:rsidTr="00A755A7">
        <w:tblPrEx>
          <w:jc w:val="left"/>
        </w:tblPrEx>
        <w:trPr>
          <w:trHeight w:val="20"/>
        </w:trPr>
        <w:tc>
          <w:tcPr>
            <w:tcW w:w="700" w:type="dxa"/>
            <w:shd w:val="clear" w:color="auto" w:fill="auto"/>
            <w:noWrap/>
            <w:vAlign w:val="center"/>
            <w:hideMark/>
          </w:tcPr>
          <w:p w14:paraId="6A8B5CA3"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20000</w:t>
            </w:r>
          </w:p>
        </w:tc>
        <w:tc>
          <w:tcPr>
            <w:tcW w:w="3973" w:type="dxa"/>
            <w:shd w:val="clear" w:color="auto" w:fill="auto"/>
            <w:vAlign w:val="center"/>
            <w:hideMark/>
          </w:tcPr>
          <w:p w14:paraId="7F6DB6F3"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 xml:space="preserve"> MATERIALES Y SUMINISTROS.</w:t>
            </w:r>
          </w:p>
        </w:tc>
        <w:tc>
          <w:tcPr>
            <w:tcW w:w="1276" w:type="dxa"/>
            <w:shd w:val="clear" w:color="auto" w:fill="auto"/>
            <w:noWrap/>
            <w:vAlign w:val="center"/>
          </w:tcPr>
          <w:p w14:paraId="2F10768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262,580,146 </w:t>
            </w:r>
          </w:p>
        </w:tc>
        <w:tc>
          <w:tcPr>
            <w:tcW w:w="1276" w:type="dxa"/>
            <w:shd w:val="clear" w:color="auto" w:fill="auto"/>
            <w:noWrap/>
            <w:vAlign w:val="center"/>
          </w:tcPr>
          <w:p w14:paraId="259EC77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57571E8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262,580,146 </w:t>
            </w:r>
          </w:p>
        </w:tc>
      </w:tr>
      <w:tr w:rsidR="00D868AB" w:rsidRPr="00D868AB" w14:paraId="11103470" w14:textId="77777777" w:rsidTr="00A755A7">
        <w:tblPrEx>
          <w:jc w:val="left"/>
        </w:tblPrEx>
        <w:trPr>
          <w:trHeight w:val="20"/>
        </w:trPr>
        <w:tc>
          <w:tcPr>
            <w:tcW w:w="700" w:type="dxa"/>
            <w:shd w:val="clear" w:color="auto" w:fill="auto"/>
            <w:noWrap/>
            <w:vAlign w:val="center"/>
            <w:hideMark/>
          </w:tcPr>
          <w:p w14:paraId="551F9FC2"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21000</w:t>
            </w:r>
          </w:p>
        </w:tc>
        <w:tc>
          <w:tcPr>
            <w:tcW w:w="3973" w:type="dxa"/>
            <w:shd w:val="clear" w:color="auto" w:fill="auto"/>
            <w:vAlign w:val="center"/>
            <w:hideMark/>
          </w:tcPr>
          <w:p w14:paraId="3940C0B3"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MATERIALES DE ADMINISTRACIÓN, EMISIÓN DE DOCUMENTOS Y ARTÍCULOS OFICIALES.</w:t>
            </w:r>
          </w:p>
        </w:tc>
        <w:tc>
          <w:tcPr>
            <w:tcW w:w="1276" w:type="dxa"/>
            <w:shd w:val="clear" w:color="auto" w:fill="auto"/>
            <w:noWrap/>
            <w:vAlign w:val="center"/>
          </w:tcPr>
          <w:p w14:paraId="042D6A1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31,853,063 </w:t>
            </w:r>
          </w:p>
        </w:tc>
        <w:tc>
          <w:tcPr>
            <w:tcW w:w="1276" w:type="dxa"/>
            <w:shd w:val="clear" w:color="auto" w:fill="auto"/>
            <w:noWrap/>
            <w:vAlign w:val="center"/>
          </w:tcPr>
          <w:p w14:paraId="5D4BF71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46539F3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31,853,063 </w:t>
            </w:r>
          </w:p>
        </w:tc>
      </w:tr>
      <w:tr w:rsidR="00D868AB" w:rsidRPr="00D868AB" w14:paraId="4435BF7C" w14:textId="77777777" w:rsidTr="00A755A7">
        <w:tblPrEx>
          <w:jc w:val="left"/>
        </w:tblPrEx>
        <w:trPr>
          <w:trHeight w:val="20"/>
        </w:trPr>
        <w:tc>
          <w:tcPr>
            <w:tcW w:w="700" w:type="dxa"/>
            <w:shd w:val="clear" w:color="auto" w:fill="auto"/>
            <w:noWrap/>
            <w:vAlign w:val="center"/>
            <w:hideMark/>
          </w:tcPr>
          <w:p w14:paraId="35B8614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21100</w:t>
            </w:r>
          </w:p>
        </w:tc>
        <w:tc>
          <w:tcPr>
            <w:tcW w:w="3973" w:type="dxa"/>
            <w:shd w:val="clear" w:color="auto" w:fill="auto"/>
            <w:vAlign w:val="center"/>
            <w:hideMark/>
          </w:tcPr>
          <w:p w14:paraId="7D791AF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Materiales, útiles y equipos menores de oficina.</w:t>
            </w:r>
          </w:p>
        </w:tc>
        <w:tc>
          <w:tcPr>
            <w:tcW w:w="1276" w:type="dxa"/>
            <w:shd w:val="clear" w:color="auto" w:fill="auto"/>
            <w:noWrap/>
            <w:vAlign w:val="center"/>
          </w:tcPr>
          <w:p w14:paraId="2A0D443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7,037,402 </w:t>
            </w:r>
          </w:p>
        </w:tc>
        <w:tc>
          <w:tcPr>
            <w:tcW w:w="1276" w:type="dxa"/>
            <w:shd w:val="clear" w:color="auto" w:fill="auto"/>
            <w:noWrap/>
            <w:vAlign w:val="center"/>
          </w:tcPr>
          <w:p w14:paraId="59FE9F7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838558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7,037,402 </w:t>
            </w:r>
          </w:p>
        </w:tc>
      </w:tr>
      <w:tr w:rsidR="00D868AB" w:rsidRPr="00D868AB" w14:paraId="7670BB2D" w14:textId="77777777" w:rsidTr="00A755A7">
        <w:tblPrEx>
          <w:jc w:val="left"/>
        </w:tblPrEx>
        <w:trPr>
          <w:trHeight w:val="20"/>
        </w:trPr>
        <w:tc>
          <w:tcPr>
            <w:tcW w:w="700" w:type="dxa"/>
            <w:shd w:val="clear" w:color="auto" w:fill="auto"/>
            <w:noWrap/>
            <w:vAlign w:val="center"/>
            <w:hideMark/>
          </w:tcPr>
          <w:p w14:paraId="5CFFCEA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21200</w:t>
            </w:r>
          </w:p>
        </w:tc>
        <w:tc>
          <w:tcPr>
            <w:tcW w:w="3973" w:type="dxa"/>
            <w:shd w:val="clear" w:color="auto" w:fill="auto"/>
            <w:vAlign w:val="center"/>
            <w:hideMark/>
          </w:tcPr>
          <w:p w14:paraId="5CA828B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Materiales y útiles de impresión y reproducción.</w:t>
            </w:r>
          </w:p>
        </w:tc>
        <w:tc>
          <w:tcPr>
            <w:tcW w:w="1276" w:type="dxa"/>
            <w:shd w:val="clear" w:color="auto" w:fill="auto"/>
            <w:noWrap/>
            <w:vAlign w:val="center"/>
          </w:tcPr>
          <w:p w14:paraId="3A2E25C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579,185 </w:t>
            </w:r>
          </w:p>
        </w:tc>
        <w:tc>
          <w:tcPr>
            <w:tcW w:w="1276" w:type="dxa"/>
            <w:shd w:val="clear" w:color="auto" w:fill="auto"/>
            <w:noWrap/>
            <w:vAlign w:val="center"/>
          </w:tcPr>
          <w:p w14:paraId="176D345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37CD12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579,185 </w:t>
            </w:r>
          </w:p>
        </w:tc>
      </w:tr>
      <w:tr w:rsidR="00D868AB" w:rsidRPr="00D868AB" w14:paraId="45CA1841" w14:textId="77777777" w:rsidTr="00A755A7">
        <w:tblPrEx>
          <w:jc w:val="left"/>
        </w:tblPrEx>
        <w:trPr>
          <w:trHeight w:val="20"/>
        </w:trPr>
        <w:tc>
          <w:tcPr>
            <w:tcW w:w="700" w:type="dxa"/>
            <w:shd w:val="clear" w:color="auto" w:fill="auto"/>
            <w:noWrap/>
            <w:vAlign w:val="center"/>
            <w:hideMark/>
          </w:tcPr>
          <w:p w14:paraId="5DC9B0C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21300</w:t>
            </w:r>
          </w:p>
        </w:tc>
        <w:tc>
          <w:tcPr>
            <w:tcW w:w="3973" w:type="dxa"/>
            <w:shd w:val="clear" w:color="auto" w:fill="auto"/>
            <w:vAlign w:val="center"/>
            <w:hideMark/>
          </w:tcPr>
          <w:p w14:paraId="1D8F667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 estadístico y geográfico.</w:t>
            </w:r>
          </w:p>
        </w:tc>
        <w:tc>
          <w:tcPr>
            <w:tcW w:w="1276" w:type="dxa"/>
            <w:shd w:val="clear" w:color="auto" w:fill="auto"/>
            <w:noWrap/>
            <w:vAlign w:val="center"/>
          </w:tcPr>
          <w:p w14:paraId="215B729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C4913D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A8B871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F9DFAAA" w14:textId="77777777" w:rsidTr="00A755A7">
        <w:tblPrEx>
          <w:jc w:val="left"/>
        </w:tblPrEx>
        <w:trPr>
          <w:trHeight w:val="20"/>
        </w:trPr>
        <w:tc>
          <w:tcPr>
            <w:tcW w:w="700" w:type="dxa"/>
            <w:shd w:val="clear" w:color="auto" w:fill="auto"/>
            <w:noWrap/>
            <w:vAlign w:val="center"/>
            <w:hideMark/>
          </w:tcPr>
          <w:p w14:paraId="7511577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21400</w:t>
            </w:r>
          </w:p>
        </w:tc>
        <w:tc>
          <w:tcPr>
            <w:tcW w:w="3973" w:type="dxa"/>
            <w:shd w:val="clear" w:color="auto" w:fill="auto"/>
            <w:vAlign w:val="center"/>
            <w:hideMark/>
          </w:tcPr>
          <w:p w14:paraId="355578F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Materiales, útiles y equipos menores de tecnologías de la información y comunicaciones.</w:t>
            </w:r>
          </w:p>
        </w:tc>
        <w:tc>
          <w:tcPr>
            <w:tcW w:w="1276" w:type="dxa"/>
            <w:shd w:val="clear" w:color="auto" w:fill="auto"/>
            <w:noWrap/>
            <w:vAlign w:val="center"/>
          </w:tcPr>
          <w:p w14:paraId="2B0ED55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2,151,630 </w:t>
            </w:r>
          </w:p>
        </w:tc>
        <w:tc>
          <w:tcPr>
            <w:tcW w:w="1276" w:type="dxa"/>
            <w:shd w:val="clear" w:color="auto" w:fill="auto"/>
            <w:noWrap/>
            <w:vAlign w:val="center"/>
          </w:tcPr>
          <w:p w14:paraId="731ACE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66E46C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2,151,630 </w:t>
            </w:r>
          </w:p>
        </w:tc>
      </w:tr>
      <w:tr w:rsidR="00D868AB" w:rsidRPr="00D868AB" w14:paraId="051E0029" w14:textId="77777777" w:rsidTr="00A755A7">
        <w:tblPrEx>
          <w:jc w:val="left"/>
        </w:tblPrEx>
        <w:trPr>
          <w:trHeight w:val="20"/>
        </w:trPr>
        <w:tc>
          <w:tcPr>
            <w:tcW w:w="700" w:type="dxa"/>
            <w:shd w:val="clear" w:color="auto" w:fill="auto"/>
            <w:noWrap/>
            <w:vAlign w:val="center"/>
            <w:hideMark/>
          </w:tcPr>
          <w:p w14:paraId="5AA6125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21500</w:t>
            </w:r>
          </w:p>
        </w:tc>
        <w:tc>
          <w:tcPr>
            <w:tcW w:w="3973" w:type="dxa"/>
            <w:shd w:val="clear" w:color="auto" w:fill="auto"/>
            <w:vAlign w:val="center"/>
            <w:hideMark/>
          </w:tcPr>
          <w:p w14:paraId="301A717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 impreso e información digital.</w:t>
            </w:r>
          </w:p>
        </w:tc>
        <w:tc>
          <w:tcPr>
            <w:tcW w:w="1276" w:type="dxa"/>
            <w:shd w:val="clear" w:color="auto" w:fill="auto"/>
            <w:noWrap/>
            <w:vAlign w:val="center"/>
          </w:tcPr>
          <w:p w14:paraId="0180B91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168,000 </w:t>
            </w:r>
          </w:p>
        </w:tc>
        <w:tc>
          <w:tcPr>
            <w:tcW w:w="1276" w:type="dxa"/>
            <w:shd w:val="clear" w:color="auto" w:fill="auto"/>
            <w:noWrap/>
            <w:vAlign w:val="center"/>
          </w:tcPr>
          <w:p w14:paraId="4249FB7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B4159C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168,000 </w:t>
            </w:r>
          </w:p>
        </w:tc>
      </w:tr>
      <w:tr w:rsidR="00D868AB" w:rsidRPr="00D868AB" w14:paraId="7B4902A1" w14:textId="77777777" w:rsidTr="00A755A7">
        <w:tblPrEx>
          <w:jc w:val="left"/>
        </w:tblPrEx>
        <w:trPr>
          <w:trHeight w:val="20"/>
        </w:trPr>
        <w:tc>
          <w:tcPr>
            <w:tcW w:w="700" w:type="dxa"/>
            <w:shd w:val="clear" w:color="auto" w:fill="auto"/>
            <w:noWrap/>
            <w:vAlign w:val="center"/>
            <w:hideMark/>
          </w:tcPr>
          <w:p w14:paraId="6AF8E8B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21600</w:t>
            </w:r>
          </w:p>
        </w:tc>
        <w:tc>
          <w:tcPr>
            <w:tcW w:w="3973" w:type="dxa"/>
            <w:shd w:val="clear" w:color="auto" w:fill="auto"/>
            <w:vAlign w:val="center"/>
            <w:hideMark/>
          </w:tcPr>
          <w:p w14:paraId="6A0429F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 de limpieza.</w:t>
            </w:r>
          </w:p>
        </w:tc>
        <w:tc>
          <w:tcPr>
            <w:tcW w:w="1276" w:type="dxa"/>
            <w:shd w:val="clear" w:color="auto" w:fill="auto"/>
            <w:noWrap/>
            <w:vAlign w:val="center"/>
          </w:tcPr>
          <w:p w14:paraId="3CCBBEA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4,344,354 </w:t>
            </w:r>
          </w:p>
        </w:tc>
        <w:tc>
          <w:tcPr>
            <w:tcW w:w="1276" w:type="dxa"/>
            <w:shd w:val="clear" w:color="auto" w:fill="auto"/>
            <w:noWrap/>
            <w:vAlign w:val="center"/>
          </w:tcPr>
          <w:p w14:paraId="6F5CF9A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CE293B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4,344,354 </w:t>
            </w:r>
          </w:p>
        </w:tc>
      </w:tr>
      <w:tr w:rsidR="00D868AB" w:rsidRPr="00D868AB" w14:paraId="3BCBB567" w14:textId="77777777" w:rsidTr="00A755A7">
        <w:tblPrEx>
          <w:jc w:val="left"/>
        </w:tblPrEx>
        <w:trPr>
          <w:trHeight w:val="20"/>
        </w:trPr>
        <w:tc>
          <w:tcPr>
            <w:tcW w:w="700" w:type="dxa"/>
            <w:shd w:val="clear" w:color="auto" w:fill="auto"/>
            <w:noWrap/>
            <w:vAlign w:val="center"/>
            <w:hideMark/>
          </w:tcPr>
          <w:p w14:paraId="3AF6DB1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21700</w:t>
            </w:r>
          </w:p>
        </w:tc>
        <w:tc>
          <w:tcPr>
            <w:tcW w:w="3973" w:type="dxa"/>
            <w:shd w:val="clear" w:color="auto" w:fill="auto"/>
            <w:vAlign w:val="center"/>
            <w:hideMark/>
          </w:tcPr>
          <w:p w14:paraId="2B3EE95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Materiales y útiles de enseñanza.</w:t>
            </w:r>
          </w:p>
        </w:tc>
        <w:tc>
          <w:tcPr>
            <w:tcW w:w="1276" w:type="dxa"/>
            <w:shd w:val="clear" w:color="auto" w:fill="auto"/>
            <w:noWrap/>
            <w:vAlign w:val="center"/>
          </w:tcPr>
          <w:p w14:paraId="278A004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64,500 </w:t>
            </w:r>
          </w:p>
        </w:tc>
        <w:tc>
          <w:tcPr>
            <w:tcW w:w="1276" w:type="dxa"/>
            <w:shd w:val="clear" w:color="auto" w:fill="auto"/>
            <w:noWrap/>
            <w:vAlign w:val="center"/>
          </w:tcPr>
          <w:p w14:paraId="743A5A1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D9E450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64,500 </w:t>
            </w:r>
          </w:p>
        </w:tc>
      </w:tr>
      <w:tr w:rsidR="00D868AB" w:rsidRPr="00D868AB" w14:paraId="17849B6E" w14:textId="77777777" w:rsidTr="00A755A7">
        <w:tblPrEx>
          <w:jc w:val="left"/>
        </w:tblPrEx>
        <w:trPr>
          <w:trHeight w:val="20"/>
        </w:trPr>
        <w:tc>
          <w:tcPr>
            <w:tcW w:w="700" w:type="dxa"/>
            <w:shd w:val="clear" w:color="auto" w:fill="auto"/>
            <w:noWrap/>
            <w:vAlign w:val="center"/>
            <w:hideMark/>
          </w:tcPr>
          <w:p w14:paraId="10FAF46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21800</w:t>
            </w:r>
          </w:p>
        </w:tc>
        <w:tc>
          <w:tcPr>
            <w:tcW w:w="3973" w:type="dxa"/>
            <w:shd w:val="clear" w:color="auto" w:fill="auto"/>
            <w:vAlign w:val="center"/>
            <w:hideMark/>
          </w:tcPr>
          <w:p w14:paraId="067DFD6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Materiales para el registro e identificación de bienes y personas.</w:t>
            </w:r>
          </w:p>
        </w:tc>
        <w:tc>
          <w:tcPr>
            <w:tcW w:w="1276" w:type="dxa"/>
            <w:shd w:val="clear" w:color="auto" w:fill="auto"/>
            <w:noWrap/>
            <w:vAlign w:val="center"/>
          </w:tcPr>
          <w:p w14:paraId="2A6F8C9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17,507,992 </w:t>
            </w:r>
          </w:p>
        </w:tc>
        <w:tc>
          <w:tcPr>
            <w:tcW w:w="1276" w:type="dxa"/>
            <w:shd w:val="clear" w:color="auto" w:fill="auto"/>
            <w:noWrap/>
            <w:vAlign w:val="center"/>
          </w:tcPr>
          <w:p w14:paraId="147283A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83294D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17,507,992 </w:t>
            </w:r>
          </w:p>
        </w:tc>
      </w:tr>
      <w:tr w:rsidR="00D868AB" w:rsidRPr="00D868AB" w14:paraId="660C5452" w14:textId="77777777" w:rsidTr="00A755A7">
        <w:tblPrEx>
          <w:jc w:val="left"/>
        </w:tblPrEx>
        <w:trPr>
          <w:trHeight w:val="20"/>
        </w:trPr>
        <w:tc>
          <w:tcPr>
            <w:tcW w:w="700" w:type="dxa"/>
            <w:shd w:val="clear" w:color="auto" w:fill="auto"/>
            <w:noWrap/>
            <w:vAlign w:val="center"/>
            <w:hideMark/>
          </w:tcPr>
          <w:p w14:paraId="554B7B97"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22000</w:t>
            </w:r>
          </w:p>
        </w:tc>
        <w:tc>
          <w:tcPr>
            <w:tcW w:w="3973" w:type="dxa"/>
            <w:shd w:val="clear" w:color="auto" w:fill="auto"/>
            <w:vAlign w:val="center"/>
            <w:hideMark/>
          </w:tcPr>
          <w:p w14:paraId="4BD12546"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ALIMENTOS Y UTENSILIOS.</w:t>
            </w:r>
          </w:p>
        </w:tc>
        <w:tc>
          <w:tcPr>
            <w:tcW w:w="1276" w:type="dxa"/>
            <w:shd w:val="clear" w:color="auto" w:fill="auto"/>
            <w:noWrap/>
            <w:vAlign w:val="center"/>
          </w:tcPr>
          <w:p w14:paraId="318FCAF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50,280,548 </w:t>
            </w:r>
          </w:p>
        </w:tc>
        <w:tc>
          <w:tcPr>
            <w:tcW w:w="1276" w:type="dxa"/>
            <w:shd w:val="clear" w:color="auto" w:fill="auto"/>
            <w:noWrap/>
            <w:vAlign w:val="center"/>
          </w:tcPr>
          <w:p w14:paraId="746A4C1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2CF5A01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50,280,548 </w:t>
            </w:r>
          </w:p>
        </w:tc>
      </w:tr>
      <w:tr w:rsidR="00D868AB" w:rsidRPr="00D868AB" w14:paraId="30619412" w14:textId="77777777" w:rsidTr="00A755A7">
        <w:tblPrEx>
          <w:jc w:val="left"/>
        </w:tblPrEx>
        <w:trPr>
          <w:trHeight w:val="20"/>
        </w:trPr>
        <w:tc>
          <w:tcPr>
            <w:tcW w:w="700" w:type="dxa"/>
            <w:shd w:val="clear" w:color="auto" w:fill="auto"/>
            <w:noWrap/>
            <w:vAlign w:val="center"/>
            <w:hideMark/>
          </w:tcPr>
          <w:p w14:paraId="020BBB3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22100</w:t>
            </w:r>
          </w:p>
        </w:tc>
        <w:tc>
          <w:tcPr>
            <w:tcW w:w="3973" w:type="dxa"/>
            <w:shd w:val="clear" w:color="auto" w:fill="auto"/>
            <w:vAlign w:val="center"/>
            <w:hideMark/>
          </w:tcPr>
          <w:p w14:paraId="1718DB6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Productos alimenticios para personas.</w:t>
            </w:r>
          </w:p>
        </w:tc>
        <w:tc>
          <w:tcPr>
            <w:tcW w:w="1276" w:type="dxa"/>
            <w:shd w:val="clear" w:color="auto" w:fill="auto"/>
            <w:noWrap/>
            <w:vAlign w:val="center"/>
          </w:tcPr>
          <w:p w14:paraId="2FA5FCC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49,937,608 </w:t>
            </w:r>
          </w:p>
        </w:tc>
        <w:tc>
          <w:tcPr>
            <w:tcW w:w="1276" w:type="dxa"/>
            <w:shd w:val="clear" w:color="auto" w:fill="auto"/>
            <w:noWrap/>
            <w:vAlign w:val="center"/>
          </w:tcPr>
          <w:p w14:paraId="0DDE25A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E57FBB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49,937,608 </w:t>
            </w:r>
          </w:p>
        </w:tc>
      </w:tr>
      <w:tr w:rsidR="00D868AB" w:rsidRPr="00D868AB" w14:paraId="07656C1B" w14:textId="77777777" w:rsidTr="00A755A7">
        <w:tblPrEx>
          <w:jc w:val="left"/>
        </w:tblPrEx>
        <w:trPr>
          <w:trHeight w:val="20"/>
        </w:trPr>
        <w:tc>
          <w:tcPr>
            <w:tcW w:w="700" w:type="dxa"/>
            <w:shd w:val="clear" w:color="auto" w:fill="auto"/>
            <w:noWrap/>
            <w:vAlign w:val="center"/>
            <w:hideMark/>
          </w:tcPr>
          <w:p w14:paraId="2A7A4D8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22200</w:t>
            </w:r>
          </w:p>
        </w:tc>
        <w:tc>
          <w:tcPr>
            <w:tcW w:w="3973" w:type="dxa"/>
            <w:shd w:val="clear" w:color="auto" w:fill="auto"/>
            <w:vAlign w:val="center"/>
            <w:hideMark/>
          </w:tcPr>
          <w:p w14:paraId="30FD2FD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Productos alimenticios para animales.</w:t>
            </w:r>
          </w:p>
        </w:tc>
        <w:tc>
          <w:tcPr>
            <w:tcW w:w="1276" w:type="dxa"/>
            <w:shd w:val="clear" w:color="auto" w:fill="auto"/>
            <w:noWrap/>
            <w:vAlign w:val="center"/>
          </w:tcPr>
          <w:p w14:paraId="7C208E2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337,792 </w:t>
            </w:r>
          </w:p>
        </w:tc>
        <w:tc>
          <w:tcPr>
            <w:tcW w:w="1276" w:type="dxa"/>
            <w:shd w:val="clear" w:color="auto" w:fill="auto"/>
            <w:noWrap/>
            <w:vAlign w:val="center"/>
          </w:tcPr>
          <w:p w14:paraId="07FBADC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D46FD0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337,792 </w:t>
            </w:r>
          </w:p>
        </w:tc>
      </w:tr>
      <w:tr w:rsidR="00D868AB" w:rsidRPr="00D868AB" w14:paraId="68CD1BE6" w14:textId="77777777" w:rsidTr="00A755A7">
        <w:tblPrEx>
          <w:jc w:val="left"/>
        </w:tblPrEx>
        <w:trPr>
          <w:trHeight w:val="20"/>
        </w:trPr>
        <w:tc>
          <w:tcPr>
            <w:tcW w:w="700" w:type="dxa"/>
            <w:shd w:val="clear" w:color="auto" w:fill="auto"/>
            <w:noWrap/>
            <w:vAlign w:val="center"/>
            <w:hideMark/>
          </w:tcPr>
          <w:p w14:paraId="58F0FFA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22300</w:t>
            </w:r>
          </w:p>
        </w:tc>
        <w:tc>
          <w:tcPr>
            <w:tcW w:w="3973" w:type="dxa"/>
            <w:shd w:val="clear" w:color="auto" w:fill="auto"/>
            <w:vAlign w:val="center"/>
            <w:hideMark/>
          </w:tcPr>
          <w:p w14:paraId="308BA9B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Utensilios para el servicio de alimentación.</w:t>
            </w:r>
          </w:p>
        </w:tc>
        <w:tc>
          <w:tcPr>
            <w:tcW w:w="1276" w:type="dxa"/>
            <w:shd w:val="clear" w:color="auto" w:fill="auto"/>
            <w:noWrap/>
            <w:vAlign w:val="center"/>
          </w:tcPr>
          <w:p w14:paraId="78F9BBD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5,148 </w:t>
            </w:r>
          </w:p>
        </w:tc>
        <w:tc>
          <w:tcPr>
            <w:tcW w:w="1276" w:type="dxa"/>
            <w:shd w:val="clear" w:color="auto" w:fill="auto"/>
            <w:noWrap/>
            <w:vAlign w:val="center"/>
          </w:tcPr>
          <w:p w14:paraId="1FA857C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83C9FD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5,148 </w:t>
            </w:r>
          </w:p>
        </w:tc>
      </w:tr>
      <w:tr w:rsidR="00D868AB" w:rsidRPr="00D868AB" w14:paraId="1C5B05E5" w14:textId="77777777" w:rsidTr="00A755A7">
        <w:tblPrEx>
          <w:jc w:val="left"/>
        </w:tblPrEx>
        <w:trPr>
          <w:trHeight w:val="20"/>
        </w:trPr>
        <w:tc>
          <w:tcPr>
            <w:tcW w:w="700" w:type="dxa"/>
            <w:shd w:val="clear" w:color="auto" w:fill="auto"/>
            <w:noWrap/>
            <w:vAlign w:val="center"/>
            <w:hideMark/>
          </w:tcPr>
          <w:p w14:paraId="1FB43F1E"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23000</w:t>
            </w:r>
          </w:p>
        </w:tc>
        <w:tc>
          <w:tcPr>
            <w:tcW w:w="3973" w:type="dxa"/>
            <w:shd w:val="clear" w:color="auto" w:fill="auto"/>
            <w:vAlign w:val="center"/>
            <w:hideMark/>
          </w:tcPr>
          <w:p w14:paraId="60E61F57"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MATERIAS PRIMAS Y MATERIALES DE PRODUCCION Y COMERCIALIZACION.</w:t>
            </w:r>
          </w:p>
        </w:tc>
        <w:tc>
          <w:tcPr>
            <w:tcW w:w="1276" w:type="dxa"/>
            <w:shd w:val="clear" w:color="auto" w:fill="auto"/>
            <w:noWrap/>
            <w:vAlign w:val="center"/>
          </w:tcPr>
          <w:p w14:paraId="774D245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38,004 </w:t>
            </w:r>
          </w:p>
        </w:tc>
        <w:tc>
          <w:tcPr>
            <w:tcW w:w="1276" w:type="dxa"/>
            <w:shd w:val="clear" w:color="auto" w:fill="auto"/>
            <w:noWrap/>
            <w:vAlign w:val="center"/>
          </w:tcPr>
          <w:p w14:paraId="657838B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5024519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38,004 </w:t>
            </w:r>
          </w:p>
        </w:tc>
      </w:tr>
      <w:tr w:rsidR="00D868AB" w:rsidRPr="00D868AB" w14:paraId="4618C6E0" w14:textId="77777777" w:rsidTr="00A755A7">
        <w:tblPrEx>
          <w:jc w:val="left"/>
        </w:tblPrEx>
        <w:trPr>
          <w:trHeight w:val="20"/>
        </w:trPr>
        <w:tc>
          <w:tcPr>
            <w:tcW w:w="700" w:type="dxa"/>
            <w:shd w:val="clear" w:color="auto" w:fill="auto"/>
            <w:noWrap/>
            <w:vAlign w:val="center"/>
            <w:hideMark/>
          </w:tcPr>
          <w:p w14:paraId="6AFDD53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23100</w:t>
            </w:r>
          </w:p>
        </w:tc>
        <w:tc>
          <w:tcPr>
            <w:tcW w:w="3973" w:type="dxa"/>
            <w:shd w:val="clear" w:color="auto" w:fill="auto"/>
            <w:vAlign w:val="center"/>
            <w:hideMark/>
          </w:tcPr>
          <w:p w14:paraId="26E9939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Productos alimenticios, agropecuarios y forestales adquiridos como materia prima.</w:t>
            </w:r>
          </w:p>
        </w:tc>
        <w:tc>
          <w:tcPr>
            <w:tcW w:w="1276" w:type="dxa"/>
            <w:shd w:val="clear" w:color="auto" w:fill="auto"/>
            <w:noWrap/>
            <w:vAlign w:val="center"/>
          </w:tcPr>
          <w:p w14:paraId="69CF13C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3,000 </w:t>
            </w:r>
          </w:p>
        </w:tc>
        <w:tc>
          <w:tcPr>
            <w:tcW w:w="1276" w:type="dxa"/>
            <w:shd w:val="clear" w:color="auto" w:fill="auto"/>
            <w:noWrap/>
            <w:vAlign w:val="center"/>
          </w:tcPr>
          <w:p w14:paraId="48371EB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5A2801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3,000 </w:t>
            </w:r>
          </w:p>
        </w:tc>
      </w:tr>
      <w:tr w:rsidR="00D868AB" w:rsidRPr="00D868AB" w14:paraId="63A6B80D" w14:textId="77777777" w:rsidTr="00A755A7">
        <w:tblPrEx>
          <w:jc w:val="left"/>
        </w:tblPrEx>
        <w:trPr>
          <w:trHeight w:val="20"/>
        </w:trPr>
        <w:tc>
          <w:tcPr>
            <w:tcW w:w="700" w:type="dxa"/>
            <w:shd w:val="clear" w:color="auto" w:fill="auto"/>
            <w:noWrap/>
            <w:vAlign w:val="center"/>
            <w:hideMark/>
          </w:tcPr>
          <w:p w14:paraId="3F92550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23200</w:t>
            </w:r>
          </w:p>
        </w:tc>
        <w:tc>
          <w:tcPr>
            <w:tcW w:w="3973" w:type="dxa"/>
            <w:shd w:val="clear" w:color="auto" w:fill="auto"/>
            <w:vAlign w:val="center"/>
            <w:hideMark/>
          </w:tcPr>
          <w:p w14:paraId="6BD46BE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Insumos textiles adquiridos como materia prima.</w:t>
            </w:r>
          </w:p>
        </w:tc>
        <w:tc>
          <w:tcPr>
            <w:tcW w:w="1276" w:type="dxa"/>
            <w:shd w:val="clear" w:color="auto" w:fill="auto"/>
            <w:noWrap/>
            <w:vAlign w:val="center"/>
          </w:tcPr>
          <w:p w14:paraId="4F3C0A2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D5F666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FE808C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0D07955" w14:textId="77777777" w:rsidTr="00A755A7">
        <w:tblPrEx>
          <w:jc w:val="left"/>
        </w:tblPrEx>
        <w:trPr>
          <w:trHeight w:val="20"/>
        </w:trPr>
        <w:tc>
          <w:tcPr>
            <w:tcW w:w="700" w:type="dxa"/>
            <w:shd w:val="clear" w:color="auto" w:fill="auto"/>
            <w:noWrap/>
            <w:vAlign w:val="center"/>
            <w:hideMark/>
          </w:tcPr>
          <w:p w14:paraId="0DEFB62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23300</w:t>
            </w:r>
          </w:p>
        </w:tc>
        <w:tc>
          <w:tcPr>
            <w:tcW w:w="3973" w:type="dxa"/>
            <w:shd w:val="clear" w:color="auto" w:fill="auto"/>
            <w:vAlign w:val="center"/>
            <w:hideMark/>
          </w:tcPr>
          <w:p w14:paraId="402C7B9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Productos de papel, cartón e impresos adquiridos como materia prima.</w:t>
            </w:r>
          </w:p>
        </w:tc>
        <w:tc>
          <w:tcPr>
            <w:tcW w:w="1276" w:type="dxa"/>
            <w:shd w:val="clear" w:color="auto" w:fill="auto"/>
            <w:noWrap/>
            <w:vAlign w:val="center"/>
          </w:tcPr>
          <w:p w14:paraId="058E463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E29921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BD54BF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0DC01EC" w14:textId="77777777" w:rsidTr="00A755A7">
        <w:tblPrEx>
          <w:jc w:val="left"/>
        </w:tblPrEx>
        <w:trPr>
          <w:trHeight w:val="20"/>
        </w:trPr>
        <w:tc>
          <w:tcPr>
            <w:tcW w:w="700" w:type="dxa"/>
            <w:shd w:val="clear" w:color="auto" w:fill="auto"/>
            <w:noWrap/>
            <w:vAlign w:val="center"/>
            <w:hideMark/>
          </w:tcPr>
          <w:p w14:paraId="78CB7E9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23400</w:t>
            </w:r>
          </w:p>
        </w:tc>
        <w:tc>
          <w:tcPr>
            <w:tcW w:w="3973" w:type="dxa"/>
            <w:shd w:val="clear" w:color="auto" w:fill="auto"/>
            <w:vAlign w:val="center"/>
            <w:hideMark/>
          </w:tcPr>
          <w:p w14:paraId="31C4DA2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Combustibles, lubricantes, aditivos, carbón y sus derivados adquiridos como materia prima.</w:t>
            </w:r>
          </w:p>
        </w:tc>
        <w:tc>
          <w:tcPr>
            <w:tcW w:w="1276" w:type="dxa"/>
            <w:shd w:val="clear" w:color="auto" w:fill="auto"/>
            <w:noWrap/>
            <w:vAlign w:val="center"/>
          </w:tcPr>
          <w:p w14:paraId="67F1B58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ECEC29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D0B983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C77434D" w14:textId="77777777" w:rsidTr="00A755A7">
        <w:tblPrEx>
          <w:jc w:val="left"/>
        </w:tblPrEx>
        <w:trPr>
          <w:trHeight w:val="20"/>
        </w:trPr>
        <w:tc>
          <w:tcPr>
            <w:tcW w:w="700" w:type="dxa"/>
            <w:shd w:val="clear" w:color="auto" w:fill="auto"/>
            <w:noWrap/>
            <w:vAlign w:val="center"/>
            <w:hideMark/>
          </w:tcPr>
          <w:p w14:paraId="7342A98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23500</w:t>
            </w:r>
          </w:p>
        </w:tc>
        <w:tc>
          <w:tcPr>
            <w:tcW w:w="3973" w:type="dxa"/>
            <w:shd w:val="clear" w:color="auto" w:fill="auto"/>
            <w:vAlign w:val="center"/>
            <w:hideMark/>
          </w:tcPr>
          <w:p w14:paraId="5F6F78D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Productos químicos, farmacéuticos y de laboratorio adquiridos como materia prima.</w:t>
            </w:r>
          </w:p>
        </w:tc>
        <w:tc>
          <w:tcPr>
            <w:tcW w:w="1276" w:type="dxa"/>
            <w:shd w:val="clear" w:color="auto" w:fill="auto"/>
            <w:noWrap/>
            <w:vAlign w:val="center"/>
          </w:tcPr>
          <w:p w14:paraId="527C8CD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F3372F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3CF22C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0BD66C1" w14:textId="77777777" w:rsidTr="00A755A7">
        <w:tblPrEx>
          <w:jc w:val="left"/>
        </w:tblPrEx>
        <w:trPr>
          <w:trHeight w:val="20"/>
        </w:trPr>
        <w:tc>
          <w:tcPr>
            <w:tcW w:w="700" w:type="dxa"/>
            <w:shd w:val="clear" w:color="auto" w:fill="auto"/>
            <w:noWrap/>
            <w:vAlign w:val="center"/>
            <w:hideMark/>
          </w:tcPr>
          <w:p w14:paraId="065DD49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23600</w:t>
            </w:r>
          </w:p>
        </w:tc>
        <w:tc>
          <w:tcPr>
            <w:tcW w:w="3973" w:type="dxa"/>
            <w:shd w:val="clear" w:color="auto" w:fill="auto"/>
            <w:vAlign w:val="center"/>
            <w:hideMark/>
          </w:tcPr>
          <w:p w14:paraId="58B162D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Productos metálicos y a base de minerales no metálicos adquiridos como materia prima.</w:t>
            </w:r>
          </w:p>
        </w:tc>
        <w:tc>
          <w:tcPr>
            <w:tcW w:w="1276" w:type="dxa"/>
            <w:shd w:val="clear" w:color="auto" w:fill="auto"/>
            <w:noWrap/>
            <w:vAlign w:val="center"/>
          </w:tcPr>
          <w:p w14:paraId="2828F47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636914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67139A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D1231C3" w14:textId="77777777" w:rsidTr="00A755A7">
        <w:tblPrEx>
          <w:jc w:val="left"/>
        </w:tblPrEx>
        <w:trPr>
          <w:trHeight w:val="20"/>
        </w:trPr>
        <w:tc>
          <w:tcPr>
            <w:tcW w:w="700" w:type="dxa"/>
            <w:shd w:val="clear" w:color="auto" w:fill="auto"/>
            <w:noWrap/>
            <w:vAlign w:val="center"/>
            <w:hideMark/>
          </w:tcPr>
          <w:p w14:paraId="6D1BBE9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23700</w:t>
            </w:r>
          </w:p>
        </w:tc>
        <w:tc>
          <w:tcPr>
            <w:tcW w:w="3973" w:type="dxa"/>
            <w:shd w:val="clear" w:color="auto" w:fill="auto"/>
            <w:vAlign w:val="center"/>
            <w:hideMark/>
          </w:tcPr>
          <w:p w14:paraId="5C6BCE2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Productos de cuero, piel, plástico y hule adquiridos como materia prima.</w:t>
            </w:r>
          </w:p>
        </w:tc>
        <w:tc>
          <w:tcPr>
            <w:tcW w:w="1276" w:type="dxa"/>
            <w:shd w:val="clear" w:color="auto" w:fill="auto"/>
            <w:noWrap/>
            <w:vAlign w:val="center"/>
          </w:tcPr>
          <w:p w14:paraId="2ED138B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5,004 </w:t>
            </w:r>
          </w:p>
        </w:tc>
        <w:tc>
          <w:tcPr>
            <w:tcW w:w="1276" w:type="dxa"/>
            <w:shd w:val="clear" w:color="auto" w:fill="auto"/>
            <w:noWrap/>
            <w:vAlign w:val="center"/>
          </w:tcPr>
          <w:p w14:paraId="2B78957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C0A2AA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5,004 </w:t>
            </w:r>
          </w:p>
        </w:tc>
      </w:tr>
      <w:tr w:rsidR="00D868AB" w:rsidRPr="00D868AB" w14:paraId="70D556AB" w14:textId="77777777" w:rsidTr="00A755A7">
        <w:tblPrEx>
          <w:jc w:val="left"/>
        </w:tblPrEx>
        <w:trPr>
          <w:trHeight w:val="20"/>
        </w:trPr>
        <w:tc>
          <w:tcPr>
            <w:tcW w:w="700" w:type="dxa"/>
            <w:shd w:val="clear" w:color="auto" w:fill="auto"/>
            <w:noWrap/>
            <w:vAlign w:val="center"/>
            <w:hideMark/>
          </w:tcPr>
          <w:p w14:paraId="7E0BE66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23800</w:t>
            </w:r>
          </w:p>
        </w:tc>
        <w:tc>
          <w:tcPr>
            <w:tcW w:w="3973" w:type="dxa"/>
            <w:shd w:val="clear" w:color="auto" w:fill="auto"/>
            <w:vAlign w:val="center"/>
            <w:hideMark/>
          </w:tcPr>
          <w:p w14:paraId="29939C3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Mercancías adquiridas para su comercialización.</w:t>
            </w:r>
          </w:p>
        </w:tc>
        <w:tc>
          <w:tcPr>
            <w:tcW w:w="1276" w:type="dxa"/>
            <w:shd w:val="clear" w:color="auto" w:fill="auto"/>
            <w:noWrap/>
            <w:vAlign w:val="center"/>
          </w:tcPr>
          <w:p w14:paraId="1EDDDCA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066BC3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050A4F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EDFF35B" w14:textId="77777777" w:rsidTr="00A755A7">
        <w:tblPrEx>
          <w:jc w:val="left"/>
        </w:tblPrEx>
        <w:trPr>
          <w:trHeight w:val="20"/>
        </w:trPr>
        <w:tc>
          <w:tcPr>
            <w:tcW w:w="700" w:type="dxa"/>
            <w:shd w:val="clear" w:color="auto" w:fill="auto"/>
            <w:noWrap/>
            <w:vAlign w:val="center"/>
            <w:hideMark/>
          </w:tcPr>
          <w:p w14:paraId="436ACE2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23900</w:t>
            </w:r>
          </w:p>
        </w:tc>
        <w:tc>
          <w:tcPr>
            <w:tcW w:w="3973" w:type="dxa"/>
            <w:shd w:val="clear" w:color="auto" w:fill="auto"/>
            <w:vAlign w:val="center"/>
            <w:hideMark/>
          </w:tcPr>
          <w:p w14:paraId="737303D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productos adquiridos como materia prima.</w:t>
            </w:r>
          </w:p>
        </w:tc>
        <w:tc>
          <w:tcPr>
            <w:tcW w:w="1276" w:type="dxa"/>
            <w:shd w:val="clear" w:color="auto" w:fill="auto"/>
            <w:noWrap/>
            <w:vAlign w:val="center"/>
          </w:tcPr>
          <w:p w14:paraId="1E66EA8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30,000 </w:t>
            </w:r>
          </w:p>
        </w:tc>
        <w:tc>
          <w:tcPr>
            <w:tcW w:w="1276" w:type="dxa"/>
            <w:shd w:val="clear" w:color="auto" w:fill="auto"/>
            <w:noWrap/>
            <w:vAlign w:val="center"/>
          </w:tcPr>
          <w:p w14:paraId="6D40297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1838DB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30,000 </w:t>
            </w:r>
          </w:p>
        </w:tc>
      </w:tr>
      <w:tr w:rsidR="00D868AB" w:rsidRPr="00D868AB" w14:paraId="1961F6BB" w14:textId="77777777" w:rsidTr="00A755A7">
        <w:tblPrEx>
          <w:jc w:val="left"/>
        </w:tblPrEx>
        <w:trPr>
          <w:trHeight w:val="20"/>
        </w:trPr>
        <w:tc>
          <w:tcPr>
            <w:tcW w:w="700" w:type="dxa"/>
            <w:shd w:val="clear" w:color="auto" w:fill="auto"/>
            <w:noWrap/>
            <w:vAlign w:val="center"/>
            <w:hideMark/>
          </w:tcPr>
          <w:p w14:paraId="3087B00B"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lastRenderedPageBreak/>
              <w:t>24000</w:t>
            </w:r>
          </w:p>
        </w:tc>
        <w:tc>
          <w:tcPr>
            <w:tcW w:w="3973" w:type="dxa"/>
            <w:shd w:val="clear" w:color="auto" w:fill="auto"/>
            <w:vAlign w:val="center"/>
            <w:hideMark/>
          </w:tcPr>
          <w:p w14:paraId="6079627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MATERIALES Y ARTÍCULOS DE CONSTRUCCIÓN Y DE REPARACIÓN.</w:t>
            </w:r>
          </w:p>
        </w:tc>
        <w:tc>
          <w:tcPr>
            <w:tcW w:w="1276" w:type="dxa"/>
            <w:shd w:val="clear" w:color="auto" w:fill="auto"/>
            <w:noWrap/>
            <w:vAlign w:val="center"/>
          </w:tcPr>
          <w:p w14:paraId="2BC48D7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4,517,207 </w:t>
            </w:r>
          </w:p>
        </w:tc>
        <w:tc>
          <w:tcPr>
            <w:tcW w:w="1276" w:type="dxa"/>
            <w:shd w:val="clear" w:color="auto" w:fill="auto"/>
            <w:noWrap/>
            <w:vAlign w:val="center"/>
          </w:tcPr>
          <w:p w14:paraId="2E72B95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023DD6B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4,517,207 </w:t>
            </w:r>
          </w:p>
        </w:tc>
      </w:tr>
      <w:tr w:rsidR="00D868AB" w:rsidRPr="00D868AB" w14:paraId="45D8AECC" w14:textId="77777777" w:rsidTr="00A755A7">
        <w:tblPrEx>
          <w:jc w:val="left"/>
        </w:tblPrEx>
        <w:trPr>
          <w:trHeight w:val="20"/>
        </w:trPr>
        <w:tc>
          <w:tcPr>
            <w:tcW w:w="700" w:type="dxa"/>
            <w:shd w:val="clear" w:color="auto" w:fill="auto"/>
            <w:noWrap/>
            <w:vAlign w:val="center"/>
            <w:hideMark/>
          </w:tcPr>
          <w:p w14:paraId="5E4320C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24100</w:t>
            </w:r>
          </w:p>
        </w:tc>
        <w:tc>
          <w:tcPr>
            <w:tcW w:w="3973" w:type="dxa"/>
            <w:shd w:val="clear" w:color="auto" w:fill="auto"/>
            <w:vAlign w:val="center"/>
            <w:hideMark/>
          </w:tcPr>
          <w:p w14:paraId="504D4FA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Productos minerales no metálicos.</w:t>
            </w:r>
          </w:p>
        </w:tc>
        <w:tc>
          <w:tcPr>
            <w:tcW w:w="1276" w:type="dxa"/>
            <w:shd w:val="clear" w:color="auto" w:fill="auto"/>
            <w:noWrap/>
            <w:vAlign w:val="center"/>
          </w:tcPr>
          <w:p w14:paraId="40F59FF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A05DE6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E3301C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0392212" w14:textId="77777777" w:rsidTr="00A755A7">
        <w:tblPrEx>
          <w:jc w:val="left"/>
        </w:tblPrEx>
        <w:trPr>
          <w:trHeight w:val="20"/>
        </w:trPr>
        <w:tc>
          <w:tcPr>
            <w:tcW w:w="700" w:type="dxa"/>
            <w:shd w:val="clear" w:color="auto" w:fill="auto"/>
            <w:noWrap/>
            <w:vAlign w:val="center"/>
            <w:hideMark/>
          </w:tcPr>
          <w:p w14:paraId="24B6B11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24200</w:t>
            </w:r>
          </w:p>
        </w:tc>
        <w:tc>
          <w:tcPr>
            <w:tcW w:w="3973" w:type="dxa"/>
            <w:shd w:val="clear" w:color="auto" w:fill="auto"/>
            <w:vAlign w:val="center"/>
            <w:hideMark/>
          </w:tcPr>
          <w:p w14:paraId="0FB45ED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Cemento y productos de concreto.</w:t>
            </w:r>
          </w:p>
        </w:tc>
        <w:tc>
          <w:tcPr>
            <w:tcW w:w="1276" w:type="dxa"/>
            <w:shd w:val="clear" w:color="auto" w:fill="auto"/>
            <w:noWrap/>
            <w:vAlign w:val="center"/>
          </w:tcPr>
          <w:p w14:paraId="15A6A99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51,494 </w:t>
            </w:r>
          </w:p>
        </w:tc>
        <w:tc>
          <w:tcPr>
            <w:tcW w:w="1276" w:type="dxa"/>
            <w:shd w:val="clear" w:color="auto" w:fill="auto"/>
            <w:noWrap/>
            <w:vAlign w:val="center"/>
          </w:tcPr>
          <w:p w14:paraId="35C4864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F613B9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51,494 </w:t>
            </w:r>
          </w:p>
        </w:tc>
      </w:tr>
      <w:tr w:rsidR="00D868AB" w:rsidRPr="00D868AB" w14:paraId="2590BE90" w14:textId="77777777" w:rsidTr="00A755A7">
        <w:tblPrEx>
          <w:jc w:val="left"/>
        </w:tblPrEx>
        <w:trPr>
          <w:trHeight w:val="20"/>
        </w:trPr>
        <w:tc>
          <w:tcPr>
            <w:tcW w:w="700" w:type="dxa"/>
            <w:shd w:val="clear" w:color="auto" w:fill="auto"/>
            <w:noWrap/>
            <w:vAlign w:val="center"/>
            <w:hideMark/>
          </w:tcPr>
          <w:p w14:paraId="0ADCE82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24300</w:t>
            </w:r>
          </w:p>
        </w:tc>
        <w:tc>
          <w:tcPr>
            <w:tcW w:w="3973" w:type="dxa"/>
            <w:shd w:val="clear" w:color="auto" w:fill="auto"/>
            <w:vAlign w:val="center"/>
            <w:hideMark/>
          </w:tcPr>
          <w:p w14:paraId="57C3E5C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Cal, yeso y productos de yeso.</w:t>
            </w:r>
          </w:p>
        </w:tc>
        <w:tc>
          <w:tcPr>
            <w:tcW w:w="1276" w:type="dxa"/>
            <w:shd w:val="clear" w:color="auto" w:fill="auto"/>
            <w:noWrap/>
            <w:vAlign w:val="center"/>
          </w:tcPr>
          <w:p w14:paraId="1153F96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100,000 </w:t>
            </w:r>
          </w:p>
        </w:tc>
        <w:tc>
          <w:tcPr>
            <w:tcW w:w="1276" w:type="dxa"/>
            <w:shd w:val="clear" w:color="auto" w:fill="auto"/>
            <w:noWrap/>
            <w:vAlign w:val="center"/>
          </w:tcPr>
          <w:p w14:paraId="5D94085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3119BC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100,000 </w:t>
            </w:r>
          </w:p>
        </w:tc>
      </w:tr>
      <w:tr w:rsidR="00D868AB" w:rsidRPr="00D868AB" w14:paraId="3252E1FC" w14:textId="77777777" w:rsidTr="00A755A7">
        <w:tblPrEx>
          <w:jc w:val="left"/>
        </w:tblPrEx>
        <w:trPr>
          <w:trHeight w:val="20"/>
        </w:trPr>
        <w:tc>
          <w:tcPr>
            <w:tcW w:w="700" w:type="dxa"/>
            <w:shd w:val="clear" w:color="auto" w:fill="auto"/>
            <w:noWrap/>
            <w:vAlign w:val="center"/>
            <w:hideMark/>
          </w:tcPr>
          <w:p w14:paraId="3CEB5B6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24400</w:t>
            </w:r>
          </w:p>
        </w:tc>
        <w:tc>
          <w:tcPr>
            <w:tcW w:w="3973" w:type="dxa"/>
            <w:shd w:val="clear" w:color="auto" w:fill="auto"/>
            <w:vAlign w:val="center"/>
            <w:hideMark/>
          </w:tcPr>
          <w:p w14:paraId="2C1F388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Madera y productos de madera.</w:t>
            </w:r>
          </w:p>
        </w:tc>
        <w:tc>
          <w:tcPr>
            <w:tcW w:w="1276" w:type="dxa"/>
            <w:shd w:val="clear" w:color="auto" w:fill="auto"/>
            <w:noWrap/>
            <w:vAlign w:val="center"/>
          </w:tcPr>
          <w:p w14:paraId="44C80A9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134,000 </w:t>
            </w:r>
          </w:p>
        </w:tc>
        <w:tc>
          <w:tcPr>
            <w:tcW w:w="1276" w:type="dxa"/>
            <w:shd w:val="clear" w:color="auto" w:fill="auto"/>
            <w:noWrap/>
            <w:vAlign w:val="center"/>
          </w:tcPr>
          <w:p w14:paraId="494A957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D5433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134,000 </w:t>
            </w:r>
          </w:p>
        </w:tc>
      </w:tr>
      <w:tr w:rsidR="00D868AB" w:rsidRPr="00D868AB" w14:paraId="275FBF4A" w14:textId="77777777" w:rsidTr="00A755A7">
        <w:tblPrEx>
          <w:jc w:val="left"/>
        </w:tblPrEx>
        <w:trPr>
          <w:trHeight w:val="20"/>
        </w:trPr>
        <w:tc>
          <w:tcPr>
            <w:tcW w:w="700" w:type="dxa"/>
            <w:shd w:val="clear" w:color="auto" w:fill="auto"/>
            <w:noWrap/>
            <w:vAlign w:val="center"/>
            <w:hideMark/>
          </w:tcPr>
          <w:p w14:paraId="30B45D1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24500</w:t>
            </w:r>
          </w:p>
        </w:tc>
        <w:tc>
          <w:tcPr>
            <w:tcW w:w="3973" w:type="dxa"/>
            <w:shd w:val="clear" w:color="auto" w:fill="auto"/>
            <w:vAlign w:val="center"/>
            <w:hideMark/>
          </w:tcPr>
          <w:p w14:paraId="1263D4F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Vidrio y productos de vidrio.</w:t>
            </w:r>
          </w:p>
        </w:tc>
        <w:tc>
          <w:tcPr>
            <w:tcW w:w="1276" w:type="dxa"/>
            <w:shd w:val="clear" w:color="auto" w:fill="auto"/>
            <w:noWrap/>
            <w:vAlign w:val="center"/>
          </w:tcPr>
          <w:p w14:paraId="1AEE7FA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AA49ED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86E37C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0997C16" w14:textId="77777777" w:rsidTr="00A755A7">
        <w:tblPrEx>
          <w:jc w:val="left"/>
        </w:tblPrEx>
        <w:trPr>
          <w:trHeight w:val="20"/>
        </w:trPr>
        <w:tc>
          <w:tcPr>
            <w:tcW w:w="700" w:type="dxa"/>
            <w:shd w:val="clear" w:color="auto" w:fill="auto"/>
            <w:noWrap/>
            <w:vAlign w:val="center"/>
            <w:hideMark/>
          </w:tcPr>
          <w:p w14:paraId="1F3A517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24600</w:t>
            </w:r>
          </w:p>
        </w:tc>
        <w:tc>
          <w:tcPr>
            <w:tcW w:w="3973" w:type="dxa"/>
            <w:shd w:val="clear" w:color="auto" w:fill="auto"/>
            <w:vAlign w:val="center"/>
            <w:hideMark/>
          </w:tcPr>
          <w:p w14:paraId="1B5475C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 eléctrico y electrónico.</w:t>
            </w:r>
          </w:p>
        </w:tc>
        <w:tc>
          <w:tcPr>
            <w:tcW w:w="1276" w:type="dxa"/>
            <w:shd w:val="clear" w:color="auto" w:fill="auto"/>
            <w:noWrap/>
            <w:vAlign w:val="center"/>
          </w:tcPr>
          <w:p w14:paraId="1236756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1,376,975 </w:t>
            </w:r>
          </w:p>
        </w:tc>
        <w:tc>
          <w:tcPr>
            <w:tcW w:w="1276" w:type="dxa"/>
            <w:shd w:val="clear" w:color="auto" w:fill="auto"/>
            <w:noWrap/>
            <w:vAlign w:val="center"/>
          </w:tcPr>
          <w:p w14:paraId="4E43002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B68DAA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1,376,975 </w:t>
            </w:r>
          </w:p>
        </w:tc>
      </w:tr>
      <w:tr w:rsidR="00D868AB" w:rsidRPr="00D868AB" w14:paraId="76D297B4" w14:textId="77777777" w:rsidTr="00A755A7">
        <w:tblPrEx>
          <w:jc w:val="left"/>
        </w:tblPrEx>
        <w:trPr>
          <w:trHeight w:val="20"/>
        </w:trPr>
        <w:tc>
          <w:tcPr>
            <w:tcW w:w="700" w:type="dxa"/>
            <w:shd w:val="clear" w:color="auto" w:fill="auto"/>
            <w:noWrap/>
            <w:vAlign w:val="center"/>
            <w:hideMark/>
          </w:tcPr>
          <w:p w14:paraId="1B3A00A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24700</w:t>
            </w:r>
          </w:p>
        </w:tc>
        <w:tc>
          <w:tcPr>
            <w:tcW w:w="3973" w:type="dxa"/>
            <w:shd w:val="clear" w:color="auto" w:fill="auto"/>
            <w:vAlign w:val="center"/>
            <w:hideMark/>
          </w:tcPr>
          <w:p w14:paraId="1B38DEE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Artículos metálicos para la construcción.</w:t>
            </w:r>
          </w:p>
        </w:tc>
        <w:tc>
          <w:tcPr>
            <w:tcW w:w="1276" w:type="dxa"/>
            <w:shd w:val="clear" w:color="auto" w:fill="auto"/>
            <w:noWrap/>
            <w:vAlign w:val="center"/>
          </w:tcPr>
          <w:p w14:paraId="6FCBA15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125,000 </w:t>
            </w:r>
          </w:p>
        </w:tc>
        <w:tc>
          <w:tcPr>
            <w:tcW w:w="1276" w:type="dxa"/>
            <w:shd w:val="clear" w:color="auto" w:fill="auto"/>
            <w:noWrap/>
            <w:vAlign w:val="center"/>
          </w:tcPr>
          <w:p w14:paraId="71F953E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5144CC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125,000 </w:t>
            </w:r>
          </w:p>
        </w:tc>
      </w:tr>
      <w:tr w:rsidR="00D868AB" w:rsidRPr="00D868AB" w14:paraId="4AB6D79A" w14:textId="77777777" w:rsidTr="00A755A7">
        <w:tblPrEx>
          <w:jc w:val="left"/>
        </w:tblPrEx>
        <w:trPr>
          <w:trHeight w:val="20"/>
        </w:trPr>
        <w:tc>
          <w:tcPr>
            <w:tcW w:w="700" w:type="dxa"/>
            <w:shd w:val="clear" w:color="auto" w:fill="auto"/>
            <w:noWrap/>
            <w:vAlign w:val="center"/>
            <w:hideMark/>
          </w:tcPr>
          <w:p w14:paraId="0812C8A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24800</w:t>
            </w:r>
          </w:p>
        </w:tc>
        <w:tc>
          <w:tcPr>
            <w:tcW w:w="3973" w:type="dxa"/>
            <w:shd w:val="clear" w:color="auto" w:fill="auto"/>
            <w:vAlign w:val="center"/>
            <w:hideMark/>
          </w:tcPr>
          <w:p w14:paraId="53A9917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Materiales complementarios.</w:t>
            </w:r>
          </w:p>
        </w:tc>
        <w:tc>
          <w:tcPr>
            <w:tcW w:w="1276" w:type="dxa"/>
            <w:shd w:val="clear" w:color="auto" w:fill="auto"/>
            <w:noWrap/>
            <w:vAlign w:val="center"/>
          </w:tcPr>
          <w:p w14:paraId="2B3DEB9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407,385 </w:t>
            </w:r>
          </w:p>
        </w:tc>
        <w:tc>
          <w:tcPr>
            <w:tcW w:w="1276" w:type="dxa"/>
            <w:shd w:val="clear" w:color="auto" w:fill="auto"/>
            <w:noWrap/>
            <w:vAlign w:val="center"/>
          </w:tcPr>
          <w:p w14:paraId="0184525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C57431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407,385 </w:t>
            </w:r>
          </w:p>
        </w:tc>
      </w:tr>
      <w:tr w:rsidR="00D868AB" w:rsidRPr="00D868AB" w14:paraId="5BE210A2" w14:textId="77777777" w:rsidTr="00A755A7">
        <w:tblPrEx>
          <w:jc w:val="left"/>
        </w:tblPrEx>
        <w:trPr>
          <w:trHeight w:val="20"/>
        </w:trPr>
        <w:tc>
          <w:tcPr>
            <w:tcW w:w="700" w:type="dxa"/>
            <w:shd w:val="clear" w:color="auto" w:fill="auto"/>
            <w:noWrap/>
            <w:vAlign w:val="center"/>
            <w:hideMark/>
          </w:tcPr>
          <w:p w14:paraId="6379FDF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24900</w:t>
            </w:r>
          </w:p>
        </w:tc>
        <w:tc>
          <w:tcPr>
            <w:tcW w:w="3973" w:type="dxa"/>
            <w:shd w:val="clear" w:color="auto" w:fill="auto"/>
            <w:vAlign w:val="center"/>
            <w:hideMark/>
          </w:tcPr>
          <w:p w14:paraId="5A11EB5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materiales y artículos de construcción y reparación.</w:t>
            </w:r>
          </w:p>
        </w:tc>
        <w:tc>
          <w:tcPr>
            <w:tcW w:w="1276" w:type="dxa"/>
            <w:shd w:val="clear" w:color="auto" w:fill="auto"/>
            <w:noWrap/>
            <w:vAlign w:val="center"/>
          </w:tcPr>
          <w:p w14:paraId="7C7D47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2,322,353 </w:t>
            </w:r>
          </w:p>
        </w:tc>
        <w:tc>
          <w:tcPr>
            <w:tcW w:w="1276" w:type="dxa"/>
            <w:shd w:val="clear" w:color="auto" w:fill="auto"/>
            <w:noWrap/>
            <w:vAlign w:val="center"/>
          </w:tcPr>
          <w:p w14:paraId="6D2A525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BA534A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2,322,353 </w:t>
            </w:r>
          </w:p>
        </w:tc>
      </w:tr>
      <w:tr w:rsidR="00D868AB" w:rsidRPr="00D868AB" w14:paraId="3E6D75DF" w14:textId="77777777" w:rsidTr="00A755A7">
        <w:tblPrEx>
          <w:jc w:val="left"/>
        </w:tblPrEx>
        <w:trPr>
          <w:trHeight w:val="20"/>
        </w:trPr>
        <w:tc>
          <w:tcPr>
            <w:tcW w:w="700" w:type="dxa"/>
            <w:shd w:val="clear" w:color="auto" w:fill="auto"/>
            <w:noWrap/>
            <w:vAlign w:val="center"/>
            <w:hideMark/>
          </w:tcPr>
          <w:p w14:paraId="0AA4FD82"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25000</w:t>
            </w:r>
          </w:p>
        </w:tc>
        <w:tc>
          <w:tcPr>
            <w:tcW w:w="3973" w:type="dxa"/>
            <w:shd w:val="clear" w:color="auto" w:fill="auto"/>
            <w:vAlign w:val="center"/>
            <w:hideMark/>
          </w:tcPr>
          <w:p w14:paraId="769E11DB"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PRODUCTOS QUÍMICOS, FARMACÉUTICOS Y DE LABORATORIO.</w:t>
            </w:r>
          </w:p>
        </w:tc>
        <w:tc>
          <w:tcPr>
            <w:tcW w:w="1276" w:type="dxa"/>
            <w:shd w:val="clear" w:color="auto" w:fill="auto"/>
            <w:noWrap/>
            <w:vAlign w:val="center"/>
          </w:tcPr>
          <w:p w14:paraId="291FF02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25,875,445 </w:t>
            </w:r>
          </w:p>
        </w:tc>
        <w:tc>
          <w:tcPr>
            <w:tcW w:w="1276" w:type="dxa"/>
            <w:shd w:val="clear" w:color="auto" w:fill="auto"/>
            <w:noWrap/>
            <w:vAlign w:val="center"/>
          </w:tcPr>
          <w:p w14:paraId="494CC9B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21E3E24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25,875,445 </w:t>
            </w:r>
          </w:p>
        </w:tc>
      </w:tr>
      <w:tr w:rsidR="00D868AB" w:rsidRPr="00D868AB" w14:paraId="3DC294F8" w14:textId="77777777" w:rsidTr="00A755A7">
        <w:tblPrEx>
          <w:jc w:val="left"/>
        </w:tblPrEx>
        <w:trPr>
          <w:trHeight w:val="20"/>
        </w:trPr>
        <w:tc>
          <w:tcPr>
            <w:tcW w:w="700" w:type="dxa"/>
            <w:shd w:val="clear" w:color="auto" w:fill="auto"/>
            <w:noWrap/>
            <w:vAlign w:val="center"/>
            <w:hideMark/>
          </w:tcPr>
          <w:p w14:paraId="084FB3F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25100</w:t>
            </w:r>
          </w:p>
        </w:tc>
        <w:tc>
          <w:tcPr>
            <w:tcW w:w="3973" w:type="dxa"/>
            <w:shd w:val="clear" w:color="auto" w:fill="auto"/>
            <w:vAlign w:val="center"/>
            <w:hideMark/>
          </w:tcPr>
          <w:p w14:paraId="74B70CC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Productos químicos básicos.</w:t>
            </w:r>
          </w:p>
        </w:tc>
        <w:tc>
          <w:tcPr>
            <w:tcW w:w="1276" w:type="dxa"/>
            <w:shd w:val="clear" w:color="auto" w:fill="auto"/>
            <w:noWrap/>
            <w:vAlign w:val="center"/>
          </w:tcPr>
          <w:p w14:paraId="2D71FB2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170,000 </w:t>
            </w:r>
          </w:p>
        </w:tc>
        <w:tc>
          <w:tcPr>
            <w:tcW w:w="1276" w:type="dxa"/>
            <w:shd w:val="clear" w:color="auto" w:fill="auto"/>
            <w:noWrap/>
            <w:vAlign w:val="center"/>
          </w:tcPr>
          <w:p w14:paraId="08BD888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A2C3A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170,000 </w:t>
            </w:r>
          </w:p>
        </w:tc>
      </w:tr>
      <w:tr w:rsidR="00D868AB" w:rsidRPr="00D868AB" w14:paraId="7F5CB496" w14:textId="77777777" w:rsidTr="00A755A7">
        <w:tblPrEx>
          <w:jc w:val="left"/>
        </w:tblPrEx>
        <w:trPr>
          <w:trHeight w:val="20"/>
        </w:trPr>
        <w:tc>
          <w:tcPr>
            <w:tcW w:w="700" w:type="dxa"/>
            <w:shd w:val="clear" w:color="auto" w:fill="auto"/>
            <w:noWrap/>
            <w:vAlign w:val="center"/>
            <w:hideMark/>
          </w:tcPr>
          <w:p w14:paraId="6CD9B60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25200</w:t>
            </w:r>
          </w:p>
        </w:tc>
        <w:tc>
          <w:tcPr>
            <w:tcW w:w="3973" w:type="dxa"/>
            <w:shd w:val="clear" w:color="auto" w:fill="auto"/>
            <w:vAlign w:val="center"/>
            <w:hideMark/>
          </w:tcPr>
          <w:p w14:paraId="7728EC6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Fertilizantes, pesticidas y otros agroquímicos.</w:t>
            </w:r>
          </w:p>
        </w:tc>
        <w:tc>
          <w:tcPr>
            <w:tcW w:w="1276" w:type="dxa"/>
            <w:shd w:val="clear" w:color="auto" w:fill="auto"/>
            <w:noWrap/>
            <w:vAlign w:val="center"/>
          </w:tcPr>
          <w:p w14:paraId="78021EB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34,000 </w:t>
            </w:r>
          </w:p>
        </w:tc>
        <w:tc>
          <w:tcPr>
            <w:tcW w:w="1276" w:type="dxa"/>
            <w:shd w:val="clear" w:color="auto" w:fill="auto"/>
            <w:noWrap/>
            <w:vAlign w:val="center"/>
          </w:tcPr>
          <w:p w14:paraId="0461DAC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911EA7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34,000 </w:t>
            </w:r>
          </w:p>
        </w:tc>
      </w:tr>
      <w:tr w:rsidR="00D868AB" w:rsidRPr="00D868AB" w14:paraId="618911A1" w14:textId="77777777" w:rsidTr="00A755A7">
        <w:tblPrEx>
          <w:jc w:val="left"/>
        </w:tblPrEx>
        <w:trPr>
          <w:trHeight w:val="20"/>
        </w:trPr>
        <w:tc>
          <w:tcPr>
            <w:tcW w:w="700" w:type="dxa"/>
            <w:shd w:val="clear" w:color="auto" w:fill="auto"/>
            <w:noWrap/>
            <w:vAlign w:val="center"/>
            <w:hideMark/>
          </w:tcPr>
          <w:p w14:paraId="2288EB2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25300</w:t>
            </w:r>
          </w:p>
        </w:tc>
        <w:tc>
          <w:tcPr>
            <w:tcW w:w="3973" w:type="dxa"/>
            <w:shd w:val="clear" w:color="auto" w:fill="auto"/>
            <w:vAlign w:val="center"/>
            <w:hideMark/>
          </w:tcPr>
          <w:p w14:paraId="79B14EF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Medicinas y productos farmacéuticos.</w:t>
            </w:r>
          </w:p>
        </w:tc>
        <w:tc>
          <w:tcPr>
            <w:tcW w:w="1276" w:type="dxa"/>
            <w:shd w:val="clear" w:color="auto" w:fill="auto"/>
            <w:noWrap/>
            <w:vAlign w:val="center"/>
          </w:tcPr>
          <w:p w14:paraId="222E5A5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13,988,500 </w:t>
            </w:r>
          </w:p>
        </w:tc>
        <w:tc>
          <w:tcPr>
            <w:tcW w:w="1276" w:type="dxa"/>
            <w:shd w:val="clear" w:color="auto" w:fill="auto"/>
            <w:noWrap/>
            <w:vAlign w:val="center"/>
          </w:tcPr>
          <w:p w14:paraId="674D10A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283B37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13,988,500 </w:t>
            </w:r>
          </w:p>
        </w:tc>
      </w:tr>
      <w:tr w:rsidR="00D868AB" w:rsidRPr="00D868AB" w14:paraId="170F8089" w14:textId="77777777" w:rsidTr="00A755A7">
        <w:tblPrEx>
          <w:jc w:val="left"/>
        </w:tblPrEx>
        <w:trPr>
          <w:trHeight w:val="20"/>
        </w:trPr>
        <w:tc>
          <w:tcPr>
            <w:tcW w:w="700" w:type="dxa"/>
            <w:shd w:val="clear" w:color="auto" w:fill="auto"/>
            <w:noWrap/>
            <w:vAlign w:val="center"/>
            <w:hideMark/>
          </w:tcPr>
          <w:p w14:paraId="6276442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25400</w:t>
            </w:r>
          </w:p>
        </w:tc>
        <w:tc>
          <w:tcPr>
            <w:tcW w:w="3973" w:type="dxa"/>
            <w:shd w:val="clear" w:color="auto" w:fill="auto"/>
            <w:vAlign w:val="center"/>
            <w:hideMark/>
          </w:tcPr>
          <w:p w14:paraId="6E22416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Materiales, accesorios y suministros médicos.</w:t>
            </w:r>
          </w:p>
        </w:tc>
        <w:tc>
          <w:tcPr>
            <w:tcW w:w="1276" w:type="dxa"/>
            <w:shd w:val="clear" w:color="auto" w:fill="auto"/>
            <w:noWrap/>
            <w:vAlign w:val="center"/>
          </w:tcPr>
          <w:p w14:paraId="3333B1B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652,000 </w:t>
            </w:r>
          </w:p>
        </w:tc>
        <w:tc>
          <w:tcPr>
            <w:tcW w:w="1276" w:type="dxa"/>
            <w:shd w:val="clear" w:color="auto" w:fill="auto"/>
            <w:noWrap/>
            <w:vAlign w:val="center"/>
          </w:tcPr>
          <w:p w14:paraId="61363E7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906DB1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652,000 </w:t>
            </w:r>
          </w:p>
        </w:tc>
      </w:tr>
      <w:tr w:rsidR="00D868AB" w:rsidRPr="00D868AB" w14:paraId="7E0A8207" w14:textId="77777777" w:rsidTr="00A755A7">
        <w:tblPrEx>
          <w:jc w:val="left"/>
        </w:tblPrEx>
        <w:trPr>
          <w:trHeight w:val="20"/>
        </w:trPr>
        <w:tc>
          <w:tcPr>
            <w:tcW w:w="700" w:type="dxa"/>
            <w:shd w:val="clear" w:color="auto" w:fill="auto"/>
            <w:noWrap/>
            <w:vAlign w:val="center"/>
            <w:hideMark/>
          </w:tcPr>
          <w:p w14:paraId="48C2BB6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25500</w:t>
            </w:r>
          </w:p>
        </w:tc>
        <w:tc>
          <w:tcPr>
            <w:tcW w:w="3973" w:type="dxa"/>
            <w:shd w:val="clear" w:color="auto" w:fill="auto"/>
            <w:vAlign w:val="center"/>
            <w:hideMark/>
          </w:tcPr>
          <w:p w14:paraId="719BF14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Materiales, accesorios y suministros de laboratorio.</w:t>
            </w:r>
          </w:p>
        </w:tc>
        <w:tc>
          <w:tcPr>
            <w:tcW w:w="1276" w:type="dxa"/>
            <w:shd w:val="clear" w:color="auto" w:fill="auto"/>
            <w:noWrap/>
            <w:vAlign w:val="center"/>
          </w:tcPr>
          <w:p w14:paraId="0684E82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1,995,945 </w:t>
            </w:r>
          </w:p>
        </w:tc>
        <w:tc>
          <w:tcPr>
            <w:tcW w:w="1276" w:type="dxa"/>
            <w:shd w:val="clear" w:color="auto" w:fill="auto"/>
            <w:noWrap/>
            <w:vAlign w:val="center"/>
          </w:tcPr>
          <w:p w14:paraId="33C9BC5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D4A14B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1,995,945 </w:t>
            </w:r>
          </w:p>
        </w:tc>
      </w:tr>
      <w:tr w:rsidR="00D868AB" w:rsidRPr="00D868AB" w14:paraId="6D03F917" w14:textId="77777777" w:rsidTr="00A755A7">
        <w:tblPrEx>
          <w:jc w:val="left"/>
        </w:tblPrEx>
        <w:trPr>
          <w:trHeight w:val="20"/>
        </w:trPr>
        <w:tc>
          <w:tcPr>
            <w:tcW w:w="700" w:type="dxa"/>
            <w:shd w:val="clear" w:color="auto" w:fill="auto"/>
            <w:noWrap/>
            <w:vAlign w:val="center"/>
            <w:hideMark/>
          </w:tcPr>
          <w:p w14:paraId="742B51E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25600</w:t>
            </w:r>
          </w:p>
        </w:tc>
        <w:tc>
          <w:tcPr>
            <w:tcW w:w="3973" w:type="dxa"/>
            <w:shd w:val="clear" w:color="auto" w:fill="auto"/>
            <w:vAlign w:val="center"/>
            <w:hideMark/>
          </w:tcPr>
          <w:p w14:paraId="3CF22BC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Fibras sintéticas, hules, plásticos y derivados.</w:t>
            </w:r>
          </w:p>
        </w:tc>
        <w:tc>
          <w:tcPr>
            <w:tcW w:w="1276" w:type="dxa"/>
            <w:shd w:val="clear" w:color="auto" w:fill="auto"/>
            <w:noWrap/>
            <w:vAlign w:val="center"/>
          </w:tcPr>
          <w:p w14:paraId="3186BDA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925636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A63AD8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DD08213" w14:textId="77777777" w:rsidTr="00A755A7">
        <w:tblPrEx>
          <w:jc w:val="left"/>
        </w:tblPrEx>
        <w:trPr>
          <w:trHeight w:val="20"/>
        </w:trPr>
        <w:tc>
          <w:tcPr>
            <w:tcW w:w="700" w:type="dxa"/>
            <w:shd w:val="clear" w:color="auto" w:fill="auto"/>
            <w:noWrap/>
            <w:vAlign w:val="center"/>
            <w:hideMark/>
          </w:tcPr>
          <w:p w14:paraId="4C77CF4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25900</w:t>
            </w:r>
          </w:p>
        </w:tc>
        <w:tc>
          <w:tcPr>
            <w:tcW w:w="3973" w:type="dxa"/>
            <w:shd w:val="clear" w:color="auto" w:fill="auto"/>
            <w:vAlign w:val="center"/>
            <w:hideMark/>
          </w:tcPr>
          <w:p w14:paraId="2B57D49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productos químicos.</w:t>
            </w:r>
          </w:p>
        </w:tc>
        <w:tc>
          <w:tcPr>
            <w:tcW w:w="1276" w:type="dxa"/>
            <w:shd w:val="clear" w:color="auto" w:fill="auto"/>
            <w:noWrap/>
            <w:vAlign w:val="center"/>
          </w:tcPr>
          <w:p w14:paraId="6383CA7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9,035,000 </w:t>
            </w:r>
          </w:p>
        </w:tc>
        <w:tc>
          <w:tcPr>
            <w:tcW w:w="1276" w:type="dxa"/>
            <w:shd w:val="clear" w:color="auto" w:fill="auto"/>
            <w:noWrap/>
            <w:vAlign w:val="center"/>
          </w:tcPr>
          <w:p w14:paraId="51FA619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D7EA01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9,035,000 </w:t>
            </w:r>
          </w:p>
        </w:tc>
      </w:tr>
      <w:tr w:rsidR="00D868AB" w:rsidRPr="00D868AB" w14:paraId="0EBE461B" w14:textId="77777777" w:rsidTr="00A755A7">
        <w:tblPrEx>
          <w:jc w:val="left"/>
        </w:tblPrEx>
        <w:trPr>
          <w:trHeight w:val="20"/>
        </w:trPr>
        <w:tc>
          <w:tcPr>
            <w:tcW w:w="700" w:type="dxa"/>
            <w:shd w:val="clear" w:color="auto" w:fill="auto"/>
            <w:noWrap/>
            <w:vAlign w:val="center"/>
            <w:hideMark/>
          </w:tcPr>
          <w:p w14:paraId="531AE612"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26000</w:t>
            </w:r>
          </w:p>
        </w:tc>
        <w:tc>
          <w:tcPr>
            <w:tcW w:w="3973" w:type="dxa"/>
            <w:shd w:val="clear" w:color="auto" w:fill="auto"/>
            <w:vAlign w:val="center"/>
            <w:hideMark/>
          </w:tcPr>
          <w:p w14:paraId="49F93234"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COMBUSTIBLES, LUBRICANTES Y ADITIVOS.</w:t>
            </w:r>
          </w:p>
        </w:tc>
        <w:tc>
          <w:tcPr>
            <w:tcW w:w="1276" w:type="dxa"/>
            <w:shd w:val="clear" w:color="auto" w:fill="auto"/>
            <w:noWrap/>
            <w:vAlign w:val="center"/>
          </w:tcPr>
          <w:p w14:paraId="7807E3C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65,393,303 </w:t>
            </w:r>
          </w:p>
        </w:tc>
        <w:tc>
          <w:tcPr>
            <w:tcW w:w="1276" w:type="dxa"/>
            <w:shd w:val="clear" w:color="auto" w:fill="auto"/>
            <w:noWrap/>
            <w:vAlign w:val="center"/>
          </w:tcPr>
          <w:p w14:paraId="61BA6943"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4765280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65,393,303 </w:t>
            </w:r>
          </w:p>
        </w:tc>
      </w:tr>
      <w:tr w:rsidR="00D868AB" w:rsidRPr="00D868AB" w14:paraId="25496C80" w14:textId="77777777" w:rsidTr="00A755A7">
        <w:tblPrEx>
          <w:jc w:val="left"/>
        </w:tblPrEx>
        <w:trPr>
          <w:trHeight w:val="20"/>
        </w:trPr>
        <w:tc>
          <w:tcPr>
            <w:tcW w:w="700" w:type="dxa"/>
            <w:shd w:val="clear" w:color="auto" w:fill="auto"/>
            <w:noWrap/>
            <w:vAlign w:val="center"/>
            <w:hideMark/>
          </w:tcPr>
          <w:p w14:paraId="349422F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26100</w:t>
            </w:r>
          </w:p>
        </w:tc>
        <w:tc>
          <w:tcPr>
            <w:tcW w:w="3973" w:type="dxa"/>
            <w:shd w:val="clear" w:color="auto" w:fill="auto"/>
            <w:vAlign w:val="center"/>
            <w:hideMark/>
          </w:tcPr>
          <w:p w14:paraId="320D6D0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Combustibles, lubricantes y aditivos.</w:t>
            </w:r>
          </w:p>
        </w:tc>
        <w:tc>
          <w:tcPr>
            <w:tcW w:w="1276" w:type="dxa"/>
            <w:shd w:val="clear" w:color="auto" w:fill="auto"/>
            <w:noWrap/>
            <w:vAlign w:val="center"/>
          </w:tcPr>
          <w:p w14:paraId="481CEB4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65,393,303 </w:t>
            </w:r>
          </w:p>
        </w:tc>
        <w:tc>
          <w:tcPr>
            <w:tcW w:w="1276" w:type="dxa"/>
            <w:shd w:val="clear" w:color="auto" w:fill="auto"/>
            <w:noWrap/>
            <w:vAlign w:val="center"/>
          </w:tcPr>
          <w:p w14:paraId="187AEA0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E718D6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65,393,303 </w:t>
            </w:r>
          </w:p>
        </w:tc>
      </w:tr>
      <w:tr w:rsidR="00D868AB" w:rsidRPr="00D868AB" w14:paraId="58BEE41E" w14:textId="77777777" w:rsidTr="00A755A7">
        <w:tblPrEx>
          <w:jc w:val="left"/>
        </w:tblPrEx>
        <w:trPr>
          <w:trHeight w:val="20"/>
        </w:trPr>
        <w:tc>
          <w:tcPr>
            <w:tcW w:w="700" w:type="dxa"/>
            <w:shd w:val="clear" w:color="auto" w:fill="auto"/>
            <w:noWrap/>
            <w:vAlign w:val="center"/>
            <w:hideMark/>
          </w:tcPr>
          <w:p w14:paraId="0CD42F1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26200</w:t>
            </w:r>
          </w:p>
        </w:tc>
        <w:tc>
          <w:tcPr>
            <w:tcW w:w="3973" w:type="dxa"/>
            <w:shd w:val="clear" w:color="auto" w:fill="auto"/>
            <w:vAlign w:val="center"/>
            <w:hideMark/>
          </w:tcPr>
          <w:p w14:paraId="431E340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Carbón y sus derivados.</w:t>
            </w:r>
          </w:p>
        </w:tc>
        <w:tc>
          <w:tcPr>
            <w:tcW w:w="1276" w:type="dxa"/>
            <w:shd w:val="clear" w:color="auto" w:fill="auto"/>
            <w:noWrap/>
            <w:vAlign w:val="center"/>
          </w:tcPr>
          <w:p w14:paraId="78BDF73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AC28FB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5102DE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FA682D1" w14:textId="77777777" w:rsidTr="00A755A7">
        <w:tblPrEx>
          <w:jc w:val="left"/>
        </w:tblPrEx>
        <w:trPr>
          <w:trHeight w:val="20"/>
        </w:trPr>
        <w:tc>
          <w:tcPr>
            <w:tcW w:w="700" w:type="dxa"/>
            <w:shd w:val="clear" w:color="auto" w:fill="auto"/>
            <w:noWrap/>
            <w:vAlign w:val="center"/>
            <w:hideMark/>
          </w:tcPr>
          <w:p w14:paraId="2E4238E1"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27000</w:t>
            </w:r>
          </w:p>
        </w:tc>
        <w:tc>
          <w:tcPr>
            <w:tcW w:w="3973" w:type="dxa"/>
            <w:shd w:val="clear" w:color="auto" w:fill="auto"/>
            <w:vAlign w:val="center"/>
            <w:hideMark/>
          </w:tcPr>
          <w:p w14:paraId="3D8CCB62"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VESTUARIO, BLANCOS, PRENDAS DE PROTECCIÓN Y ARTICULOS DEPORTIVOS.</w:t>
            </w:r>
          </w:p>
        </w:tc>
        <w:tc>
          <w:tcPr>
            <w:tcW w:w="1276" w:type="dxa"/>
            <w:shd w:val="clear" w:color="auto" w:fill="auto"/>
            <w:noWrap/>
            <w:vAlign w:val="center"/>
          </w:tcPr>
          <w:p w14:paraId="5D63388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50,912,093 </w:t>
            </w:r>
          </w:p>
        </w:tc>
        <w:tc>
          <w:tcPr>
            <w:tcW w:w="1276" w:type="dxa"/>
            <w:shd w:val="clear" w:color="auto" w:fill="auto"/>
            <w:noWrap/>
            <w:vAlign w:val="center"/>
          </w:tcPr>
          <w:p w14:paraId="427D842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644329C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50,912,093 </w:t>
            </w:r>
          </w:p>
        </w:tc>
      </w:tr>
      <w:tr w:rsidR="00D868AB" w:rsidRPr="00D868AB" w14:paraId="29D24E6F" w14:textId="77777777" w:rsidTr="00A755A7">
        <w:tblPrEx>
          <w:jc w:val="left"/>
        </w:tblPrEx>
        <w:trPr>
          <w:trHeight w:val="20"/>
        </w:trPr>
        <w:tc>
          <w:tcPr>
            <w:tcW w:w="700" w:type="dxa"/>
            <w:shd w:val="clear" w:color="auto" w:fill="auto"/>
            <w:noWrap/>
            <w:vAlign w:val="center"/>
            <w:hideMark/>
          </w:tcPr>
          <w:p w14:paraId="31F58FB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27100</w:t>
            </w:r>
          </w:p>
        </w:tc>
        <w:tc>
          <w:tcPr>
            <w:tcW w:w="3973" w:type="dxa"/>
            <w:shd w:val="clear" w:color="auto" w:fill="auto"/>
            <w:vAlign w:val="center"/>
            <w:hideMark/>
          </w:tcPr>
          <w:p w14:paraId="3497998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Vestuario y uniformes.</w:t>
            </w:r>
          </w:p>
        </w:tc>
        <w:tc>
          <w:tcPr>
            <w:tcW w:w="1276" w:type="dxa"/>
            <w:shd w:val="clear" w:color="auto" w:fill="auto"/>
            <w:noWrap/>
            <w:vAlign w:val="center"/>
          </w:tcPr>
          <w:p w14:paraId="36E9AA6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48,330,290 </w:t>
            </w:r>
          </w:p>
        </w:tc>
        <w:tc>
          <w:tcPr>
            <w:tcW w:w="1276" w:type="dxa"/>
            <w:shd w:val="clear" w:color="auto" w:fill="auto"/>
            <w:noWrap/>
            <w:vAlign w:val="center"/>
          </w:tcPr>
          <w:p w14:paraId="3D3B33D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341AE8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48,330,290 </w:t>
            </w:r>
          </w:p>
        </w:tc>
      </w:tr>
      <w:tr w:rsidR="00D868AB" w:rsidRPr="00D868AB" w14:paraId="3E4D0F5B" w14:textId="77777777" w:rsidTr="00A755A7">
        <w:tblPrEx>
          <w:jc w:val="left"/>
        </w:tblPrEx>
        <w:trPr>
          <w:trHeight w:val="20"/>
        </w:trPr>
        <w:tc>
          <w:tcPr>
            <w:tcW w:w="700" w:type="dxa"/>
            <w:shd w:val="clear" w:color="auto" w:fill="auto"/>
            <w:noWrap/>
            <w:vAlign w:val="center"/>
            <w:hideMark/>
          </w:tcPr>
          <w:p w14:paraId="0417D1C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27200</w:t>
            </w:r>
          </w:p>
        </w:tc>
        <w:tc>
          <w:tcPr>
            <w:tcW w:w="3973" w:type="dxa"/>
            <w:shd w:val="clear" w:color="auto" w:fill="auto"/>
            <w:vAlign w:val="center"/>
            <w:hideMark/>
          </w:tcPr>
          <w:p w14:paraId="20D8079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Prendas de seguridad y protección personal.</w:t>
            </w:r>
          </w:p>
        </w:tc>
        <w:tc>
          <w:tcPr>
            <w:tcW w:w="1276" w:type="dxa"/>
            <w:shd w:val="clear" w:color="auto" w:fill="auto"/>
            <w:noWrap/>
            <w:vAlign w:val="center"/>
          </w:tcPr>
          <w:p w14:paraId="1AA7806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1,934,229 </w:t>
            </w:r>
          </w:p>
        </w:tc>
        <w:tc>
          <w:tcPr>
            <w:tcW w:w="1276" w:type="dxa"/>
            <w:shd w:val="clear" w:color="auto" w:fill="auto"/>
            <w:noWrap/>
            <w:vAlign w:val="center"/>
          </w:tcPr>
          <w:p w14:paraId="26F5956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671942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1,934,229 </w:t>
            </w:r>
          </w:p>
        </w:tc>
      </w:tr>
      <w:tr w:rsidR="00D868AB" w:rsidRPr="00D868AB" w14:paraId="6B42DAD5" w14:textId="77777777" w:rsidTr="00A755A7">
        <w:tblPrEx>
          <w:jc w:val="left"/>
        </w:tblPrEx>
        <w:trPr>
          <w:trHeight w:val="20"/>
        </w:trPr>
        <w:tc>
          <w:tcPr>
            <w:tcW w:w="700" w:type="dxa"/>
            <w:shd w:val="clear" w:color="auto" w:fill="auto"/>
            <w:noWrap/>
            <w:vAlign w:val="center"/>
            <w:hideMark/>
          </w:tcPr>
          <w:p w14:paraId="2D52ED9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27300</w:t>
            </w:r>
          </w:p>
        </w:tc>
        <w:tc>
          <w:tcPr>
            <w:tcW w:w="3973" w:type="dxa"/>
            <w:shd w:val="clear" w:color="auto" w:fill="auto"/>
            <w:vAlign w:val="center"/>
            <w:hideMark/>
          </w:tcPr>
          <w:p w14:paraId="6171003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Artículos deportivos.</w:t>
            </w:r>
          </w:p>
        </w:tc>
        <w:tc>
          <w:tcPr>
            <w:tcW w:w="1276" w:type="dxa"/>
            <w:shd w:val="clear" w:color="auto" w:fill="auto"/>
            <w:noWrap/>
            <w:vAlign w:val="center"/>
          </w:tcPr>
          <w:p w14:paraId="4722E3D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5,000 </w:t>
            </w:r>
          </w:p>
        </w:tc>
        <w:tc>
          <w:tcPr>
            <w:tcW w:w="1276" w:type="dxa"/>
            <w:shd w:val="clear" w:color="auto" w:fill="auto"/>
            <w:noWrap/>
            <w:vAlign w:val="center"/>
          </w:tcPr>
          <w:p w14:paraId="208BE4C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1D59F0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5,000 </w:t>
            </w:r>
          </w:p>
        </w:tc>
      </w:tr>
      <w:tr w:rsidR="00D868AB" w:rsidRPr="00D868AB" w14:paraId="48EC97B3" w14:textId="77777777" w:rsidTr="00A755A7">
        <w:tblPrEx>
          <w:jc w:val="left"/>
        </w:tblPrEx>
        <w:trPr>
          <w:trHeight w:val="20"/>
        </w:trPr>
        <w:tc>
          <w:tcPr>
            <w:tcW w:w="700" w:type="dxa"/>
            <w:shd w:val="clear" w:color="auto" w:fill="auto"/>
            <w:noWrap/>
            <w:vAlign w:val="center"/>
            <w:hideMark/>
          </w:tcPr>
          <w:p w14:paraId="7ED210E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27400</w:t>
            </w:r>
          </w:p>
        </w:tc>
        <w:tc>
          <w:tcPr>
            <w:tcW w:w="3973" w:type="dxa"/>
            <w:shd w:val="clear" w:color="auto" w:fill="auto"/>
            <w:vAlign w:val="center"/>
            <w:hideMark/>
          </w:tcPr>
          <w:p w14:paraId="5BDFE4C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Productos textiles.</w:t>
            </w:r>
          </w:p>
        </w:tc>
        <w:tc>
          <w:tcPr>
            <w:tcW w:w="1276" w:type="dxa"/>
            <w:shd w:val="clear" w:color="auto" w:fill="auto"/>
            <w:noWrap/>
            <w:vAlign w:val="center"/>
          </w:tcPr>
          <w:p w14:paraId="3759A02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461F8E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D96454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C0FD2A5" w14:textId="77777777" w:rsidTr="00A755A7">
        <w:tblPrEx>
          <w:jc w:val="left"/>
        </w:tblPrEx>
        <w:trPr>
          <w:trHeight w:val="20"/>
        </w:trPr>
        <w:tc>
          <w:tcPr>
            <w:tcW w:w="700" w:type="dxa"/>
            <w:shd w:val="clear" w:color="auto" w:fill="auto"/>
            <w:noWrap/>
            <w:vAlign w:val="center"/>
            <w:hideMark/>
          </w:tcPr>
          <w:p w14:paraId="37847EE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27500</w:t>
            </w:r>
          </w:p>
        </w:tc>
        <w:tc>
          <w:tcPr>
            <w:tcW w:w="3973" w:type="dxa"/>
            <w:shd w:val="clear" w:color="auto" w:fill="auto"/>
            <w:vAlign w:val="center"/>
            <w:hideMark/>
          </w:tcPr>
          <w:p w14:paraId="710430D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Blancos y otros productos textiles, excepto prendas de vestir.</w:t>
            </w:r>
          </w:p>
        </w:tc>
        <w:tc>
          <w:tcPr>
            <w:tcW w:w="1276" w:type="dxa"/>
            <w:shd w:val="clear" w:color="auto" w:fill="auto"/>
            <w:noWrap/>
            <w:vAlign w:val="center"/>
          </w:tcPr>
          <w:p w14:paraId="48D27D4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642,574 </w:t>
            </w:r>
          </w:p>
        </w:tc>
        <w:tc>
          <w:tcPr>
            <w:tcW w:w="1276" w:type="dxa"/>
            <w:shd w:val="clear" w:color="auto" w:fill="auto"/>
            <w:noWrap/>
            <w:vAlign w:val="center"/>
          </w:tcPr>
          <w:p w14:paraId="4E1DBAA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58F788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642,574 </w:t>
            </w:r>
          </w:p>
        </w:tc>
      </w:tr>
      <w:tr w:rsidR="00D868AB" w:rsidRPr="00D868AB" w14:paraId="1016D82A" w14:textId="77777777" w:rsidTr="00A755A7">
        <w:tblPrEx>
          <w:jc w:val="left"/>
        </w:tblPrEx>
        <w:trPr>
          <w:trHeight w:val="20"/>
        </w:trPr>
        <w:tc>
          <w:tcPr>
            <w:tcW w:w="700" w:type="dxa"/>
            <w:shd w:val="clear" w:color="auto" w:fill="auto"/>
            <w:noWrap/>
            <w:vAlign w:val="center"/>
            <w:hideMark/>
          </w:tcPr>
          <w:p w14:paraId="1610EA99"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28000</w:t>
            </w:r>
          </w:p>
        </w:tc>
        <w:tc>
          <w:tcPr>
            <w:tcW w:w="3973" w:type="dxa"/>
            <w:shd w:val="clear" w:color="auto" w:fill="auto"/>
            <w:vAlign w:val="center"/>
            <w:hideMark/>
          </w:tcPr>
          <w:p w14:paraId="22049D37"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MATERIALES Y SUMINISTROS PARA SEGURIDAD.</w:t>
            </w:r>
          </w:p>
        </w:tc>
        <w:tc>
          <w:tcPr>
            <w:tcW w:w="1276" w:type="dxa"/>
            <w:shd w:val="clear" w:color="auto" w:fill="auto"/>
            <w:noWrap/>
            <w:vAlign w:val="center"/>
          </w:tcPr>
          <w:p w14:paraId="2610123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18,406,183 </w:t>
            </w:r>
          </w:p>
        </w:tc>
        <w:tc>
          <w:tcPr>
            <w:tcW w:w="1276" w:type="dxa"/>
            <w:shd w:val="clear" w:color="auto" w:fill="auto"/>
            <w:noWrap/>
            <w:vAlign w:val="center"/>
          </w:tcPr>
          <w:p w14:paraId="5197632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37C4B31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18,406,183 </w:t>
            </w:r>
          </w:p>
        </w:tc>
      </w:tr>
      <w:tr w:rsidR="00D868AB" w:rsidRPr="00D868AB" w14:paraId="2C211E4B" w14:textId="77777777" w:rsidTr="00A755A7">
        <w:tblPrEx>
          <w:jc w:val="left"/>
        </w:tblPrEx>
        <w:trPr>
          <w:trHeight w:val="20"/>
        </w:trPr>
        <w:tc>
          <w:tcPr>
            <w:tcW w:w="700" w:type="dxa"/>
            <w:shd w:val="clear" w:color="auto" w:fill="auto"/>
            <w:noWrap/>
            <w:vAlign w:val="center"/>
            <w:hideMark/>
          </w:tcPr>
          <w:p w14:paraId="576F8B3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28100</w:t>
            </w:r>
          </w:p>
        </w:tc>
        <w:tc>
          <w:tcPr>
            <w:tcW w:w="3973" w:type="dxa"/>
            <w:shd w:val="clear" w:color="auto" w:fill="auto"/>
            <w:vAlign w:val="center"/>
            <w:hideMark/>
          </w:tcPr>
          <w:p w14:paraId="6D3B98A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Sustancias y materiales explosivos.</w:t>
            </w:r>
          </w:p>
        </w:tc>
        <w:tc>
          <w:tcPr>
            <w:tcW w:w="1276" w:type="dxa"/>
            <w:shd w:val="clear" w:color="auto" w:fill="auto"/>
            <w:noWrap/>
            <w:vAlign w:val="center"/>
          </w:tcPr>
          <w:p w14:paraId="225C7EA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172F4C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2254DA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D41C783" w14:textId="77777777" w:rsidTr="00A755A7">
        <w:tblPrEx>
          <w:jc w:val="left"/>
        </w:tblPrEx>
        <w:trPr>
          <w:trHeight w:val="20"/>
        </w:trPr>
        <w:tc>
          <w:tcPr>
            <w:tcW w:w="700" w:type="dxa"/>
            <w:shd w:val="clear" w:color="auto" w:fill="auto"/>
            <w:noWrap/>
            <w:vAlign w:val="center"/>
            <w:hideMark/>
          </w:tcPr>
          <w:p w14:paraId="0D93EB2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28200</w:t>
            </w:r>
          </w:p>
        </w:tc>
        <w:tc>
          <w:tcPr>
            <w:tcW w:w="3973" w:type="dxa"/>
            <w:shd w:val="clear" w:color="auto" w:fill="auto"/>
            <w:vAlign w:val="center"/>
            <w:hideMark/>
          </w:tcPr>
          <w:p w14:paraId="7EB2059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Materiales de seguridad pública.</w:t>
            </w:r>
          </w:p>
        </w:tc>
        <w:tc>
          <w:tcPr>
            <w:tcW w:w="1276" w:type="dxa"/>
            <w:shd w:val="clear" w:color="auto" w:fill="auto"/>
            <w:noWrap/>
            <w:vAlign w:val="center"/>
          </w:tcPr>
          <w:p w14:paraId="0E8CA54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3,606,949 </w:t>
            </w:r>
          </w:p>
        </w:tc>
        <w:tc>
          <w:tcPr>
            <w:tcW w:w="1276" w:type="dxa"/>
            <w:shd w:val="clear" w:color="auto" w:fill="auto"/>
            <w:noWrap/>
            <w:vAlign w:val="center"/>
          </w:tcPr>
          <w:p w14:paraId="44AD7CB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E96763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3,606,949 </w:t>
            </w:r>
          </w:p>
        </w:tc>
      </w:tr>
      <w:tr w:rsidR="00D868AB" w:rsidRPr="00D868AB" w14:paraId="6D00CA4C" w14:textId="77777777" w:rsidTr="00A755A7">
        <w:tblPrEx>
          <w:jc w:val="left"/>
        </w:tblPrEx>
        <w:trPr>
          <w:trHeight w:val="20"/>
        </w:trPr>
        <w:tc>
          <w:tcPr>
            <w:tcW w:w="700" w:type="dxa"/>
            <w:shd w:val="clear" w:color="auto" w:fill="auto"/>
            <w:noWrap/>
            <w:vAlign w:val="center"/>
            <w:hideMark/>
          </w:tcPr>
          <w:p w14:paraId="5F8FDAE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28300</w:t>
            </w:r>
          </w:p>
        </w:tc>
        <w:tc>
          <w:tcPr>
            <w:tcW w:w="3973" w:type="dxa"/>
            <w:shd w:val="clear" w:color="auto" w:fill="auto"/>
            <w:vAlign w:val="center"/>
            <w:hideMark/>
          </w:tcPr>
          <w:p w14:paraId="2CCCF85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Prendas de protección para seguridad pública y nacional.</w:t>
            </w:r>
          </w:p>
        </w:tc>
        <w:tc>
          <w:tcPr>
            <w:tcW w:w="1276" w:type="dxa"/>
            <w:shd w:val="clear" w:color="auto" w:fill="auto"/>
            <w:noWrap/>
            <w:vAlign w:val="center"/>
          </w:tcPr>
          <w:p w14:paraId="4E5F7B6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14,799,234 </w:t>
            </w:r>
          </w:p>
        </w:tc>
        <w:tc>
          <w:tcPr>
            <w:tcW w:w="1276" w:type="dxa"/>
            <w:shd w:val="clear" w:color="auto" w:fill="auto"/>
            <w:noWrap/>
            <w:vAlign w:val="center"/>
          </w:tcPr>
          <w:p w14:paraId="400D931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3D13C3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14,799,234 </w:t>
            </w:r>
          </w:p>
        </w:tc>
      </w:tr>
      <w:tr w:rsidR="00D868AB" w:rsidRPr="00D868AB" w14:paraId="3D284562" w14:textId="77777777" w:rsidTr="00A755A7">
        <w:tblPrEx>
          <w:jc w:val="left"/>
        </w:tblPrEx>
        <w:trPr>
          <w:trHeight w:val="20"/>
        </w:trPr>
        <w:tc>
          <w:tcPr>
            <w:tcW w:w="700" w:type="dxa"/>
            <w:shd w:val="clear" w:color="auto" w:fill="auto"/>
            <w:noWrap/>
            <w:vAlign w:val="center"/>
            <w:hideMark/>
          </w:tcPr>
          <w:p w14:paraId="525DB327"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29000</w:t>
            </w:r>
          </w:p>
        </w:tc>
        <w:tc>
          <w:tcPr>
            <w:tcW w:w="3973" w:type="dxa"/>
            <w:shd w:val="clear" w:color="auto" w:fill="auto"/>
            <w:vAlign w:val="center"/>
            <w:hideMark/>
          </w:tcPr>
          <w:p w14:paraId="6FAECE95"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HERRAMIENTAS, REFACCIONES Y ACCESORIOS MENORES.</w:t>
            </w:r>
          </w:p>
        </w:tc>
        <w:tc>
          <w:tcPr>
            <w:tcW w:w="1276" w:type="dxa"/>
            <w:shd w:val="clear" w:color="auto" w:fill="auto"/>
            <w:noWrap/>
            <w:vAlign w:val="center"/>
          </w:tcPr>
          <w:p w14:paraId="20382E2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15,304,300 </w:t>
            </w:r>
          </w:p>
        </w:tc>
        <w:tc>
          <w:tcPr>
            <w:tcW w:w="1276" w:type="dxa"/>
            <w:shd w:val="clear" w:color="auto" w:fill="auto"/>
            <w:noWrap/>
            <w:vAlign w:val="center"/>
          </w:tcPr>
          <w:p w14:paraId="264F6A1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4FA662C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15,304,300 </w:t>
            </w:r>
          </w:p>
        </w:tc>
      </w:tr>
      <w:tr w:rsidR="00D868AB" w:rsidRPr="00D868AB" w14:paraId="16980006" w14:textId="77777777" w:rsidTr="00A755A7">
        <w:tblPrEx>
          <w:jc w:val="left"/>
        </w:tblPrEx>
        <w:trPr>
          <w:trHeight w:val="20"/>
        </w:trPr>
        <w:tc>
          <w:tcPr>
            <w:tcW w:w="700" w:type="dxa"/>
            <w:shd w:val="clear" w:color="auto" w:fill="auto"/>
            <w:noWrap/>
            <w:vAlign w:val="center"/>
            <w:hideMark/>
          </w:tcPr>
          <w:p w14:paraId="4CFA995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29100</w:t>
            </w:r>
          </w:p>
        </w:tc>
        <w:tc>
          <w:tcPr>
            <w:tcW w:w="3973" w:type="dxa"/>
            <w:shd w:val="clear" w:color="auto" w:fill="auto"/>
            <w:vAlign w:val="center"/>
            <w:hideMark/>
          </w:tcPr>
          <w:p w14:paraId="44D894A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Herramientas menores.</w:t>
            </w:r>
          </w:p>
        </w:tc>
        <w:tc>
          <w:tcPr>
            <w:tcW w:w="1276" w:type="dxa"/>
            <w:shd w:val="clear" w:color="auto" w:fill="auto"/>
            <w:noWrap/>
            <w:vAlign w:val="center"/>
          </w:tcPr>
          <w:p w14:paraId="43CC083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606,487 </w:t>
            </w:r>
          </w:p>
        </w:tc>
        <w:tc>
          <w:tcPr>
            <w:tcW w:w="1276" w:type="dxa"/>
            <w:shd w:val="clear" w:color="auto" w:fill="auto"/>
            <w:noWrap/>
            <w:vAlign w:val="center"/>
          </w:tcPr>
          <w:p w14:paraId="0564D4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8433D6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606,487 </w:t>
            </w:r>
          </w:p>
        </w:tc>
      </w:tr>
      <w:tr w:rsidR="00D868AB" w:rsidRPr="00D868AB" w14:paraId="0718F4ED" w14:textId="77777777" w:rsidTr="00A755A7">
        <w:tblPrEx>
          <w:jc w:val="left"/>
        </w:tblPrEx>
        <w:trPr>
          <w:trHeight w:val="20"/>
        </w:trPr>
        <w:tc>
          <w:tcPr>
            <w:tcW w:w="700" w:type="dxa"/>
            <w:shd w:val="clear" w:color="auto" w:fill="auto"/>
            <w:noWrap/>
            <w:vAlign w:val="center"/>
            <w:hideMark/>
          </w:tcPr>
          <w:p w14:paraId="6045AAF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29200</w:t>
            </w:r>
          </w:p>
        </w:tc>
        <w:tc>
          <w:tcPr>
            <w:tcW w:w="3973" w:type="dxa"/>
            <w:shd w:val="clear" w:color="auto" w:fill="auto"/>
            <w:vAlign w:val="center"/>
            <w:hideMark/>
          </w:tcPr>
          <w:p w14:paraId="6BBC95D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Refacciones y accesorios menores de edificios.</w:t>
            </w:r>
          </w:p>
        </w:tc>
        <w:tc>
          <w:tcPr>
            <w:tcW w:w="1276" w:type="dxa"/>
            <w:shd w:val="clear" w:color="auto" w:fill="auto"/>
            <w:noWrap/>
            <w:vAlign w:val="center"/>
          </w:tcPr>
          <w:p w14:paraId="3CCCC68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757,008 </w:t>
            </w:r>
          </w:p>
        </w:tc>
        <w:tc>
          <w:tcPr>
            <w:tcW w:w="1276" w:type="dxa"/>
            <w:shd w:val="clear" w:color="auto" w:fill="auto"/>
            <w:noWrap/>
            <w:vAlign w:val="center"/>
          </w:tcPr>
          <w:p w14:paraId="16E8DAB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E1BAF1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757,008 </w:t>
            </w:r>
          </w:p>
        </w:tc>
      </w:tr>
      <w:tr w:rsidR="00D868AB" w:rsidRPr="00D868AB" w14:paraId="157B63D5" w14:textId="77777777" w:rsidTr="00A755A7">
        <w:tblPrEx>
          <w:jc w:val="left"/>
        </w:tblPrEx>
        <w:trPr>
          <w:trHeight w:val="20"/>
        </w:trPr>
        <w:tc>
          <w:tcPr>
            <w:tcW w:w="700" w:type="dxa"/>
            <w:shd w:val="clear" w:color="auto" w:fill="auto"/>
            <w:noWrap/>
            <w:vAlign w:val="center"/>
            <w:hideMark/>
          </w:tcPr>
          <w:p w14:paraId="6378ED6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29300</w:t>
            </w:r>
          </w:p>
        </w:tc>
        <w:tc>
          <w:tcPr>
            <w:tcW w:w="3973" w:type="dxa"/>
            <w:shd w:val="clear" w:color="auto" w:fill="auto"/>
            <w:vAlign w:val="center"/>
            <w:hideMark/>
          </w:tcPr>
          <w:p w14:paraId="3138894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Refacciones y accesorios menores de mobiliario y equipo de administración, educacional y recreativo.</w:t>
            </w:r>
          </w:p>
        </w:tc>
        <w:tc>
          <w:tcPr>
            <w:tcW w:w="1276" w:type="dxa"/>
            <w:shd w:val="clear" w:color="auto" w:fill="auto"/>
            <w:noWrap/>
            <w:vAlign w:val="center"/>
          </w:tcPr>
          <w:p w14:paraId="60F7EC4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163,100 </w:t>
            </w:r>
          </w:p>
        </w:tc>
        <w:tc>
          <w:tcPr>
            <w:tcW w:w="1276" w:type="dxa"/>
            <w:shd w:val="clear" w:color="auto" w:fill="auto"/>
            <w:noWrap/>
            <w:vAlign w:val="center"/>
          </w:tcPr>
          <w:p w14:paraId="222FEDB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3BFF08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163,100 </w:t>
            </w:r>
          </w:p>
        </w:tc>
      </w:tr>
      <w:tr w:rsidR="00D868AB" w:rsidRPr="00D868AB" w14:paraId="4CFECBFF" w14:textId="77777777" w:rsidTr="00A755A7">
        <w:tblPrEx>
          <w:jc w:val="left"/>
        </w:tblPrEx>
        <w:trPr>
          <w:trHeight w:val="20"/>
        </w:trPr>
        <w:tc>
          <w:tcPr>
            <w:tcW w:w="700" w:type="dxa"/>
            <w:shd w:val="clear" w:color="auto" w:fill="auto"/>
            <w:noWrap/>
            <w:vAlign w:val="center"/>
            <w:hideMark/>
          </w:tcPr>
          <w:p w14:paraId="39B18E5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29400</w:t>
            </w:r>
          </w:p>
        </w:tc>
        <w:tc>
          <w:tcPr>
            <w:tcW w:w="3973" w:type="dxa"/>
            <w:shd w:val="clear" w:color="auto" w:fill="auto"/>
            <w:vAlign w:val="center"/>
            <w:hideMark/>
          </w:tcPr>
          <w:p w14:paraId="6BAF512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Refacciones y accesorios menores de equipo de cómputo y tecnologías de la información.</w:t>
            </w:r>
          </w:p>
        </w:tc>
        <w:tc>
          <w:tcPr>
            <w:tcW w:w="1276" w:type="dxa"/>
            <w:shd w:val="clear" w:color="auto" w:fill="auto"/>
            <w:noWrap/>
            <w:vAlign w:val="center"/>
          </w:tcPr>
          <w:p w14:paraId="3FC987C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539,128 </w:t>
            </w:r>
          </w:p>
        </w:tc>
        <w:tc>
          <w:tcPr>
            <w:tcW w:w="1276" w:type="dxa"/>
            <w:shd w:val="clear" w:color="auto" w:fill="auto"/>
            <w:noWrap/>
            <w:vAlign w:val="center"/>
          </w:tcPr>
          <w:p w14:paraId="3169ECA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7A9827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539,128 </w:t>
            </w:r>
          </w:p>
        </w:tc>
      </w:tr>
      <w:tr w:rsidR="00D868AB" w:rsidRPr="00D868AB" w14:paraId="31000EF2" w14:textId="77777777" w:rsidTr="00A755A7">
        <w:tblPrEx>
          <w:jc w:val="left"/>
        </w:tblPrEx>
        <w:trPr>
          <w:trHeight w:val="20"/>
        </w:trPr>
        <w:tc>
          <w:tcPr>
            <w:tcW w:w="700" w:type="dxa"/>
            <w:shd w:val="clear" w:color="auto" w:fill="auto"/>
            <w:noWrap/>
            <w:vAlign w:val="center"/>
            <w:hideMark/>
          </w:tcPr>
          <w:p w14:paraId="65E4DB6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29500</w:t>
            </w:r>
          </w:p>
        </w:tc>
        <w:tc>
          <w:tcPr>
            <w:tcW w:w="3973" w:type="dxa"/>
            <w:shd w:val="clear" w:color="auto" w:fill="auto"/>
            <w:vAlign w:val="center"/>
            <w:hideMark/>
          </w:tcPr>
          <w:p w14:paraId="17C1586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Refacciones y accesorios menores de equipo e instrumental médico y de laboratorio.</w:t>
            </w:r>
          </w:p>
        </w:tc>
        <w:tc>
          <w:tcPr>
            <w:tcW w:w="1276" w:type="dxa"/>
            <w:shd w:val="clear" w:color="auto" w:fill="auto"/>
            <w:noWrap/>
            <w:vAlign w:val="center"/>
          </w:tcPr>
          <w:p w14:paraId="6F6A4A4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BB069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9C18B0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F7C2C5A" w14:textId="77777777" w:rsidTr="00A755A7">
        <w:tblPrEx>
          <w:jc w:val="left"/>
        </w:tblPrEx>
        <w:trPr>
          <w:trHeight w:val="20"/>
        </w:trPr>
        <w:tc>
          <w:tcPr>
            <w:tcW w:w="700" w:type="dxa"/>
            <w:shd w:val="clear" w:color="auto" w:fill="auto"/>
            <w:noWrap/>
            <w:vAlign w:val="center"/>
            <w:hideMark/>
          </w:tcPr>
          <w:p w14:paraId="6A4A2D9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29600</w:t>
            </w:r>
          </w:p>
        </w:tc>
        <w:tc>
          <w:tcPr>
            <w:tcW w:w="3973" w:type="dxa"/>
            <w:shd w:val="clear" w:color="auto" w:fill="auto"/>
            <w:vAlign w:val="center"/>
            <w:hideMark/>
          </w:tcPr>
          <w:p w14:paraId="3AC48F6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Refacciones y accesorios menores de equipo de transporte.</w:t>
            </w:r>
          </w:p>
        </w:tc>
        <w:tc>
          <w:tcPr>
            <w:tcW w:w="1276" w:type="dxa"/>
            <w:shd w:val="clear" w:color="auto" w:fill="auto"/>
            <w:noWrap/>
            <w:vAlign w:val="center"/>
          </w:tcPr>
          <w:p w14:paraId="21BDC16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12,986,755 </w:t>
            </w:r>
          </w:p>
        </w:tc>
        <w:tc>
          <w:tcPr>
            <w:tcW w:w="1276" w:type="dxa"/>
            <w:shd w:val="clear" w:color="auto" w:fill="auto"/>
            <w:noWrap/>
            <w:vAlign w:val="center"/>
          </w:tcPr>
          <w:p w14:paraId="07B055B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2D63A0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12,986,755 </w:t>
            </w:r>
          </w:p>
        </w:tc>
      </w:tr>
      <w:tr w:rsidR="00D868AB" w:rsidRPr="00D868AB" w14:paraId="5E09053A" w14:textId="77777777" w:rsidTr="00A755A7">
        <w:tblPrEx>
          <w:jc w:val="left"/>
        </w:tblPrEx>
        <w:trPr>
          <w:trHeight w:val="20"/>
        </w:trPr>
        <w:tc>
          <w:tcPr>
            <w:tcW w:w="700" w:type="dxa"/>
            <w:shd w:val="clear" w:color="auto" w:fill="auto"/>
            <w:noWrap/>
            <w:vAlign w:val="center"/>
            <w:hideMark/>
          </w:tcPr>
          <w:p w14:paraId="19BE596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29700</w:t>
            </w:r>
          </w:p>
        </w:tc>
        <w:tc>
          <w:tcPr>
            <w:tcW w:w="3973" w:type="dxa"/>
            <w:shd w:val="clear" w:color="auto" w:fill="auto"/>
            <w:vAlign w:val="center"/>
            <w:hideMark/>
          </w:tcPr>
          <w:p w14:paraId="3679978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Refacciones y accesorios menores de equipo de defensa y seguridad.</w:t>
            </w:r>
          </w:p>
        </w:tc>
        <w:tc>
          <w:tcPr>
            <w:tcW w:w="1276" w:type="dxa"/>
            <w:shd w:val="clear" w:color="auto" w:fill="auto"/>
            <w:noWrap/>
            <w:vAlign w:val="center"/>
          </w:tcPr>
          <w:p w14:paraId="71B78D6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9B7B2E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758357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BD69557" w14:textId="77777777" w:rsidTr="00A755A7">
        <w:tblPrEx>
          <w:jc w:val="left"/>
        </w:tblPrEx>
        <w:trPr>
          <w:trHeight w:val="20"/>
        </w:trPr>
        <w:tc>
          <w:tcPr>
            <w:tcW w:w="700" w:type="dxa"/>
            <w:shd w:val="clear" w:color="auto" w:fill="auto"/>
            <w:noWrap/>
            <w:vAlign w:val="center"/>
            <w:hideMark/>
          </w:tcPr>
          <w:p w14:paraId="1B1A75D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29800</w:t>
            </w:r>
          </w:p>
        </w:tc>
        <w:tc>
          <w:tcPr>
            <w:tcW w:w="3973" w:type="dxa"/>
            <w:shd w:val="clear" w:color="auto" w:fill="auto"/>
            <w:vAlign w:val="center"/>
            <w:hideMark/>
          </w:tcPr>
          <w:p w14:paraId="61275E9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Refacciones y accesorios menores de maquinaria y otros equipos.</w:t>
            </w:r>
          </w:p>
        </w:tc>
        <w:tc>
          <w:tcPr>
            <w:tcW w:w="1276" w:type="dxa"/>
            <w:shd w:val="clear" w:color="auto" w:fill="auto"/>
            <w:noWrap/>
            <w:vAlign w:val="center"/>
          </w:tcPr>
          <w:p w14:paraId="3E63D9F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148,750 </w:t>
            </w:r>
          </w:p>
        </w:tc>
        <w:tc>
          <w:tcPr>
            <w:tcW w:w="1276" w:type="dxa"/>
            <w:shd w:val="clear" w:color="auto" w:fill="auto"/>
            <w:noWrap/>
            <w:vAlign w:val="center"/>
          </w:tcPr>
          <w:p w14:paraId="17AE755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AD72C9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148,750 </w:t>
            </w:r>
          </w:p>
        </w:tc>
      </w:tr>
      <w:tr w:rsidR="00D868AB" w:rsidRPr="00D868AB" w14:paraId="39473B3C" w14:textId="77777777" w:rsidTr="00A755A7">
        <w:tblPrEx>
          <w:jc w:val="left"/>
        </w:tblPrEx>
        <w:trPr>
          <w:trHeight w:val="20"/>
        </w:trPr>
        <w:tc>
          <w:tcPr>
            <w:tcW w:w="700" w:type="dxa"/>
            <w:shd w:val="clear" w:color="auto" w:fill="auto"/>
            <w:noWrap/>
            <w:vAlign w:val="center"/>
            <w:hideMark/>
          </w:tcPr>
          <w:p w14:paraId="022C077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29900</w:t>
            </w:r>
          </w:p>
        </w:tc>
        <w:tc>
          <w:tcPr>
            <w:tcW w:w="3973" w:type="dxa"/>
            <w:shd w:val="clear" w:color="auto" w:fill="auto"/>
            <w:vAlign w:val="center"/>
            <w:hideMark/>
          </w:tcPr>
          <w:p w14:paraId="6E2655E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Refacciones y accesorios menores otros bienes muebles.</w:t>
            </w:r>
          </w:p>
        </w:tc>
        <w:tc>
          <w:tcPr>
            <w:tcW w:w="1276" w:type="dxa"/>
            <w:shd w:val="clear" w:color="auto" w:fill="auto"/>
            <w:noWrap/>
            <w:vAlign w:val="center"/>
          </w:tcPr>
          <w:p w14:paraId="4FBAC00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103,072 </w:t>
            </w:r>
          </w:p>
        </w:tc>
        <w:tc>
          <w:tcPr>
            <w:tcW w:w="1276" w:type="dxa"/>
            <w:shd w:val="clear" w:color="auto" w:fill="auto"/>
            <w:noWrap/>
            <w:vAlign w:val="center"/>
          </w:tcPr>
          <w:p w14:paraId="4A6500F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FE1ECD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103,072 </w:t>
            </w:r>
          </w:p>
        </w:tc>
      </w:tr>
      <w:tr w:rsidR="00D868AB" w:rsidRPr="00D868AB" w14:paraId="147B66BB" w14:textId="77777777" w:rsidTr="00A755A7">
        <w:tblPrEx>
          <w:jc w:val="left"/>
        </w:tblPrEx>
        <w:trPr>
          <w:trHeight w:val="20"/>
        </w:trPr>
        <w:tc>
          <w:tcPr>
            <w:tcW w:w="700" w:type="dxa"/>
            <w:shd w:val="clear" w:color="auto" w:fill="auto"/>
            <w:noWrap/>
            <w:vAlign w:val="center"/>
            <w:hideMark/>
          </w:tcPr>
          <w:p w14:paraId="7CB84BCD"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30000</w:t>
            </w:r>
          </w:p>
        </w:tc>
        <w:tc>
          <w:tcPr>
            <w:tcW w:w="3973" w:type="dxa"/>
            <w:shd w:val="clear" w:color="auto" w:fill="auto"/>
            <w:vAlign w:val="center"/>
            <w:hideMark/>
          </w:tcPr>
          <w:p w14:paraId="454103F7"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SERVICIOS GENERALES.</w:t>
            </w:r>
          </w:p>
        </w:tc>
        <w:tc>
          <w:tcPr>
            <w:tcW w:w="1276" w:type="dxa"/>
            <w:shd w:val="clear" w:color="auto" w:fill="auto"/>
            <w:noWrap/>
            <w:vAlign w:val="center"/>
          </w:tcPr>
          <w:p w14:paraId="6A41E46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493,884,976 </w:t>
            </w:r>
          </w:p>
        </w:tc>
        <w:tc>
          <w:tcPr>
            <w:tcW w:w="1276" w:type="dxa"/>
            <w:shd w:val="clear" w:color="auto" w:fill="auto"/>
            <w:noWrap/>
            <w:vAlign w:val="center"/>
          </w:tcPr>
          <w:p w14:paraId="7CE372A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3CB2052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493,884,976 </w:t>
            </w:r>
          </w:p>
        </w:tc>
      </w:tr>
      <w:tr w:rsidR="00D868AB" w:rsidRPr="00D868AB" w14:paraId="64EFA96E" w14:textId="77777777" w:rsidTr="00A755A7">
        <w:tblPrEx>
          <w:jc w:val="left"/>
        </w:tblPrEx>
        <w:trPr>
          <w:trHeight w:val="20"/>
        </w:trPr>
        <w:tc>
          <w:tcPr>
            <w:tcW w:w="700" w:type="dxa"/>
            <w:shd w:val="clear" w:color="auto" w:fill="auto"/>
            <w:noWrap/>
            <w:vAlign w:val="center"/>
            <w:hideMark/>
          </w:tcPr>
          <w:p w14:paraId="5D20E00F"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31000</w:t>
            </w:r>
          </w:p>
        </w:tc>
        <w:tc>
          <w:tcPr>
            <w:tcW w:w="3973" w:type="dxa"/>
            <w:shd w:val="clear" w:color="auto" w:fill="auto"/>
            <w:vAlign w:val="center"/>
            <w:hideMark/>
          </w:tcPr>
          <w:p w14:paraId="51408E44"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SERVICIOS BÁSICOS.</w:t>
            </w:r>
          </w:p>
        </w:tc>
        <w:tc>
          <w:tcPr>
            <w:tcW w:w="1276" w:type="dxa"/>
            <w:shd w:val="clear" w:color="auto" w:fill="auto"/>
            <w:noWrap/>
            <w:vAlign w:val="center"/>
          </w:tcPr>
          <w:p w14:paraId="349EB95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69,697,486 </w:t>
            </w:r>
          </w:p>
        </w:tc>
        <w:tc>
          <w:tcPr>
            <w:tcW w:w="1276" w:type="dxa"/>
            <w:shd w:val="clear" w:color="auto" w:fill="auto"/>
            <w:noWrap/>
            <w:vAlign w:val="center"/>
          </w:tcPr>
          <w:p w14:paraId="48393B5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56A722D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69,697,486 </w:t>
            </w:r>
          </w:p>
        </w:tc>
      </w:tr>
      <w:tr w:rsidR="00D868AB" w:rsidRPr="00D868AB" w14:paraId="2D4FB8EA" w14:textId="77777777" w:rsidTr="00A755A7">
        <w:tblPrEx>
          <w:jc w:val="left"/>
        </w:tblPrEx>
        <w:trPr>
          <w:trHeight w:val="20"/>
        </w:trPr>
        <w:tc>
          <w:tcPr>
            <w:tcW w:w="700" w:type="dxa"/>
            <w:shd w:val="clear" w:color="auto" w:fill="auto"/>
            <w:noWrap/>
            <w:vAlign w:val="center"/>
            <w:hideMark/>
          </w:tcPr>
          <w:p w14:paraId="5943C45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31100</w:t>
            </w:r>
          </w:p>
        </w:tc>
        <w:tc>
          <w:tcPr>
            <w:tcW w:w="3973" w:type="dxa"/>
            <w:shd w:val="clear" w:color="auto" w:fill="auto"/>
            <w:vAlign w:val="center"/>
            <w:hideMark/>
          </w:tcPr>
          <w:p w14:paraId="17CF2BB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Energía eléctrica.</w:t>
            </w:r>
          </w:p>
        </w:tc>
        <w:tc>
          <w:tcPr>
            <w:tcW w:w="1276" w:type="dxa"/>
            <w:shd w:val="clear" w:color="auto" w:fill="auto"/>
            <w:noWrap/>
            <w:vAlign w:val="center"/>
          </w:tcPr>
          <w:p w14:paraId="01CD18F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43,967,527 </w:t>
            </w:r>
          </w:p>
        </w:tc>
        <w:tc>
          <w:tcPr>
            <w:tcW w:w="1276" w:type="dxa"/>
            <w:shd w:val="clear" w:color="auto" w:fill="auto"/>
            <w:noWrap/>
            <w:vAlign w:val="center"/>
          </w:tcPr>
          <w:p w14:paraId="3442D35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2B322E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43,967,527 </w:t>
            </w:r>
          </w:p>
        </w:tc>
      </w:tr>
      <w:tr w:rsidR="00D868AB" w:rsidRPr="00D868AB" w14:paraId="60AF06F9" w14:textId="77777777" w:rsidTr="00A755A7">
        <w:tblPrEx>
          <w:jc w:val="left"/>
        </w:tblPrEx>
        <w:trPr>
          <w:trHeight w:val="20"/>
        </w:trPr>
        <w:tc>
          <w:tcPr>
            <w:tcW w:w="700" w:type="dxa"/>
            <w:shd w:val="clear" w:color="auto" w:fill="auto"/>
            <w:noWrap/>
            <w:vAlign w:val="center"/>
            <w:hideMark/>
          </w:tcPr>
          <w:p w14:paraId="6675A22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31200</w:t>
            </w:r>
          </w:p>
        </w:tc>
        <w:tc>
          <w:tcPr>
            <w:tcW w:w="3973" w:type="dxa"/>
            <w:shd w:val="clear" w:color="auto" w:fill="auto"/>
            <w:vAlign w:val="center"/>
            <w:hideMark/>
          </w:tcPr>
          <w:p w14:paraId="49DB9FE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Gas.</w:t>
            </w:r>
          </w:p>
        </w:tc>
        <w:tc>
          <w:tcPr>
            <w:tcW w:w="1276" w:type="dxa"/>
            <w:shd w:val="clear" w:color="auto" w:fill="auto"/>
            <w:noWrap/>
            <w:vAlign w:val="center"/>
          </w:tcPr>
          <w:p w14:paraId="0991DE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15,000 </w:t>
            </w:r>
          </w:p>
        </w:tc>
        <w:tc>
          <w:tcPr>
            <w:tcW w:w="1276" w:type="dxa"/>
            <w:shd w:val="clear" w:color="auto" w:fill="auto"/>
            <w:noWrap/>
            <w:vAlign w:val="center"/>
          </w:tcPr>
          <w:p w14:paraId="3C06F5D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21312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15,000 </w:t>
            </w:r>
          </w:p>
        </w:tc>
      </w:tr>
      <w:tr w:rsidR="00D868AB" w:rsidRPr="00D868AB" w14:paraId="4249092D" w14:textId="77777777" w:rsidTr="00A755A7">
        <w:tblPrEx>
          <w:jc w:val="left"/>
        </w:tblPrEx>
        <w:trPr>
          <w:trHeight w:val="20"/>
        </w:trPr>
        <w:tc>
          <w:tcPr>
            <w:tcW w:w="700" w:type="dxa"/>
            <w:shd w:val="clear" w:color="auto" w:fill="auto"/>
            <w:noWrap/>
            <w:vAlign w:val="center"/>
            <w:hideMark/>
          </w:tcPr>
          <w:p w14:paraId="35AB587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31300</w:t>
            </w:r>
          </w:p>
        </w:tc>
        <w:tc>
          <w:tcPr>
            <w:tcW w:w="3973" w:type="dxa"/>
            <w:shd w:val="clear" w:color="auto" w:fill="auto"/>
            <w:vAlign w:val="center"/>
            <w:hideMark/>
          </w:tcPr>
          <w:p w14:paraId="096CED0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Agua.</w:t>
            </w:r>
          </w:p>
        </w:tc>
        <w:tc>
          <w:tcPr>
            <w:tcW w:w="1276" w:type="dxa"/>
            <w:shd w:val="clear" w:color="auto" w:fill="auto"/>
            <w:noWrap/>
            <w:vAlign w:val="center"/>
          </w:tcPr>
          <w:p w14:paraId="32CDD05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5,419,674 </w:t>
            </w:r>
          </w:p>
        </w:tc>
        <w:tc>
          <w:tcPr>
            <w:tcW w:w="1276" w:type="dxa"/>
            <w:shd w:val="clear" w:color="auto" w:fill="auto"/>
            <w:noWrap/>
            <w:vAlign w:val="center"/>
          </w:tcPr>
          <w:p w14:paraId="1CBDF57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E7FA77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5,419,674 </w:t>
            </w:r>
          </w:p>
        </w:tc>
      </w:tr>
      <w:tr w:rsidR="00D868AB" w:rsidRPr="00D868AB" w14:paraId="29DA9CF9" w14:textId="77777777" w:rsidTr="00A755A7">
        <w:tblPrEx>
          <w:jc w:val="left"/>
        </w:tblPrEx>
        <w:trPr>
          <w:trHeight w:val="20"/>
        </w:trPr>
        <w:tc>
          <w:tcPr>
            <w:tcW w:w="700" w:type="dxa"/>
            <w:shd w:val="clear" w:color="auto" w:fill="auto"/>
            <w:noWrap/>
            <w:vAlign w:val="center"/>
            <w:hideMark/>
          </w:tcPr>
          <w:p w14:paraId="06F1E7F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31400</w:t>
            </w:r>
          </w:p>
        </w:tc>
        <w:tc>
          <w:tcPr>
            <w:tcW w:w="3973" w:type="dxa"/>
            <w:shd w:val="clear" w:color="auto" w:fill="auto"/>
            <w:vAlign w:val="center"/>
            <w:hideMark/>
          </w:tcPr>
          <w:p w14:paraId="095D397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Telefonía tradicional.</w:t>
            </w:r>
          </w:p>
        </w:tc>
        <w:tc>
          <w:tcPr>
            <w:tcW w:w="1276" w:type="dxa"/>
            <w:shd w:val="clear" w:color="auto" w:fill="auto"/>
            <w:noWrap/>
            <w:vAlign w:val="center"/>
          </w:tcPr>
          <w:p w14:paraId="587337D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2,852,934 </w:t>
            </w:r>
          </w:p>
        </w:tc>
        <w:tc>
          <w:tcPr>
            <w:tcW w:w="1276" w:type="dxa"/>
            <w:shd w:val="clear" w:color="auto" w:fill="auto"/>
            <w:noWrap/>
            <w:vAlign w:val="center"/>
          </w:tcPr>
          <w:p w14:paraId="57312AB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441580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2,852,934 </w:t>
            </w:r>
          </w:p>
        </w:tc>
      </w:tr>
      <w:tr w:rsidR="00D868AB" w:rsidRPr="00D868AB" w14:paraId="7E09190C" w14:textId="77777777" w:rsidTr="00A755A7">
        <w:tblPrEx>
          <w:jc w:val="left"/>
        </w:tblPrEx>
        <w:trPr>
          <w:trHeight w:val="20"/>
        </w:trPr>
        <w:tc>
          <w:tcPr>
            <w:tcW w:w="700" w:type="dxa"/>
            <w:shd w:val="clear" w:color="auto" w:fill="auto"/>
            <w:noWrap/>
            <w:vAlign w:val="center"/>
            <w:hideMark/>
          </w:tcPr>
          <w:p w14:paraId="42C4B82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31500</w:t>
            </w:r>
          </w:p>
        </w:tc>
        <w:tc>
          <w:tcPr>
            <w:tcW w:w="3973" w:type="dxa"/>
            <w:shd w:val="clear" w:color="auto" w:fill="auto"/>
            <w:vAlign w:val="center"/>
            <w:hideMark/>
          </w:tcPr>
          <w:p w14:paraId="0FDA674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Telefonía celular.</w:t>
            </w:r>
          </w:p>
        </w:tc>
        <w:tc>
          <w:tcPr>
            <w:tcW w:w="1276" w:type="dxa"/>
            <w:shd w:val="clear" w:color="auto" w:fill="auto"/>
            <w:noWrap/>
            <w:vAlign w:val="center"/>
          </w:tcPr>
          <w:p w14:paraId="48B8A28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E3ED99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C2DA46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3765939" w14:textId="77777777" w:rsidTr="00A755A7">
        <w:tblPrEx>
          <w:jc w:val="left"/>
        </w:tblPrEx>
        <w:trPr>
          <w:trHeight w:val="20"/>
        </w:trPr>
        <w:tc>
          <w:tcPr>
            <w:tcW w:w="700" w:type="dxa"/>
            <w:shd w:val="clear" w:color="auto" w:fill="auto"/>
            <w:noWrap/>
            <w:vAlign w:val="center"/>
            <w:hideMark/>
          </w:tcPr>
          <w:p w14:paraId="3E12D78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31600</w:t>
            </w:r>
          </w:p>
        </w:tc>
        <w:tc>
          <w:tcPr>
            <w:tcW w:w="3973" w:type="dxa"/>
            <w:shd w:val="clear" w:color="auto" w:fill="auto"/>
            <w:vAlign w:val="center"/>
            <w:hideMark/>
          </w:tcPr>
          <w:p w14:paraId="73E2F46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telecomunicaciones y satélites.</w:t>
            </w:r>
          </w:p>
        </w:tc>
        <w:tc>
          <w:tcPr>
            <w:tcW w:w="1276" w:type="dxa"/>
            <w:shd w:val="clear" w:color="auto" w:fill="auto"/>
            <w:noWrap/>
            <w:vAlign w:val="center"/>
          </w:tcPr>
          <w:p w14:paraId="64C6697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AC8922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B9AFA0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A99A8A3" w14:textId="77777777" w:rsidTr="00A755A7">
        <w:tblPrEx>
          <w:jc w:val="left"/>
        </w:tblPrEx>
        <w:trPr>
          <w:trHeight w:val="20"/>
        </w:trPr>
        <w:tc>
          <w:tcPr>
            <w:tcW w:w="700" w:type="dxa"/>
            <w:shd w:val="clear" w:color="auto" w:fill="auto"/>
            <w:noWrap/>
            <w:vAlign w:val="center"/>
            <w:hideMark/>
          </w:tcPr>
          <w:p w14:paraId="5E49BD9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31700</w:t>
            </w:r>
          </w:p>
        </w:tc>
        <w:tc>
          <w:tcPr>
            <w:tcW w:w="3973" w:type="dxa"/>
            <w:shd w:val="clear" w:color="auto" w:fill="auto"/>
            <w:vAlign w:val="center"/>
            <w:hideMark/>
          </w:tcPr>
          <w:p w14:paraId="4DFB3A8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acceso de Internet, redes y procesamiento de información.</w:t>
            </w:r>
          </w:p>
        </w:tc>
        <w:tc>
          <w:tcPr>
            <w:tcW w:w="1276" w:type="dxa"/>
            <w:shd w:val="clear" w:color="auto" w:fill="auto"/>
            <w:noWrap/>
            <w:vAlign w:val="center"/>
          </w:tcPr>
          <w:p w14:paraId="3A01EDE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16,487,350 </w:t>
            </w:r>
          </w:p>
        </w:tc>
        <w:tc>
          <w:tcPr>
            <w:tcW w:w="1276" w:type="dxa"/>
            <w:shd w:val="clear" w:color="auto" w:fill="auto"/>
            <w:noWrap/>
            <w:vAlign w:val="center"/>
          </w:tcPr>
          <w:p w14:paraId="7710264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1998BE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16,487,350 </w:t>
            </w:r>
          </w:p>
        </w:tc>
      </w:tr>
      <w:tr w:rsidR="00D868AB" w:rsidRPr="00D868AB" w14:paraId="5A78AFDF" w14:textId="77777777" w:rsidTr="00A755A7">
        <w:tblPrEx>
          <w:jc w:val="left"/>
        </w:tblPrEx>
        <w:trPr>
          <w:trHeight w:val="20"/>
        </w:trPr>
        <w:tc>
          <w:tcPr>
            <w:tcW w:w="700" w:type="dxa"/>
            <w:shd w:val="clear" w:color="auto" w:fill="auto"/>
            <w:noWrap/>
            <w:vAlign w:val="center"/>
            <w:hideMark/>
          </w:tcPr>
          <w:p w14:paraId="33E74F2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31800</w:t>
            </w:r>
          </w:p>
        </w:tc>
        <w:tc>
          <w:tcPr>
            <w:tcW w:w="3973" w:type="dxa"/>
            <w:shd w:val="clear" w:color="auto" w:fill="auto"/>
            <w:vAlign w:val="center"/>
            <w:hideMark/>
          </w:tcPr>
          <w:p w14:paraId="4BD37DA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postales y telegráficos.</w:t>
            </w:r>
          </w:p>
        </w:tc>
        <w:tc>
          <w:tcPr>
            <w:tcW w:w="1276" w:type="dxa"/>
            <w:shd w:val="clear" w:color="auto" w:fill="auto"/>
            <w:noWrap/>
            <w:vAlign w:val="center"/>
          </w:tcPr>
          <w:p w14:paraId="0B875EC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945,501 </w:t>
            </w:r>
          </w:p>
        </w:tc>
        <w:tc>
          <w:tcPr>
            <w:tcW w:w="1276" w:type="dxa"/>
            <w:shd w:val="clear" w:color="auto" w:fill="auto"/>
            <w:noWrap/>
            <w:vAlign w:val="center"/>
          </w:tcPr>
          <w:p w14:paraId="634B071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05B527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945,501 </w:t>
            </w:r>
          </w:p>
        </w:tc>
      </w:tr>
      <w:tr w:rsidR="00D868AB" w:rsidRPr="00D868AB" w14:paraId="1E6FFBB2" w14:textId="77777777" w:rsidTr="00A755A7">
        <w:tblPrEx>
          <w:jc w:val="left"/>
        </w:tblPrEx>
        <w:trPr>
          <w:trHeight w:val="20"/>
        </w:trPr>
        <w:tc>
          <w:tcPr>
            <w:tcW w:w="700" w:type="dxa"/>
            <w:shd w:val="clear" w:color="auto" w:fill="auto"/>
            <w:noWrap/>
            <w:vAlign w:val="center"/>
            <w:hideMark/>
          </w:tcPr>
          <w:p w14:paraId="62FFE0C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31900</w:t>
            </w:r>
          </w:p>
        </w:tc>
        <w:tc>
          <w:tcPr>
            <w:tcW w:w="3973" w:type="dxa"/>
            <w:shd w:val="clear" w:color="auto" w:fill="auto"/>
            <w:vAlign w:val="center"/>
            <w:hideMark/>
          </w:tcPr>
          <w:p w14:paraId="0D5EA87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integrales y otros servicios.</w:t>
            </w:r>
          </w:p>
        </w:tc>
        <w:tc>
          <w:tcPr>
            <w:tcW w:w="1276" w:type="dxa"/>
            <w:shd w:val="clear" w:color="auto" w:fill="auto"/>
            <w:noWrap/>
            <w:vAlign w:val="center"/>
          </w:tcPr>
          <w:p w14:paraId="0372320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9,500 </w:t>
            </w:r>
          </w:p>
        </w:tc>
        <w:tc>
          <w:tcPr>
            <w:tcW w:w="1276" w:type="dxa"/>
            <w:shd w:val="clear" w:color="auto" w:fill="auto"/>
            <w:noWrap/>
            <w:vAlign w:val="center"/>
          </w:tcPr>
          <w:p w14:paraId="4EF60AF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0105A9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9,500 </w:t>
            </w:r>
          </w:p>
        </w:tc>
      </w:tr>
      <w:tr w:rsidR="00D868AB" w:rsidRPr="00D868AB" w14:paraId="6A8F209C" w14:textId="77777777" w:rsidTr="00A755A7">
        <w:tblPrEx>
          <w:jc w:val="left"/>
        </w:tblPrEx>
        <w:trPr>
          <w:trHeight w:val="20"/>
        </w:trPr>
        <w:tc>
          <w:tcPr>
            <w:tcW w:w="700" w:type="dxa"/>
            <w:shd w:val="clear" w:color="auto" w:fill="auto"/>
            <w:noWrap/>
            <w:vAlign w:val="center"/>
            <w:hideMark/>
          </w:tcPr>
          <w:p w14:paraId="49178EEA"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32000</w:t>
            </w:r>
          </w:p>
        </w:tc>
        <w:tc>
          <w:tcPr>
            <w:tcW w:w="3973" w:type="dxa"/>
            <w:shd w:val="clear" w:color="auto" w:fill="auto"/>
            <w:vAlign w:val="center"/>
            <w:hideMark/>
          </w:tcPr>
          <w:p w14:paraId="27D28A24"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SERVICIOS DE ARRENDAMIENTO.</w:t>
            </w:r>
          </w:p>
        </w:tc>
        <w:tc>
          <w:tcPr>
            <w:tcW w:w="1276" w:type="dxa"/>
            <w:shd w:val="clear" w:color="auto" w:fill="auto"/>
            <w:noWrap/>
            <w:vAlign w:val="center"/>
          </w:tcPr>
          <w:p w14:paraId="530A467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138,179,287 </w:t>
            </w:r>
          </w:p>
        </w:tc>
        <w:tc>
          <w:tcPr>
            <w:tcW w:w="1276" w:type="dxa"/>
            <w:shd w:val="clear" w:color="auto" w:fill="auto"/>
            <w:noWrap/>
            <w:vAlign w:val="center"/>
          </w:tcPr>
          <w:p w14:paraId="4C3E36B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09C520F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138,179,287 </w:t>
            </w:r>
          </w:p>
        </w:tc>
      </w:tr>
      <w:tr w:rsidR="00D868AB" w:rsidRPr="00D868AB" w14:paraId="1EFF3BC1" w14:textId="77777777" w:rsidTr="00A755A7">
        <w:tblPrEx>
          <w:jc w:val="left"/>
        </w:tblPrEx>
        <w:trPr>
          <w:trHeight w:val="20"/>
        </w:trPr>
        <w:tc>
          <w:tcPr>
            <w:tcW w:w="700" w:type="dxa"/>
            <w:shd w:val="clear" w:color="auto" w:fill="auto"/>
            <w:noWrap/>
            <w:vAlign w:val="center"/>
            <w:hideMark/>
          </w:tcPr>
          <w:p w14:paraId="0FE3024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32100</w:t>
            </w:r>
          </w:p>
        </w:tc>
        <w:tc>
          <w:tcPr>
            <w:tcW w:w="3973" w:type="dxa"/>
            <w:shd w:val="clear" w:color="auto" w:fill="auto"/>
            <w:vAlign w:val="center"/>
            <w:hideMark/>
          </w:tcPr>
          <w:p w14:paraId="12DC009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Arrendamiento de terrenos.</w:t>
            </w:r>
          </w:p>
        </w:tc>
        <w:tc>
          <w:tcPr>
            <w:tcW w:w="1276" w:type="dxa"/>
            <w:shd w:val="clear" w:color="auto" w:fill="auto"/>
            <w:noWrap/>
            <w:vAlign w:val="center"/>
          </w:tcPr>
          <w:p w14:paraId="1D0F78A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59533D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7F2219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15489DC" w14:textId="77777777" w:rsidTr="00A755A7">
        <w:tblPrEx>
          <w:jc w:val="left"/>
        </w:tblPrEx>
        <w:trPr>
          <w:trHeight w:val="20"/>
        </w:trPr>
        <w:tc>
          <w:tcPr>
            <w:tcW w:w="700" w:type="dxa"/>
            <w:shd w:val="clear" w:color="auto" w:fill="auto"/>
            <w:noWrap/>
            <w:vAlign w:val="center"/>
            <w:hideMark/>
          </w:tcPr>
          <w:p w14:paraId="40A420D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32200</w:t>
            </w:r>
          </w:p>
        </w:tc>
        <w:tc>
          <w:tcPr>
            <w:tcW w:w="3973" w:type="dxa"/>
            <w:shd w:val="clear" w:color="auto" w:fill="auto"/>
            <w:vAlign w:val="center"/>
            <w:hideMark/>
          </w:tcPr>
          <w:p w14:paraId="738DE8F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Arrendamiento de edificios.</w:t>
            </w:r>
          </w:p>
        </w:tc>
        <w:tc>
          <w:tcPr>
            <w:tcW w:w="1276" w:type="dxa"/>
            <w:shd w:val="clear" w:color="auto" w:fill="auto"/>
            <w:noWrap/>
            <w:vAlign w:val="center"/>
          </w:tcPr>
          <w:p w14:paraId="262F69C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7,298,456 </w:t>
            </w:r>
          </w:p>
        </w:tc>
        <w:tc>
          <w:tcPr>
            <w:tcW w:w="1276" w:type="dxa"/>
            <w:shd w:val="clear" w:color="auto" w:fill="auto"/>
            <w:noWrap/>
            <w:vAlign w:val="center"/>
          </w:tcPr>
          <w:p w14:paraId="03F8EE1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FD31EE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7,298,456 </w:t>
            </w:r>
          </w:p>
        </w:tc>
      </w:tr>
      <w:tr w:rsidR="00D868AB" w:rsidRPr="00D868AB" w14:paraId="34BD5ABA" w14:textId="77777777" w:rsidTr="00A755A7">
        <w:tblPrEx>
          <w:jc w:val="left"/>
        </w:tblPrEx>
        <w:trPr>
          <w:trHeight w:val="20"/>
        </w:trPr>
        <w:tc>
          <w:tcPr>
            <w:tcW w:w="700" w:type="dxa"/>
            <w:shd w:val="clear" w:color="auto" w:fill="auto"/>
            <w:noWrap/>
            <w:vAlign w:val="center"/>
            <w:hideMark/>
          </w:tcPr>
          <w:p w14:paraId="03399AF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32300</w:t>
            </w:r>
          </w:p>
        </w:tc>
        <w:tc>
          <w:tcPr>
            <w:tcW w:w="3973" w:type="dxa"/>
            <w:shd w:val="clear" w:color="auto" w:fill="auto"/>
            <w:vAlign w:val="center"/>
            <w:hideMark/>
          </w:tcPr>
          <w:p w14:paraId="53FA814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Arrendamiento de mobiliario y equipo de administración, educacional y recreativo.</w:t>
            </w:r>
          </w:p>
        </w:tc>
        <w:tc>
          <w:tcPr>
            <w:tcW w:w="1276" w:type="dxa"/>
            <w:shd w:val="clear" w:color="auto" w:fill="auto"/>
            <w:noWrap/>
            <w:vAlign w:val="center"/>
          </w:tcPr>
          <w:p w14:paraId="4C3E0CD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6,667,831 </w:t>
            </w:r>
          </w:p>
        </w:tc>
        <w:tc>
          <w:tcPr>
            <w:tcW w:w="1276" w:type="dxa"/>
            <w:shd w:val="clear" w:color="auto" w:fill="auto"/>
            <w:noWrap/>
            <w:vAlign w:val="center"/>
          </w:tcPr>
          <w:p w14:paraId="038027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6826DD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6,667,831 </w:t>
            </w:r>
          </w:p>
        </w:tc>
      </w:tr>
      <w:tr w:rsidR="00D868AB" w:rsidRPr="00D868AB" w14:paraId="3107443C" w14:textId="77777777" w:rsidTr="00A755A7">
        <w:tblPrEx>
          <w:jc w:val="left"/>
        </w:tblPrEx>
        <w:trPr>
          <w:trHeight w:val="20"/>
        </w:trPr>
        <w:tc>
          <w:tcPr>
            <w:tcW w:w="700" w:type="dxa"/>
            <w:shd w:val="clear" w:color="auto" w:fill="auto"/>
            <w:noWrap/>
            <w:vAlign w:val="center"/>
            <w:hideMark/>
          </w:tcPr>
          <w:p w14:paraId="5F4E683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32400</w:t>
            </w:r>
          </w:p>
        </w:tc>
        <w:tc>
          <w:tcPr>
            <w:tcW w:w="3973" w:type="dxa"/>
            <w:shd w:val="clear" w:color="auto" w:fill="auto"/>
            <w:vAlign w:val="center"/>
            <w:hideMark/>
          </w:tcPr>
          <w:p w14:paraId="5DFFD26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Arrendamiento de equipo e instrumental médico y de laboratorio.</w:t>
            </w:r>
          </w:p>
        </w:tc>
        <w:tc>
          <w:tcPr>
            <w:tcW w:w="1276" w:type="dxa"/>
            <w:shd w:val="clear" w:color="auto" w:fill="auto"/>
            <w:noWrap/>
            <w:vAlign w:val="center"/>
          </w:tcPr>
          <w:p w14:paraId="3A369E0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C58E3E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92D118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0297C17" w14:textId="77777777" w:rsidTr="00A755A7">
        <w:tblPrEx>
          <w:jc w:val="left"/>
        </w:tblPrEx>
        <w:trPr>
          <w:trHeight w:val="20"/>
        </w:trPr>
        <w:tc>
          <w:tcPr>
            <w:tcW w:w="700" w:type="dxa"/>
            <w:shd w:val="clear" w:color="auto" w:fill="auto"/>
            <w:noWrap/>
            <w:vAlign w:val="center"/>
            <w:hideMark/>
          </w:tcPr>
          <w:p w14:paraId="7ED18ED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32500</w:t>
            </w:r>
          </w:p>
        </w:tc>
        <w:tc>
          <w:tcPr>
            <w:tcW w:w="3973" w:type="dxa"/>
            <w:shd w:val="clear" w:color="auto" w:fill="auto"/>
            <w:vAlign w:val="center"/>
            <w:hideMark/>
          </w:tcPr>
          <w:p w14:paraId="4862585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Arrendamiento de equipo de transporte.</w:t>
            </w:r>
          </w:p>
        </w:tc>
        <w:tc>
          <w:tcPr>
            <w:tcW w:w="1276" w:type="dxa"/>
            <w:shd w:val="clear" w:color="auto" w:fill="auto"/>
            <w:noWrap/>
            <w:vAlign w:val="center"/>
          </w:tcPr>
          <w:p w14:paraId="7FE350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116,000,000 </w:t>
            </w:r>
          </w:p>
        </w:tc>
        <w:tc>
          <w:tcPr>
            <w:tcW w:w="1276" w:type="dxa"/>
            <w:shd w:val="clear" w:color="auto" w:fill="auto"/>
            <w:noWrap/>
            <w:vAlign w:val="center"/>
          </w:tcPr>
          <w:p w14:paraId="4E89A65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1C07A8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116,000,000 </w:t>
            </w:r>
          </w:p>
        </w:tc>
      </w:tr>
      <w:tr w:rsidR="00D868AB" w:rsidRPr="00D868AB" w14:paraId="0ED02008" w14:textId="77777777" w:rsidTr="00A755A7">
        <w:tblPrEx>
          <w:jc w:val="left"/>
        </w:tblPrEx>
        <w:trPr>
          <w:trHeight w:val="20"/>
        </w:trPr>
        <w:tc>
          <w:tcPr>
            <w:tcW w:w="700" w:type="dxa"/>
            <w:shd w:val="clear" w:color="auto" w:fill="auto"/>
            <w:noWrap/>
            <w:vAlign w:val="center"/>
            <w:hideMark/>
          </w:tcPr>
          <w:p w14:paraId="728A392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32600</w:t>
            </w:r>
          </w:p>
        </w:tc>
        <w:tc>
          <w:tcPr>
            <w:tcW w:w="3973" w:type="dxa"/>
            <w:shd w:val="clear" w:color="auto" w:fill="auto"/>
            <w:vAlign w:val="center"/>
            <w:hideMark/>
          </w:tcPr>
          <w:p w14:paraId="3BC03D6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Arrendamiento de maquinaria, otros equipos y herramientas.</w:t>
            </w:r>
          </w:p>
        </w:tc>
        <w:tc>
          <w:tcPr>
            <w:tcW w:w="1276" w:type="dxa"/>
            <w:shd w:val="clear" w:color="auto" w:fill="auto"/>
            <w:noWrap/>
            <w:vAlign w:val="center"/>
          </w:tcPr>
          <w:p w14:paraId="58FF776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B9450A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3E622C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CF53E3B" w14:textId="77777777" w:rsidTr="00A755A7">
        <w:tblPrEx>
          <w:jc w:val="left"/>
        </w:tblPrEx>
        <w:trPr>
          <w:trHeight w:val="20"/>
        </w:trPr>
        <w:tc>
          <w:tcPr>
            <w:tcW w:w="700" w:type="dxa"/>
            <w:shd w:val="clear" w:color="auto" w:fill="auto"/>
            <w:noWrap/>
            <w:vAlign w:val="center"/>
            <w:hideMark/>
          </w:tcPr>
          <w:p w14:paraId="6169852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32700</w:t>
            </w:r>
          </w:p>
        </w:tc>
        <w:tc>
          <w:tcPr>
            <w:tcW w:w="3973" w:type="dxa"/>
            <w:shd w:val="clear" w:color="auto" w:fill="auto"/>
            <w:vAlign w:val="center"/>
            <w:hideMark/>
          </w:tcPr>
          <w:p w14:paraId="2827315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Arrendamiento de activos intangibles.</w:t>
            </w:r>
          </w:p>
        </w:tc>
        <w:tc>
          <w:tcPr>
            <w:tcW w:w="1276" w:type="dxa"/>
            <w:shd w:val="clear" w:color="auto" w:fill="auto"/>
            <w:noWrap/>
            <w:vAlign w:val="center"/>
          </w:tcPr>
          <w:p w14:paraId="029CCB9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8,205,000 </w:t>
            </w:r>
          </w:p>
        </w:tc>
        <w:tc>
          <w:tcPr>
            <w:tcW w:w="1276" w:type="dxa"/>
            <w:shd w:val="clear" w:color="auto" w:fill="auto"/>
            <w:noWrap/>
            <w:vAlign w:val="center"/>
          </w:tcPr>
          <w:p w14:paraId="543A684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FBEFCC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8,205,000 </w:t>
            </w:r>
          </w:p>
        </w:tc>
      </w:tr>
      <w:tr w:rsidR="00D868AB" w:rsidRPr="00D868AB" w14:paraId="187BBFDC" w14:textId="77777777" w:rsidTr="00A755A7">
        <w:tblPrEx>
          <w:jc w:val="left"/>
        </w:tblPrEx>
        <w:trPr>
          <w:trHeight w:val="20"/>
        </w:trPr>
        <w:tc>
          <w:tcPr>
            <w:tcW w:w="700" w:type="dxa"/>
            <w:shd w:val="clear" w:color="auto" w:fill="auto"/>
            <w:noWrap/>
            <w:vAlign w:val="center"/>
            <w:hideMark/>
          </w:tcPr>
          <w:p w14:paraId="27613DA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32800</w:t>
            </w:r>
          </w:p>
        </w:tc>
        <w:tc>
          <w:tcPr>
            <w:tcW w:w="3973" w:type="dxa"/>
            <w:shd w:val="clear" w:color="auto" w:fill="auto"/>
            <w:vAlign w:val="center"/>
            <w:hideMark/>
          </w:tcPr>
          <w:p w14:paraId="58869F1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Arrendamiento financiero.</w:t>
            </w:r>
          </w:p>
        </w:tc>
        <w:tc>
          <w:tcPr>
            <w:tcW w:w="1276" w:type="dxa"/>
            <w:shd w:val="clear" w:color="auto" w:fill="auto"/>
            <w:noWrap/>
            <w:vAlign w:val="center"/>
          </w:tcPr>
          <w:p w14:paraId="3F92C98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D4AA13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3171B3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C6AEDF9" w14:textId="77777777" w:rsidTr="00A755A7">
        <w:tblPrEx>
          <w:jc w:val="left"/>
        </w:tblPrEx>
        <w:trPr>
          <w:trHeight w:val="20"/>
        </w:trPr>
        <w:tc>
          <w:tcPr>
            <w:tcW w:w="700" w:type="dxa"/>
            <w:shd w:val="clear" w:color="auto" w:fill="auto"/>
            <w:noWrap/>
            <w:vAlign w:val="center"/>
            <w:hideMark/>
          </w:tcPr>
          <w:p w14:paraId="5E7C1B3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32900</w:t>
            </w:r>
          </w:p>
        </w:tc>
        <w:tc>
          <w:tcPr>
            <w:tcW w:w="3973" w:type="dxa"/>
            <w:shd w:val="clear" w:color="auto" w:fill="auto"/>
            <w:vAlign w:val="center"/>
            <w:hideMark/>
          </w:tcPr>
          <w:p w14:paraId="5A2CBA9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arrendamientos.</w:t>
            </w:r>
          </w:p>
        </w:tc>
        <w:tc>
          <w:tcPr>
            <w:tcW w:w="1276" w:type="dxa"/>
            <w:shd w:val="clear" w:color="auto" w:fill="auto"/>
            <w:noWrap/>
            <w:vAlign w:val="center"/>
          </w:tcPr>
          <w:p w14:paraId="00FFE44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8,000 </w:t>
            </w:r>
          </w:p>
        </w:tc>
        <w:tc>
          <w:tcPr>
            <w:tcW w:w="1276" w:type="dxa"/>
            <w:shd w:val="clear" w:color="auto" w:fill="auto"/>
            <w:noWrap/>
            <w:vAlign w:val="center"/>
          </w:tcPr>
          <w:p w14:paraId="73E4C64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A96F61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8,000 </w:t>
            </w:r>
          </w:p>
        </w:tc>
      </w:tr>
      <w:tr w:rsidR="00D868AB" w:rsidRPr="00D868AB" w14:paraId="623D71DE" w14:textId="77777777" w:rsidTr="00A755A7">
        <w:tblPrEx>
          <w:jc w:val="left"/>
        </w:tblPrEx>
        <w:trPr>
          <w:trHeight w:val="20"/>
        </w:trPr>
        <w:tc>
          <w:tcPr>
            <w:tcW w:w="700" w:type="dxa"/>
            <w:shd w:val="clear" w:color="auto" w:fill="auto"/>
            <w:noWrap/>
            <w:vAlign w:val="center"/>
            <w:hideMark/>
          </w:tcPr>
          <w:p w14:paraId="2D3856B4"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33000</w:t>
            </w:r>
          </w:p>
        </w:tc>
        <w:tc>
          <w:tcPr>
            <w:tcW w:w="3973" w:type="dxa"/>
            <w:shd w:val="clear" w:color="auto" w:fill="auto"/>
            <w:vAlign w:val="center"/>
            <w:hideMark/>
          </w:tcPr>
          <w:p w14:paraId="65630AE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SERVICIOS PROFESIONALES, CIENTÍFICOS, TECNICOS Y OTROS SERVICIOS.</w:t>
            </w:r>
          </w:p>
        </w:tc>
        <w:tc>
          <w:tcPr>
            <w:tcW w:w="1276" w:type="dxa"/>
            <w:shd w:val="clear" w:color="auto" w:fill="auto"/>
            <w:noWrap/>
            <w:vAlign w:val="center"/>
          </w:tcPr>
          <w:p w14:paraId="23A760F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18,575,749 </w:t>
            </w:r>
          </w:p>
        </w:tc>
        <w:tc>
          <w:tcPr>
            <w:tcW w:w="1276" w:type="dxa"/>
            <w:shd w:val="clear" w:color="auto" w:fill="auto"/>
            <w:noWrap/>
            <w:vAlign w:val="center"/>
          </w:tcPr>
          <w:p w14:paraId="673FE46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192958B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18,575,749 </w:t>
            </w:r>
          </w:p>
        </w:tc>
      </w:tr>
      <w:tr w:rsidR="00D868AB" w:rsidRPr="00D868AB" w14:paraId="06CF28AC" w14:textId="77777777" w:rsidTr="00A755A7">
        <w:tblPrEx>
          <w:jc w:val="left"/>
        </w:tblPrEx>
        <w:trPr>
          <w:trHeight w:val="20"/>
        </w:trPr>
        <w:tc>
          <w:tcPr>
            <w:tcW w:w="700" w:type="dxa"/>
            <w:shd w:val="clear" w:color="auto" w:fill="auto"/>
            <w:noWrap/>
            <w:vAlign w:val="center"/>
            <w:hideMark/>
          </w:tcPr>
          <w:p w14:paraId="6A46487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33100</w:t>
            </w:r>
          </w:p>
        </w:tc>
        <w:tc>
          <w:tcPr>
            <w:tcW w:w="3973" w:type="dxa"/>
            <w:shd w:val="clear" w:color="auto" w:fill="auto"/>
            <w:vAlign w:val="center"/>
            <w:hideMark/>
          </w:tcPr>
          <w:p w14:paraId="25579A0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legales, de contabilidad, auditoría y relacionados.</w:t>
            </w:r>
          </w:p>
        </w:tc>
        <w:tc>
          <w:tcPr>
            <w:tcW w:w="1276" w:type="dxa"/>
            <w:shd w:val="clear" w:color="auto" w:fill="auto"/>
            <w:noWrap/>
            <w:vAlign w:val="center"/>
          </w:tcPr>
          <w:p w14:paraId="2CBD0EB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4,436,200 </w:t>
            </w:r>
          </w:p>
        </w:tc>
        <w:tc>
          <w:tcPr>
            <w:tcW w:w="1276" w:type="dxa"/>
            <w:shd w:val="clear" w:color="auto" w:fill="auto"/>
            <w:noWrap/>
            <w:vAlign w:val="center"/>
          </w:tcPr>
          <w:p w14:paraId="6BE9FB8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A62AE8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4,436,200 </w:t>
            </w:r>
          </w:p>
        </w:tc>
      </w:tr>
      <w:tr w:rsidR="00D868AB" w:rsidRPr="00D868AB" w14:paraId="1227C183" w14:textId="77777777" w:rsidTr="00A755A7">
        <w:tblPrEx>
          <w:jc w:val="left"/>
        </w:tblPrEx>
        <w:trPr>
          <w:trHeight w:val="20"/>
        </w:trPr>
        <w:tc>
          <w:tcPr>
            <w:tcW w:w="700" w:type="dxa"/>
            <w:shd w:val="clear" w:color="auto" w:fill="auto"/>
            <w:noWrap/>
            <w:vAlign w:val="center"/>
            <w:hideMark/>
          </w:tcPr>
          <w:p w14:paraId="545812F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33200</w:t>
            </w:r>
          </w:p>
        </w:tc>
        <w:tc>
          <w:tcPr>
            <w:tcW w:w="3973" w:type="dxa"/>
            <w:shd w:val="clear" w:color="auto" w:fill="auto"/>
            <w:vAlign w:val="center"/>
            <w:hideMark/>
          </w:tcPr>
          <w:p w14:paraId="51DC8EA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diseño, arquitectura, ingeniería y actividades relacionadas.</w:t>
            </w:r>
          </w:p>
        </w:tc>
        <w:tc>
          <w:tcPr>
            <w:tcW w:w="1276" w:type="dxa"/>
            <w:shd w:val="clear" w:color="auto" w:fill="auto"/>
            <w:noWrap/>
            <w:vAlign w:val="center"/>
          </w:tcPr>
          <w:p w14:paraId="155A9A3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FDA936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F56DB4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1BCD8EC" w14:textId="77777777" w:rsidTr="00A755A7">
        <w:tblPrEx>
          <w:jc w:val="left"/>
        </w:tblPrEx>
        <w:trPr>
          <w:trHeight w:val="20"/>
        </w:trPr>
        <w:tc>
          <w:tcPr>
            <w:tcW w:w="700" w:type="dxa"/>
            <w:shd w:val="clear" w:color="auto" w:fill="auto"/>
            <w:noWrap/>
            <w:vAlign w:val="center"/>
            <w:hideMark/>
          </w:tcPr>
          <w:p w14:paraId="1A377C5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33300</w:t>
            </w:r>
          </w:p>
        </w:tc>
        <w:tc>
          <w:tcPr>
            <w:tcW w:w="3973" w:type="dxa"/>
            <w:shd w:val="clear" w:color="auto" w:fill="auto"/>
            <w:vAlign w:val="center"/>
            <w:hideMark/>
          </w:tcPr>
          <w:p w14:paraId="5DA9962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consultoría administrativa, procesos, técnica y en tecnologías de la información.</w:t>
            </w:r>
          </w:p>
        </w:tc>
        <w:tc>
          <w:tcPr>
            <w:tcW w:w="1276" w:type="dxa"/>
            <w:shd w:val="clear" w:color="auto" w:fill="auto"/>
            <w:noWrap/>
            <w:vAlign w:val="center"/>
          </w:tcPr>
          <w:p w14:paraId="4DF1543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1,131,200 </w:t>
            </w:r>
          </w:p>
        </w:tc>
        <w:tc>
          <w:tcPr>
            <w:tcW w:w="1276" w:type="dxa"/>
            <w:shd w:val="clear" w:color="auto" w:fill="auto"/>
            <w:noWrap/>
            <w:vAlign w:val="center"/>
          </w:tcPr>
          <w:p w14:paraId="3E39A9B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530872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1,131,200 </w:t>
            </w:r>
          </w:p>
        </w:tc>
      </w:tr>
      <w:tr w:rsidR="00D868AB" w:rsidRPr="00D868AB" w14:paraId="48CD05F5" w14:textId="77777777" w:rsidTr="00A755A7">
        <w:tblPrEx>
          <w:jc w:val="left"/>
        </w:tblPrEx>
        <w:trPr>
          <w:trHeight w:val="20"/>
        </w:trPr>
        <w:tc>
          <w:tcPr>
            <w:tcW w:w="700" w:type="dxa"/>
            <w:shd w:val="clear" w:color="auto" w:fill="auto"/>
            <w:noWrap/>
            <w:vAlign w:val="center"/>
            <w:hideMark/>
          </w:tcPr>
          <w:p w14:paraId="74DAD11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33400</w:t>
            </w:r>
          </w:p>
        </w:tc>
        <w:tc>
          <w:tcPr>
            <w:tcW w:w="3973" w:type="dxa"/>
            <w:shd w:val="clear" w:color="auto" w:fill="auto"/>
            <w:vAlign w:val="center"/>
            <w:hideMark/>
          </w:tcPr>
          <w:p w14:paraId="0993526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capacitación.</w:t>
            </w:r>
          </w:p>
        </w:tc>
        <w:tc>
          <w:tcPr>
            <w:tcW w:w="1276" w:type="dxa"/>
            <w:shd w:val="clear" w:color="auto" w:fill="auto"/>
            <w:noWrap/>
            <w:vAlign w:val="center"/>
          </w:tcPr>
          <w:p w14:paraId="73CD933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10,593,149 </w:t>
            </w:r>
          </w:p>
        </w:tc>
        <w:tc>
          <w:tcPr>
            <w:tcW w:w="1276" w:type="dxa"/>
            <w:shd w:val="clear" w:color="auto" w:fill="auto"/>
            <w:noWrap/>
            <w:vAlign w:val="center"/>
          </w:tcPr>
          <w:p w14:paraId="30963FC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F18E31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10,593,149 </w:t>
            </w:r>
          </w:p>
        </w:tc>
      </w:tr>
      <w:tr w:rsidR="00D868AB" w:rsidRPr="00D868AB" w14:paraId="48A3417E" w14:textId="77777777" w:rsidTr="00A755A7">
        <w:tblPrEx>
          <w:jc w:val="left"/>
        </w:tblPrEx>
        <w:trPr>
          <w:trHeight w:val="20"/>
        </w:trPr>
        <w:tc>
          <w:tcPr>
            <w:tcW w:w="700" w:type="dxa"/>
            <w:shd w:val="clear" w:color="auto" w:fill="auto"/>
            <w:noWrap/>
            <w:vAlign w:val="center"/>
            <w:hideMark/>
          </w:tcPr>
          <w:p w14:paraId="7C6A539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33500</w:t>
            </w:r>
          </w:p>
        </w:tc>
        <w:tc>
          <w:tcPr>
            <w:tcW w:w="3973" w:type="dxa"/>
            <w:shd w:val="clear" w:color="auto" w:fill="auto"/>
            <w:vAlign w:val="center"/>
            <w:hideMark/>
          </w:tcPr>
          <w:p w14:paraId="161645B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investigación científica y desarrollo.</w:t>
            </w:r>
          </w:p>
        </w:tc>
        <w:tc>
          <w:tcPr>
            <w:tcW w:w="1276" w:type="dxa"/>
            <w:shd w:val="clear" w:color="auto" w:fill="auto"/>
            <w:noWrap/>
            <w:vAlign w:val="center"/>
          </w:tcPr>
          <w:p w14:paraId="6F7D403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60,000 </w:t>
            </w:r>
          </w:p>
        </w:tc>
        <w:tc>
          <w:tcPr>
            <w:tcW w:w="1276" w:type="dxa"/>
            <w:shd w:val="clear" w:color="auto" w:fill="auto"/>
            <w:noWrap/>
            <w:vAlign w:val="center"/>
          </w:tcPr>
          <w:p w14:paraId="33165E4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C2C401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60,000 </w:t>
            </w:r>
          </w:p>
        </w:tc>
      </w:tr>
      <w:tr w:rsidR="00D868AB" w:rsidRPr="00D868AB" w14:paraId="0CAA84F3" w14:textId="77777777" w:rsidTr="00A755A7">
        <w:tblPrEx>
          <w:jc w:val="left"/>
        </w:tblPrEx>
        <w:trPr>
          <w:trHeight w:val="20"/>
        </w:trPr>
        <w:tc>
          <w:tcPr>
            <w:tcW w:w="700" w:type="dxa"/>
            <w:shd w:val="clear" w:color="auto" w:fill="auto"/>
            <w:noWrap/>
            <w:vAlign w:val="center"/>
            <w:hideMark/>
          </w:tcPr>
          <w:p w14:paraId="3A144CE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33600</w:t>
            </w:r>
          </w:p>
        </w:tc>
        <w:tc>
          <w:tcPr>
            <w:tcW w:w="3973" w:type="dxa"/>
            <w:shd w:val="clear" w:color="auto" w:fill="auto"/>
            <w:vAlign w:val="center"/>
            <w:hideMark/>
          </w:tcPr>
          <w:p w14:paraId="37D7E4E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apoyo administrativo, traducción, fotocopiado e impresión.</w:t>
            </w:r>
          </w:p>
        </w:tc>
        <w:tc>
          <w:tcPr>
            <w:tcW w:w="1276" w:type="dxa"/>
            <w:shd w:val="clear" w:color="auto" w:fill="auto"/>
            <w:noWrap/>
            <w:vAlign w:val="center"/>
          </w:tcPr>
          <w:p w14:paraId="7074823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678,400 </w:t>
            </w:r>
          </w:p>
        </w:tc>
        <w:tc>
          <w:tcPr>
            <w:tcW w:w="1276" w:type="dxa"/>
            <w:shd w:val="clear" w:color="auto" w:fill="auto"/>
            <w:noWrap/>
            <w:vAlign w:val="center"/>
          </w:tcPr>
          <w:p w14:paraId="40B3BF0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AB4944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678,400 </w:t>
            </w:r>
          </w:p>
        </w:tc>
      </w:tr>
      <w:tr w:rsidR="00D868AB" w:rsidRPr="00D868AB" w14:paraId="359AEBA0" w14:textId="77777777" w:rsidTr="00A755A7">
        <w:tblPrEx>
          <w:jc w:val="left"/>
        </w:tblPrEx>
        <w:trPr>
          <w:trHeight w:val="20"/>
        </w:trPr>
        <w:tc>
          <w:tcPr>
            <w:tcW w:w="700" w:type="dxa"/>
            <w:shd w:val="clear" w:color="auto" w:fill="auto"/>
            <w:noWrap/>
            <w:vAlign w:val="center"/>
            <w:hideMark/>
          </w:tcPr>
          <w:p w14:paraId="04BB277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33700</w:t>
            </w:r>
          </w:p>
        </w:tc>
        <w:tc>
          <w:tcPr>
            <w:tcW w:w="3973" w:type="dxa"/>
            <w:shd w:val="clear" w:color="auto" w:fill="auto"/>
            <w:vAlign w:val="center"/>
            <w:hideMark/>
          </w:tcPr>
          <w:p w14:paraId="1AE6854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protección y seguridad.</w:t>
            </w:r>
          </w:p>
        </w:tc>
        <w:tc>
          <w:tcPr>
            <w:tcW w:w="1276" w:type="dxa"/>
            <w:shd w:val="clear" w:color="auto" w:fill="auto"/>
            <w:noWrap/>
            <w:vAlign w:val="center"/>
          </w:tcPr>
          <w:p w14:paraId="1893EEB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2,000 </w:t>
            </w:r>
          </w:p>
        </w:tc>
        <w:tc>
          <w:tcPr>
            <w:tcW w:w="1276" w:type="dxa"/>
            <w:shd w:val="clear" w:color="auto" w:fill="auto"/>
            <w:noWrap/>
            <w:vAlign w:val="center"/>
          </w:tcPr>
          <w:p w14:paraId="7E39372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4066D4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2,000 </w:t>
            </w:r>
          </w:p>
        </w:tc>
      </w:tr>
      <w:tr w:rsidR="00D868AB" w:rsidRPr="00D868AB" w14:paraId="14654851" w14:textId="77777777" w:rsidTr="00A755A7">
        <w:tblPrEx>
          <w:jc w:val="left"/>
        </w:tblPrEx>
        <w:trPr>
          <w:trHeight w:val="20"/>
        </w:trPr>
        <w:tc>
          <w:tcPr>
            <w:tcW w:w="700" w:type="dxa"/>
            <w:shd w:val="clear" w:color="auto" w:fill="auto"/>
            <w:noWrap/>
            <w:vAlign w:val="center"/>
            <w:hideMark/>
          </w:tcPr>
          <w:p w14:paraId="134E20D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33800</w:t>
            </w:r>
          </w:p>
        </w:tc>
        <w:tc>
          <w:tcPr>
            <w:tcW w:w="3973" w:type="dxa"/>
            <w:shd w:val="clear" w:color="auto" w:fill="auto"/>
            <w:vAlign w:val="center"/>
            <w:hideMark/>
          </w:tcPr>
          <w:p w14:paraId="374E5EB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vigilancia.</w:t>
            </w:r>
          </w:p>
        </w:tc>
        <w:tc>
          <w:tcPr>
            <w:tcW w:w="1276" w:type="dxa"/>
            <w:shd w:val="clear" w:color="auto" w:fill="auto"/>
            <w:noWrap/>
            <w:vAlign w:val="center"/>
          </w:tcPr>
          <w:p w14:paraId="5493D24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600,000 </w:t>
            </w:r>
          </w:p>
        </w:tc>
        <w:tc>
          <w:tcPr>
            <w:tcW w:w="1276" w:type="dxa"/>
            <w:shd w:val="clear" w:color="auto" w:fill="auto"/>
            <w:noWrap/>
            <w:vAlign w:val="center"/>
          </w:tcPr>
          <w:p w14:paraId="45F6615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801B40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600,000 </w:t>
            </w:r>
          </w:p>
        </w:tc>
      </w:tr>
      <w:tr w:rsidR="00D868AB" w:rsidRPr="00D868AB" w14:paraId="44ABB745" w14:textId="77777777" w:rsidTr="00A755A7">
        <w:tblPrEx>
          <w:jc w:val="left"/>
        </w:tblPrEx>
        <w:trPr>
          <w:trHeight w:val="20"/>
        </w:trPr>
        <w:tc>
          <w:tcPr>
            <w:tcW w:w="700" w:type="dxa"/>
            <w:shd w:val="clear" w:color="auto" w:fill="auto"/>
            <w:noWrap/>
            <w:vAlign w:val="center"/>
            <w:hideMark/>
          </w:tcPr>
          <w:p w14:paraId="0C940CF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33900</w:t>
            </w:r>
          </w:p>
        </w:tc>
        <w:tc>
          <w:tcPr>
            <w:tcW w:w="3973" w:type="dxa"/>
            <w:shd w:val="clear" w:color="auto" w:fill="auto"/>
            <w:vAlign w:val="center"/>
            <w:hideMark/>
          </w:tcPr>
          <w:p w14:paraId="26C31D4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profesionales, científicos y técnicos integrales.</w:t>
            </w:r>
          </w:p>
        </w:tc>
        <w:tc>
          <w:tcPr>
            <w:tcW w:w="1276" w:type="dxa"/>
            <w:shd w:val="clear" w:color="auto" w:fill="auto"/>
            <w:noWrap/>
            <w:vAlign w:val="center"/>
          </w:tcPr>
          <w:p w14:paraId="2646FEB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1,074,800 </w:t>
            </w:r>
          </w:p>
        </w:tc>
        <w:tc>
          <w:tcPr>
            <w:tcW w:w="1276" w:type="dxa"/>
            <w:shd w:val="clear" w:color="auto" w:fill="auto"/>
            <w:noWrap/>
            <w:vAlign w:val="center"/>
          </w:tcPr>
          <w:p w14:paraId="0CA5943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73483A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1,074,800 </w:t>
            </w:r>
          </w:p>
        </w:tc>
      </w:tr>
      <w:tr w:rsidR="00D868AB" w:rsidRPr="00D868AB" w14:paraId="06301763" w14:textId="77777777" w:rsidTr="00A755A7">
        <w:tblPrEx>
          <w:jc w:val="left"/>
        </w:tblPrEx>
        <w:trPr>
          <w:trHeight w:val="20"/>
        </w:trPr>
        <w:tc>
          <w:tcPr>
            <w:tcW w:w="700" w:type="dxa"/>
            <w:shd w:val="clear" w:color="auto" w:fill="auto"/>
            <w:noWrap/>
            <w:vAlign w:val="center"/>
            <w:hideMark/>
          </w:tcPr>
          <w:p w14:paraId="0AA2B9D8"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lastRenderedPageBreak/>
              <w:t>34000</w:t>
            </w:r>
          </w:p>
        </w:tc>
        <w:tc>
          <w:tcPr>
            <w:tcW w:w="3973" w:type="dxa"/>
            <w:shd w:val="clear" w:color="auto" w:fill="auto"/>
            <w:vAlign w:val="center"/>
            <w:hideMark/>
          </w:tcPr>
          <w:p w14:paraId="1FC05CE7"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SERVICIOS FINANCIEROS, BANCARIOS Y COMERCIALES.</w:t>
            </w:r>
          </w:p>
        </w:tc>
        <w:tc>
          <w:tcPr>
            <w:tcW w:w="1276" w:type="dxa"/>
            <w:shd w:val="clear" w:color="auto" w:fill="auto"/>
            <w:noWrap/>
            <w:vAlign w:val="center"/>
          </w:tcPr>
          <w:p w14:paraId="31B8BDB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48,286,520 </w:t>
            </w:r>
          </w:p>
        </w:tc>
        <w:tc>
          <w:tcPr>
            <w:tcW w:w="1276" w:type="dxa"/>
            <w:shd w:val="clear" w:color="auto" w:fill="auto"/>
            <w:noWrap/>
            <w:vAlign w:val="center"/>
          </w:tcPr>
          <w:p w14:paraId="17521CD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442979B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48,286,520 </w:t>
            </w:r>
          </w:p>
        </w:tc>
      </w:tr>
      <w:tr w:rsidR="00D868AB" w:rsidRPr="00D868AB" w14:paraId="67EB591D" w14:textId="77777777" w:rsidTr="00A755A7">
        <w:tblPrEx>
          <w:jc w:val="left"/>
        </w:tblPrEx>
        <w:trPr>
          <w:trHeight w:val="20"/>
        </w:trPr>
        <w:tc>
          <w:tcPr>
            <w:tcW w:w="700" w:type="dxa"/>
            <w:shd w:val="clear" w:color="auto" w:fill="auto"/>
            <w:noWrap/>
            <w:vAlign w:val="center"/>
            <w:hideMark/>
          </w:tcPr>
          <w:p w14:paraId="7DFDEEA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34100</w:t>
            </w:r>
          </w:p>
        </w:tc>
        <w:tc>
          <w:tcPr>
            <w:tcW w:w="3973" w:type="dxa"/>
            <w:shd w:val="clear" w:color="auto" w:fill="auto"/>
            <w:vAlign w:val="center"/>
            <w:hideMark/>
          </w:tcPr>
          <w:p w14:paraId="11B8832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financieros y bancarios.</w:t>
            </w:r>
          </w:p>
        </w:tc>
        <w:tc>
          <w:tcPr>
            <w:tcW w:w="1276" w:type="dxa"/>
            <w:shd w:val="clear" w:color="auto" w:fill="auto"/>
            <w:noWrap/>
            <w:vAlign w:val="center"/>
          </w:tcPr>
          <w:p w14:paraId="6E8B97E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15,410,000 </w:t>
            </w:r>
          </w:p>
        </w:tc>
        <w:tc>
          <w:tcPr>
            <w:tcW w:w="1276" w:type="dxa"/>
            <w:shd w:val="clear" w:color="auto" w:fill="auto"/>
            <w:noWrap/>
            <w:vAlign w:val="center"/>
          </w:tcPr>
          <w:p w14:paraId="7C4E551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424841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15,410,000 </w:t>
            </w:r>
          </w:p>
        </w:tc>
      </w:tr>
      <w:tr w:rsidR="00D868AB" w:rsidRPr="00D868AB" w14:paraId="3A0FF0BB" w14:textId="77777777" w:rsidTr="00A755A7">
        <w:tblPrEx>
          <w:jc w:val="left"/>
        </w:tblPrEx>
        <w:trPr>
          <w:trHeight w:val="20"/>
        </w:trPr>
        <w:tc>
          <w:tcPr>
            <w:tcW w:w="700" w:type="dxa"/>
            <w:shd w:val="clear" w:color="auto" w:fill="auto"/>
            <w:noWrap/>
            <w:vAlign w:val="center"/>
            <w:hideMark/>
          </w:tcPr>
          <w:p w14:paraId="4AC69EA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34200</w:t>
            </w:r>
          </w:p>
        </w:tc>
        <w:tc>
          <w:tcPr>
            <w:tcW w:w="3973" w:type="dxa"/>
            <w:shd w:val="clear" w:color="auto" w:fill="auto"/>
            <w:vAlign w:val="center"/>
            <w:hideMark/>
          </w:tcPr>
          <w:p w14:paraId="40C2375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cobranza, investigación crediticia y similar.</w:t>
            </w:r>
          </w:p>
        </w:tc>
        <w:tc>
          <w:tcPr>
            <w:tcW w:w="1276" w:type="dxa"/>
            <w:shd w:val="clear" w:color="auto" w:fill="auto"/>
            <w:noWrap/>
            <w:vAlign w:val="center"/>
          </w:tcPr>
          <w:p w14:paraId="75D15B3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BA64F8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64617E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9D27AFA" w14:textId="77777777" w:rsidTr="00A755A7">
        <w:tblPrEx>
          <w:jc w:val="left"/>
        </w:tblPrEx>
        <w:trPr>
          <w:trHeight w:val="20"/>
        </w:trPr>
        <w:tc>
          <w:tcPr>
            <w:tcW w:w="700" w:type="dxa"/>
            <w:shd w:val="clear" w:color="auto" w:fill="auto"/>
            <w:noWrap/>
            <w:vAlign w:val="center"/>
            <w:hideMark/>
          </w:tcPr>
          <w:p w14:paraId="1092FA6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34300</w:t>
            </w:r>
          </w:p>
        </w:tc>
        <w:tc>
          <w:tcPr>
            <w:tcW w:w="3973" w:type="dxa"/>
            <w:shd w:val="clear" w:color="auto" w:fill="auto"/>
            <w:vAlign w:val="center"/>
            <w:hideMark/>
          </w:tcPr>
          <w:p w14:paraId="719DB57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recaudación, traslado y custodia de valores.</w:t>
            </w:r>
          </w:p>
        </w:tc>
        <w:tc>
          <w:tcPr>
            <w:tcW w:w="1276" w:type="dxa"/>
            <w:shd w:val="clear" w:color="auto" w:fill="auto"/>
            <w:noWrap/>
            <w:vAlign w:val="center"/>
          </w:tcPr>
          <w:p w14:paraId="4A473A7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99BF0A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E6D152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6ECA58D" w14:textId="77777777" w:rsidTr="00A755A7">
        <w:tblPrEx>
          <w:jc w:val="left"/>
        </w:tblPrEx>
        <w:trPr>
          <w:trHeight w:val="20"/>
        </w:trPr>
        <w:tc>
          <w:tcPr>
            <w:tcW w:w="700" w:type="dxa"/>
            <w:shd w:val="clear" w:color="auto" w:fill="auto"/>
            <w:noWrap/>
            <w:vAlign w:val="center"/>
            <w:hideMark/>
          </w:tcPr>
          <w:p w14:paraId="3AC4869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34400</w:t>
            </w:r>
          </w:p>
        </w:tc>
        <w:tc>
          <w:tcPr>
            <w:tcW w:w="3973" w:type="dxa"/>
            <w:shd w:val="clear" w:color="auto" w:fill="auto"/>
            <w:vAlign w:val="center"/>
            <w:hideMark/>
          </w:tcPr>
          <w:p w14:paraId="206B0F9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Seguros de responsabilidad patrimonial y fianzas.</w:t>
            </w:r>
          </w:p>
        </w:tc>
        <w:tc>
          <w:tcPr>
            <w:tcW w:w="1276" w:type="dxa"/>
            <w:shd w:val="clear" w:color="auto" w:fill="auto"/>
            <w:noWrap/>
            <w:vAlign w:val="center"/>
          </w:tcPr>
          <w:p w14:paraId="4640EB9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399F4D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4539E4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2C072CD" w14:textId="77777777" w:rsidTr="00A755A7">
        <w:tblPrEx>
          <w:jc w:val="left"/>
        </w:tblPrEx>
        <w:trPr>
          <w:trHeight w:val="20"/>
        </w:trPr>
        <w:tc>
          <w:tcPr>
            <w:tcW w:w="700" w:type="dxa"/>
            <w:shd w:val="clear" w:color="auto" w:fill="auto"/>
            <w:noWrap/>
            <w:vAlign w:val="center"/>
            <w:hideMark/>
          </w:tcPr>
          <w:p w14:paraId="0F97C0D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34500</w:t>
            </w:r>
          </w:p>
        </w:tc>
        <w:tc>
          <w:tcPr>
            <w:tcW w:w="3973" w:type="dxa"/>
            <w:shd w:val="clear" w:color="auto" w:fill="auto"/>
            <w:vAlign w:val="center"/>
            <w:hideMark/>
          </w:tcPr>
          <w:p w14:paraId="4BCD5E1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Seguro de bienes patrimoniales.</w:t>
            </w:r>
          </w:p>
        </w:tc>
        <w:tc>
          <w:tcPr>
            <w:tcW w:w="1276" w:type="dxa"/>
            <w:shd w:val="clear" w:color="auto" w:fill="auto"/>
            <w:noWrap/>
            <w:vAlign w:val="center"/>
          </w:tcPr>
          <w:p w14:paraId="20A00A8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32,866,520 </w:t>
            </w:r>
          </w:p>
        </w:tc>
        <w:tc>
          <w:tcPr>
            <w:tcW w:w="1276" w:type="dxa"/>
            <w:shd w:val="clear" w:color="auto" w:fill="auto"/>
            <w:noWrap/>
            <w:vAlign w:val="center"/>
          </w:tcPr>
          <w:p w14:paraId="36C092E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4D10BD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32,866,520 </w:t>
            </w:r>
          </w:p>
        </w:tc>
      </w:tr>
      <w:tr w:rsidR="00D868AB" w:rsidRPr="00D868AB" w14:paraId="187C6D89" w14:textId="77777777" w:rsidTr="00A755A7">
        <w:tblPrEx>
          <w:jc w:val="left"/>
        </w:tblPrEx>
        <w:trPr>
          <w:trHeight w:val="20"/>
        </w:trPr>
        <w:tc>
          <w:tcPr>
            <w:tcW w:w="700" w:type="dxa"/>
            <w:shd w:val="clear" w:color="auto" w:fill="auto"/>
            <w:noWrap/>
            <w:vAlign w:val="center"/>
            <w:hideMark/>
          </w:tcPr>
          <w:p w14:paraId="1C00FCB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34600</w:t>
            </w:r>
          </w:p>
        </w:tc>
        <w:tc>
          <w:tcPr>
            <w:tcW w:w="3973" w:type="dxa"/>
            <w:shd w:val="clear" w:color="auto" w:fill="auto"/>
            <w:vAlign w:val="center"/>
            <w:hideMark/>
          </w:tcPr>
          <w:p w14:paraId="6CEABA1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Almacenaje, envase y embalaje.</w:t>
            </w:r>
          </w:p>
        </w:tc>
        <w:tc>
          <w:tcPr>
            <w:tcW w:w="1276" w:type="dxa"/>
            <w:shd w:val="clear" w:color="auto" w:fill="auto"/>
            <w:noWrap/>
            <w:vAlign w:val="center"/>
          </w:tcPr>
          <w:p w14:paraId="03F1C92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DBE3A5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5D0709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8B7AD9B" w14:textId="77777777" w:rsidTr="00A755A7">
        <w:tblPrEx>
          <w:jc w:val="left"/>
        </w:tblPrEx>
        <w:trPr>
          <w:trHeight w:val="20"/>
        </w:trPr>
        <w:tc>
          <w:tcPr>
            <w:tcW w:w="700" w:type="dxa"/>
            <w:shd w:val="clear" w:color="auto" w:fill="auto"/>
            <w:noWrap/>
            <w:vAlign w:val="center"/>
            <w:hideMark/>
          </w:tcPr>
          <w:p w14:paraId="7882CCF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34700</w:t>
            </w:r>
          </w:p>
        </w:tc>
        <w:tc>
          <w:tcPr>
            <w:tcW w:w="3973" w:type="dxa"/>
            <w:shd w:val="clear" w:color="auto" w:fill="auto"/>
            <w:vAlign w:val="center"/>
            <w:hideMark/>
          </w:tcPr>
          <w:p w14:paraId="4CFE731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Fletes y maniobras.</w:t>
            </w:r>
          </w:p>
        </w:tc>
        <w:tc>
          <w:tcPr>
            <w:tcW w:w="1276" w:type="dxa"/>
            <w:shd w:val="clear" w:color="auto" w:fill="auto"/>
            <w:noWrap/>
            <w:vAlign w:val="center"/>
          </w:tcPr>
          <w:p w14:paraId="5892960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10,000 </w:t>
            </w:r>
          </w:p>
        </w:tc>
        <w:tc>
          <w:tcPr>
            <w:tcW w:w="1276" w:type="dxa"/>
            <w:shd w:val="clear" w:color="auto" w:fill="auto"/>
            <w:noWrap/>
            <w:vAlign w:val="center"/>
          </w:tcPr>
          <w:p w14:paraId="0A92150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13DBE3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10,000 </w:t>
            </w:r>
          </w:p>
        </w:tc>
      </w:tr>
      <w:tr w:rsidR="00D868AB" w:rsidRPr="00D868AB" w14:paraId="1495FA29" w14:textId="77777777" w:rsidTr="00A755A7">
        <w:tblPrEx>
          <w:jc w:val="left"/>
        </w:tblPrEx>
        <w:trPr>
          <w:trHeight w:val="20"/>
        </w:trPr>
        <w:tc>
          <w:tcPr>
            <w:tcW w:w="700" w:type="dxa"/>
            <w:shd w:val="clear" w:color="auto" w:fill="auto"/>
            <w:noWrap/>
            <w:vAlign w:val="center"/>
            <w:hideMark/>
          </w:tcPr>
          <w:p w14:paraId="198BFAC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34800</w:t>
            </w:r>
          </w:p>
        </w:tc>
        <w:tc>
          <w:tcPr>
            <w:tcW w:w="3973" w:type="dxa"/>
            <w:shd w:val="clear" w:color="auto" w:fill="auto"/>
            <w:vAlign w:val="center"/>
            <w:hideMark/>
          </w:tcPr>
          <w:p w14:paraId="2A20C4F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Comisiones por ventas.</w:t>
            </w:r>
          </w:p>
        </w:tc>
        <w:tc>
          <w:tcPr>
            <w:tcW w:w="1276" w:type="dxa"/>
            <w:shd w:val="clear" w:color="auto" w:fill="auto"/>
            <w:noWrap/>
            <w:vAlign w:val="center"/>
          </w:tcPr>
          <w:p w14:paraId="463015C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DC1923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61451E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26CDB95" w14:textId="77777777" w:rsidTr="00A755A7">
        <w:tblPrEx>
          <w:jc w:val="left"/>
        </w:tblPrEx>
        <w:trPr>
          <w:trHeight w:val="20"/>
        </w:trPr>
        <w:tc>
          <w:tcPr>
            <w:tcW w:w="700" w:type="dxa"/>
            <w:shd w:val="clear" w:color="auto" w:fill="auto"/>
            <w:noWrap/>
            <w:vAlign w:val="center"/>
            <w:hideMark/>
          </w:tcPr>
          <w:p w14:paraId="58AAAD1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34900</w:t>
            </w:r>
          </w:p>
        </w:tc>
        <w:tc>
          <w:tcPr>
            <w:tcW w:w="3973" w:type="dxa"/>
            <w:shd w:val="clear" w:color="auto" w:fill="auto"/>
            <w:vAlign w:val="center"/>
            <w:hideMark/>
          </w:tcPr>
          <w:p w14:paraId="26BE4B8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financieros, bancarios y comerciales integrales.</w:t>
            </w:r>
          </w:p>
        </w:tc>
        <w:tc>
          <w:tcPr>
            <w:tcW w:w="1276" w:type="dxa"/>
            <w:shd w:val="clear" w:color="auto" w:fill="auto"/>
            <w:noWrap/>
            <w:vAlign w:val="center"/>
          </w:tcPr>
          <w:p w14:paraId="6D64588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DA50EC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033E88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7FC865A" w14:textId="77777777" w:rsidTr="00A755A7">
        <w:tblPrEx>
          <w:jc w:val="left"/>
        </w:tblPrEx>
        <w:trPr>
          <w:trHeight w:val="20"/>
        </w:trPr>
        <w:tc>
          <w:tcPr>
            <w:tcW w:w="700" w:type="dxa"/>
            <w:shd w:val="clear" w:color="auto" w:fill="auto"/>
            <w:noWrap/>
            <w:vAlign w:val="center"/>
            <w:hideMark/>
          </w:tcPr>
          <w:p w14:paraId="0530E117"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35000</w:t>
            </w:r>
          </w:p>
        </w:tc>
        <w:tc>
          <w:tcPr>
            <w:tcW w:w="3973" w:type="dxa"/>
            <w:shd w:val="clear" w:color="auto" w:fill="auto"/>
            <w:vAlign w:val="center"/>
            <w:hideMark/>
          </w:tcPr>
          <w:p w14:paraId="3F37D7D1"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SERVICIOS DE INSTALACIÓN, REPARACIÓN, MANTENIMIENTO Y CONSERVACIÓN.</w:t>
            </w:r>
          </w:p>
        </w:tc>
        <w:tc>
          <w:tcPr>
            <w:tcW w:w="1276" w:type="dxa"/>
            <w:shd w:val="clear" w:color="auto" w:fill="auto"/>
            <w:noWrap/>
            <w:vAlign w:val="center"/>
          </w:tcPr>
          <w:p w14:paraId="5C5F4A0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132,569,090 </w:t>
            </w:r>
          </w:p>
        </w:tc>
        <w:tc>
          <w:tcPr>
            <w:tcW w:w="1276" w:type="dxa"/>
            <w:shd w:val="clear" w:color="auto" w:fill="auto"/>
            <w:noWrap/>
            <w:vAlign w:val="center"/>
          </w:tcPr>
          <w:p w14:paraId="4EA9192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483803F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132,569,090 </w:t>
            </w:r>
          </w:p>
        </w:tc>
      </w:tr>
      <w:tr w:rsidR="00D868AB" w:rsidRPr="00D868AB" w14:paraId="45DB674C" w14:textId="77777777" w:rsidTr="00A755A7">
        <w:tblPrEx>
          <w:jc w:val="left"/>
        </w:tblPrEx>
        <w:trPr>
          <w:trHeight w:val="20"/>
        </w:trPr>
        <w:tc>
          <w:tcPr>
            <w:tcW w:w="700" w:type="dxa"/>
            <w:shd w:val="clear" w:color="auto" w:fill="auto"/>
            <w:noWrap/>
            <w:vAlign w:val="center"/>
            <w:hideMark/>
          </w:tcPr>
          <w:p w14:paraId="1DBAF4F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35100</w:t>
            </w:r>
          </w:p>
        </w:tc>
        <w:tc>
          <w:tcPr>
            <w:tcW w:w="3973" w:type="dxa"/>
            <w:shd w:val="clear" w:color="auto" w:fill="auto"/>
            <w:vAlign w:val="center"/>
            <w:hideMark/>
          </w:tcPr>
          <w:p w14:paraId="2853E85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Conservación y mantenimiento menor de inmuebles.</w:t>
            </w:r>
          </w:p>
        </w:tc>
        <w:tc>
          <w:tcPr>
            <w:tcW w:w="1276" w:type="dxa"/>
            <w:shd w:val="clear" w:color="auto" w:fill="auto"/>
            <w:noWrap/>
            <w:vAlign w:val="center"/>
          </w:tcPr>
          <w:p w14:paraId="3605382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5,195,430 </w:t>
            </w:r>
          </w:p>
        </w:tc>
        <w:tc>
          <w:tcPr>
            <w:tcW w:w="1276" w:type="dxa"/>
            <w:shd w:val="clear" w:color="auto" w:fill="auto"/>
            <w:noWrap/>
            <w:vAlign w:val="center"/>
          </w:tcPr>
          <w:p w14:paraId="0149301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FC724C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5,195,430 </w:t>
            </w:r>
          </w:p>
        </w:tc>
      </w:tr>
      <w:tr w:rsidR="00D868AB" w:rsidRPr="00D868AB" w14:paraId="535043C0" w14:textId="77777777" w:rsidTr="00A755A7">
        <w:tblPrEx>
          <w:jc w:val="left"/>
        </w:tblPrEx>
        <w:trPr>
          <w:trHeight w:val="20"/>
        </w:trPr>
        <w:tc>
          <w:tcPr>
            <w:tcW w:w="700" w:type="dxa"/>
            <w:shd w:val="clear" w:color="auto" w:fill="auto"/>
            <w:noWrap/>
            <w:vAlign w:val="center"/>
            <w:hideMark/>
          </w:tcPr>
          <w:p w14:paraId="0D16B50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35200</w:t>
            </w:r>
          </w:p>
        </w:tc>
        <w:tc>
          <w:tcPr>
            <w:tcW w:w="3973" w:type="dxa"/>
            <w:shd w:val="clear" w:color="auto" w:fill="auto"/>
            <w:vAlign w:val="center"/>
            <w:hideMark/>
          </w:tcPr>
          <w:p w14:paraId="3B2BFFB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Instalación, reparación y mantenimiento de mobiliario y equipo de administración, educacional y recreativo.</w:t>
            </w:r>
          </w:p>
        </w:tc>
        <w:tc>
          <w:tcPr>
            <w:tcW w:w="1276" w:type="dxa"/>
            <w:shd w:val="clear" w:color="auto" w:fill="auto"/>
            <w:noWrap/>
            <w:vAlign w:val="center"/>
          </w:tcPr>
          <w:p w14:paraId="21FE33C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3,551,697 </w:t>
            </w:r>
          </w:p>
        </w:tc>
        <w:tc>
          <w:tcPr>
            <w:tcW w:w="1276" w:type="dxa"/>
            <w:shd w:val="clear" w:color="auto" w:fill="auto"/>
            <w:noWrap/>
            <w:vAlign w:val="center"/>
          </w:tcPr>
          <w:p w14:paraId="3015FFE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7076F9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3,551,697 </w:t>
            </w:r>
          </w:p>
        </w:tc>
      </w:tr>
      <w:tr w:rsidR="00D868AB" w:rsidRPr="00D868AB" w14:paraId="0B17E247" w14:textId="77777777" w:rsidTr="00A755A7">
        <w:tblPrEx>
          <w:jc w:val="left"/>
        </w:tblPrEx>
        <w:trPr>
          <w:trHeight w:val="20"/>
        </w:trPr>
        <w:tc>
          <w:tcPr>
            <w:tcW w:w="700" w:type="dxa"/>
            <w:shd w:val="clear" w:color="auto" w:fill="auto"/>
            <w:noWrap/>
            <w:vAlign w:val="center"/>
            <w:hideMark/>
          </w:tcPr>
          <w:p w14:paraId="4944056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35300</w:t>
            </w:r>
          </w:p>
        </w:tc>
        <w:tc>
          <w:tcPr>
            <w:tcW w:w="3973" w:type="dxa"/>
            <w:shd w:val="clear" w:color="auto" w:fill="auto"/>
            <w:vAlign w:val="center"/>
            <w:hideMark/>
          </w:tcPr>
          <w:p w14:paraId="5190F6E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Instalación, reparación y mantenimiento de equipo de cómputo y tecnología de la información.</w:t>
            </w:r>
          </w:p>
        </w:tc>
        <w:tc>
          <w:tcPr>
            <w:tcW w:w="1276" w:type="dxa"/>
            <w:shd w:val="clear" w:color="auto" w:fill="auto"/>
            <w:noWrap/>
            <w:vAlign w:val="center"/>
          </w:tcPr>
          <w:p w14:paraId="415D8AC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14,018,236 </w:t>
            </w:r>
          </w:p>
        </w:tc>
        <w:tc>
          <w:tcPr>
            <w:tcW w:w="1276" w:type="dxa"/>
            <w:shd w:val="clear" w:color="auto" w:fill="auto"/>
            <w:noWrap/>
            <w:vAlign w:val="center"/>
          </w:tcPr>
          <w:p w14:paraId="3CA20CB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FCDF40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14,018,236 </w:t>
            </w:r>
          </w:p>
        </w:tc>
      </w:tr>
      <w:tr w:rsidR="00D868AB" w:rsidRPr="00D868AB" w14:paraId="548DA0FE" w14:textId="77777777" w:rsidTr="00A755A7">
        <w:tblPrEx>
          <w:jc w:val="left"/>
        </w:tblPrEx>
        <w:trPr>
          <w:trHeight w:val="20"/>
        </w:trPr>
        <w:tc>
          <w:tcPr>
            <w:tcW w:w="700" w:type="dxa"/>
            <w:shd w:val="clear" w:color="auto" w:fill="auto"/>
            <w:noWrap/>
            <w:vAlign w:val="center"/>
            <w:hideMark/>
          </w:tcPr>
          <w:p w14:paraId="2E506B9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35400</w:t>
            </w:r>
          </w:p>
        </w:tc>
        <w:tc>
          <w:tcPr>
            <w:tcW w:w="3973" w:type="dxa"/>
            <w:shd w:val="clear" w:color="auto" w:fill="auto"/>
            <w:vAlign w:val="center"/>
            <w:hideMark/>
          </w:tcPr>
          <w:p w14:paraId="5E3BBF9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Instalación, reparación y mantenimiento de equipo e instrumental médico y de laboratorio.</w:t>
            </w:r>
          </w:p>
        </w:tc>
        <w:tc>
          <w:tcPr>
            <w:tcW w:w="1276" w:type="dxa"/>
            <w:shd w:val="clear" w:color="auto" w:fill="auto"/>
            <w:noWrap/>
            <w:vAlign w:val="center"/>
          </w:tcPr>
          <w:p w14:paraId="3530FD5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6,088,000 </w:t>
            </w:r>
          </w:p>
        </w:tc>
        <w:tc>
          <w:tcPr>
            <w:tcW w:w="1276" w:type="dxa"/>
            <w:shd w:val="clear" w:color="auto" w:fill="auto"/>
            <w:noWrap/>
            <w:vAlign w:val="center"/>
          </w:tcPr>
          <w:p w14:paraId="33748A8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8F39AF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6,088,000 </w:t>
            </w:r>
          </w:p>
        </w:tc>
      </w:tr>
      <w:tr w:rsidR="00D868AB" w:rsidRPr="00D868AB" w14:paraId="50A79CF4" w14:textId="77777777" w:rsidTr="00A755A7">
        <w:tblPrEx>
          <w:jc w:val="left"/>
        </w:tblPrEx>
        <w:trPr>
          <w:trHeight w:val="20"/>
        </w:trPr>
        <w:tc>
          <w:tcPr>
            <w:tcW w:w="700" w:type="dxa"/>
            <w:shd w:val="clear" w:color="auto" w:fill="auto"/>
            <w:noWrap/>
            <w:vAlign w:val="center"/>
            <w:hideMark/>
          </w:tcPr>
          <w:p w14:paraId="58661C3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35500</w:t>
            </w:r>
          </w:p>
        </w:tc>
        <w:tc>
          <w:tcPr>
            <w:tcW w:w="3973" w:type="dxa"/>
            <w:shd w:val="clear" w:color="auto" w:fill="auto"/>
            <w:vAlign w:val="center"/>
            <w:hideMark/>
          </w:tcPr>
          <w:p w14:paraId="60566CE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Reparación y mantenimiento de equipo de transporte.</w:t>
            </w:r>
          </w:p>
        </w:tc>
        <w:tc>
          <w:tcPr>
            <w:tcW w:w="1276" w:type="dxa"/>
            <w:shd w:val="clear" w:color="auto" w:fill="auto"/>
            <w:noWrap/>
            <w:vAlign w:val="center"/>
          </w:tcPr>
          <w:p w14:paraId="6E9D002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6,346,240 </w:t>
            </w:r>
          </w:p>
        </w:tc>
        <w:tc>
          <w:tcPr>
            <w:tcW w:w="1276" w:type="dxa"/>
            <w:shd w:val="clear" w:color="auto" w:fill="auto"/>
            <w:noWrap/>
            <w:vAlign w:val="center"/>
          </w:tcPr>
          <w:p w14:paraId="181CE73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7DFD2D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6,346,240 </w:t>
            </w:r>
          </w:p>
        </w:tc>
      </w:tr>
      <w:tr w:rsidR="00D868AB" w:rsidRPr="00D868AB" w14:paraId="6E15592A" w14:textId="77777777" w:rsidTr="00A755A7">
        <w:tblPrEx>
          <w:jc w:val="left"/>
        </w:tblPrEx>
        <w:trPr>
          <w:trHeight w:val="20"/>
        </w:trPr>
        <w:tc>
          <w:tcPr>
            <w:tcW w:w="700" w:type="dxa"/>
            <w:shd w:val="clear" w:color="auto" w:fill="auto"/>
            <w:noWrap/>
            <w:vAlign w:val="center"/>
            <w:hideMark/>
          </w:tcPr>
          <w:p w14:paraId="493D0E3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35600</w:t>
            </w:r>
          </w:p>
        </w:tc>
        <w:tc>
          <w:tcPr>
            <w:tcW w:w="3973" w:type="dxa"/>
            <w:shd w:val="clear" w:color="auto" w:fill="auto"/>
            <w:vAlign w:val="center"/>
            <w:hideMark/>
          </w:tcPr>
          <w:p w14:paraId="46580C9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Reparación y mantenimiento de equipo de defensa y seguridad.</w:t>
            </w:r>
          </w:p>
        </w:tc>
        <w:tc>
          <w:tcPr>
            <w:tcW w:w="1276" w:type="dxa"/>
            <w:shd w:val="clear" w:color="auto" w:fill="auto"/>
            <w:noWrap/>
            <w:vAlign w:val="center"/>
          </w:tcPr>
          <w:p w14:paraId="3AE7827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E854DB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B029B8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F84EA9A" w14:textId="77777777" w:rsidTr="00A755A7">
        <w:tblPrEx>
          <w:jc w:val="left"/>
        </w:tblPrEx>
        <w:trPr>
          <w:trHeight w:val="20"/>
        </w:trPr>
        <w:tc>
          <w:tcPr>
            <w:tcW w:w="700" w:type="dxa"/>
            <w:shd w:val="clear" w:color="auto" w:fill="auto"/>
            <w:noWrap/>
            <w:vAlign w:val="center"/>
            <w:hideMark/>
          </w:tcPr>
          <w:p w14:paraId="440A994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35700</w:t>
            </w:r>
          </w:p>
        </w:tc>
        <w:tc>
          <w:tcPr>
            <w:tcW w:w="3973" w:type="dxa"/>
            <w:shd w:val="clear" w:color="auto" w:fill="auto"/>
            <w:vAlign w:val="center"/>
            <w:hideMark/>
          </w:tcPr>
          <w:p w14:paraId="65A6AD0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Instalación, reparación y mantenimiento de maquinaria, otros equipos y herramienta.</w:t>
            </w:r>
          </w:p>
        </w:tc>
        <w:tc>
          <w:tcPr>
            <w:tcW w:w="1276" w:type="dxa"/>
            <w:shd w:val="clear" w:color="auto" w:fill="auto"/>
            <w:noWrap/>
            <w:vAlign w:val="center"/>
          </w:tcPr>
          <w:p w14:paraId="4648D1E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58,324,624 </w:t>
            </w:r>
          </w:p>
        </w:tc>
        <w:tc>
          <w:tcPr>
            <w:tcW w:w="1276" w:type="dxa"/>
            <w:shd w:val="clear" w:color="auto" w:fill="auto"/>
            <w:noWrap/>
            <w:vAlign w:val="center"/>
          </w:tcPr>
          <w:p w14:paraId="72A8E45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44C55D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58,324,624 </w:t>
            </w:r>
          </w:p>
        </w:tc>
      </w:tr>
      <w:tr w:rsidR="00D868AB" w:rsidRPr="00D868AB" w14:paraId="625A9128" w14:textId="77777777" w:rsidTr="00A755A7">
        <w:tblPrEx>
          <w:jc w:val="left"/>
        </w:tblPrEx>
        <w:trPr>
          <w:trHeight w:val="20"/>
        </w:trPr>
        <w:tc>
          <w:tcPr>
            <w:tcW w:w="700" w:type="dxa"/>
            <w:shd w:val="clear" w:color="auto" w:fill="auto"/>
            <w:noWrap/>
            <w:vAlign w:val="center"/>
            <w:hideMark/>
          </w:tcPr>
          <w:p w14:paraId="7928C7D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35800</w:t>
            </w:r>
          </w:p>
        </w:tc>
        <w:tc>
          <w:tcPr>
            <w:tcW w:w="3973" w:type="dxa"/>
            <w:shd w:val="clear" w:color="auto" w:fill="auto"/>
            <w:vAlign w:val="center"/>
            <w:hideMark/>
          </w:tcPr>
          <w:p w14:paraId="2C87A8A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limpieza y manejo de desechos.</w:t>
            </w:r>
          </w:p>
        </w:tc>
        <w:tc>
          <w:tcPr>
            <w:tcW w:w="1276" w:type="dxa"/>
            <w:shd w:val="clear" w:color="auto" w:fill="auto"/>
            <w:noWrap/>
            <w:vAlign w:val="center"/>
          </w:tcPr>
          <w:p w14:paraId="6B5CBF0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36,806,598 </w:t>
            </w:r>
          </w:p>
        </w:tc>
        <w:tc>
          <w:tcPr>
            <w:tcW w:w="1276" w:type="dxa"/>
            <w:shd w:val="clear" w:color="auto" w:fill="auto"/>
            <w:noWrap/>
            <w:vAlign w:val="center"/>
          </w:tcPr>
          <w:p w14:paraId="6019D65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A3FF30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36,806,598 </w:t>
            </w:r>
          </w:p>
        </w:tc>
      </w:tr>
      <w:tr w:rsidR="00D868AB" w:rsidRPr="00D868AB" w14:paraId="1AF58D13" w14:textId="77777777" w:rsidTr="00A755A7">
        <w:tblPrEx>
          <w:jc w:val="left"/>
        </w:tblPrEx>
        <w:trPr>
          <w:trHeight w:val="20"/>
        </w:trPr>
        <w:tc>
          <w:tcPr>
            <w:tcW w:w="700" w:type="dxa"/>
            <w:shd w:val="clear" w:color="auto" w:fill="auto"/>
            <w:noWrap/>
            <w:vAlign w:val="center"/>
            <w:hideMark/>
          </w:tcPr>
          <w:p w14:paraId="477F87E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35900</w:t>
            </w:r>
          </w:p>
        </w:tc>
        <w:tc>
          <w:tcPr>
            <w:tcW w:w="3973" w:type="dxa"/>
            <w:shd w:val="clear" w:color="auto" w:fill="auto"/>
            <w:vAlign w:val="center"/>
            <w:hideMark/>
          </w:tcPr>
          <w:p w14:paraId="028E1AC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jardinería y fumigación.</w:t>
            </w:r>
          </w:p>
        </w:tc>
        <w:tc>
          <w:tcPr>
            <w:tcW w:w="1276" w:type="dxa"/>
            <w:shd w:val="clear" w:color="auto" w:fill="auto"/>
            <w:noWrap/>
            <w:vAlign w:val="center"/>
          </w:tcPr>
          <w:p w14:paraId="20A677C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2,238,265 </w:t>
            </w:r>
          </w:p>
        </w:tc>
        <w:tc>
          <w:tcPr>
            <w:tcW w:w="1276" w:type="dxa"/>
            <w:shd w:val="clear" w:color="auto" w:fill="auto"/>
            <w:noWrap/>
            <w:vAlign w:val="center"/>
          </w:tcPr>
          <w:p w14:paraId="2D4CB55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2D61BC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2,238,265 </w:t>
            </w:r>
          </w:p>
        </w:tc>
      </w:tr>
      <w:tr w:rsidR="00D868AB" w:rsidRPr="00D868AB" w14:paraId="0B27262C" w14:textId="77777777" w:rsidTr="00A755A7">
        <w:tblPrEx>
          <w:jc w:val="left"/>
        </w:tblPrEx>
        <w:trPr>
          <w:trHeight w:val="20"/>
        </w:trPr>
        <w:tc>
          <w:tcPr>
            <w:tcW w:w="700" w:type="dxa"/>
            <w:shd w:val="clear" w:color="auto" w:fill="auto"/>
            <w:noWrap/>
            <w:vAlign w:val="center"/>
            <w:hideMark/>
          </w:tcPr>
          <w:p w14:paraId="5931C048"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36000</w:t>
            </w:r>
          </w:p>
        </w:tc>
        <w:tc>
          <w:tcPr>
            <w:tcW w:w="3973" w:type="dxa"/>
            <w:shd w:val="clear" w:color="auto" w:fill="auto"/>
            <w:vAlign w:val="center"/>
            <w:hideMark/>
          </w:tcPr>
          <w:p w14:paraId="64AA74B4"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SERVICIOS DE COMUNICACIÓN SOCIAL Y PUBLICIDAD.</w:t>
            </w:r>
          </w:p>
        </w:tc>
        <w:tc>
          <w:tcPr>
            <w:tcW w:w="1276" w:type="dxa"/>
            <w:shd w:val="clear" w:color="auto" w:fill="auto"/>
            <w:noWrap/>
            <w:vAlign w:val="center"/>
          </w:tcPr>
          <w:p w14:paraId="7A4C027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21,477,397 </w:t>
            </w:r>
          </w:p>
        </w:tc>
        <w:tc>
          <w:tcPr>
            <w:tcW w:w="1276" w:type="dxa"/>
            <w:shd w:val="clear" w:color="auto" w:fill="auto"/>
            <w:noWrap/>
            <w:vAlign w:val="center"/>
          </w:tcPr>
          <w:p w14:paraId="510790B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2A4744C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21,477,397 </w:t>
            </w:r>
          </w:p>
        </w:tc>
      </w:tr>
      <w:tr w:rsidR="00D868AB" w:rsidRPr="00D868AB" w14:paraId="3193E3CC" w14:textId="77777777" w:rsidTr="00A755A7">
        <w:tblPrEx>
          <w:jc w:val="left"/>
        </w:tblPrEx>
        <w:trPr>
          <w:trHeight w:val="20"/>
        </w:trPr>
        <w:tc>
          <w:tcPr>
            <w:tcW w:w="700" w:type="dxa"/>
            <w:shd w:val="clear" w:color="auto" w:fill="auto"/>
            <w:noWrap/>
            <w:vAlign w:val="center"/>
            <w:hideMark/>
          </w:tcPr>
          <w:p w14:paraId="77F0143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36100</w:t>
            </w:r>
          </w:p>
        </w:tc>
        <w:tc>
          <w:tcPr>
            <w:tcW w:w="3973" w:type="dxa"/>
            <w:shd w:val="clear" w:color="auto" w:fill="auto"/>
            <w:vAlign w:val="center"/>
            <w:hideMark/>
          </w:tcPr>
          <w:p w14:paraId="50445E9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Difusión por radio, televisión y otros medios de mensajes sobre programas y actividades gubernamentales.</w:t>
            </w:r>
          </w:p>
        </w:tc>
        <w:tc>
          <w:tcPr>
            <w:tcW w:w="1276" w:type="dxa"/>
            <w:shd w:val="clear" w:color="auto" w:fill="auto"/>
            <w:noWrap/>
            <w:vAlign w:val="center"/>
          </w:tcPr>
          <w:p w14:paraId="69EDB42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21,439,201 </w:t>
            </w:r>
          </w:p>
        </w:tc>
        <w:tc>
          <w:tcPr>
            <w:tcW w:w="1276" w:type="dxa"/>
            <w:shd w:val="clear" w:color="auto" w:fill="auto"/>
            <w:noWrap/>
            <w:vAlign w:val="center"/>
          </w:tcPr>
          <w:p w14:paraId="5F25FCB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F5CAE3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21,439,201 </w:t>
            </w:r>
          </w:p>
        </w:tc>
      </w:tr>
      <w:tr w:rsidR="00D868AB" w:rsidRPr="00D868AB" w14:paraId="78F12745" w14:textId="77777777" w:rsidTr="00A755A7">
        <w:tblPrEx>
          <w:jc w:val="left"/>
        </w:tblPrEx>
        <w:trPr>
          <w:trHeight w:val="20"/>
        </w:trPr>
        <w:tc>
          <w:tcPr>
            <w:tcW w:w="700" w:type="dxa"/>
            <w:shd w:val="clear" w:color="auto" w:fill="auto"/>
            <w:noWrap/>
            <w:vAlign w:val="center"/>
            <w:hideMark/>
          </w:tcPr>
          <w:p w14:paraId="1196D9F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36200</w:t>
            </w:r>
          </w:p>
        </w:tc>
        <w:tc>
          <w:tcPr>
            <w:tcW w:w="3973" w:type="dxa"/>
            <w:shd w:val="clear" w:color="auto" w:fill="auto"/>
            <w:vAlign w:val="center"/>
            <w:hideMark/>
          </w:tcPr>
          <w:p w14:paraId="6334657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Difusión por radio, televisión y otros medios de mensajes comerciales para promover la venta de bienes o servicios.</w:t>
            </w:r>
          </w:p>
        </w:tc>
        <w:tc>
          <w:tcPr>
            <w:tcW w:w="1276" w:type="dxa"/>
            <w:shd w:val="clear" w:color="auto" w:fill="auto"/>
            <w:noWrap/>
            <w:vAlign w:val="center"/>
          </w:tcPr>
          <w:p w14:paraId="6C2581C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5F0EA0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64E67C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AEF9E13" w14:textId="77777777" w:rsidTr="00A755A7">
        <w:tblPrEx>
          <w:jc w:val="left"/>
        </w:tblPrEx>
        <w:trPr>
          <w:trHeight w:val="20"/>
        </w:trPr>
        <w:tc>
          <w:tcPr>
            <w:tcW w:w="700" w:type="dxa"/>
            <w:shd w:val="clear" w:color="auto" w:fill="auto"/>
            <w:noWrap/>
            <w:vAlign w:val="center"/>
            <w:hideMark/>
          </w:tcPr>
          <w:p w14:paraId="567C6F5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36300</w:t>
            </w:r>
          </w:p>
        </w:tc>
        <w:tc>
          <w:tcPr>
            <w:tcW w:w="3973" w:type="dxa"/>
            <w:shd w:val="clear" w:color="auto" w:fill="auto"/>
            <w:vAlign w:val="center"/>
            <w:hideMark/>
          </w:tcPr>
          <w:p w14:paraId="7EC7239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creatividad, preproducción y producción de publicidad, excepto Internet.</w:t>
            </w:r>
          </w:p>
        </w:tc>
        <w:tc>
          <w:tcPr>
            <w:tcW w:w="1276" w:type="dxa"/>
            <w:shd w:val="clear" w:color="auto" w:fill="auto"/>
            <w:noWrap/>
            <w:vAlign w:val="center"/>
          </w:tcPr>
          <w:p w14:paraId="38ADDF7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36,996 </w:t>
            </w:r>
          </w:p>
        </w:tc>
        <w:tc>
          <w:tcPr>
            <w:tcW w:w="1276" w:type="dxa"/>
            <w:shd w:val="clear" w:color="auto" w:fill="auto"/>
            <w:noWrap/>
            <w:vAlign w:val="center"/>
          </w:tcPr>
          <w:p w14:paraId="01623F9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12DF3D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36,996 </w:t>
            </w:r>
          </w:p>
        </w:tc>
      </w:tr>
      <w:tr w:rsidR="00D868AB" w:rsidRPr="00D868AB" w14:paraId="2523091E" w14:textId="77777777" w:rsidTr="00A755A7">
        <w:tblPrEx>
          <w:jc w:val="left"/>
        </w:tblPrEx>
        <w:trPr>
          <w:trHeight w:val="20"/>
        </w:trPr>
        <w:tc>
          <w:tcPr>
            <w:tcW w:w="700" w:type="dxa"/>
            <w:shd w:val="clear" w:color="auto" w:fill="auto"/>
            <w:noWrap/>
            <w:vAlign w:val="center"/>
            <w:hideMark/>
          </w:tcPr>
          <w:p w14:paraId="65901BA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36400</w:t>
            </w:r>
          </w:p>
        </w:tc>
        <w:tc>
          <w:tcPr>
            <w:tcW w:w="3973" w:type="dxa"/>
            <w:shd w:val="clear" w:color="auto" w:fill="auto"/>
            <w:vAlign w:val="center"/>
            <w:hideMark/>
          </w:tcPr>
          <w:p w14:paraId="6480ADA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revelado de fotografías.</w:t>
            </w:r>
          </w:p>
        </w:tc>
        <w:tc>
          <w:tcPr>
            <w:tcW w:w="1276" w:type="dxa"/>
            <w:shd w:val="clear" w:color="auto" w:fill="auto"/>
            <w:noWrap/>
            <w:vAlign w:val="center"/>
          </w:tcPr>
          <w:p w14:paraId="3793BCE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9C3022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9372F6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96D4F05" w14:textId="77777777" w:rsidTr="00A755A7">
        <w:tblPrEx>
          <w:jc w:val="left"/>
        </w:tblPrEx>
        <w:trPr>
          <w:trHeight w:val="20"/>
        </w:trPr>
        <w:tc>
          <w:tcPr>
            <w:tcW w:w="700" w:type="dxa"/>
            <w:shd w:val="clear" w:color="auto" w:fill="auto"/>
            <w:noWrap/>
            <w:vAlign w:val="center"/>
            <w:hideMark/>
          </w:tcPr>
          <w:p w14:paraId="4C21974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36500</w:t>
            </w:r>
          </w:p>
        </w:tc>
        <w:tc>
          <w:tcPr>
            <w:tcW w:w="3973" w:type="dxa"/>
            <w:shd w:val="clear" w:color="auto" w:fill="auto"/>
            <w:vAlign w:val="center"/>
            <w:hideMark/>
          </w:tcPr>
          <w:p w14:paraId="3FB5F87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de la industria fílmica, del sonido y del video.</w:t>
            </w:r>
          </w:p>
        </w:tc>
        <w:tc>
          <w:tcPr>
            <w:tcW w:w="1276" w:type="dxa"/>
            <w:shd w:val="clear" w:color="auto" w:fill="auto"/>
            <w:noWrap/>
            <w:vAlign w:val="center"/>
          </w:tcPr>
          <w:p w14:paraId="43095CA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1,200 </w:t>
            </w:r>
          </w:p>
        </w:tc>
        <w:tc>
          <w:tcPr>
            <w:tcW w:w="1276" w:type="dxa"/>
            <w:shd w:val="clear" w:color="auto" w:fill="auto"/>
            <w:noWrap/>
            <w:vAlign w:val="center"/>
          </w:tcPr>
          <w:p w14:paraId="593506D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254C74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1,200 </w:t>
            </w:r>
          </w:p>
        </w:tc>
      </w:tr>
      <w:tr w:rsidR="00D868AB" w:rsidRPr="00D868AB" w14:paraId="2E2B0575" w14:textId="77777777" w:rsidTr="00A755A7">
        <w:tblPrEx>
          <w:jc w:val="left"/>
        </w:tblPrEx>
        <w:trPr>
          <w:trHeight w:val="20"/>
        </w:trPr>
        <w:tc>
          <w:tcPr>
            <w:tcW w:w="700" w:type="dxa"/>
            <w:shd w:val="clear" w:color="auto" w:fill="auto"/>
            <w:noWrap/>
            <w:vAlign w:val="center"/>
            <w:hideMark/>
          </w:tcPr>
          <w:p w14:paraId="217D726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36600</w:t>
            </w:r>
          </w:p>
        </w:tc>
        <w:tc>
          <w:tcPr>
            <w:tcW w:w="3973" w:type="dxa"/>
            <w:shd w:val="clear" w:color="auto" w:fill="auto"/>
            <w:vAlign w:val="center"/>
            <w:hideMark/>
          </w:tcPr>
          <w:p w14:paraId="649B598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 de creación y difusión de contenido exclusivamente a través de Internet.</w:t>
            </w:r>
          </w:p>
        </w:tc>
        <w:tc>
          <w:tcPr>
            <w:tcW w:w="1276" w:type="dxa"/>
            <w:shd w:val="clear" w:color="auto" w:fill="auto"/>
            <w:noWrap/>
            <w:vAlign w:val="center"/>
          </w:tcPr>
          <w:p w14:paraId="36C63DA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E38E11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71F7DD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A97B7B0" w14:textId="77777777" w:rsidTr="00A755A7">
        <w:tblPrEx>
          <w:jc w:val="left"/>
        </w:tblPrEx>
        <w:trPr>
          <w:trHeight w:val="20"/>
        </w:trPr>
        <w:tc>
          <w:tcPr>
            <w:tcW w:w="700" w:type="dxa"/>
            <w:shd w:val="clear" w:color="auto" w:fill="auto"/>
            <w:noWrap/>
            <w:vAlign w:val="center"/>
            <w:hideMark/>
          </w:tcPr>
          <w:p w14:paraId="437D325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36900</w:t>
            </w:r>
          </w:p>
        </w:tc>
        <w:tc>
          <w:tcPr>
            <w:tcW w:w="3973" w:type="dxa"/>
            <w:shd w:val="clear" w:color="auto" w:fill="auto"/>
            <w:vAlign w:val="center"/>
            <w:hideMark/>
          </w:tcPr>
          <w:p w14:paraId="35022A5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servicios de información.</w:t>
            </w:r>
          </w:p>
        </w:tc>
        <w:tc>
          <w:tcPr>
            <w:tcW w:w="1276" w:type="dxa"/>
            <w:shd w:val="clear" w:color="auto" w:fill="auto"/>
            <w:noWrap/>
            <w:vAlign w:val="center"/>
          </w:tcPr>
          <w:p w14:paraId="2F1E746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E63E9A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A08B1B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0A9B9E1" w14:textId="77777777" w:rsidTr="00A755A7">
        <w:tblPrEx>
          <w:jc w:val="left"/>
        </w:tblPrEx>
        <w:trPr>
          <w:trHeight w:val="20"/>
        </w:trPr>
        <w:tc>
          <w:tcPr>
            <w:tcW w:w="700" w:type="dxa"/>
            <w:shd w:val="clear" w:color="auto" w:fill="auto"/>
            <w:noWrap/>
            <w:vAlign w:val="center"/>
            <w:hideMark/>
          </w:tcPr>
          <w:p w14:paraId="096EC9D6"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37000</w:t>
            </w:r>
          </w:p>
        </w:tc>
        <w:tc>
          <w:tcPr>
            <w:tcW w:w="3973" w:type="dxa"/>
            <w:shd w:val="clear" w:color="auto" w:fill="auto"/>
            <w:vAlign w:val="center"/>
            <w:hideMark/>
          </w:tcPr>
          <w:p w14:paraId="7A41C39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SERVICIOS DE TRASLADO Y VÍATICOS.</w:t>
            </w:r>
          </w:p>
        </w:tc>
        <w:tc>
          <w:tcPr>
            <w:tcW w:w="1276" w:type="dxa"/>
            <w:shd w:val="clear" w:color="auto" w:fill="auto"/>
            <w:noWrap/>
            <w:vAlign w:val="center"/>
          </w:tcPr>
          <w:p w14:paraId="47FAA36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5,323,620 </w:t>
            </w:r>
          </w:p>
        </w:tc>
        <w:tc>
          <w:tcPr>
            <w:tcW w:w="1276" w:type="dxa"/>
            <w:shd w:val="clear" w:color="auto" w:fill="auto"/>
            <w:noWrap/>
            <w:vAlign w:val="center"/>
          </w:tcPr>
          <w:p w14:paraId="755B449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49641C9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5,323,620 </w:t>
            </w:r>
          </w:p>
        </w:tc>
      </w:tr>
      <w:tr w:rsidR="00D868AB" w:rsidRPr="00D868AB" w14:paraId="3B0F172C" w14:textId="77777777" w:rsidTr="00A755A7">
        <w:tblPrEx>
          <w:jc w:val="left"/>
        </w:tblPrEx>
        <w:trPr>
          <w:trHeight w:val="20"/>
        </w:trPr>
        <w:tc>
          <w:tcPr>
            <w:tcW w:w="700" w:type="dxa"/>
            <w:shd w:val="clear" w:color="auto" w:fill="auto"/>
            <w:noWrap/>
            <w:vAlign w:val="center"/>
            <w:hideMark/>
          </w:tcPr>
          <w:p w14:paraId="2A4CAB3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37100</w:t>
            </w:r>
          </w:p>
        </w:tc>
        <w:tc>
          <w:tcPr>
            <w:tcW w:w="3973" w:type="dxa"/>
            <w:shd w:val="clear" w:color="auto" w:fill="auto"/>
            <w:vAlign w:val="center"/>
            <w:hideMark/>
          </w:tcPr>
          <w:p w14:paraId="5A51BCA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Pasajes aéreos.</w:t>
            </w:r>
          </w:p>
        </w:tc>
        <w:tc>
          <w:tcPr>
            <w:tcW w:w="1276" w:type="dxa"/>
            <w:shd w:val="clear" w:color="auto" w:fill="auto"/>
            <w:noWrap/>
            <w:vAlign w:val="center"/>
          </w:tcPr>
          <w:p w14:paraId="0CBEC0F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2,122,498 </w:t>
            </w:r>
          </w:p>
        </w:tc>
        <w:tc>
          <w:tcPr>
            <w:tcW w:w="1276" w:type="dxa"/>
            <w:shd w:val="clear" w:color="auto" w:fill="auto"/>
            <w:noWrap/>
            <w:vAlign w:val="center"/>
          </w:tcPr>
          <w:p w14:paraId="0CFE627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614E7D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2,122,498 </w:t>
            </w:r>
          </w:p>
        </w:tc>
      </w:tr>
      <w:tr w:rsidR="00D868AB" w:rsidRPr="00D868AB" w14:paraId="0273E5B9" w14:textId="77777777" w:rsidTr="00A755A7">
        <w:tblPrEx>
          <w:jc w:val="left"/>
        </w:tblPrEx>
        <w:trPr>
          <w:trHeight w:val="20"/>
        </w:trPr>
        <w:tc>
          <w:tcPr>
            <w:tcW w:w="700" w:type="dxa"/>
            <w:shd w:val="clear" w:color="auto" w:fill="auto"/>
            <w:noWrap/>
            <w:vAlign w:val="center"/>
            <w:hideMark/>
          </w:tcPr>
          <w:p w14:paraId="4CF8B45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37200</w:t>
            </w:r>
          </w:p>
        </w:tc>
        <w:tc>
          <w:tcPr>
            <w:tcW w:w="3973" w:type="dxa"/>
            <w:shd w:val="clear" w:color="auto" w:fill="auto"/>
            <w:vAlign w:val="center"/>
            <w:hideMark/>
          </w:tcPr>
          <w:p w14:paraId="7C2A969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Pasajes terrestres.</w:t>
            </w:r>
          </w:p>
        </w:tc>
        <w:tc>
          <w:tcPr>
            <w:tcW w:w="1276" w:type="dxa"/>
            <w:shd w:val="clear" w:color="auto" w:fill="auto"/>
            <w:noWrap/>
            <w:vAlign w:val="center"/>
          </w:tcPr>
          <w:p w14:paraId="08E0E34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601,695 </w:t>
            </w:r>
          </w:p>
        </w:tc>
        <w:tc>
          <w:tcPr>
            <w:tcW w:w="1276" w:type="dxa"/>
            <w:shd w:val="clear" w:color="auto" w:fill="auto"/>
            <w:noWrap/>
            <w:vAlign w:val="center"/>
          </w:tcPr>
          <w:p w14:paraId="367CA19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64F120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601,695 </w:t>
            </w:r>
          </w:p>
        </w:tc>
      </w:tr>
      <w:tr w:rsidR="00D868AB" w:rsidRPr="00D868AB" w14:paraId="0CC641F3" w14:textId="77777777" w:rsidTr="00A755A7">
        <w:tblPrEx>
          <w:jc w:val="left"/>
        </w:tblPrEx>
        <w:trPr>
          <w:trHeight w:val="20"/>
        </w:trPr>
        <w:tc>
          <w:tcPr>
            <w:tcW w:w="700" w:type="dxa"/>
            <w:shd w:val="clear" w:color="auto" w:fill="auto"/>
            <w:noWrap/>
            <w:vAlign w:val="center"/>
            <w:hideMark/>
          </w:tcPr>
          <w:p w14:paraId="3340A6C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37300</w:t>
            </w:r>
          </w:p>
        </w:tc>
        <w:tc>
          <w:tcPr>
            <w:tcW w:w="3973" w:type="dxa"/>
            <w:shd w:val="clear" w:color="auto" w:fill="auto"/>
            <w:vAlign w:val="center"/>
            <w:hideMark/>
          </w:tcPr>
          <w:p w14:paraId="5249E49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Pasajes marítimos, lacustres y fluviales.</w:t>
            </w:r>
          </w:p>
        </w:tc>
        <w:tc>
          <w:tcPr>
            <w:tcW w:w="1276" w:type="dxa"/>
            <w:shd w:val="clear" w:color="auto" w:fill="auto"/>
            <w:noWrap/>
            <w:vAlign w:val="center"/>
          </w:tcPr>
          <w:p w14:paraId="77D3B20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F6268D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D5D3BA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CA88FFB" w14:textId="77777777" w:rsidTr="00A755A7">
        <w:tblPrEx>
          <w:jc w:val="left"/>
        </w:tblPrEx>
        <w:trPr>
          <w:trHeight w:val="20"/>
        </w:trPr>
        <w:tc>
          <w:tcPr>
            <w:tcW w:w="700" w:type="dxa"/>
            <w:shd w:val="clear" w:color="auto" w:fill="auto"/>
            <w:noWrap/>
            <w:vAlign w:val="center"/>
            <w:hideMark/>
          </w:tcPr>
          <w:p w14:paraId="2CDCB74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37400</w:t>
            </w:r>
          </w:p>
        </w:tc>
        <w:tc>
          <w:tcPr>
            <w:tcW w:w="3973" w:type="dxa"/>
            <w:shd w:val="clear" w:color="auto" w:fill="auto"/>
            <w:vAlign w:val="center"/>
            <w:hideMark/>
          </w:tcPr>
          <w:p w14:paraId="2A7115B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Autotransporte.</w:t>
            </w:r>
          </w:p>
        </w:tc>
        <w:tc>
          <w:tcPr>
            <w:tcW w:w="1276" w:type="dxa"/>
            <w:shd w:val="clear" w:color="auto" w:fill="auto"/>
            <w:noWrap/>
            <w:vAlign w:val="center"/>
          </w:tcPr>
          <w:p w14:paraId="4F5BA47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9C0400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F65BA4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521A2CE" w14:textId="77777777" w:rsidTr="00A755A7">
        <w:tblPrEx>
          <w:jc w:val="left"/>
        </w:tblPrEx>
        <w:trPr>
          <w:trHeight w:val="20"/>
        </w:trPr>
        <w:tc>
          <w:tcPr>
            <w:tcW w:w="700" w:type="dxa"/>
            <w:shd w:val="clear" w:color="auto" w:fill="auto"/>
            <w:noWrap/>
            <w:vAlign w:val="center"/>
            <w:hideMark/>
          </w:tcPr>
          <w:p w14:paraId="19A88DF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37500</w:t>
            </w:r>
          </w:p>
        </w:tc>
        <w:tc>
          <w:tcPr>
            <w:tcW w:w="3973" w:type="dxa"/>
            <w:shd w:val="clear" w:color="auto" w:fill="auto"/>
            <w:vAlign w:val="center"/>
            <w:hideMark/>
          </w:tcPr>
          <w:p w14:paraId="725BFBD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Viáticos en el país.</w:t>
            </w:r>
          </w:p>
        </w:tc>
        <w:tc>
          <w:tcPr>
            <w:tcW w:w="1276" w:type="dxa"/>
            <w:shd w:val="clear" w:color="auto" w:fill="auto"/>
            <w:noWrap/>
            <w:vAlign w:val="center"/>
          </w:tcPr>
          <w:p w14:paraId="4DD9A4F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2,284,227 </w:t>
            </w:r>
          </w:p>
        </w:tc>
        <w:tc>
          <w:tcPr>
            <w:tcW w:w="1276" w:type="dxa"/>
            <w:shd w:val="clear" w:color="auto" w:fill="auto"/>
            <w:noWrap/>
            <w:vAlign w:val="center"/>
          </w:tcPr>
          <w:p w14:paraId="319AC91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A2128A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2,284,227 </w:t>
            </w:r>
          </w:p>
        </w:tc>
      </w:tr>
      <w:tr w:rsidR="00D868AB" w:rsidRPr="00D868AB" w14:paraId="44E62550" w14:textId="77777777" w:rsidTr="00A755A7">
        <w:tblPrEx>
          <w:jc w:val="left"/>
        </w:tblPrEx>
        <w:trPr>
          <w:trHeight w:val="20"/>
        </w:trPr>
        <w:tc>
          <w:tcPr>
            <w:tcW w:w="700" w:type="dxa"/>
            <w:shd w:val="clear" w:color="auto" w:fill="auto"/>
            <w:noWrap/>
            <w:vAlign w:val="center"/>
            <w:hideMark/>
          </w:tcPr>
          <w:p w14:paraId="766F704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37600</w:t>
            </w:r>
          </w:p>
        </w:tc>
        <w:tc>
          <w:tcPr>
            <w:tcW w:w="3973" w:type="dxa"/>
            <w:shd w:val="clear" w:color="auto" w:fill="auto"/>
            <w:vAlign w:val="center"/>
            <w:hideMark/>
          </w:tcPr>
          <w:p w14:paraId="2C3363E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Viáticos en el extranjero.</w:t>
            </w:r>
          </w:p>
        </w:tc>
        <w:tc>
          <w:tcPr>
            <w:tcW w:w="1276" w:type="dxa"/>
            <w:shd w:val="clear" w:color="auto" w:fill="auto"/>
            <w:noWrap/>
            <w:vAlign w:val="center"/>
          </w:tcPr>
          <w:p w14:paraId="4A8B93F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7B853C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572EC7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9354D33" w14:textId="77777777" w:rsidTr="00A755A7">
        <w:tblPrEx>
          <w:jc w:val="left"/>
        </w:tblPrEx>
        <w:trPr>
          <w:trHeight w:val="20"/>
        </w:trPr>
        <w:tc>
          <w:tcPr>
            <w:tcW w:w="700" w:type="dxa"/>
            <w:shd w:val="clear" w:color="auto" w:fill="auto"/>
            <w:noWrap/>
            <w:vAlign w:val="center"/>
            <w:hideMark/>
          </w:tcPr>
          <w:p w14:paraId="4C323B9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37700</w:t>
            </w:r>
          </w:p>
        </w:tc>
        <w:tc>
          <w:tcPr>
            <w:tcW w:w="3973" w:type="dxa"/>
            <w:shd w:val="clear" w:color="auto" w:fill="auto"/>
            <w:vAlign w:val="center"/>
            <w:hideMark/>
          </w:tcPr>
          <w:p w14:paraId="3E25CFC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Gastos de instalación y traslado de menaje.</w:t>
            </w:r>
          </w:p>
        </w:tc>
        <w:tc>
          <w:tcPr>
            <w:tcW w:w="1276" w:type="dxa"/>
            <w:shd w:val="clear" w:color="auto" w:fill="auto"/>
            <w:noWrap/>
            <w:vAlign w:val="center"/>
          </w:tcPr>
          <w:p w14:paraId="4BA1B62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5D6B9D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9A4FA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AE4AC13" w14:textId="77777777" w:rsidTr="00A755A7">
        <w:tblPrEx>
          <w:jc w:val="left"/>
        </w:tblPrEx>
        <w:trPr>
          <w:trHeight w:val="20"/>
        </w:trPr>
        <w:tc>
          <w:tcPr>
            <w:tcW w:w="700" w:type="dxa"/>
            <w:shd w:val="clear" w:color="auto" w:fill="auto"/>
            <w:noWrap/>
            <w:vAlign w:val="center"/>
            <w:hideMark/>
          </w:tcPr>
          <w:p w14:paraId="0CDFA47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37800</w:t>
            </w:r>
          </w:p>
        </w:tc>
        <w:tc>
          <w:tcPr>
            <w:tcW w:w="3973" w:type="dxa"/>
            <w:shd w:val="clear" w:color="auto" w:fill="auto"/>
            <w:vAlign w:val="center"/>
            <w:hideMark/>
          </w:tcPr>
          <w:p w14:paraId="7AB5950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integrales de traslado y viáticos.</w:t>
            </w:r>
          </w:p>
        </w:tc>
        <w:tc>
          <w:tcPr>
            <w:tcW w:w="1276" w:type="dxa"/>
            <w:shd w:val="clear" w:color="auto" w:fill="auto"/>
            <w:noWrap/>
            <w:vAlign w:val="center"/>
          </w:tcPr>
          <w:p w14:paraId="23238DB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601046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01258C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5C43FEF" w14:textId="77777777" w:rsidTr="00A755A7">
        <w:tblPrEx>
          <w:jc w:val="left"/>
        </w:tblPrEx>
        <w:trPr>
          <w:trHeight w:val="20"/>
        </w:trPr>
        <w:tc>
          <w:tcPr>
            <w:tcW w:w="700" w:type="dxa"/>
            <w:shd w:val="clear" w:color="auto" w:fill="auto"/>
            <w:noWrap/>
            <w:vAlign w:val="center"/>
            <w:hideMark/>
          </w:tcPr>
          <w:p w14:paraId="21AA305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37900</w:t>
            </w:r>
          </w:p>
        </w:tc>
        <w:tc>
          <w:tcPr>
            <w:tcW w:w="3973" w:type="dxa"/>
            <w:shd w:val="clear" w:color="auto" w:fill="auto"/>
            <w:vAlign w:val="center"/>
            <w:hideMark/>
          </w:tcPr>
          <w:p w14:paraId="190C5DF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servicios de traslado y hospedaje.</w:t>
            </w:r>
          </w:p>
        </w:tc>
        <w:tc>
          <w:tcPr>
            <w:tcW w:w="1276" w:type="dxa"/>
            <w:shd w:val="clear" w:color="auto" w:fill="auto"/>
            <w:noWrap/>
            <w:vAlign w:val="center"/>
          </w:tcPr>
          <w:p w14:paraId="0A7E35C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315,200 </w:t>
            </w:r>
          </w:p>
        </w:tc>
        <w:tc>
          <w:tcPr>
            <w:tcW w:w="1276" w:type="dxa"/>
            <w:shd w:val="clear" w:color="auto" w:fill="auto"/>
            <w:noWrap/>
            <w:vAlign w:val="center"/>
          </w:tcPr>
          <w:p w14:paraId="26E1299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704949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315,200 </w:t>
            </w:r>
          </w:p>
        </w:tc>
      </w:tr>
      <w:tr w:rsidR="00D868AB" w:rsidRPr="00D868AB" w14:paraId="3B2D4915" w14:textId="77777777" w:rsidTr="00A755A7">
        <w:tblPrEx>
          <w:jc w:val="left"/>
        </w:tblPrEx>
        <w:trPr>
          <w:trHeight w:val="20"/>
        </w:trPr>
        <w:tc>
          <w:tcPr>
            <w:tcW w:w="700" w:type="dxa"/>
            <w:shd w:val="clear" w:color="auto" w:fill="auto"/>
            <w:noWrap/>
            <w:vAlign w:val="center"/>
            <w:hideMark/>
          </w:tcPr>
          <w:p w14:paraId="04D5BC0C"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38000</w:t>
            </w:r>
          </w:p>
        </w:tc>
        <w:tc>
          <w:tcPr>
            <w:tcW w:w="3973" w:type="dxa"/>
            <w:shd w:val="clear" w:color="auto" w:fill="auto"/>
            <w:vAlign w:val="center"/>
            <w:hideMark/>
          </w:tcPr>
          <w:p w14:paraId="169BD488"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SERVICIOS OFICIALES.</w:t>
            </w:r>
          </w:p>
        </w:tc>
        <w:tc>
          <w:tcPr>
            <w:tcW w:w="1276" w:type="dxa"/>
            <w:shd w:val="clear" w:color="auto" w:fill="auto"/>
            <w:noWrap/>
            <w:vAlign w:val="center"/>
          </w:tcPr>
          <w:p w14:paraId="7335136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5,356,162 </w:t>
            </w:r>
          </w:p>
        </w:tc>
        <w:tc>
          <w:tcPr>
            <w:tcW w:w="1276" w:type="dxa"/>
            <w:shd w:val="clear" w:color="auto" w:fill="auto"/>
            <w:noWrap/>
            <w:vAlign w:val="center"/>
          </w:tcPr>
          <w:p w14:paraId="5636913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066DBE6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5,356,162 </w:t>
            </w:r>
          </w:p>
        </w:tc>
      </w:tr>
      <w:tr w:rsidR="00D868AB" w:rsidRPr="00D868AB" w14:paraId="146A0940" w14:textId="77777777" w:rsidTr="00A755A7">
        <w:tblPrEx>
          <w:jc w:val="left"/>
        </w:tblPrEx>
        <w:trPr>
          <w:trHeight w:val="20"/>
        </w:trPr>
        <w:tc>
          <w:tcPr>
            <w:tcW w:w="700" w:type="dxa"/>
            <w:shd w:val="clear" w:color="auto" w:fill="auto"/>
            <w:noWrap/>
            <w:vAlign w:val="center"/>
            <w:hideMark/>
          </w:tcPr>
          <w:p w14:paraId="53598D2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38100</w:t>
            </w:r>
          </w:p>
        </w:tc>
        <w:tc>
          <w:tcPr>
            <w:tcW w:w="3973" w:type="dxa"/>
            <w:shd w:val="clear" w:color="auto" w:fill="auto"/>
            <w:vAlign w:val="center"/>
            <w:hideMark/>
          </w:tcPr>
          <w:p w14:paraId="2D89324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Gastos de ceremonial.</w:t>
            </w:r>
          </w:p>
        </w:tc>
        <w:tc>
          <w:tcPr>
            <w:tcW w:w="1276" w:type="dxa"/>
            <w:shd w:val="clear" w:color="auto" w:fill="auto"/>
            <w:noWrap/>
            <w:vAlign w:val="center"/>
          </w:tcPr>
          <w:p w14:paraId="035A226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3,501,000 </w:t>
            </w:r>
          </w:p>
        </w:tc>
        <w:tc>
          <w:tcPr>
            <w:tcW w:w="1276" w:type="dxa"/>
            <w:shd w:val="clear" w:color="auto" w:fill="auto"/>
            <w:noWrap/>
            <w:vAlign w:val="center"/>
          </w:tcPr>
          <w:p w14:paraId="33E6E97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C97537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3,501,000 </w:t>
            </w:r>
          </w:p>
        </w:tc>
      </w:tr>
      <w:tr w:rsidR="00D868AB" w:rsidRPr="00D868AB" w14:paraId="17CE4500" w14:textId="77777777" w:rsidTr="00A755A7">
        <w:tblPrEx>
          <w:jc w:val="left"/>
        </w:tblPrEx>
        <w:trPr>
          <w:trHeight w:val="20"/>
        </w:trPr>
        <w:tc>
          <w:tcPr>
            <w:tcW w:w="700" w:type="dxa"/>
            <w:shd w:val="clear" w:color="auto" w:fill="auto"/>
            <w:noWrap/>
            <w:vAlign w:val="center"/>
            <w:hideMark/>
          </w:tcPr>
          <w:p w14:paraId="42F189E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38200</w:t>
            </w:r>
          </w:p>
        </w:tc>
        <w:tc>
          <w:tcPr>
            <w:tcW w:w="3973" w:type="dxa"/>
            <w:shd w:val="clear" w:color="auto" w:fill="auto"/>
            <w:vAlign w:val="center"/>
            <w:hideMark/>
          </w:tcPr>
          <w:p w14:paraId="47436E5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Gastos de orden social y cultural.</w:t>
            </w:r>
          </w:p>
        </w:tc>
        <w:tc>
          <w:tcPr>
            <w:tcW w:w="1276" w:type="dxa"/>
            <w:shd w:val="clear" w:color="auto" w:fill="auto"/>
            <w:noWrap/>
            <w:vAlign w:val="center"/>
          </w:tcPr>
          <w:p w14:paraId="00EC747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915,666 </w:t>
            </w:r>
          </w:p>
        </w:tc>
        <w:tc>
          <w:tcPr>
            <w:tcW w:w="1276" w:type="dxa"/>
            <w:shd w:val="clear" w:color="auto" w:fill="auto"/>
            <w:noWrap/>
            <w:vAlign w:val="center"/>
          </w:tcPr>
          <w:p w14:paraId="0A3BEA6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79CDC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915,666 </w:t>
            </w:r>
          </w:p>
        </w:tc>
      </w:tr>
      <w:tr w:rsidR="00D868AB" w:rsidRPr="00D868AB" w14:paraId="69A676B0" w14:textId="77777777" w:rsidTr="00A755A7">
        <w:tblPrEx>
          <w:jc w:val="left"/>
        </w:tblPrEx>
        <w:trPr>
          <w:trHeight w:val="20"/>
        </w:trPr>
        <w:tc>
          <w:tcPr>
            <w:tcW w:w="700" w:type="dxa"/>
            <w:shd w:val="clear" w:color="auto" w:fill="auto"/>
            <w:noWrap/>
            <w:vAlign w:val="center"/>
            <w:hideMark/>
          </w:tcPr>
          <w:p w14:paraId="5F39E17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38300</w:t>
            </w:r>
          </w:p>
        </w:tc>
        <w:tc>
          <w:tcPr>
            <w:tcW w:w="3973" w:type="dxa"/>
            <w:shd w:val="clear" w:color="auto" w:fill="auto"/>
            <w:vAlign w:val="center"/>
            <w:hideMark/>
          </w:tcPr>
          <w:p w14:paraId="4A8BBBF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Congresos y convenciones.</w:t>
            </w:r>
          </w:p>
        </w:tc>
        <w:tc>
          <w:tcPr>
            <w:tcW w:w="1276" w:type="dxa"/>
            <w:shd w:val="clear" w:color="auto" w:fill="auto"/>
            <w:noWrap/>
            <w:vAlign w:val="center"/>
          </w:tcPr>
          <w:p w14:paraId="6DB5F65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243,496 </w:t>
            </w:r>
          </w:p>
        </w:tc>
        <w:tc>
          <w:tcPr>
            <w:tcW w:w="1276" w:type="dxa"/>
            <w:shd w:val="clear" w:color="auto" w:fill="auto"/>
            <w:noWrap/>
            <w:vAlign w:val="center"/>
          </w:tcPr>
          <w:p w14:paraId="78B8A07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DF0602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243,496 </w:t>
            </w:r>
          </w:p>
        </w:tc>
      </w:tr>
      <w:tr w:rsidR="00D868AB" w:rsidRPr="00D868AB" w14:paraId="520CD8EC" w14:textId="77777777" w:rsidTr="00A755A7">
        <w:tblPrEx>
          <w:jc w:val="left"/>
        </w:tblPrEx>
        <w:trPr>
          <w:trHeight w:val="20"/>
        </w:trPr>
        <w:tc>
          <w:tcPr>
            <w:tcW w:w="700" w:type="dxa"/>
            <w:shd w:val="clear" w:color="auto" w:fill="auto"/>
            <w:noWrap/>
            <w:vAlign w:val="center"/>
            <w:hideMark/>
          </w:tcPr>
          <w:p w14:paraId="32241DB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38400</w:t>
            </w:r>
          </w:p>
        </w:tc>
        <w:tc>
          <w:tcPr>
            <w:tcW w:w="3973" w:type="dxa"/>
            <w:shd w:val="clear" w:color="auto" w:fill="auto"/>
            <w:vAlign w:val="center"/>
            <w:hideMark/>
          </w:tcPr>
          <w:p w14:paraId="2E9414C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Exposiciones.</w:t>
            </w:r>
          </w:p>
        </w:tc>
        <w:tc>
          <w:tcPr>
            <w:tcW w:w="1276" w:type="dxa"/>
            <w:shd w:val="clear" w:color="auto" w:fill="auto"/>
            <w:noWrap/>
            <w:vAlign w:val="center"/>
          </w:tcPr>
          <w:p w14:paraId="01ECD07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506EA8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55F3F5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AAE9FC0" w14:textId="77777777" w:rsidTr="00A755A7">
        <w:tblPrEx>
          <w:jc w:val="left"/>
        </w:tblPrEx>
        <w:trPr>
          <w:trHeight w:val="20"/>
        </w:trPr>
        <w:tc>
          <w:tcPr>
            <w:tcW w:w="700" w:type="dxa"/>
            <w:shd w:val="clear" w:color="auto" w:fill="auto"/>
            <w:noWrap/>
            <w:vAlign w:val="center"/>
            <w:hideMark/>
          </w:tcPr>
          <w:p w14:paraId="51EAAF0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38500</w:t>
            </w:r>
          </w:p>
        </w:tc>
        <w:tc>
          <w:tcPr>
            <w:tcW w:w="3973" w:type="dxa"/>
            <w:shd w:val="clear" w:color="auto" w:fill="auto"/>
            <w:vAlign w:val="center"/>
            <w:hideMark/>
          </w:tcPr>
          <w:p w14:paraId="334A4CF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Gastos de representación.</w:t>
            </w:r>
          </w:p>
        </w:tc>
        <w:tc>
          <w:tcPr>
            <w:tcW w:w="1276" w:type="dxa"/>
            <w:shd w:val="clear" w:color="auto" w:fill="auto"/>
            <w:noWrap/>
            <w:vAlign w:val="center"/>
          </w:tcPr>
          <w:p w14:paraId="4478090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696,000 </w:t>
            </w:r>
          </w:p>
        </w:tc>
        <w:tc>
          <w:tcPr>
            <w:tcW w:w="1276" w:type="dxa"/>
            <w:shd w:val="clear" w:color="auto" w:fill="auto"/>
            <w:noWrap/>
            <w:vAlign w:val="center"/>
          </w:tcPr>
          <w:p w14:paraId="4C00500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30BE72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696,000 </w:t>
            </w:r>
          </w:p>
        </w:tc>
      </w:tr>
      <w:tr w:rsidR="00D868AB" w:rsidRPr="00D868AB" w14:paraId="329BF387" w14:textId="77777777" w:rsidTr="00A755A7">
        <w:tblPrEx>
          <w:jc w:val="left"/>
        </w:tblPrEx>
        <w:trPr>
          <w:trHeight w:val="20"/>
        </w:trPr>
        <w:tc>
          <w:tcPr>
            <w:tcW w:w="700" w:type="dxa"/>
            <w:shd w:val="clear" w:color="auto" w:fill="auto"/>
            <w:noWrap/>
            <w:vAlign w:val="center"/>
            <w:hideMark/>
          </w:tcPr>
          <w:p w14:paraId="58335C85"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39000</w:t>
            </w:r>
          </w:p>
        </w:tc>
        <w:tc>
          <w:tcPr>
            <w:tcW w:w="3973" w:type="dxa"/>
            <w:shd w:val="clear" w:color="auto" w:fill="auto"/>
            <w:vAlign w:val="center"/>
            <w:hideMark/>
          </w:tcPr>
          <w:p w14:paraId="45713701"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OTROS SERVICIOS GENERALES.</w:t>
            </w:r>
          </w:p>
        </w:tc>
        <w:tc>
          <w:tcPr>
            <w:tcW w:w="1276" w:type="dxa"/>
            <w:shd w:val="clear" w:color="auto" w:fill="auto"/>
            <w:noWrap/>
            <w:vAlign w:val="center"/>
          </w:tcPr>
          <w:p w14:paraId="2357EF4A"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54,419,665 </w:t>
            </w:r>
          </w:p>
        </w:tc>
        <w:tc>
          <w:tcPr>
            <w:tcW w:w="1276" w:type="dxa"/>
            <w:shd w:val="clear" w:color="auto" w:fill="auto"/>
            <w:noWrap/>
            <w:vAlign w:val="center"/>
          </w:tcPr>
          <w:p w14:paraId="7F83C01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7C6E681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54,419,665 </w:t>
            </w:r>
          </w:p>
        </w:tc>
      </w:tr>
      <w:tr w:rsidR="00D868AB" w:rsidRPr="00D868AB" w14:paraId="6C82A0B0" w14:textId="77777777" w:rsidTr="00A755A7">
        <w:tblPrEx>
          <w:jc w:val="left"/>
        </w:tblPrEx>
        <w:trPr>
          <w:trHeight w:val="20"/>
        </w:trPr>
        <w:tc>
          <w:tcPr>
            <w:tcW w:w="700" w:type="dxa"/>
            <w:shd w:val="clear" w:color="auto" w:fill="auto"/>
            <w:noWrap/>
            <w:vAlign w:val="center"/>
            <w:hideMark/>
          </w:tcPr>
          <w:p w14:paraId="23DA4C4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39100</w:t>
            </w:r>
          </w:p>
        </w:tc>
        <w:tc>
          <w:tcPr>
            <w:tcW w:w="3973" w:type="dxa"/>
            <w:shd w:val="clear" w:color="auto" w:fill="auto"/>
            <w:vAlign w:val="center"/>
            <w:hideMark/>
          </w:tcPr>
          <w:p w14:paraId="08ADD9A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Servicios funerarios y de cementerios.</w:t>
            </w:r>
          </w:p>
        </w:tc>
        <w:tc>
          <w:tcPr>
            <w:tcW w:w="1276" w:type="dxa"/>
            <w:shd w:val="clear" w:color="auto" w:fill="auto"/>
            <w:noWrap/>
            <w:vAlign w:val="center"/>
          </w:tcPr>
          <w:p w14:paraId="1084821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7,954,080 </w:t>
            </w:r>
          </w:p>
        </w:tc>
        <w:tc>
          <w:tcPr>
            <w:tcW w:w="1276" w:type="dxa"/>
            <w:shd w:val="clear" w:color="auto" w:fill="auto"/>
            <w:noWrap/>
            <w:vAlign w:val="center"/>
          </w:tcPr>
          <w:p w14:paraId="467E6CD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B22437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7,954,080 </w:t>
            </w:r>
          </w:p>
        </w:tc>
      </w:tr>
      <w:tr w:rsidR="00D868AB" w:rsidRPr="00D868AB" w14:paraId="4FA90C34" w14:textId="77777777" w:rsidTr="00A755A7">
        <w:tblPrEx>
          <w:jc w:val="left"/>
        </w:tblPrEx>
        <w:trPr>
          <w:trHeight w:val="20"/>
        </w:trPr>
        <w:tc>
          <w:tcPr>
            <w:tcW w:w="700" w:type="dxa"/>
            <w:shd w:val="clear" w:color="auto" w:fill="auto"/>
            <w:noWrap/>
            <w:vAlign w:val="center"/>
            <w:hideMark/>
          </w:tcPr>
          <w:p w14:paraId="6A5B815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39200</w:t>
            </w:r>
          </w:p>
        </w:tc>
        <w:tc>
          <w:tcPr>
            <w:tcW w:w="3973" w:type="dxa"/>
            <w:shd w:val="clear" w:color="auto" w:fill="auto"/>
            <w:vAlign w:val="center"/>
            <w:hideMark/>
          </w:tcPr>
          <w:p w14:paraId="537DB4C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Impuestos y derechos.</w:t>
            </w:r>
          </w:p>
        </w:tc>
        <w:tc>
          <w:tcPr>
            <w:tcW w:w="1276" w:type="dxa"/>
            <w:shd w:val="clear" w:color="auto" w:fill="auto"/>
            <w:noWrap/>
            <w:vAlign w:val="center"/>
          </w:tcPr>
          <w:p w14:paraId="188C3B4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3,852,550 </w:t>
            </w:r>
          </w:p>
        </w:tc>
        <w:tc>
          <w:tcPr>
            <w:tcW w:w="1276" w:type="dxa"/>
            <w:shd w:val="clear" w:color="auto" w:fill="auto"/>
            <w:noWrap/>
            <w:vAlign w:val="center"/>
          </w:tcPr>
          <w:p w14:paraId="56CA497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9702E3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3,852,550 </w:t>
            </w:r>
          </w:p>
        </w:tc>
      </w:tr>
      <w:tr w:rsidR="00D868AB" w:rsidRPr="00D868AB" w14:paraId="574932A3" w14:textId="77777777" w:rsidTr="00A755A7">
        <w:tblPrEx>
          <w:jc w:val="left"/>
        </w:tblPrEx>
        <w:trPr>
          <w:trHeight w:val="20"/>
        </w:trPr>
        <w:tc>
          <w:tcPr>
            <w:tcW w:w="700" w:type="dxa"/>
            <w:shd w:val="clear" w:color="auto" w:fill="auto"/>
            <w:noWrap/>
            <w:vAlign w:val="center"/>
            <w:hideMark/>
          </w:tcPr>
          <w:p w14:paraId="2346112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39300</w:t>
            </w:r>
          </w:p>
        </w:tc>
        <w:tc>
          <w:tcPr>
            <w:tcW w:w="3973" w:type="dxa"/>
            <w:shd w:val="clear" w:color="auto" w:fill="auto"/>
            <w:vAlign w:val="center"/>
            <w:hideMark/>
          </w:tcPr>
          <w:p w14:paraId="520C5B4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Impuestos y derechos de importación.</w:t>
            </w:r>
          </w:p>
        </w:tc>
        <w:tc>
          <w:tcPr>
            <w:tcW w:w="1276" w:type="dxa"/>
            <w:shd w:val="clear" w:color="auto" w:fill="auto"/>
            <w:noWrap/>
            <w:vAlign w:val="center"/>
          </w:tcPr>
          <w:p w14:paraId="3F16C4C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786F3A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F3E622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02F4FBB" w14:textId="77777777" w:rsidTr="00A755A7">
        <w:tblPrEx>
          <w:jc w:val="left"/>
        </w:tblPrEx>
        <w:trPr>
          <w:trHeight w:val="20"/>
        </w:trPr>
        <w:tc>
          <w:tcPr>
            <w:tcW w:w="700" w:type="dxa"/>
            <w:shd w:val="clear" w:color="auto" w:fill="auto"/>
            <w:noWrap/>
            <w:vAlign w:val="center"/>
            <w:hideMark/>
          </w:tcPr>
          <w:p w14:paraId="2E286C5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39400</w:t>
            </w:r>
          </w:p>
        </w:tc>
        <w:tc>
          <w:tcPr>
            <w:tcW w:w="3973" w:type="dxa"/>
            <w:shd w:val="clear" w:color="auto" w:fill="auto"/>
            <w:vAlign w:val="center"/>
            <w:hideMark/>
          </w:tcPr>
          <w:p w14:paraId="5FD0DFE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Sentencias y resoluciones por autoridad competente.</w:t>
            </w:r>
          </w:p>
        </w:tc>
        <w:tc>
          <w:tcPr>
            <w:tcW w:w="1276" w:type="dxa"/>
            <w:shd w:val="clear" w:color="auto" w:fill="auto"/>
            <w:noWrap/>
            <w:vAlign w:val="center"/>
          </w:tcPr>
          <w:p w14:paraId="6B2A97C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2,000,000 </w:t>
            </w:r>
          </w:p>
        </w:tc>
        <w:tc>
          <w:tcPr>
            <w:tcW w:w="1276" w:type="dxa"/>
            <w:shd w:val="clear" w:color="auto" w:fill="auto"/>
            <w:noWrap/>
            <w:vAlign w:val="center"/>
          </w:tcPr>
          <w:p w14:paraId="5C0CA41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C003CF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2,000,000 </w:t>
            </w:r>
          </w:p>
        </w:tc>
      </w:tr>
      <w:tr w:rsidR="00D868AB" w:rsidRPr="00D868AB" w14:paraId="3331A833" w14:textId="77777777" w:rsidTr="00A755A7">
        <w:tblPrEx>
          <w:jc w:val="left"/>
        </w:tblPrEx>
        <w:trPr>
          <w:trHeight w:val="20"/>
        </w:trPr>
        <w:tc>
          <w:tcPr>
            <w:tcW w:w="700" w:type="dxa"/>
            <w:shd w:val="clear" w:color="auto" w:fill="auto"/>
            <w:noWrap/>
            <w:vAlign w:val="center"/>
            <w:hideMark/>
          </w:tcPr>
          <w:p w14:paraId="121292C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39500</w:t>
            </w:r>
          </w:p>
        </w:tc>
        <w:tc>
          <w:tcPr>
            <w:tcW w:w="3973" w:type="dxa"/>
            <w:shd w:val="clear" w:color="auto" w:fill="auto"/>
            <w:vAlign w:val="center"/>
            <w:hideMark/>
          </w:tcPr>
          <w:p w14:paraId="6D95879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Penas, multas, accesorios y actualizaciones.</w:t>
            </w:r>
          </w:p>
        </w:tc>
        <w:tc>
          <w:tcPr>
            <w:tcW w:w="1276" w:type="dxa"/>
            <w:shd w:val="clear" w:color="auto" w:fill="auto"/>
            <w:noWrap/>
            <w:vAlign w:val="center"/>
          </w:tcPr>
          <w:p w14:paraId="1C7FF85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466C98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64EAC3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DEB41EA" w14:textId="77777777" w:rsidTr="00A755A7">
        <w:tblPrEx>
          <w:jc w:val="left"/>
        </w:tblPrEx>
        <w:trPr>
          <w:trHeight w:val="20"/>
        </w:trPr>
        <w:tc>
          <w:tcPr>
            <w:tcW w:w="700" w:type="dxa"/>
            <w:shd w:val="clear" w:color="auto" w:fill="auto"/>
            <w:noWrap/>
            <w:vAlign w:val="center"/>
            <w:hideMark/>
          </w:tcPr>
          <w:p w14:paraId="130E8DC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39600</w:t>
            </w:r>
          </w:p>
        </w:tc>
        <w:tc>
          <w:tcPr>
            <w:tcW w:w="3973" w:type="dxa"/>
            <w:shd w:val="clear" w:color="auto" w:fill="auto"/>
            <w:vAlign w:val="center"/>
            <w:hideMark/>
          </w:tcPr>
          <w:p w14:paraId="3062290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gastos por responsabilidades.</w:t>
            </w:r>
          </w:p>
        </w:tc>
        <w:tc>
          <w:tcPr>
            <w:tcW w:w="1276" w:type="dxa"/>
            <w:shd w:val="clear" w:color="auto" w:fill="auto"/>
            <w:noWrap/>
            <w:vAlign w:val="center"/>
          </w:tcPr>
          <w:p w14:paraId="40CC65D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555,000 </w:t>
            </w:r>
          </w:p>
        </w:tc>
        <w:tc>
          <w:tcPr>
            <w:tcW w:w="1276" w:type="dxa"/>
            <w:shd w:val="clear" w:color="auto" w:fill="auto"/>
            <w:noWrap/>
            <w:vAlign w:val="center"/>
          </w:tcPr>
          <w:p w14:paraId="7C6C4F8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2331CF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555,000 </w:t>
            </w:r>
          </w:p>
        </w:tc>
      </w:tr>
      <w:tr w:rsidR="00D868AB" w:rsidRPr="00D868AB" w14:paraId="2D5C0BA9" w14:textId="77777777" w:rsidTr="00A755A7">
        <w:tblPrEx>
          <w:jc w:val="left"/>
        </w:tblPrEx>
        <w:trPr>
          <w:trHeight w:val="20"/>
        </w:trPr>
        <w:tc>
          <w:tcPr>
            <w:tcW w:w="700" w:type="dxa"/>
            <w:shd w:val="clear" w:color="auto" w:fill="auto"/>
            <w:noWrap/>
            <w:vAlign w:val="center"/>
            <w:hideMark/>
          </w:tcPr>
          <w:p w14:paraId="254C967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39700</w:t>
            </w:r>
          </w:p>
        </w:tc>
        <w:tc>
          <w:tcPr>
            <w:tcW w:w="3973" w:type="dxa"/>
            <w:shd w:val="clear" w:color="auto" w:fill="auto"/>
            <w:vAlign w:val="center"/>
            <w:hideMark/>
          </w:tcPr>
          <w:p w14:paraId="0634E84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Utilidades.</w:t>
            </w:r>
          </w:p>
        </w:tc>
        <w:tc>
          <w:tcPr>
            <w:tcW w:w="1276" w:type="dxa"/>
            <w:shd w:val="clear" w:color="auto" w:fill="auto"/>
            <w:noWrap/>
            <w:vAlign w:val="center"/>
          </w:tcPr>
          <w:p w14:paraId="36C013E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1C9826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A9B92D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36BEDDC" w14:textId="77777777" w:rsidTr="00A755A7">
        <w:tblPrEx>
          <w:jc w:val="left"/>
        </w:tblPrEx>
        <w:trPr>
          <w:trHeight w:val="20"/>
        </w:trPr>
        <w:tc>
          <w:tcPr>
            <w:tcW w:w="700" w:type="dxa"/>
            <w:shd w:val="clear" w:color="auto" w:fill="auto"/>
            <w:noWrap/>
            <w:vAlign w:val="center"/>
            <w:hideMark/>
          </w:tcPr>
          <w:p w14:paraId="3F38118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39800</w:t>
            </w:r>
          </w:p>
        </w:tc>
        <w:tc>
          <w:tcPr>
            <w:tcW w:w="3973" w:type="dxa"/>
            <w:shd w:val="clear" w:color="auto" w:fill="auto"/>
            <w:vAlign w:val="center"/>
            <w:hideMark/>
          </w:tcPr>
          <w:p w14:paraId="6506798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Impuesto sobre nóminas y otros que se deriven de una relación laboral.</w:t>
            </w:r>
          </w:p>
        </w:tc>
        <w:tc>
          <w:tcPr>
            <w:tcW w:w="1276" w:type="dxa"/>
            <w:shd w:val="clear" w:color="auto" w:fill="auto"/>
            <w:noWrap/>
            <w:vAlign w:val="center"/>
          </w:tcPr>
          <w:p w14:paraId="447052E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38,661,696 </w:t>
            </w:r>
          </w:p>
        </w:tc>
        <w:tc>
          <w:tcPr>
            <w:tcW w:w="1276" w:type="dxa"/>
            <w:shd w:val="clear" w:color="auto" w:fill="auto"/>
            <w:noWrap/>
            <w:vAlign w:val="center"/>
          </w:tcPr>
          <w:p w14:paraId="2429709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4D1105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38,661,696 </w:t>
            </w:r>
          </w:p>
        </w:tc>
      </w:tr>
      <w:tr w:rsidR="00D868AB" w:rsidRPr="00D868AB" w14:paraId="50B7D726" w14:textId="77777777" w:rsidTr="00A755A7">
        <w:tblPrEx>
          <w:jc w:val="left"/>
        </w:tblPrEx>
        <w:trPr>
          <w:trHeight w:val="20"/>
        </w:trPr>
        <w:tc>
          <w:tcPr>
            <w:tcW w:w="700" w:type="dxa"/>
            <w:shd w:val="clear" w:color="auto" w:fill="auto"/>
            <w:noWrap/>
            <w:vAlign w:val="center"/>
            <w:hideMark/>
          </w:tcPr>
          <w:p w14:paraId="1E90E31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39900</w:t>
            </w:r>
          </w:p>
        </w:tc>
        <w:tc>
          <w:tcPr>
            <w:tcW w:w="3973" w:type="dxa"/>
            <w:shd w:val="clear" w:color="auto" w:fill="auto"/>
            <w:vAlign w:val="center"/>
            <w:hideMark/>
          </w:tcPr>
          <w:p w14:paraId="3765D9B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servicios generales.</w:t>
            </w:r>
          </w:p>
        </w:tc>
        <w:tc>
          <w:tcPr>
            <w:tcW w:w="1276" w:type="dxa"/>
            <w:shd w:val="clear" w:color="auto" w:fill="auto"/>
            <w:noWrap/>
            <w:vAlign w:val="center"/>
          </w:tcPr>
          <w:p w14:paraId="595DA62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1,396,339 </w:t>
            </w:r>
          </w:p>
        </w:tc>
        <w:tc>
          <w:tcPr>
            <w:tcW w:w="1276" w:type="dxa"/>
            <w:shd w:val="clear" w:color="auto" w:fill="auto"/>
            <w:noWrap/>
            <w:vAlign w:val="center"/>
          </w:tcPr>
          <w:p w14:paraId="78BB34B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0E29D4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1,396,339 </w:t>
            </w:r>
          </w:p>
        </w:tc>
      </w:tr>
      <w:tr w:rsidR="00D868AB" w:rsidRPr="00D868AB" w14:paraId="0592C447" w14:textId="77777777" w:rsidTr="00A755A7">
        <w:tblPrEx>
          <w:jc w:val="left"/>
        </w:tblPrEx>
        <w:trPr>
          <w:trHeight w:val="20"/>
        </w:trPr>
        <w:tc>
          <w:tcPr>
            <w:tcW w:w="700" w:type="dxa"/>
            <w:shd w:val="clear" w:color="auto" w:fill="auto"/>
            <w:noWrap/>
            <w:vAlign w:val="center"/>
            <w:hideMark/>
          </w:tcPr>
          <w:p w14:paraId="37C5B568"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40000</w:t>
            </w:r>
          </w:p>
        </w:tc>
        <w:tc>
          <w:tcPr>
            <w:tcW w:w="3973" w:type="dxa"/>
            <w:shd w:val="clear" w:color="auto" w:fill="auto"/>
            <w:vAlign w:val="center"/>
            <w:hideMark/>
          </w:tcPr>
          <w:p w14:paraId="36CD2023"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TRANSFERENCIAS, ASIGNACIONES, SUBSIDIOS Y OTRAS AYUDAS.</w:t>
            </w:r>
          </w:p>
        </w:tc>
        <w:tc>
          <w:tcPr>
            <w:tcW w:w="1276" w:type="dxa"/>
            <w:shd w:val="clear" w:color="auto" w:fill="auto"/>
            <w:noWrap/>
            <w:vAlign w:val="center"/>
          </w:tcPr>
          <w:p w14:paraId="7656B1E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11,198,380,298 </w:t>
            </w:r>
          </w:p>
        </w:tc>
        <w:tc>
          <w:tcPr>
            <w:tcW w:w="1276" w:type="dxa"/>
            <w:shd w:val="clear" w:color="auto" w:fill="auto"/>
            <w:noWrap/>
            <w:vAlign w:val="center"/>
          </w:tcPr>
          <w:p w14:paraId="76F31CC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2,083,432,833 </w:t>
            </w:r>
          </w:p>
        </w:tc>
        <w:tc>
          <w:tcPr>
            <w:tcW w:w="1275" w:type="dxa"/>
            <w:shd w:val="clear" w:color="auto" w:fill="auto"/>
            <w:noWrap/>
            <w:vAlign w:val="center"/>
          </w:tcPr>
          <w:p w14:paraId="67A37A2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13,281,813,131 </w:t>
            </w:r>
          </w:p>
        </w:tc>
      </w:tr>
      <w:tr w:rsidR="00D868AB" w:rsidRPr="00D868AB" w14:paraId="3961F8A6" w14:textId="77777777" w:rsidTr="00A755A7">
        <w:tblPrEx>
          <w:jc w:val="left"/>
        </w:tblPrEx>
        <w:trPr>
          <w:trHeight w:val="20"/>
        </w:trPr>
        <w:tc>
          <w:tcPr>
            <w:tcW w:w="700" w:type="dxa"/>
            <w:shd w:val="clear" w:color="auto" w:fill="auto"/>
            <w:noWrap/>
            <w:vAlign w:val="center"/>
            <w:hideMark/>
          </w:tcPr>
          <w:p w14:paraId="6A80868C"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41000</w:t>
            </w:r>
          </w:p>
        </w:tc>
        <w:tc>
          <w:tcPr>
            <w:tcW w:w="3973" w:type="dxa"/>
            <w:shd w:val="clear" w:color="auto" w:fill="auto"/>
            <w:vAlign w:val="center"/>
            <w:hideMark/>
          </w:tcPr>
          <w:p w14:paraId="5FB68FE2"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TRANSFERENCIAS INTERNAS Y ASIGNACIONES AL SECTOR PÚBLICO.</w:t>
            </w:r>
          </w:p>
        </w:tc>
        <w:tc>
          <w:tcPr>
            <w:tcW w:w="1276" w:type="dxa"/>
            <w:shd w:val="clear" w:color="auto" w:fill="auto"/>
            <w:noWrap/>
            <w:vAlign w:val="center"/>
          </w:tcPr>
          <w:p w14:paraId="79BAC7E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8,667,011,014 </w:t>
            </w:r>
          </w:p>
        </w:tc>
        <w:tc>
          <w:tcPr>
            <w:tcW w:w="1276" w:type="dxa"/>
            <w:shd w:val="clear" w:color="auto" w:fill="auto"/>
            <w:noWrap/>
            <w:vAlign w:val="center"/>
          </w:tcPr>
          <w:p w14:paraId="0D951F2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289,859,381 </w:t>
            </w:r>
          </w:p>
        </w:tc>
        <w:tc>
          <w:tcPr>
            <w:tcW w:w="1275" w:type="dxa"/>
            <w:shd w:val="clear" w:color="auto" w:fill="auto"/>
            <w:noWrap/>
            <w:vAlign w:val="center"/>
          </w:tcPr>
          <w:p w14:paraId="2CD9C4D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8,956,870,395 </w:t>
            </w:r>
          </w:p>
        </w:tc>
      </w:tr>
      <w:tr w:rsidR="00D868AB" w:rsidRPr="00D868AB" w14:paraId="1F12B78F" w14:textId="77777777" w:rsidTr="00A755A7">
        <w:tblPrEx>
          <w:jc w:val="left"/>
        </w:tblPrEx>
        <w:trPr>
          <w:trHeight w:val="20"/>
        </w:trPr>
        <w:tc>
          <w:tcPr>
            <w:tcW w:w="700" w:type="dxa"/>
            <w:shd w:val="clear" w:color="auto" w:fill="auto"/>
            <w:noWrap/>
            <w:vAlign w:val="center"/>
            <w:hideMark/>
          </w:tcPr>
          <w:p w14:paraId="7E8CD22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41100</w:t>
            </w:r>
          </w:p>
        </w:tc>
        <w:tc>
          <w:tcPr>
            <w:tcW w:w="3973" w:type="dxa"/>
            <w:shd w:val="clear" w:color="auto" w:fill="auto"/>
            <w:vAlign w:val="center"/>
            <w:hideMark/>
          </w:tcPr>
          <w:p w14:paraId="7B66A71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Asignaciones presupuestarias al Poder Ejecutivo.</w:t>
            </w:r>
          </w:p>
        </w:tc>
        <w:tc>
          <w:tcPr>
            <w:tcW w:w="1276" w:type="dxa"/>
            <w:shd w:val="clear" w:color="auto" w:fill="auto"/>
            <w:noWrap/>
            <w:vAlign w:val="center"/>
          </w:tcPr>
          <w:p w14:paraId="2C25DD1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1,927,012,366 </w:t>
            </w:r>
          </w:p>
        </w:tc>
        <w:tc>
          <w:tcPr>
            <w:tcW w:w="1276" w:type="dxa"/>
            <w:shd w:val="clear" w:color="auto" w:fill="auto"/>
            <w:noWrap/>
            <w:vAlign w:val="center"/>
          </w:tcPr>
          <w:p w14:paraId="439EFE2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588758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1,927,012,366 </w:t>
            </w:r>
          </w:p>
        </w:tc>
      </w:tr>
      <w:tr w:rsidR="00D868AB" w:rsidRPr="00D868AB" w14:paraId="2C1A2073" w14:textId="77777777" w:rsidTr="00A755A7">
        <w:tblPrEx>
          <w:jc w:val="left"/>
        </w:tblPrEx>
        <w:trPr>
          <w:trHeight w:val="20"/>
        </w:trPr>
        <w:tc>
          <w:tcPr>
            <w:tcW w:w="700" w:type="dxa"/>
            <w:shd w:val="clear" w:color="auto" w:fill="auto"/>
            <w:noWrap/>
            <w:vAlign w:val="center"/>
            <w:hideMark/>
          </w:tcPr>
          <w:p w14:paraId="2C189CC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41200</w:t>
            </w:r>
          </w:p>
        </w:tc>
        <w:tc>
          <w:tcPr>
            <w:tcW w:w="3973" w:type="dxa"/>
            <w:shd w:val="clear" w:color="auto" w:fill="auto"/>
            <w:vAlign w:val="center"/>
            <w:hideMark/>
          </w:tcPr>
          <w:p w14:paraId="4744329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Asignaciones presupuestarias al Poder Legislativo.</w:t>
            </w:r>
          </w:p>
        </w:tc>
        <w:tc>
          <w:tcPr>
            <w:tcW w:w="1276" w:type="dxa"/>
            <w:shd w:val="clear" w:color="auto" w:fill="auto"/>
            <w:noWrap/>
            <w:vAlign w:val="center"/>
          </w:tcPr>
          <w:p w14:paraId="1E56E8E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73202B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115,000,000 </w:t>
            </w:r>
          </w:p>
        </w:tc>
        <w:tc>
          <w:tcPr>
            <w:tcW w:w="1275" w:type="dxa"/>
            <w:shd w:val="clear" w:color="auto" w:fill="auto"/>
            <w:noWrap/>
            <w:vAlign w:val="center"/>
          </w:tcPr>
          <w:p w14:paraId="24A0138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115,000,000 </w:t>
            </w:r>
          </w:p>
        </w:tc>
      </w:tr>
      <w:tr w:rsidR="00D868AB" w:rsidRPr="00D868AB" w14:paraId="4A395AB7" w14:textId="77777777" w:rsidTr="00A755A7">
        <w:tblPrEx>
          <w:jc w:val="left"/>
        </w:tblPrEx>
        <w:trPr>
          <w:trHeight w:val="20"/>
        </w:trPr>
        <w:tc>
          <w:tcPr>
            <w:tcW w:w="700" w:type="dxa"/>
            <w:shd w:val="clear" w:color="auto" w:fill="auto"/>
            <w:noWrap/>
            <w:vAlign w:val="center"/>
            <w:hideMark/>
          </w:tcPr>
          <w:p w14:paraId="015B9FA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41300</w:t>
            </w:r>
          </w:p>
        </w:tc>
        <w:tc>
          <w:tcPr>
            <w:tcW w:w="3973" w:type="dxa"/>
            <w:shd w:val="clear" w:color="auto" w:fill="auto"/>
            <w:vAlign w:val="center"/>
            <w:hideMark/>
          </w:tcPr>
          <w:p w14:paraId="330905F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Asignaciones presupuestarias al Poder Judicial.</w:t>
            </w:r>
          </w:p>
        </w:tc>
        <w:tc>
          <w:tcPr>
            <w:tcW w:w="1276" w:type="dxa"/>
            <w:shd w:val="clear" w:color="auto" w:fill="auto"/>
            <w:noWrap/>
            <w:vAlign w:val="center"/>
          </w:tcPr>
          <w:p w14:paraId="7C3699F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251,000,000 </w:t>
            </w:r>
          </w:p>
        </w:tc>
        <w:tc>
          <w:tcPr>
            <w:tcW w:w="1276" w:type="dxa"/>
            <w:shd w:val="clear" w:color="auto" w:fill="auto"/>
            <w:noWrap/>
            <w:vAlign w:val="center"/>
          </w:tcPr>
          <w:p w14:paraId="55BD77C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0A8E3D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251,000,000 </w:t>
            </w:r>
          </w:p>
        </w:tc>
      </w:tr>
      <w:tr w:rsidR="00D868AB" w:rsidRPr="00D868AB" w14:paraId="036CF415" w14:textId="77777777" w:rsidTr="00A755A7">
        <w:tblPrEx>
          <w:jc w:val="left"/>
        </w:tblPrEx>
        <w:trPr>
          <w:trHeight w:val="20"/>
        </w:trPr>
        <w:tc>
          <w:tcPr>
            <w:tcW w:w="700" w:type="dxa"/>
            <w:shd w:val="clear" w:color="auto" w:fill="auto"/>
            <w:noWrap/>
            <w:vAlign w:val="center"/>
            <w:hideMark/>
          </w:tcPr>
          <w:p w14:paraId="1559ED6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41400</w:t>
            </w:r>
          </w:p>
        </w:tc>
        <w:tc>
          <w:tcPr>
            <w:tcW w:w="3973" w:type="dxa"/>
            <w:shd w:val="clear" w:color="auto" w:fill="auto"/>
            <w:vAlign w:val="center"/>
            <w:hideMark/>
          </w:tcPr>
          <w:p w14:paraId="35F4865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Asignaciones presupuestarias a Órganos Autónomos.</w:t>
            </w:r>
          </w:p>
        </w:tc>
        <w:tc>
          <w:tcPr>
            <w:tcW w:w="1276" w:type="dxa"/>
            <w:shd w:val="clear" w:color="auto" w:fill="auto"/>
            <w:noWrap/>
            <w:vAlign w:val="center"/>
          </w:tcPr>
          <w:p w14:paraId="00D2AB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509,618,151 </w:t>
            </w:r>
          </w:p>
        </w:tc>
        <w:tc>
          <w:tcPr>
            <w:tcW w:w="1276" w:type="dxa"/>
            <w:shd w:val="clear" w:color="auto" w:fill="auto"/>
            <w:noWrap/>
            <w:vAlign w:val="center"/>
          </w:tcPr>
          <w:p w14:paraId="2CFF679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172,454,231 </w:t>
            </w:r>
          </w:p>
        </w:tc>
        <w:tc>
          <w:tcPr>
            <w:tcW w:w="1275" w:type="dxa"/>
            <w:shd w:val="clear" w:color="auto" w:fill="auto"/>
            <w:noWrap/>
            <w:vAlign w:val="center"/>
          </w:tcPr>
          <w:p w14:paraId="5D3633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682,072,382 </w:t>
            </w:r>
          </w:p>
        </w:tc>
      </w:tr>
      <w:tr w:rsidR="00D868AB" w:rsidRPr="00D868AB" w14:paraId="2AC9E34A" w14:textId="77777777" w:rsidTr="00A755A7">
        <w:tblPrEx>
          <w:jc w:val="left"/>
        </w:tblPrEx>
        <w:trPr>
          <w:trHeight w:val="20"/>
        </w:trPr>
        <w:tc>
          <w:tcPr>
            <w:tcW w:w="700" w:type="dxa"/>
            <w:shd w:val="clear" w:color="auto" w:fill="auto"/>
            <w:noWrap/>
            <w:vAlign w:val="center"/>
            <w:hideMark/>
          </w:tcPr>
          <w:p w14:paraId="05DC8DD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41500</w:t>
            </w:r>
          </w:p>
        </w:tc>
        <w:tc>
          <w:tcPr>
            <w:tcW w:w="3973" w:type="dxa"/>
            <w:shd w:val="clear" w:color="auto" w:fill="auto"/>
            <w:vAlign w:val="center"/>
            <w:hideMark/>
          </w:tcPr>
          <w:p w14:paraId="793949A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internas otorgadas a entidades paraestatales no empresariales y no financieras.</w:t>
            </w:r>
          </w:p>
        </w:tc>
        <w:tc>
          <w:tcPr>
            <w:tcW w:w="1276" w:type="dxa"/>
            <w:shd w:val="clear" w:color="auto" w:fill="auto"/>
            <w:noWrap/>
            <w:vAlign w:val="center"/>
          </w:tcPr>
          <w:p w14:paraId="25CAF3B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5,919,052,047 </w:t>
            </w:r>
          </w:p>
        </w:tc>
        <w:tc>
          <w:tcPr>
            <w:tcW w:w="1276" w:type="dxa"/>
            <w:shd w:val="clear" w:color="auto" w:fill="auto"/>
            <w:noWrap/>
            <w:vAlign w:val="center"/>
          </w:tcPr>
          <w:p w14:paraId="75F3A25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EA7EA0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5,919,052,047 </w:t>
            </w:r>
          </w:p>
        </w:tc>
      </w:tr>
      <w:tr w:rsidR="00D868AB" w:rsidRPr="00D868AB" w14:paraId="07C14F77" w14:textId="77777777" w:rsidTr="00A755A7">
        <w:tblPrEx>
          <w:jc w:val="left"/>
        </w:tblPrEx>
        <w:trPr>
          <w:trHeight w:val="20"/>
        </w:trPr>
        <w:tc>
          <w:tcPr>
            <w:tcW w:w="700" w:type="dxa"/>
            <w:shd w:val="clear" w:color="auto" w:fill="auto"/>
            <w:noWrap/>
            <w:vAlign w:val="center"/>
            <w:hideMark/>
          </w:tcPr>
          <w:p w14:paraId="1E21521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41600</w:t>
            </w:r>
          </w:p>
        </w:tc>
        <w:tc>
          <w:tcPr>
            <w:tcW w:w="3973" w:type="dxa"/>
            <w:shd w:val="clear" w:color="auto" w:fill="auto"/>
            <w:vAlign w:val="center"/>
            <w:hideMark/>
          </w:tcPr>
          <w:p w14:paraId="7F563B4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internas otorgadas a entidades paraestatales empresariales y no financieras.</w:t>
            </w:r>
          </w:p>
        </w:tc>
        <w:tc>
          <w:tcPr>
            <w:tcW w:w="1276" w:type="dxa"/>
            <w:shd w:val="clear" w:color="auto" w:fill="auto"/>
            <w:noWrap/>
            <w:vAlign w:val="center"/>
          </w:tcPr>
          <w:p w14:paraId="2A2C07B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6313F9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A624A1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3306FB5" w14:textId="77777777" w:rsidTr="00A755A7">
        <w:tblPrEx>
          <w:jc w:val="left"/>
        </w:tblPrEx>
        <w:trPr>
          <w:trHeight w:val="20"/>
        </w:trPr>
        <w:tc>
          <w:tcPr>
            <w:tcW w:w="700" w:type="dxa"/>
            <w:shd w:val="clear" w:color="auto" w:fill="auto"/>
            <w:noWrap/>
            <w:vAlign w:val="center"/>
            <w:hideMark/>
          </w:tcPr>
          <w:p w14:paraId="1E124C6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41700</w:t>
            </w:r>
          </w:p>
        </w:tc>
        <w:tc>
          <w:tcPr>
            <w:tcW w:w="3973" w:type="dxa"/>
            <w:shd w:val="clear" w:color="auto" w:fill="auto"/>
            <w:vAlign w:val="center"/>
            <w:hideMark/>
          </w:tcPr>
          <w:p w14:paraId="3F0A639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internas otorgadas a fideicomisos públicos empresariales y no financieros.</w:t>
            </w:r>
          </w:p>
        </w:tc>
        <w:tc>
          <w:tcPr>
            <w:tcW w:w="1276" w:type="dxa"/>
            <w:shd w:val="clear" w:color="auto" w:fill="auto"/>
            <w:noWrap/>
            <w:vAlign w:val="center"/>
          </w:tcPr>
          <w:p w14:paraId="0C9B4C9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CD6AB5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2787BC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5AC2944" w14:textId="77777777" w:rsidTr="00A755A7">
        <w:tblPrEx>
          <w:jc w:val="left"/>
        </w:tblPrEx>
        <w:trPr>
          <w:trHeight w:val="20"/>
        </w:trPr>
        <w:tc>
          <w:tcPr>
            <w:tcW w:w="700" w:type="dxa"/>
            <w:shd w:val="clear" w:color="auto" w:fill="auto"/>
            <w:noWrap/>
            <w:vAlign w:val="center"/>
            <w:hideMark/>
          </w:tcPr>
          <w:p w14:paraId="643A4F5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41800</w:t>
            </w:r>
          </w:p>
        </w:tc>
        <w:tc>
          <w:tcPr>
            <w:tcW w:w="3973" w:type="dxa"/>
            <w:shd w:val="clear" w:color="auto" w:fill="auto"/>
            <w:vAlign w:val="center"/>
            <w:hideMark/>
          </w:tcPr>
          <w:p w14:paraId="2C03901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internas otorgadas a instituciones paraestatales públicas financieras.</w:t>
            </w:r>
          </w:p>
        </w:tc>
        <w:tc>
          <w:tcPr>
            <w:tcW w:w="1276" w:type="dxa"/>
            <w:shd w:val="clear" w:color="auto" w:fill="auto"/>
            <w:noWrap/>
            <w:vAlign w:val="center"/>
          </w:tcPr>
          <w:p w14:paraId="1FBC362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277121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CFD1F7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0E9F0F8" w14:textId="77777777" w:rsidTr="00A755A7">
        <w:tblPrEx>
          <w:jc w:val="left"/>
        </w:tblPrEx>
        <w:trPr>
          <w:trHeight w:val="20"/>
        </w:trPr>
        <w:tc>
          <w:tcPr>
            <w:tcW w:w="700" w:type="dxa"/>
            <w:shd w:val="clear" w:color="auto" w:fill="auto"/>
            <w:noWrap/>
            <w:vAlign w:val="center"/>
            <w:hideMark/>
          </w:tcPr>
          <w:p w14:paraId="08B7C8E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41900</w:t>
            </w:r>
          </w:p>
        </w:tc>
        <w:tc>
          <w:tcPr>
            <w:tcW w:w="3973" w:type="dxa"/>
            <w:shd w:val="clear" w:color="auto" w:fill="auto"/>
            <w:vAlign w:val="center"/>
            <w:hideMark/>
          </w:tcPr>
          <w:p w14:paraId="0DA23BE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internas otorgadas a fideicomisos públicos financieros.</w:t>
            </w:r>
          </w:p>
        </w:tc>
        <w:tc>
          <w:tcPr>
            <w:tcW w:w="1276" w:type="dxa"/>
            <w:shd w:val="clear" w:color="auto" w:fill="auto"/>
            <w:noWrap/>
            <w:vAlign w:val="center"/>
          </w:tcPr>
          <w:p w14:paraId="23E0D0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60,328,450 </w:t>
            </w:r>
          </w:p>
        </w:tc>
        <w:tc>
          <w:tcPr>
            <w:tcW w:w="1276" w:type="dxa"/>
            <w:shd w:val="clear" w:color="auto" w:fill="auto"/>
            <w:noWrap/>
            <w:vAlign w:val="center"/>
          </w:tcPr>
          <w:p w14:paraId="02A8D8B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2,405,150 </w:t>
            </w:r>
          </w:p>
        </w:tc>
        <w:tc>
          <w:tcPr>
            <w:tcW w:w="1275" w:type="dxa"/>
            <w:shd w:val="clear" w:color="auto" w:fill="auto"/>
            <w:noWrap/>
            <w:vAlign w:val="center"/>
          </w:tcPr>
          <w:p w14:paraId="228DB1C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62,733,600 </w:t>
            </w:r>
          </w:p>
        </w:tc>
      </w:tr>
      <w:tr w:rsidR="00D868AB" w:rsidRPr="00D868AB" w14:paraId="7E8E6801" w14:textId="77777777" w:rsidTr="00A755A7">
        <w:tblPrEx>
          <w:jc w:val="left"/>
        </w:tblPrEx>
        <w:trPr>
          <w:trHeight w:val="20"/>
        </w:trPr>
        <w:tc>
          <w:tcPr>
            <w:tcW w:w="700" w:type="dxa"/>
            <w:shd w:val="clear" w:color="auto" w:fill="auto"/>
            <w:noWrap/>
            <w:vAlign w:val="center"/>
            <w:hideMark/>
          </w:tcPr>
          <w:p w14:paraId="19CE242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42000</w:t>
            </w:r>
          </w:p>
        </w:tc>
        <w:tc>
          <w:tcPr>
            <w:tcW w:w="3973" w:type="dxa"/>
            <w:shd w:val="clear" w:color="auto" w:fill="auto"/>
            <w:vAlign w:val="center"/>
            <w:hideMark/>
          </w:tcPr>
          <w:p w14:paraId="144CA4C9"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TRANSFERENCIAS AL RESTO DEL SECTOR PÚBLICO.</w:t>
            </w:r>
          </w:p>
        </w:tc>
        <w:tc>
          <w:tcPr>
            <w:tcW w:w="1276" w:type="dxa"/>
            <w:shd w:val="clear" w:color="auto" w:fill="auto"/>
            <w:noWrap/>
            <w:vAlign w:val="center"/>
          </w:tcPr>
          <w:p w14:paraId="5B5A7F9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358,125,710 </w:t>
            </w:r>
          </w:p>
        </w:tc>
        <w:tc>
          <w:tcPr>
            <w:tcW w:w="1276" w:type="dxa"/>
            <w:shd w:val="clear" w:color="auto" w:fill="auto"/>
            <w:noWrap/>
            <w:vAlign w:val="center"/>
          </w:tcPr>
          <w:p w14:paraId="39DDDC7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0F605AF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358,125,710 </w:t>
            </w:r>
          </w:p>
        </w:tc>
      </w:tr>
      <w:tr w:rsidR="00D868AB" w:rsidRPr="00D868AB" w14:paraId="5A41DE78" w14:textId="77777777" w:rsidTr="00A755A7">
        <w:tblPrEx>
          <w:jc w:val="left"/>
        </w:tblPrEx>
        <w:trPr>
          <w:trHeight w:val="20"/>
        </w:trPr>
        <w:tc>
          <w:tcPr>
            <w:tcW w:w="700" w:type="dxa"/>
            <w:shd w:val="clear" w:color="auto" w:fill="auto"/>
            <w:noWrap/>
            <w:vAlign w:val="center"/>
            <w:hideMark/>
          </w:tcPr>
          <w:p w14:paraId="3838E9F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42100</w:t>
            </w:r>
          </w:p>
        </w:tc>
        <w:tc>
          <w:tcPr>
            <w:tcW w:w="3973" w:type="dxa"/>
            <w:shd w:val="clear" w:color="auto" w:fill="auto"/>
            <w:vAlign w:val="center"/>
            <w:hideMark/>
          </w:tcPr>
          <w:p w14:paraId="7A75AA6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otorgadas a entidades paraestatales no empresariales y no financieras.</w:t>
            </w:r>
          </w:p>
        </w:tc>
        <w:tc>
          <w:tcPr>
            <w:tcW w:w="1276" w:type="dxa"/>
            <w:shd w:val="clear" w:color="auto" w:fill="auto"/>
            <w:noWrap/>
            <w:vAlign w:val="center"/>
          </w:tcPr>
          <w:p w14:paraId="0F166E2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A8BE3F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3B678B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FA7DE90" w14:textId="77777777" w:rsidTr="00A755A7">
        <w:tblPrEx>
          <w:jc w:val="left"/>
        </w:tblPrEx>
        <w:trPr>
          <w:trHeight w:val="20"/>
        </w:trPr>
        <w:tc>
          <w:tcPr>
            <w:tcW w:w="700" w:type="dxa"/>
            <w:shd w:val="clear" w:color="auto" w:fill="auto"/>
            <w:noWrap/>
            <w:vAlign w:val="center"/>
            <w:hideMark/>
          </w:tcPr>
          <w:p w14:paraId="2C00813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42200</w:t>
            </w:r>
          </w:p>
        </w:tc>
        <w:tc>
          <w:tcPr>
            <w:tcW w:w="3973" w:type="dxa"/>
            <w:shd w:val="clear" w:color="auto" w:fill="auto"/>
            <w:vAlign w:val="center"/>
            <w:hideMark/>
          </w:tcPr>
          <w:p w14:paraId="2A69790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otorgadas para entidades paraestatales empresariales y no financieras.</w:t>
            </w:r>
          </w:p>
        </w:tc>
        <w:tc>
          <w:tcPr>
            <w:tcW w:w="1276" w:type="dxa"/>
            <w:shd w:val="clear" w:color="auto" w:fill="auto"/>
            <w:noWrap/>
            <w:vAlign w:val="center"/>
          </w:tcPr>
          <w:p w14:paraId="2B55439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10F7C6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A2384B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48849EB" w14:textId="77777777" w:rsidTr="00A755A7">
        <w:tblPrEx>
          <w:jc w:val="left"/>
        </w:tblPrEx>
        <w:trPr>
          <w:trHeight w:val="20"/>
        </w:trPr>
        <w:tc>
          <w:tcPr>
            <w:tcW w:w="700" w:type="dxa"/>
            <w:shd w:val="clear" w:color="auto" w:fill="auto"/>
            <w:noWrap/>
            <w:vAlign w:val="center"/>
            <w:hideMark/>
          </w:tcPr>
          <w:p w14:paraId="76121D7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42300</w:t>
            </w:r>
          </w:p>
        </w:tc>
        <w:tc>
          <w:tcPr>
            <w:tcW w:w="3973" w:type="dxa"/>
            <w:shd w:val="clear" w:color="auto" w:fill="auto"/>
            <w:vAlign w:val="center"/>
            <w:hideMark/>
          </w:tcPr>
          <w:p w14:paraId="30005DC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otorgadas para instituciones paraestatales públicas financieras.</w:t>
            </w:r>
          </w:p>
        </w:tc>
        <w:tc>
          <w:tcPr>
            <w:tcW w:w="1276" w:type="dxa"/>
            <w:shd w:val="clear" w:color="auto" w:fill="auto"/>
            <w:noWrap/>
            <w:vAlign w:val="center"/>
          </w:tcPr>
          <w:p w14:paraId="191B751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D67B13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E07991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67C2E48" w14:textId="77777777" w:rsidTr="00A755A7">
        <w:tblPrEx>
          <w:jc w:val="left"/>
        </w:tblPrEx>
        <w:trPr>
          <w:trHeight w:val="20"/>
        </w:trPr>
        <w:tc>
          <w:tcPr>
            <w:tcW w:w="700" w:type="dxa"/>
            <w:shd w:val="clear" w:color="auto" w:fill="auto"/>
            <w:noWrap/>
            <w:vAlign w:val="center"/>
            <w:hideMark/>
          </w:tcPr>
          <w:p w14:paraId="1B8871F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42400</w:t>
            </w:r>
          </w:p>
        </w:tc>
        <w:tc>
          <w:tcPr>
            <w:tcW w:w="3973" w:type="dxa"/>
            <w:shd w:val="clear" w:color="auto" w:fill="auto"/>
            <w:vAlign w:val="center"/>
            <w:hideMark/>
          </w:tcPr>
          <w:p w14:paraId="5C8825E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otorgadas a entidades federativas y municipios.</w:t>
            </w:r>
          </w:p>
        </w:tc>
        <w:tc>
          <w:tcPr>
            <w:tcW w:w="1276" w:type="dxa"/>
            <w:shd w:val="clear" w:color="auto" w:fill="auto"/>
            <w:noWrap/>
            <w:vAlign w:val="center"/>
          </w:tcPr>
          <w:p w14:paraId="6E22283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145,097,890 </w:t>
            </w:r>
          </w:p>
        </w:tc>
        <w:tc>
          <w:tcPr>
            <w:tcW w:w="1276" w:type="dxa"/>
            <w:shd w:val="clear" w:color="auto" w:fill="auto"/>
            <w:noWrap/>
            <w:vAlign w:val="center"/>
          </w:tcPr>
          <w:p w14:paraId="2F6CB88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8EF7C3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145,097,890 </w:t>
            </w:r>
          </w:p>
        </w:tc>
      </w:tr>
      <w:tr w:rsidR="00D868AB" w:rsidRPr="00D868AB" w14:paraId="076CF36A" w14:textId="77777777" w:rsidTr="00A755A7">
        <w:tblPrEx>
          <w:jc w:val="left"/>
        </w:tblPrEx>
        <w:trPr>
          <w:trHeight w:val="20"/>
        </w:trPr>
        <w:tc>
          <w:tcPr>
            <w:tcW w:w="700" w:type="dxa"/>
            <w:shd w:val="clear" w:color="auto" w:fill="auto"/>
            <w:noWrap/>
            <w:vAlign w:val="center"/>
            <w:hideMark/>
          </w:tcPr>
          <w:p w14:paraId="350848E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42500</w:t>
            </w:r>
          </w:p>
        </w:tc>
        <w:tc>
          <w:tcPr>
            <w:tcW w:w="3973" w:type="dxa"/>
            <w:shd w:val="clear" w:color="auto" w:fill="auto"/>
            <w:vAlign w:val="center"/>
            <w:hideMark/>
          </w:tcPr>
          <w:p w14:paraId="19E1FAC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a fideicomisos de entidades federativas y municipios.</w:t>
            </w:r>
          </w:p>
        </w:tc>
        <w:tc>
          <w:tcPr>
            <w:tcW w:w="1276" w:type="dxa"/>
            <w:shd w:val="clear" w:color="auto" w:fill="auto"/>
            <w:noWrap/>
            <w:vAlign w:val="center"/>
          </w:tcPr>
          <w:p w14:paraId="0D5F2A0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6DBC75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87B90C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AB665DF" w14:textId="77777777" w:rsidTr="00A755A7">
        <w:tblPrEx>
          <w:jc w:val="left"/>
        </w:tblPrEx>
        <w:trPr>
          <w:trHeight w:val="20"/>
        </w:trPr>
        <w:tc>
          <w:tcPr>
            <w:tcW w:w="700" w:type="dxa"/>
            <w:shd w:val="clear" w:color="auto" w:fill="auto"/>
            <w:noWrap/>
            <w:vAlign w:val="center"/>
            <w:hideMark/>
          </w:tcPr>
          <w:p w14:paraId="79C2DEE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42600</w:t>
            </w:r>
          </w:p>
        </w:tc>
        <w:tc>
          <w:tcPr>
            <w:tcW w:w="3973" w:type="dxa"/>
            <w:shd w:val="clear" w:color="auto" w:fill="auto"/>
            <w:vAlign w:val="center"/>
            <w:hideMark/>
          </w:tcPr>
          <w:p w14:paraId="43EF3DD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otorgadas a entidades federativas y municipios.</w:t>
            </w:r>
          </w:p>
        </w:tc>
        <w:tc>
          <w:tcPr>
            <w:tcW w:w="1276" w:type="dxa"/>
            <w:shd w:val="clear" w:color="auto" w:fill="auto"/>
            <w:noWrap/>
            <w:vAlign w:val="center"/>
          </w:tcPr>
          <w:p w14:paraId="4C24DBE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213,027,820 </w:t>
            </w:r>
          </w:p>
        </w:tc>
        <w:tc>
          <w:tcPr>
            <w:tcW w:w="1276" w:type="dxa"/>
            <w:shd w:val="clear" w:color="auto" w:fill="auto"/>
            <w:noWrap/>
            <w:vAlign w:val="center"/>
          </w:tcPr>
          <w:p w14:paraId="3D1491C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929FC0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213,027,820 </w:t>
            </w:r>
          </w:p>
        </w:tc>
      </w:tr>
      <w:tr w:rsidR="00D868AB" w:rsidRPr="00D868AB" w14:paraId="1D657675" w14:textId="77777777" w:rsidTr="00A755A7">
        <w:tblPrEx>
          <w:jc w:val="left"/>
        </w:tblPrEx>
        <w:trPr>
          <w:trHeight w:val="20"/>
        </w:trPr>
        <w:tc>
          <w:tcPr>
            <w:tcW w:w="700" w:type="dxa"/>
            <w:shd w:val="clear" w:color="auto" w:fill="auto"/>
            <w:noWrap/>
            <w:vAlign w:val="center"/>
            <w:hideMark/>
          </w:tcPr>
          <w:p w14:paraId="026EE0E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43000</w:t>
            </w:r>
          </w:p>
        </w:tc>
        <w:tc>
          <w:tcPr>
            <w:tcW w:w="3973" w:type="dxa"/>
            <w:shd w:val="clear" w:color="auto" w:fill="auto"/>
            <w:vAlign w:val="center"/>
            <w:hideMark/>
          </w:tcPr>
          <w:p w14:paraId="72B5A213"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SUBSIDIOS Y SUBVENCIONES.</w:t>
            </w:r>
          </w:p>
        </w:tc>
        <w:tc>
          <w:tcPr>
            <w:tcW w:w="1276" w:type="dxa"/>
            <w:shd w:val="clear" w:color="auto" w:fill="auto"/>
            <w:noWrap/>
            <w:vAlign w:val="center"/>
          </w:tcPr>
          <w:p w14:paraId="3D17B5A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1,836,437,183 </w:t>
            </w:r>
          </w:p>
        </w:tc>
        <w:tc>
          <w:tcPr>
            <w:tcW w:w="1276" w:type="dxa"/>
            <w:shd w:val="clear" w:color="auto" w:fill="auto"/>
            <w:noWrap/>
            <w:vAlign w:val="center"/>
          </w:tcPr>
          <w:p w14:paraId="51A0B71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1D9CA4A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1,836,437,183 </w:t>
            </w:r>
          </w:p>
        </w:tc>
      </w:tr>
      <w:tr w:rsidR="00D868AB" w:rsidRPr="00D868AB" w14:paraId="759760BC" w14:textId="77777777" w:rsidTr="00A755A7">
        <w:tblPrEx>
          <w:jc w:val="left"/>
        </w:tblPrEx>
        <w:trPr>
          <w:trHeight w:val="20"/>
        </w:trPr>
        <w:tc>
          <w:tcPr>
            <w:tcW w:w="700" w:type="dxa"/>
            <w:shd w:val="clear" w:color="auto" w:fill="auto"/>
            <w:noWrap/>
            <w:vAlign w:val="center"/>
            <w:hideMark/>
          </w:tcPr>
          <w:p w14:paraId="587E2D8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43100</w:t>
            </w:r>
          </w:p>
        </w:tc>
        <w:tc>
          <w:tcPr>
            <w:tcW w:w="3973" w:type="dxa"/>
            <w:shd w:val="clear" w:color="auto" w:fill="auto"/>
            <w:vAlign w:val="center"/>
            <w:hideMark/>
          </w:tcPr>
          <w:p w14:paraId="7BA5C21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Subsidios a la producción.</w:t>
            </w:r>
          </w:p>
        </w:tc>
        <w:tc>
          <w:tcPr>
            <w:tcW w:w="1276" w:type="dxa"/>
            <w:shd w:val="clear" w:color="auto" w:fill="auto"/>
            <w:noWrap/>
            <w:vAlign w:val="center"/>
          </w:tcPr>
          <w:p w14:paraId="2114376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13,000,000 </w:t>
            </w:r>
          </w:p>
        </w:tc>
        <w:tc>
          <w:tcPr>
            <w:tcW w:w="1276" w:type="dxa"/>
            <w:shd w:val="clear" w:color="auto" w:fill="auto"/>
            <w:noWrap/>
            <w:vAlign w:val="center"/>
          </w:tcPr>
          <w:p w14:paraId="1F9E9A9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29CD4A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13,000,000 </w:t>
            </w:r>
          </w:p>
        </w:tc>
      </w:tr>
      <w:tr w:rsidR="00D868AB" w:rsidRPr="00D868AB" w14:paraId="35277908" w14:textId="77777777" w:rsidTr="00A755A7">
        <w:tblPrEx>
          <w:jc w:val="left"/>
        </w:tblPrEx>
        <w:trPr>
          <w:trHeight w:val="20"/>
        </w:trPr>
        <w:tc>
          <w:tcPr>
            <w:tcW w:w="700" w:type="dxa"/>
            <w:shd w:val="clear" w:color="auto" w:fill="auto"/>
            <w:noWrap/>
            <w:vAlign w:val="center"/>
            <w:hideMark/>
          </w:tcPr>
          <w:p w14:paraId="4B670A7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43200</w:t>
            </w:r>
          </w:p>
        </w:tc>
        <w:tc>
          <w:tcPr>
            <w:tcW w:w="3973" w:type="dxa"/>
            <w:shd w:val="clear" w:color="auto" w:fill="auto"/>
            <w:vAlign w:val="center"/>
            <w:hideMark/>
          </w:tcPr>
          <w:p w14:paraId="4B09BFA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Subsidios a la distribución.</w:t>
            </w:r>
          </w:p>
        </w:tc>
        <w:tc>
          <w:tcPr>
            <w:tcW w:w="1276" w:type="dxa"/>
            <w:shd w:val="clear" w:color="auto" w:fill="auto"/>
            <w:noWrap/>
            <w:vAlign w:val="center"/>
          </w:tcPr>
          <w:p w14:paraId="500AB25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56804A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2864C3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026CE4A" w14:textId="77777777" w:rsidTr="00A755A7">
        <w:tblPrEx>
          <w:jc w:val="left"/>
        </w:tblPrEx>
        <w:trPr>
          <w:trHeight w:val="20"/>
        </w:trPr>
        <w:tc>
          <w:tcPr>
            <w:tcW w:w="700" w:type="dxa"/>
            <w:shd w:val="clear" w:color="auto" w:fill="auto"/>
            <w:noWrap/>
            <w:vAlign w:val="center"/>
            <w:hideMark/>
          </w:tcPr>
          <w:p w14:paraId="465AFC9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43300</w:t>
            </w:r>
          </w:p>
        </w:tc>
        <w:tc>
          <w:tcPr>
            <w:tcW w:w="3973" w:type="dxa"/>
            <w:shd w:val="clear" w:color="auto" w:fill="auto"/>
            <w:vAlign w:val="center"/>
            <w:hideMark/>
          </w:tcPr>
          <w:p w14:paraId="2B9876F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Subsidios a la inversión.</w:t>
            </w:r>
          </w:p>
        </w:tc>
        <w:tc>
          <w:tcPr>
            <w:tcW w:w="1276" w:type="dxa"/>
            <w:shd w:val="clear" w:color="auto" w:fill="auto"/>
            <w:noWrap/>
            <w:vAlign w:val="center"/>
          </w:tcPr>
          <w:p w14:paraId="1319646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02CDE5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45A882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F8C0716" w14:textId="77777777" w:rsidTr="00A755A7">
        <w:tblPrEx>
          <w:jc w:val="left"/>
        </w:tblPrEx>
        <w:trPr>
          <w:trHeight w:val="20"/>
        </w:trPr>
        <w:tc>
          <w:tcPr>
            <w:tcW w:w="700" w:type="dxa"/>
            <w:shd w:val="clear" w:color="auto" w:fill="auto"/>
            <w:noWrap/>
            <w:vAlign w:val="center"/>
            <w:hideMark/>
          </w:tcPr>
          <w:p w14:paraId="6BC4993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43400</w:t>
            </w:r>
          </w:p>
        </w:tc>
        <w:tc>
          <w:tcPr>
            <w:tcW w:w="3973" w:type="dxa"/>
            <w:shd w:val="clear" w:color="auto" w:fill="auto"/>
            <w:vAlign w:val="center"/>
            <w:hideMark/>
          </w:tcPr>
          <w:p w14:paraId="7037A76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Subsidios a la prestación de servicios públicos.</w:t>
            </w:r>
          </w:p>
        </w:tc>
        <w:tc>
          <w:tcPr>
            <w:tcW w:w="1276" w:type="dxa"/>
            <w:shd w:val="clear" w:color="auto" w:fill="auto"/>
            <w:noWrap/>
            <w:vAlign w:val="center"/>
          </w:tcPr>
          <w:p w14:paraId="221D23F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2F9414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F49068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398350F" w14:textId="77777777" w:rsidTr="00A755A7">
        <w:tblPrEx>
          <w:jc w:val="left"/>
        </w:tblPrEx>
        <w:trPr>
          <w:trHeight w:val="20"/>
        </w:trPr>
        <w:tc>
          <w:tcPr>
            <w:tcW w:w="700" w:type="dxa"/>
            <w:shd w:val="clear" w:color="auto" w:fill="auto"/>
            <w:noWrap/>
            <w:vAlign w:val="center"/>
            <w:hideMark/>
          </w:tcPr>
          <w:p w14:paraId="69F8D0F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43500</w:t>
            </w:r>
          </w:p>
        </w:tc>
        <w:tc>
          <w:tcPr>
            <w:tcW w:w="3973" w:type="dxa"/>
            <w:shd w:val="clear" w:color="auto" w:fill="auto"/>
            <w:vAlign w:val="center"/>
            <w:hideMark/>
          </w:tcPr>
          <w:p w14:paraId="0975D59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Subsidios para cubrir diferenciales de tasas de interés.</w:t>
            </w:r>
          </w:p>
        </w:tc>
        <w:tc>
          <w:tcPr>
            <w:tcW w:w="1276" w:type="dxa"/>
            <w:shd w:val="clear" w:color="auto" w:fill="auto"/>
            <w:noWrap/>
            <w:vAlign w:val="center"/>
          </w:tcPr>
          <w:p w14:paraId="088F183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4A07EB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C2B48E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F31C1EA" w14:textId="77777777" w:rsidTr="00A755A7">
        <w:tblPrEx>
          <w:jc w:val="left"/>
        </w:tblPrEx>
        <w:trPr>
          <w:trHeight w:val="20"/>
        </w:trPr>
        <w:tc>
          <w:tcPr>
            <w:tcW w:w="700" w:type="dxa"/>
            <w:shd w:val="clear" w:color="auto" w:fill="auto"/>
            <w:noWrap/>
            <w:vAlign w:val="center"/>
            <w:hideMark/>
          </w:tcPr>
          <w:p w14:paraId="71385F4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43600</w:t>
            </w:r>
          </w:p>
        </w:tc>
        <w:tc>
          <w:tcPr>
            <w:tcW w:w="3973" w:type="dxa"/>
            <w:shd w:val="clear" w:color="auto" w:fill="auto"/>
            <w:vAlign w:val="center"/>
            <w:hideMark/>
          </w:tcPr>
          <w:p w14:paraId="1AAD31E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Subsidios a la vivienda.</w:t>
            </w:r>
          </w:p>
        </w:tc>
        <w:tc>
          <w:tcPr>
            <w:tcW w:w="1276" w:type="dxa"/>
            <w:shd w:val="clear" w:color="auto" w:fill="auto"/>
            <w:noWrap/>
            <w:vAlign w:val="center"/>
          </w:tcPr>
          <w:p w14:paraId="015FC9B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2CAAC8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44892B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A626A69" w14:textId="77777777" w:rsidTr="00A755A7">
        <w:tblPrEx>
          <w:jc w:val="left"/>
        </w:tblPrEx>
        <w:trPr>
          <w:trHeight w:val="20"/>
        </w:trPr>
        <w:tc>
          <w:tcPr>
            <w:tcW w:w="700" w:type="dxa"/>
            <w:shd w:val="clear" w:color="auto" w:fill="auto"/>
            <w:noWrap/>
            <w:vAlign w:val="center"/>
            <w:hideMark/>
          </w:tcPr>
          <w:p w14:paraId="22E8E76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43700</w:t>
            </w:r>
          </w:p>
        </w:tc>
        <w:tc>
          <w:tcPr>
            <w:tcW w:w="3973" w:type="dxa"/>
            <w:shd w:val="clear" w:color="auto" w:fill="auto"/>
            <w:vAlign w:val="center"/>
            <w:hideMark/>
          </w:tcPr>
          <w:p w14:paraId="5C02398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Subvenciones al consumo.</w:t>
            </w:r>
          </w:p>
        </w:tc>
        <w:tc>
          <w:tcPr>
            <w:tcW w:w="1276" w:type="dxa"/>
            <w:shd w:val="clear" w:color="auto" w:fill="auto"/>
            <w:noWrap/>
            <w:vAlign w:val="center"/>
          </w:tcPr>
          <w:p w14:paraId="5C64D09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2A3430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C4FBF1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6C5F951" w14:textId="77777777" w:rsidTr="00A755A7">
        <w:tblPrEx>
          <w:jc w:val="left"/>
        </w:tblPrEx>
        <w:trPr>
          <w:trHeight w:val="20"/>
        </w:trPr>
        <w:tc>
          <w:tcPr>
            <w:tcW w:w="700" w:type="dxa"/>
            <w:shd w:val="clear" w:color="auto" w:fill="auto"/>
            <w:noWrap/>
            <w:vAlign w:val="center"/>
            <w:hideMark/>
          </w:tcPr>
          <w:p w14:paraId="3C9919A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43800</w:t>
            </w:r>
          </w:p>
        </w:tc>
        <w:tc>
          <w:tcPr>
            <w:tcW w:w="3973" w:type="dxa"/>
            <w:shd w:val="clear" w:color="auto" w:fill="auto"/>
            <w:vAlign w:val="center"/>
            <w:hideMark/>
          </w:tcPr>
          <w:p w14:paraId="58792D5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Subsidios a entidades federativas y municipios.</w:t>
            </w:r>
          </w:p>
        </w:tc>
        <w:tc>
          <w:tcPr>
            <w:tcW w:w="1276" w:type="dxa"/>
            <w:shd w:val="clear" w:color="auto" w:fill="auto"/>
            <w:noWrap/>
            <w:vAlign w:val="center"/>
          </w:tcPr>
          <w:p w14:paraId="3BCE875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D2A77F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149C98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83A7BE9" w14:textId="77777777" w:rsidTr="00A755A7">
        <w:tblPrEx>
          <w:jc w:val="left"/>
        </w:tblPrEx>
        <w:trPr>
          <w:trHeight w:val="20"/>
        </w:trPr>
        <w:tc>
          <w:tcPr>
            <w:tcW w:w="700" w:type="dxa"/>
            <w:shd w:val="clear" w:color="auto" w:fill="auto"/>
            <w:noWrap/>
            <w:vAlign w:val="center"/>
            <w:hideMark/>
          </w:tcPr>
          <w:p w14:paraId="53FA831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43900</w:t>
            </w:r>
          </w:p>
        </w:tc>
        <w:tc>
          <w:tcPr>
            <w:tcW w:w="3973" w:type="dxa"/>
            <w:shd w:val="clear" w:color="auto" w:fill="auto"/>
            <w:vAlign w:val="center"/>
            <w:hideMark/>
          </w:tcPr>
          <w:p w14:paraId="4C852F4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subsidios.</w:t>
            </w:r>
          </w:p>
        </w:tc>
        <w:tc>
          <w:tcPr>
            <w:tcW w:w="1276" w:type="dxa"/>
            <w:shd w:val="clear" w:color="auto" w:fill="auto"/>
            <w:noWrap/>
            <w:vAlign w:val="center"/>
          </w:tcPr>
          <w:p w14:paraId="2C7389A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1,823,437,183 </w:t>
            </w:r>
          </w:p>
        </w:tc>
        <w:tc>
          <w:tcPr>
            <w:tcW w:w="1276" w:type="dxa"/>
            <w:shd w:val="clear" w:color="auto" w:fill="auto"/>
            <w:noWrap/>
            <w:vAlign w:val="center"/>
          </w:tcPr>
          <w:p w14:paraId="6775148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1A23E3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1,823,437,183 </w:t>
            </w:r>
          </w:p>
        </w:tc>
      </w:tr>
      <w:tr w:rsidR="00D868AB" w:rsidRPr="00D868AB" w14:paraId="3C0BBB6F" w14:textId="77777777" w:rsidTr="00A755A7">
        <w:tblPrEx>
          <w:jc w:val="left"/>
        </w:tblPrEx>
        <w:trPr>
          <w:trHeight w:val="20"/>
        </w:trPr>
        <w:tc>
          <w:tcPr>
            <w:tcW w:w="700" w:type="dxa"/>
            <w:shd w:val="clear" w:color="auto" w:fill="auto"/>
            <w:noWrap/>
            <w:vAlign w:val="center"/>
            <w:hideMark/>
          </w:tcPr>
          <w:p w14:paraId="16B053A4"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44000</w:t>
            </w:r>
          </w:p>
        </w:tc>
        <w:tc>
          <w:tcPr>
            <w:tcW w:w="3973" w:type="dxa"/>
            <w:shd w:val="clear" w:color="auto" w:fill="auto"/>
            <w:vAlign w:val="center"/>
            <w:hideMark/>
          </w:tcPr>
          <w:p w14:paraId="058584B0"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AYUDAS SOCIALES.</w:t>
            </w:r>
          </w:p>
        </w:tc>
        <w:tc>
          <w:tcPr>
            <w:tcW w:w="1276" w:type="dxa"/>
            <w:shd w:val="clear" w:color="auto" w:fill="auto"/>
            <w:noWrap/>
            <w:vAlign w:val="center"/>
          </w:tcPr>
          <w:p w14:paraId="6E3FF9B3"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336,806,391 </w:t>
            </w:r>
          </w:p>
        </w:tc>
        <w:tc>
          <w:tcPr>
            <w:tcW w:w="1276" w:type="dxa"/>
            <w:shd w:val="clear" w:color="auto" w:fill="auto"/>
            <w:noWrap/>
            <w:vAlign w:val="center"/>
          </w:tcPr>
          <w:p w14:paraId="275B36D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411,489,734 </w:t>
            </w:r>
          </w:p>
        </w:tc>
        <w:tc>
          <w:tcPr>
            <w:tcW w:w="1275" w:type="dxa"/>
            <w:shd w:val="clear" w:color="auto" w:fill="auto"/>
            <w:noWrap/>
            <w:vAlign w:val="center"/>
          </w:tcPr>
          <w:p w14:paraId="7153EF2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748,296,125 </w:t>
            </w:r>
          </w:p>
        </w:tc>
      </w:tr>
      <w:tr w:rsidR="00D868AB" w:rsidRPr="00D868AB" w14:paraId="3C93EB3F" w14:textId="77777777" w:rsidTr="00A755A7">
        <w:tblPrEx>
          <w:jc w:val="left"/>
        </w:tblPrEx>
        <w:trPr>
          <w:trHeight w:val="20"/>
        </w:trPr>
        <w:tc>
          <w:tcPr>
            <w:tcW w:w="700" w:type="dxa"/>
            <w:shd w:val="clear" w:color="auto" w:fill="auto"/>
            <w:noWrap/>
            <w:vAlign w:val="center"/>
            <w:hideMark/>
          </w:tcPr>
          <w:p w14:paraId="292277C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44100</w:t>
            </w:r>
          </w:p>
        </w:tc>
        <w:tc>
          <w:tcPr>
            <w:tcW w:w="3973" w:type="dxa"/>
            <w:shd w:val="clear" w:color="auto" w:fill="auto"/>
            <w:vAlign w:val="center"/>
            <w:hideMark/>
          </w:tcPr>
          <w:p w14:paraId="2A58E63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Ayudas sociales a personas.</w:t>
            </w:r>
          </w:p>
        </w:tc>
        <w:tc>
          <w:tcPr>
            <w:tcW w:w="1276" w:type="dxa"/>
            <w:shd w:val="clear" w:color="auto" w:fill="auto"/>
            <w:noWrap/>
            <w:vAlign w:val="center"/>
          </w:tcPr>
          <w:p w14:paraId="2F84307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291,125,615 </w:t>
            </w:r>
          </w:p>
        </w:tc>
        <w:tc>
          <w:tcPr>
            <w:tcW w:w="1276" w:type="dxa"/>
            <w:shd w:val="clear" w:color="auto" w:fill="auto"/>
            <w:noWrap/>
            <w:vAlign w:val="center"/>
          </w:tcPr>
          <w:p w14:paraId="7D44C57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380,000,000 </w:t>
            </w:r>
          </w:p>
        </w:tc>
        <w:tc>
          <w:tcPr>
            <w:tcW w:w="1275" w:type="dxa"/>
            <w:shd w:val="clear" w:color="auto" w:fill="auto"/>
            <w:noWrap/>
            <w:vAlign w:val="center"/>
          </w:tcPr>
          <w:p w14:paraId="525907F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671,125,615 </w:t>
            </w:r>
          </w:p>
        </w:tc>
      </w:tr>
      <w:tr w:rsidR="00D868AB" w:rsidRPr="00D868AB" w14:paraId="0465EBE1" w14:textId="77777777" w:rsidTr="00A755A7">
        <w:tblPrEx>
          <w:jc w:val="left"/>
        </w:tblPrEx>
        <w:trPr>
          <w:trHeight w:val="20"/>
        </w:trPr>
        <w:tc>
          <w:tcPr>
            <w:tcW w:w="700" w:type="dxa"/>
            <w:shd w:val="clear" w:color="auto" w:fill="auto"/>
            <w:noWrap/>
            <w:vAlign w:val="center"/>
            <w:hideMark/>
          </w:tcPr>
          <w:p w14:paraId="11B4992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44200</w:t>
            </w:r>
          </w:p>
        </w:tc>
        <w:tc>
          <w:tcPr>
            <w:tcW w:w="3973" w:type="dxa"/>
            <w:shd w:val="clear" w:color="auto" w:fill="auto"/>
            <w:vAlign w:val="center"/>
            <w:hideMark/>
          </w:tcPr>
          <w:p w14:paraId="5864D2D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Becas y otras ayudas para programas de capacitación.</w:t>
            </w:r>
          </w:p>
        </w:tc>
        <w:tc>
          <w:tcPr>
            <w:tcW w:w="1276" w:type="dxa"/>
            <w:shd w:val="clear" w:color="auto" w:fill="auto"/>
            <w:noWrap/>
            <w:vAlign w:val="center"/>
          </w:tcPr>
          <w:p w14:paraId="2EF8B81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500,000 </w:t>
            </w:r>
          </w:p>
        </w:tc>
        <w:tc>
          <w:tcPr>
            <w:tcW w:w="1276" w:type="dxa"/>
            <w:shd w:val="clear" w:color="auto" w:fill="auto"/>
            <w:noWrap/>
            <w:vAlign w:val="center"/>
          </w:tcPr>
          <w:p w14:paraId="16BA9F6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082C90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500,000 </w:t>
            </w:r>
          </w:p>
        </w:tc>
      </w:tr>
      <w:tr w:rsidR="00D868AB" w:rsidRPr="00D868AB" w14:paraId="20A4F5FD" w14:textId="77777777" w:rsidTr="00A755A7">
        <w:tblPrEx>
          <w:jc w:val="left"/>
        </w:tblPrEx>
        <w:trPr>
          <w:trHeight w:val="20"/>
        </w:trPr>
        <w:tc>
          <w:tcPr>
            <w:tcW w:w="700" w:type="dxa"/>
            <w:shd w:val="clear" w:color="auto" w:fill="auto"/>
            <w:noWrap/>
            <w:vAlign w:val="center"/>
            <w:hideMark/>
          </w:tcPr>
          <w:p w14:paraId="5516D94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44300</w:t>
            </w:r>
          </w:p>
        </w:tc>
        <w:tc>
          <w:tcPr>
            <w:tcW w:w="3973" w:type="dxa"/>
            <w:shd w:val="clear" w:color="auto" w:fill="auto"/>
            <w:vAlign w:val="center"/>
            <w:hideMark/>
          </w:tcPr>
          <w:p w14:paraId="689A37A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Ayudas sociales a instituciones de enseñanza.</w:t>
            </w:r>
          </w:p>
        </w:tc>
        <w:tc>
          <w:tcPr>
            <w:tcW w:w="1276" w:type="dxa"/>
            <w:shd w:val="clear" w:color="auto" w:fill="auto"/>
            <w:noWrap/>
            <w:vAlign w:val="center"/>
          </w:tcPr>
          <w:p w14:paraId="7F56111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25,797,251 </w:t>
            </w:r>
          </w:p>
        </w:tc>
        <w:tc>
          <w:tcPr>
            <w:tcW w:w="1276" w:type="dxa"/>
            <w:shd w:val="clear" w:color="auto" w:fill="auto"/>
            <w:noWrap/>
            <w:vAlign w:val="center"/>
          </w:tcPr>
          <w:p w14:paraId="23DA1F6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1F49FD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25,797,251 </w:t>
            </w:r>
          </w:p>
        </w:tc>
      </w:tr>
      <w:tr w:rsidR="00D868AB" w:rsidRPr="00D868AB" w14:paraId="3F980E7B" w14:textId="77777777" w:rsidTr="00A755A7">
        <w:tblPrEx>
          <w:jc w:val="left"/>
        </w:tblPrEx>
        <w:trPr>
          <w:trHeight w:val="20"/>
        </w:trPr>
        <w:tc>
          <w:tcPr>
            <w:tcW w:w="700" w:type="dxa"/>
            <w:shd w:val="clear" w:color="auto" w:fill="auto"/>
            <w:noWrap/>
            <w:vAlign w:val="center"/>
            <w:hideMark/>
          </w:tcPr>
          <w:p w14:paraId="737DC08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44400</w:t>
            </w:r>
          </w:p>
        </w:tc>
        <w:tc>
          <w:tcPr>
            <w:tcW w:w="3973" w:type="dxa"/>
            <w:shd w:val="clear" w:color="auto" w:fill="auto"/>
            <w:vAlign w:val="center"/>
            <w:hideMark/>
          </w:tcPr>
          <w:p w14:paraId="3A50E9A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Ayudas sociales a actividades científicas o académicas.</w:t>
            </w:r>
          </w:p>
        </w:tc>
        <w:tc>
          <w:tcPr>
            <w:tcW w:w="1276" w:type="dxa"/>
            <w:shd w:val="clear" w:color="auto" w:fill="auto"/>
            <w:noWrap/>
            <w:vAlign w:val="center"/>
          </w:tcPr>
          <w:p w14:paraId="4D21161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95A644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BC6AAE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E3AC882" w14:textId="77777777" w:rsidTr="00A755A7">
        <w:tblPrEx>
          <w:jc w:val="left"/>
        </w:tblPrEx>
        <w:trPr>
          <w:trHeight w:val="20"/>
        </w:trPr>
        <w:tc>
          <w:tcPr>
            <w:tcW w:w="700" w:type="dxa"/>
            <w:shd w:val="clear" w:color="auto" w:fill="auto"/>
            <w:noWrap/>
            <w:vAlign w:val="center"/>
            <w:hideMark/>
          </w:tcPr>
          <w:p w14:paraId="47704A2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44500</w:t>
            </w:r>
          </w:p>
        </w:tc>
        <w:tc>
          <w:tcPr>
            <w:tcW w:w="3973" w:type="dxa"/>
            <w:shd w:val="clear" w:color="auto" w:fill="auto"/>
            <w:vAlign w:val="center"/>
            <w:hideMark/>
          </w:tcPr>
          <w:p w14:paraId="39D92F8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Ayudas sociales a instituciones sin fines de lucro.</w:t>
            </w:r>
          </w:p>
        </w:tc>
        <w:tc>
          <w:tcPr>
            <w:tcW w:w="1276" w:type="dxa"/>
            <w:shd w:val="clear" w:color="auto" w:fill="auto"/>
            <w:noWrap/>
            <w:vAlign w:val="center"/>
          </w:tcPr>
          <w:p w14:paraId="5C012FD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4948D1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20,518,398 </w:t>
            </w:r>
          </w:p>
        </w:tc>
        <w:tc>
          <w:tcPr>
            <w:tcW w:w="1275" w:type="dxa"/>
            <w:shd w:val="clear" w:color="auto" w:fill="auto"/>
            <w:noWrap/>
            <w:vAlign w:val="center"/>
          </w:tcPr>
          <w:p w14:paraId="41F48FB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20,518,398 </w:t>
            </w:r>
          </w:p>
        </w:tc>
      </w:tr>
      <w:tr w:rsidR="00D868AB" w:rsidRPr="00D868AB" w14:paraId="1595A880" w14:textId="77777777" w:rsidTr="00A755A7">
        <w:tblPrEx>
          <w:jc w:val="left"/>
        </w:tblPrEx>
        <w:trPr>
          <w:trHeight w:val="20"/>
        </w:trPr>
        <w:tc>
          <w:tcPr>
            <w:tcW w:w="700" w:type="dxa"/>
            <w:shd w:val="clear" w:color="auto" w:fill="auto"/>
            <w:noWrap/>
            <w:vAlign w:val="center"/>
            <w:hideMark/>
          </w:tcPr>
          <w:p w14:paraId="102AF95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44600</w:t>
            </w:r>
          </w:p>
        </w:tc>
        <w:tc>
          <w:tcPr>
            <w:tcW w:w="3973" w:type="dxa"/>
            <w:shd w:val="clear" w:color="auto" w:fill="auto"/>
            <w:vAlign w:val="center"/>
            <w:hideMark/>
          </w:tcPr>
          <w:p w14:paraId="5BAB8D5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Ayudas sociales a cooperativas.</w:t>
            </w:r>
          </w:p>
        </w:tc>
        <w:tc>
          <w:tcPr>
            <w:tcW w:w="1276" w:type="dxa"/>
            <w:shd w:val="clear" w:color="auto" w:fill="auto"/>
            <w:noWrap/>
            <w:vAlign w:val="center"/>
          </w:tcPr>
          <w:p w14:paraId="5F591DB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8D4CAC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674B02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6D5CBE1" w14:textId="77777777" w:rsidTr="00A755A7">
        <w:tblPrEx>
          <w:jc w:val="left"/>
        </w:tblPrEx>
        <w:trPr>
          <w:trHeight w:val="20"/>
        </w:trPr>
        <w:tc>
          <w:tcPr>
            <w:tcW w:w="700" w:type="dxa"/>
            <w:shd w:val="clear" w:color="auto" w:fill="auto"/>
            <w:noWrap/>
            <w:vAlign w:val="center"/>
            <w:hideMark/>
          </w:tcPr>
          <w:p w14:paraId="296DE70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44700</w:t>
            </w:r>
          </w:p>
        </w:tc>
        <w:tc>
          <w:tcPr>
            <w:tcW w:w="3973" w:type="dxa"/>
            <w:shd w:val="clear" w:color="auto" w:fill="auto"/>
            <w:vAlign w:val="center"/>
            <w:hideMark/>
          </w:tcPr>
          <w:p w14:paraId="7845D28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Ayudas sociales a entidades de interés público.</w:t>
            </w:r>
          </w:p>
        </w:tc>
        <w:tc>
          <w:tcPr>
            <w:tcW w:w="1276" w:type="dxa"/>
            <w:shd w:val="clear" w:color="auto" w:fill="auto"/>
            <w:noWrap/>
            <w:vAlign w:val="center"/>
          </w:tcPr>
          <w:p w14:paraId="29AAB2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48BE5B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5F8DA2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CE83AB5" w14:textId="77777777" w:rsidTr="00A755A7">
        <w:tblPrEx>
          <w:jc w:val="left"/>
        </w:tblPrEx>
        <w:trPr>
          <w:trHeight w:val="20"/>
        </w:trPr>
        <w:tc>
          <w:tcPr>
            <w:tcW w:w="700" w:type="dxa"/>
            <w:shd w:val="clear" w:color="auto" w:fill="auto"/>
            <w:noWrap/>
            <w:vAlign w:val="center"/>
            <w:hideMark/>
          </w:tcPr>
          <w:p w14:paraId="12FB5C0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44800</w:t>
            </w:r>
          </w:p>
        </w:tc>
        <w:tc>
          <w:tcPr>
            <w:tcW w:w="3973" w:type="dxa"/>
            <w:shd w:val="clear" w:color="auto" w:fill="auto"/>
            <w:vAlign w:val="center"/>
            <w:hideMark/>
          </w:tcPr>
          <w:p w14:paraId="5006DBA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Ayudas por desastres naturales y otros siniestros.</w:t>
            </w:r>
          </w:p>
        </w:tc>
        <w:tc>
          <w:tcPr>
            <w:tcW w:w="1276" w:type="dxa"/>
            <w:shd w:val="clear" w:color="auto" w:fill="auto"/>
            <w:noWrap/>
            <w:vAlign w:val="center"/>
          </w:tcPr>
          <w:p w14:paraId="32255E5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19,383,525 </w:t>
            </w:r>
          </w:p>
        </w:tc>
        <w:tc>
          <w:tcPr>
            <w:tcW w:w="1276" w:type="dxa"/>
            <w:shd w:val="clear" w:color="auto" w:fill="auto"/>
            <w:noWrap/>
            <w:vAlign w:val="center"/>
          </w:tcPr>
          <w:p w14:paraId="5EA15D8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10,971,336 </w:t>
            </w:r>
          </w:p>
        </w:tc>
        <w:tc>
          <w:tcPr>
            <w:tcW w:w="1275" w:type="dxa"/>
            <w:shd w:val="clear" w:color="auto" w:fill="auto"/>
            <w:noWrap/>
            <w:vAlign w:val="center"/>
          </w:tcPr>
          <w:p w14:paraId="6F8D5AF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30,354,861 </w:t>
            </w:r>
          </w:p>
        </w:tc>
      </w:tr>
      <w:tr w:rsidR="00D868AB" w:rsidRPr="00D868AB" w14:paraId="77795143" w14:textId="77777777" w:rsidTr="00A755A7">
        <w:tblPrEx>
          <w:jc w:val="left"/>
        </w:tblPrEx>
        <w:trPr>
          <w:trHeight w:val="20"/>
        </w:trPr>
        <w:tc>
          <w:tcPr>
            <w:tcW w:w="700" w:type="dxa"/>
            <w:shd w:val="clear" w:color="auto" w:fill="auto"/>
            <w:noWrap/>
            <w:vAlign w:val="center"/>
            <w:hideMark/>
          </w:tcPr>
          <w:p w14:paraId="1420FE69"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45000</w:t>
            </w:r>
          </w:p>
        </w:tc>
        <w:tc>
          <w:tcPr>
            <w:tcW w:w="3973" w:type="dxa"/>
            <w:shd w:val="clear" w:color="auto" w:fill="auto"/>
            <w:vAlign w:val="center"/>
            <w:hideMark/>
          </w:tcPr>
          <w:p w14:paraId="50CCAEA7"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PENSIONES Y JUBILACIONES.</w:t>
            </w:r>
          </w:p>
        </w:tc>
        <w:tc>
          <w:tcPr>
            <w:tcW w:w="1276" w:type="dxa"/>
            <w:shd w:val="clear" w:color="auto" w:fill="auto"/>
            <w:noWrap/>
            <w:vAlign w:val="center"/>
          </w:tcPr>
          <w:p w14:paraId="5755127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75B211E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1,139,437,158 </w:t>
            </w:r>
          </w:p>
        </w:tc>
        <w:tc>
          <w:tcPr>
            <w:tcW w:w="1275" w:type="dxa"/>
            <w:shd w:val="clear" w:color="auto" w:fill="auto"/>
            <w:noWrap/>
            <w:vAlign w:val="center"/>
          </w:tcPr>
          <w:p w14:paraId="4B64DCD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1,139,437,158 </w:t>
            </w:r>
          </w:p>
        </w:tc>
      </w:tr>
      <w:tr w:rsidR="00D868AB" w:rsidRPr="00D868AB" w14:paraId="1B16CF60" w14:textId="77777777" w:rsidTr="00A755A7">
        <w:tblPrEx>
          <w:jc w:val="left"/>
        </w:tblPrEx>
        <w:trPr>
          <w:trHeight w:val="20"/>
        </w:trPr>
        <w:tc>
          <w:tcPr>
            <w:tcW w:w="700" w:type="dxa"/>
            <w:shd w:val="clear" w:color="auto" w:fill="auto"/>
            <w:noWrap/>
            <w:vAlign w:val="center"/>
            <w:hideMark/>
          </w:tcPr>
          <w:p w14:paraId="042F6EC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45100</w:t>
            </w:r>
          </w:p>
        </w:tc>
        <w:tc>
          <w:tcPr>
            <w:tcW w:w="3973" w:type="dxa"/>
            <w:shd w:val="clear" w:color="auto" w:fill="auto"/>
            <w:vAlign w:val="center"/>
            <w:hideMark/>
          </w:tcPr>
          <w:p w14:paraId="2AB9907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Pensiones.</w:t>
            </w:r>
          </w:p>
        </w:tc>
        <w:tc>
          <w:tcPr>
            <w:tcW w:w="1276" w:type="dxa"/>
            <w:shd w:val="clear" w:color="auto" w:fill="auto"/>
            <w:noWrap/>
            <w:vAlign w:val="center"/>
          </w:tcPr>
          <w:p w14:paraId="2BE7628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6BC555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351,959,346 </w:t>
            </w:r>
          </w:p>
        </w:tc>
        <w:tc>
          <w:tcPr>
            <w:tcW w:w="1275" w:type="dxa"/>
            <w:shd w:val="clear" w:color="auto" w:fill="auto"/>
            <w:noWrap/>
            <w:vAlign w:val="center"/>
          </w:tcPr>
          <w:p w14:paraId="6224066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351,959,346 </w:t>
            </w:r>
          </w:p>
        </w:tc>
      </w:tr>
      <w:tr w:rsidR="00D868AB" w:rsidRPr="00D868AB" w14:paraId="0689E348" w14:textId="77777777" w:rsidTr="00A755A7">
        <w:tblPrEx>
          <w:jc w:val="left"/>
        </w:tblPrEx>
        <w:trPr>
          <w:trHeight w:val="20"/>
        </w:trPr>
        <w:tc>
          <w:tcPr>
            <w:tcW w:w="700" w:type="dxa"/>
            <w:shd w:val="clear" w:color="auto" w:fill="auto"/>
            <w:noWrap/>
            <w:vAlign w:val="center"/>
            <w:hideMark/>
          </w:tcPr>
          <w:p w14:paraId="551E588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45200</w:t>
            </w:r>
          </w:p>
        </w:tc>
        <w:tc>
          <w:tcPr>
            <w:tcW w:w="3973" w:type="dxa"/>
            <w:shd w:val="clear" w:color="auto" w:fill="auto"/>
            <w:vAlign w:val="center"/>
            <w:hideMark/>
          </w:tcPr>
          <w:p w14:paraId="0838591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Jubilaciones.</w:t>
            </w:r>
          </w:p>
        </w:tc>
        <w:tc>
          <w:tcPr>
            <w:tcW w:w="1276" w:type="dxa"/>
            <w:shd w:val="clear" w:color="auto" w:fill="auto"/>
            <w:noWrap/>
            <w:vAlign w:val="center"/>
          </w:tcPr>
          <w:p w14:paraId="74BF8E5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3C4938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787,477,812 </w:t>
            </w:r>
          </w:p>
        </w:tc>
        <w:tc>
          <w:tcPr>
            <w:tcW w:w="1275" w:type="dxa"/>
            <w:shd w:val="clear" w:color="auto" w:fill="auto"/>
            <w:noWrap/>
            <w:vAlign w:val="center"/>
          </w:tcPr>
          <w:p w14:paraId="575C2F2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787,477,812 </w:t>
            </w:r>
          </w:p>
        </w:tc>
      </w:tr>
      <w:tr w:rsidR="00D868AB" w:rsidRPr="00D868AB" w14:paraId="716E740B" w14:textId="77777777" w:rsidTr="00A755A7">
        <w:tblPrEx>
          <w:jc w:val="left"/>
        </w:tblPrEx>
        <w:trPr>
          <w:trHeight w:val="20"/>
        </w:trPr>
        <w:tc>
          <w:tcPr>
            <w:tcW w:w="700" w:type="dxa"/>
            <w:shd w:val="clear" w:color="auto" w:fill="auto"/>
            <w:noWrap/>
            <w:vAlign w:val="center"/>
            <w:hideMark/>
          </w:tcPr>
          <w:p w14:paraId="72E0FB2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45900</w:t>
            </w:r>
          </w:p>
        </w:tc>
        <w:tc>
          <w:tcPr>
            <w:tcW w:w="3973" w:type="dxa"/>
            <w:shd w:val="clear" w:color="auto" w:fill="auto"/>
            <w:vAlign w:val="center"/>
            <w:hideMark/>
          </w:tcPr>
          <w:p w14:paraId="3C0FD14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Otras pensiones y jubilaciones.</w:t>
            </w:r>
          </w:p>
        </w:tc>
        <w:tc>
          <w:tcPr>
            <w:tcW w:w="1276" w:type="dxa"/>
            <w:shd w:val="clear" w:color="auto" w:fill="auto"/>
            <w:noWrap/>
            <w:vAlign w:val="center"/>
          </w:tcPr>
          <w:p w14:paraId="45DC36A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C28B44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098CFF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B491B37" w14:textId="77777777" w:rsidTr="00A755A7">
        <w:tblPrEx>
          <w:jc w:val="left"/>
        </w:tblPrEx>
        <w:trPr>
          <w:trHeight w:val="20"/>
        </w:trPr>
        <w:tc>
          <w:tcPr>
            <w:tcW w:w="700" w:type="dxa"/>
            <w:shd w:val="clear" w:color="auto" w:fill="auto"/>
            <w:noWrap/>
            <w:vAlign w:val="center"/>
            <w:hideMark/>
          </w:tcPr>
          <w:p w14:paraId="3566B0E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46000</w:t>
            </w:r>
          </w:p>
        </w:tc>
        <w:tc>
          <w:tcPr>
            <w:tcW w:w="3973" w:type="dxa"/>
            <w:shd w:val="clear" w:color="auto" w:fill="auto"/>
            <w:vAlign w:val="center"/>
            <w:hideMark/>
          </w:tcPr>
          <w:p w14:paraId="3F9C43FD"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TRANSFERENCIAS A FIDEICOMISOS, MANDATOS Y OTROS ANÁLOGOS.</w:t>
            </w:r>
          </w:p>
        </w:tc>
        <w:tc>
          <w:tcPr>
            <w:tcW w:w="1276" w:type="dxa"/>
            <w:shd w:val="clear" w:color="auto" w:fill="auto"/>
            <w:noWrap/>
            <w:vAlign w:val="center"/>
          </w:tcPr>
          <w:p w14:paraId="68E906B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4EB48BF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7F69DCD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283A6466" w14:textId="77777777" w:rsidTr="00A755A7">
        <w:tblPrEx>
          <w:jc w:val="left"/>
        </w:tblPrEx>
        <w:trPr>
          <w:trHeight w:val="20"/>
        </w:trPr>
        <w:tc>
          <w:tcPr>
            <w:tcW w:w="700" w:type="dxa"/>
            <w:shd w:val="clear" w:color="auto" w:fill="auto"/>
            <w:noWrap/>
            <w:vAlign w:val="center"/>
            <w:hideMark/>
          </w:tcPr>
          <w:p w14:paraId="5EA5C60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46100</w:t>
            </w:r>
          </w:p>
        </w:tc>
        <w:tc>
          <w:tcPr>
            <w:tcW w:w="3973" w:type="dxa"/>
            <w:shd w:val="clear" w:color="auto" w:fill="auto"/>
            <w:vAlign w:val="center"/>
            <w:hideMark/>
          </w:tcPr>
          <w:p w14:paraId="18A9D09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a fideicomisos del Poder Ejecutivo.</w:t>
            </w:r>
          </w:p>
        </w:tc>
        <w:tc>
          <w:tcPr>
            <w:tcW w:w="1276" w:type="dxa"/>
            <w:shd w:val="clear" w:color="auto" w:fill="auto"/>
            <w:noWrap/>
            <w:vAlign w:val="center"/>
          </w:tcPr>
          <w:p w14:paraId="45B4A5A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E4394E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1B3C28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4604E80" w14:textId="77777777" w:rsidTr="00A755A7">
        <w:tblPrEx>
          <w:jc w:val="left"/>
        </w:tblPrEx>
        <w:trPr>
          <w:trHeight w:val="20"/>
        </w:trPr>
        <w:tc>
          <w:tcPr>
            <w:tcW w:w="700" w:type="dxa"/>
            <w:shd w:val="clear" w:color="auto" w:fill="auto"/>
            <w:noWrap/>
            <w:vAlign w:val="center"/>
            <w:hideMark/>
          </w:tcPr>
          <w:p w14:paraId="632A6F1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46200</w:t>
            </w:r>
          </w:p>
        </w:tc>
        <w:tc>
          <w:tcPr>
            <w:tcW w:w="3973" w:type="dxa"/>
            <w:shd w:val="clear" w:color="auto" w:fill="auto"/>
            <w:vAlign w:val="center"/>
            <w:hideMark/>
          </w:tcPr>
          <w:p w14:paraId="6DF50E5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a fideicomisos del Poder Legislativo.</w:t>
            </w:r>
          </w:p>
        </w:tc>
        <w:tc>
          <w:tcPr>
            <w:tcW w:w="1276" w:type="dxa"/>
            <w:shd w:val="clear" w:color="auto" w:fill="auto"/>
            <w:noWrap/>
            <w:vAlign w:val="center"/>
          </w:tcPr>
          <w:p w14:paraId="6D32F30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6A2E10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1A0E43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6A63B2C" w14:textId="77777777" w:rsidTr="00A755A7">
        <w:tblPrEx>
          <w:jc w:val="left"/>
        </w:tblPrEx>
        <w:trPr>
          <w:trHeight w:val="20"/>
        </w:trPr>
        <w:tc>
          <w:tcPr>
            <w:tcW w:w="700" w:type="dxa"/>
            <w:shd w:val="clear" w:color="auto" w:fill="auto"/>
            <w:noWrap/>
            <w:vAlign w:val="center"/>
            <w:hideMark/>
          </w:tcPr>
          <w:p w14:paraId="0DB05EA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46300</w:t>
            </w:r>
          </w:p>
        </w:tc>
        <w:tc>
          <w:tcPr>
            <w:tcW w:w="3973" w:type="dxa"/>
            <w:shd w:val="clear" w:color="auto" w:fill="auto"/>
            <w:vAlign w:val="center"/>
            <w:hideMark/>
          </w:tcPr>
          <w:p w14:paraId="422B80C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a fideicomisos del Poder Judicial.</w:t>
            </w:r>
          </w:p>
        </w:tc>
        <w:tc>
          <w:tcPr>
            <w:tcW w:w="1276" w:type="dxa"/>
            <w:shd w:val="clear" w:color="auto" w:fill="auto"/>
            <w:noWrap/>
            <w:vAlign w:val="center"/>
          </w:tcPr>
          <w:p w14:paraId="19F781B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7394C1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C29B23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1D44602" w14:textId="77777777" w:rsidTr="00A755A7">
        <w:tblPrEx>
          <w:jc w:val="left"/>
        </w:tblPrEx>
        <w:trPr>
          <w:trHeight w:val="20"/>
        </w:trPr>
        <w:tc>
          <w:tcPr>
            <w:tcW w:w="700" w:type="dxa"/>
            <w:shd w:val="clear" w:color="auto" w:fill="auto"/>
            <w:noWrap/>
            <w:vAlign w:val="center"/>
            <w:hideMark/>
          </w:tcPr>
          <w:p w14:paraId="1238EF8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46400</w:t>
            </w:r>
          </w:p>
        </w:tc>
        <w:tc>
          <w:tcPr>
            <w:tcW w:w="3973" w:type="dxa"/>
            <w:shd w:val="clear" w:color="auto" w:fill="auto"/>
            <w:vAlign w:val="center"/>
            <w:hideMark/>
          </w:tcPr>
          <w:p w14:paraId="2D4936F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a fideicomisos públicos de entidades paraestatales no empresariales y no financieras.</w:t>
            </w:r>
          </w:p>
        </w:tc>
        <w:tc>
          <w:tcPr>
            <w:tcW w:w="1276" w:type="dxa"/>
            <w:shd w:val="clear" w:color="auto" w:fill="auto"/>
            <w:noWrap/>
            <w:vAlign w:val="center"/>
          </w:tcPr>
          <w:p w14:paraId="6CCEEC1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944DF7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23DA44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AAF0D08" w14:textId="77777777" w:rsidTr="00A755A7">
        <w:tblPrEx>
          <w:jc w:val="left"/>
        </w:tblPrEx>
        <w:trPr>
          <w:trHeight w:val="20"/>
        </w:trPr>
        <w:tc>
          <w:tcPr>
            <w:tcW w:w="700" w:type="dxa"/>
            <w:shd w:val="clear" w:color="auto" w:fill="auto"/>
            <w:noWrap/>
            <w:vAlign w:val="center"/>
            <w:hideMark/>
          </w:tcPr>
          <w:p w14:paraId="578E8B2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46500</w:t>
            </w:r>
          </w:p>
        </w:tc>
        <w:tc>
          <w:tcPr>
            <w:tcW w:w="3973" w:type="dxa"/>
            <w:shd w:val="clear" w:color="auto" w:fill="auto"/>
            <w:vAlign w:val="center"/>
            <w:hideMark/>
          </w:tcPr>
          <w:p w14:paraId="127C20A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a fideicomisos públicos de entidades paraestatales empresariales y no financieras.</w:t>
            </w:r>
          </w:p>
        </w:tc>
        <w:tc>
          <w:tcPr>
            <w:tcW w:w="1276" w:type="dxa"/>
            <w:shd w:val="clear" w:color="auto" w:fill="auto"/>
            <w:noWrap/>
            <w:vAlign w:val="center"/>
          </w:tcPr>
          <w:p w14:paraId="3EFD218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FFAF0E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8F7EF9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0987955" w14:textId="77777777" w:rsidTr="00A755A7">
        <w:tblPrEx>
          <w:jc w:val="left"/>
        </w:tblPrEx>
        <w:trPr>
          <w:trHeight w:val="20"/>
        </w:trPr>
        <w:tc>
          <w:tcPr>
            <w:tcW w:w="700" w:type="dxa"/>
            <w:shd w:val="clear" w:color="auto" w:fill="auto"/>
            <w:noWrap/>
            <w:vAlign w:val="center"/>
            <w:hideMark/>
          </w:tcPr>
          <w:p w14:paraId="3893C6F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46600</w:t>
            </w:r>
          </w:p>
        </w:tc>
        <w:tc>
          <w:tcPr>
            <w:tcW w:w="3973" w:type="dxa"/>
            <w:shd w:val="clear" w:color="auto" w:fill="auto"/>
            <w:vAlign w:val="center"/>
            <w:hideMark/>
          </w:tcPr>
          <w:p w14:paraId="1843FFF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a fideicomisos de instituciones públicas financieras.</w:t>
            </w:r>
          </w:p>
        </w:tc>
        <w:tc>
          <w:tcPr>
            <w:tcW w:w="1276" w:type="dxa"/>
            <w:shd w:val="clear" w:color="auto" w:fill="auto"/>
            <w:noWrap/>
            <w:vAlign w:val="center"/>
          </w:tcPr>
          <w:p w14:paraId="03C0711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8BF539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EF60E8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ECEBA08" w14:textId="77777777" w:rsidTr="00A755A7">
        <w:tblPrEx>
          <w:jc w:val="left"/>
        </w:tblPrEx>
        <w:trPr>
          <w:trHeight w:val="20"/>
        </w:trPr>
        <w:tc>
          <w:tcPr>
            <w:tcW w:w="700" w:type="dxa"/>
            <w:shd w:val="clear" w:color="auto" w:fill="auto"/>
            <w:noWrap/>
            <w:vAlign w:val="center"/>
            <w:hideMark/>
          </w:tcPr>
          <w:p w14:paraId="64738A5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46900</w:t>
            </w:r>
          </w:p>
        </w:tc>
        <w:tc>
          <w:tcPr>
            <w:tcW w:w="3973" w:type="dxa"/>
            <w:shd w:val="clear" w:color="auto" w:fill="auto"/>
            <w:vAlign w:val="center"/>
            <w:hideMark/>
          </w:tcPr>
          <w:p w14:paraId="3F9025D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Otras transferencias a fideicomisos.</w:t>
            </w:r>
          </w:p>
        </w:tc>
        <w:tc>
          <w:tcPr>
            <w:tcW w:w="1276" w:type="dxa"/>
            <w:shd w:val="clear" w:color="auto" w:fill="auto"/>
            <w:noWrap/>
            <w:vAlign w:val="center"/>
          </w:tcPr>
          <w:p w14:paraId="1808A65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EE1128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B91434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3C595A3" w14:textId="77777777" w:rsidTr="00A755A7">
        <w:tblPrEx>
          <w:jc w:val="left"/>
        </w:tblPrEx>
        <w:trPr>
          <w:trHeight w:val="20"/>
        </w:trPr>
        <w:tc>
          <w:tcPr>
            <w:tcW w:w="700" w:type="dxa"/>
            <w:shd w:val="clear" w:color="auto" w:fill="auto"/>
            <w:noWrap/>
            <w:vAlign w:val="center"/>
            <w:hideMark/>
          </w:tcPr>
          <w:p w14:paraId="6BC3AA6F"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47000</w:t>
            </w:r>
          </w:p>
        </w:tc>
        <w:tc>
          <w:tcPr>
            <w:tcW w:w="3973" w:type="dxa"/>
            <w:shd w:val="clear" w:color="auto" w:fill="auto"/>
            <w:vAlign w:val="center"/>
            <w:hideMark/>
          </w:tcPr>
          <w:p w14:paraId="4C6E42E2"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TRANSFERENCIAS A LA SEGURIDAD SOCIAL.</w:t>
            </w:r>
          </w:p>
        </w:tc>
        <w:tc>
          <w:tcPr>
            <w:tcW w:w="1276" w:type="dxa"/>
            <w:shd w:val="clear" w:color="auto" w:fill="auto"/>
            <w:noWrap/>
            <w:vAlign w:val="center"/>
          </w:tcPr>
          <w:p w14:paraId="3D08BAE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12F82CB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242,646,560 </w:t>
            </w:r>
          </w:p>
        </w:tc>
        <w:tc>
          <w:tcPr>
            <w:tcW w:w="1275" w:type="dxa"/>
            <w:shd w:val="clear" w:color="auto" w:fill="auto"/>
            <w:noWrap/>
            <w:vAlign w:val="center"/>
          </w:tcPr>
          <w:p w14:paraId="55D7D2FA"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242,646,560 </w:t>
            </w:r>
          </w:p>
        </w:tc>
      </w:tr>
      <w:tr w:rsidR="00D868AB" w:rsidRPr="00D868AB" w14:paraId="37272867" w14:textId="77777777" w:rsidTr="00A755A7">
        <w:tblPrEx>
          <w:jc w:val="left"/>
        </w:tblPrEx>
        <w:trPr>
          <w:trHeight w:val="20"/>
        </w:trPr>
        <w:tc>
          <w:tcPr>
            <w:tcW w:w="700" w:type="dxa"/>
            <w:shd w:val="clear" w:color="auto" w:fill="auto"/>
            <w:noWrap/>
            <w:vAlign w:val="center"/>
            <w:hideMark/>
          </w:tcPr>
          <w:p w14:paraId="5E0A7FB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47100</w:t>
            </w:r>
          </w:p>
        </w:tc>
        <w:tc>
          <w:tcPr>
            <w:tcW w:w="3973" w:type="dxa"/>
            <w:shd w:val="clear" w:color="auto" w:fill="auto"/>
            <w:vAlign w:val="center"/>
            <w:hideMark/>
          </w:tcPr>
          <w:p w14:paraId="53D309E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por obligación de ley.</w:t>
            </w:r>
          </w:p>
        </w:tc>
        <w:tc>
          <w:tcPr>
            <w:tcW w:w="1276" w:type="dxa"/>
            <w:shd w:val="clear" w:color="auto" w:fill="auto"/>
            <w:noWrap/>
            <w:vAlign w:val="center"/>
          </w:tcPr>
          <w:p w14:paraId="622F4B5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B6933F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242,646,560 </w:t>
            </w:r>
          </w:p>
        </w:tc>
        <w:tc>
          <w:tcPr>
            <w:tcW w:w="1275" w:type="dxa"/>
            <w:shd w:val="clear" w:color="auto" w:fill="auto"/>
            <w:noWrap/>
            <w:vAlign w:val="center"/>
          </w:tcPr>
          <w:p w14:paraId="1DFABCB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242,646,560 </w:t>
            </w:r>
          </w:p>
        </w:tc>
      </w:tr>
      <w:tr w:rsidR="00D868AB" w:rsidRPr="00D868AB" w14:paraId="456F67A2" w14:textId="77777777" w:rsidTr="00A755A7">
        <w:tblPrEx>
          <w:jc w:val="left"/>
        </w:tblPrEx>
        <w:trPr>
          <w:trHeight w:val="20"/>
        </w:trPr>
        <w:tc>
          <w:tcPr>
            <w:tcW w:w="700" w:type="dxa"/>
            <w:shd w:val="clear" w:color="auto" w:fill="auto"/>
            <w:noWrap/>
            <w:vAlign w:val="center"/>
            <w:hideMark/>
          </w:tcPr>
          <w:p w14:paraId="7445C26B"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48000</w:t>
            </w:r>
          </w:p>
        </w:tc>
        <w:tc>
          <w:tcPr>
            <w:tcW w:w="3973" w:type="dxa"/>
            <w:shd w:val="clear" w:color="auto" w:fill="auto"/>
            <w:vAlign w:val="center"/>
            <w:hideMark/>
          </w:tcPr>
          <w:p w14:paraId="33407C42"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DONATIVOS.</w:t>
            </w:r>
          </w:p>
        </w:tc>
        <w:tc>
          <w:tcPr>
            <w:tcW w:w="1276" w:type="dxa"/>
            <w:shd w:val="clear" w:color="auto" w:fill="auto"/>
            <w:noWrap/>
            <w:vAlign w:val="center"/>
          </w:tcPr>
          <w:p w14:paraId="4BEBAD5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2B65D9B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7D5F208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178B7313" w14:textId="77777777" w:rsidTr="00A755A7">
        <w:tblPrEx>
          <w:jc w:val="left"/>
        </w:tblPrEx>
        <w:trPr>
          <w:trHeight w:val="20"/>
        </w:trPr>
        <w:tc>
          <w:tcPr>
            <w:tcW w:w="700" w:type="dxa"/>
            <w:shd w:val="clear" w:color="auto" w:fill="auto"/>
            <w:noWrap/>
            <w:vAlign w:val="center"/>
            <w:hideMark/>
          </w:tcPr>
          <w:p w14:paraId="5DE7791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48100</w:t>
            </w:r>
          </w:p>
        </w:tc>
        <w:tc>
          <w:tcPr>
            <w:tcW w:w="3973" w:type="dxa"/>
            <w:shd w:val="clear" w:color="auto" w:fill="auto"/>
            <w:vAlign w:val="center"/>
            <w:hideMark/>
          </w:tcPr>
          <w:p w14:paraId="141DF70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Donativos a instituciones sin fines de lucro.</w:t>
            </w:r>
          </w:p>
        </w:tc>
        <w:tc>
          <w:tcPr>
            <w:tcW w:w="1276" w:type="dxa"/>
            <w:shd w:val="clear" w:color="auto" w:fill="auto"/>
            <w:noWrap/>
            <w:vAlign w:val="center"/>
          </w:tcPr>
          <w:p w14:paraId="5C9B52F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DCA8B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E60EDB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8153FF3" w14:textId="77777777" w:rsidTr="00A755A7">
        <w:tblPrEx>
          <w:jc w:val="left"/>
        </w:tblPrEx>
        <w:trPr>
          <w:trHeight w:val="20"/>
        </w:trPr>
        <w:tc>
          <w:tcPr>
            <w:tcW w:w="700" w:type="dxa"/>
            <w:shd w:val="clear" w:color="auto" w:fill="auto"/>
            <w:noWrap/>
            <w:vAlign w:val="center"/>
            <w:hideMark/>
          </w:tcPr>
          <w:p w14:paraId="5BCA566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48200</w:t>
            </w:r>
          </w:p>
        </w:tc>
        <w:tc>
          <w:tcPr>
            <w:tcW w:w="3973" w:type="dxa"/>
            <w:shd w:val="clear" w:color="auto" w:fill="auto"/>
            <w:vAlign w:val="center"/>
            <w:hideMark/>
          </w:tcPr>
          <w:p w14:paraId="7C607CB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Donativos a entidades federativas.</w:t>
            </w:r>
          </w:p>
        </w:tc>
        <w:tc>
          <w:tcPr>
            <w:tcW w:w="1276" w:type="dxa"/>
            <w:shd w:val="clear" w:color="auto" w:fill="auto"/>
            <w:noWrap/>
            <w:vAlign w:val="center"/>
          </w:tcPr>
          <w:p w14:paraId="1C9E2CA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B242CA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5D2EE8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A624C98" w14:textId="77777777" w:rsidTr="00A755A7">
        <w:tblPrEx>
          <w:jc w:val="left"/>
        </w:tblPrEx>
        <w:trPr>
          <w:trHeight w:val="20"/>
        </w:trPr>
        <w:tc>
          <w:tcPr>
            <w:tcW w:w="700" w:type="dxa"/>
            <w:shd w:val="clear" w:color="auto" w:fill="auto"/>
            <w:noWrap/>
            <w:vAlign w:val="center"/>
            <w:hideMark/>
          </w:tcPr>
          <w:p w14:paraId="6243531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48300</w:t>
            </w:r>
          </w:p>
        </w:tc>
        <w:tc>
          <w:tcPr>
            <w:tcW w:w="3973" w:type="dxa"/>
            <w:shd w:val="clear" w:color="auto" w:fill="auto"/>
            <w:vAlign w:val="center"/>
            <w:hideMark/>
          </w:tcPr>
          <w:p w14:paraId="4BD7CFC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Donativos a fideicomisos privados.</w:t>
            </w:r>
          </w:p>
        </w:tc>
        <w:tc>
          <w:tcPr>
            <w:tcW w:w="1276" w:type="dxa"/>
            <w:shd w:val="clear" w:color="auto" w:fill="auto"/>
            <w:noWrap/>
            <w:vAlign w:val="center"/>
          </w:tcPr>
          <w:p w14:paraId="314BF6F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A4F29F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A0AC63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1F3BBEF" w14:textId="77777777" w:rsidTr="00A755A7">
        <w:tblPrEx>
          <w:jc w:val="left"/>
        </w:tblPrEx>
        <w:trPr>
          <w:trHeight w:val="20"/>
        </w:trPr>
        <w:tc>
          <w:tcPr>
            <w:tcW w:w="700" w:type="dxa"/>
            <w:shd w:val="clear" w:color="auto" w:fill="auto"/>
            <w:noWrap/>
            <w:vAlign w:val="center"/>
            <w:hideMark/>
          </w:tcPr>
          <w:p w14:paraId="58215AA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48400</w:t>
            </w:r>
          </w:p>
        </w:tc>
        <w:tc>
          <w:tcPr>
            <w:tcW w:w="3973" w:type="dxa"/>
            <w:shd w:val="clear" w:color="auto" w:fill="auto"/>
            <w:vAlign w:val="center"/>
            <w:hideMark/>
          </w:tcPr>
          <w:p w14:paraId="129FA70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Donativos a fideicomisos estatales.</w:t>
            </w:r>
          </w:p>
        </w:tc>
        <w:tc>
          <w:tcPr>
            <w:tcW w:w="1276" w:type="dxa"/>
            <w:shd w:val="clear" w:color="auto" w:fill="auto"/>
            <w:noWrap/>
            <w:vAlign w:val="center"/>
          </w:tcPr>
          <w:p w14:paraId="11D7F37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4A3E4F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E947FB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84D0BD7" w14:textId="77777777" w:rsidTr="00A755A7">
        <w:tblPrEx>
          <w:jc w:val="left"/>
        </w:tblPrEx>
        <w:trPr>
          <w:trHeight w:val="20"/>
        </w:trPr>
        <w:tc>
          <w:tcPr>
            <w:tcW w:w="700" w:type="dxa"/>
            <w:shd w:val="clear" w:color="auto" w:fill="auto"/>
            <w:noWrap/>
            <w:vAlign w:val="center"/>
            <w:hideMark/>
          </w:tcPr>
          <w:p w14:paraId="5E7DABB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48500</w:t>
            </w:r>
          </w:p>
        </w:tc>
        <w:tc>
          <w:tcPr>
            <w:tcW w:w="3973" w:type="dxa"/>
            <w:shd w:val="clear" w:color="auto" w:fill="auto"/>
            <w:vAlign w:val="center"/>
            <w:hideMark/>
          </w:tcPr>
          <w:p w14:paraId="1631A14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Donativos internacionales.</w:t>
            </w:r>
          </w:p>
        </w:tc>
        <w:tc>
          <w:tcPr>
            <w:tcW w:w="1276" w:type="dxa"/>
            <w:shd w:val="clear" w:color="auto" w:fill="auto"/>
            <w:noWrap/>
            <w:vAlign w:val="center"/>
          </w:tcPr>
          <w:p w14:paraId="0904650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8A38CC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55CE86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138D463" w14:textId="77777777" w:rsidTr="00A755A7">
        <w:tblPrEx>
          <w:jc w:val="left"/>
        </w:tblPrEx>
        <w:trPr>
          <w:trHeight w:val="20"/>
        </w:trPr>
        <w:tc>
          <w:tcPr>
            <w:tcW w:w="700" w:type="dxa"/>
            <w:shd w:val="clear" w:color="auto" w:fill="auto"/>
            <w:noWrap/>
            <w:vAlign w:val="center"/>
            <w:hideMark/>
          </w:tcPr>
          <w:p w14:paraId="1ECC0F13"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49000</w:t>
            </w:r>
          </w:p>
        </w:tc>
        <w:tc>
          <w:tcPr>
            <w:tcW w:w="3973" w:type="dxa"/>
            <w:shd w:val="clear" w:color="auto" w:fill="auto"/>
            <w:vAlign w:val="center"/>
            <w:hideMark/>
          </w:tcPr>
          <w:p w14:paraId="156B08D2"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 xml:space="preserve"> TRANSFERENCIAS AL EXTERIOR.</w:t>
            </w:r>
          </w:p>
        </w:tc>
        <w:tc>
          <w:tcPr>
            <w:tcW w:w="1276" w:type="dxa"/>
            <w:shd w:val="clear" w:color="auto" w:fill="auto"/>
            <w:noWrap/>
            <w:vAlign w:val="center"/>
          </w:tcPr>
          <w:p w14:paraId="463E2D9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5A68CB4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014A7A0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3C1AD997" w14:textId="77777777" w:rsidTr="00A755A7">
        <w:tblPrEx>
          <w:jc w:val="left"/>
        </w:tblPrEx>
        <w:trPr>
          <w:trHeight w:val="20"/>
        </w:trPr>
        <w:tc>
          <w:tcPr>
            <w:tcW w:w="700" w:type="dxa"/>
            <w:shd w:val="clear" w:color="auto" w:fill="auto"/>
            <w:noWrap/>
            <w:vAlign w:val="center"/>
            <w:hideMark/>
          </w:tcPr>
          <w:p w14:paraId="1C388C0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49100</w:t>
            </w:r>
          </w:p>
        </w:tc>
        <w:tc>
          <w:tcPr>
            <w:tcW w:w="3973" w:type="dxa"/>
            <w:shd w:val="clear" w:color="auto" w:fill="auto"/>
            <w:vAlign w:val="center"/>
            <w:hideMark/>
          </w:tcPr>
          <w:p w14:paraId="406067A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para gobiernos extranjeros.</w:t>
            </w:r>
          </w:p>
        </w:tc>
        <w:tc>
          <w:tcPr>
            <w:tcW w:w="1276" w:type="dxa"/>
            <w:shd w:val="clear" w:color="auto" w:fill="auto"/>
            <w:noWrap/>
            <w:vAlign w:val="center"/>
          </w:tcPr>
          <w:p w14:paraId="4D7667D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279D12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658EA2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323DA9B" w14:textId="77777777" w:rsidTr="00A755A7">
        <w:tblPrEx>
          <w:jc w:val="left"/>
        </w:tblPrEx>
        <w:trPr>
          <w:trHeight w:val="20"/>
        </w:trPr>
        <w:tc>
          <w:tcPr>
            <w:tcW w:w="700" w:type="dxa"/>
            <w:shd w:val="clear" w:color="auto" w:fill="auto"/>
            <w:noWrap/>
            <w:vAlign w:val="center"/>
            <w:hideMark/>
          </w:tcPr>
          <w:p w14:paraId="6D1A5B6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49200</w:t>
            </w:r>
          </w:p>
        </w:tc>
        <w:tc>
          <w:tcPr>
            <w:tcW w:w="3973" w:type="dxa"/>
            <w:shd w:val="clear" w:color="auto" w:fill="auto"/>
            <w:vAlign w:val="center"/>
            <w:hideMark/>
          </w:tcPr>
          <w:p w14:paraId="27309D2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para organismos internacionales.</w:t>
            </w:r>
          </w:p>
        </w:tc>
        <w:tc>
          <w:tcPr>
            <w:tcW w:w="1276" w:type="dxa"/>
            <w:shd w:val="clear" w:color="auto" w:fill="auto"/>
            <w:noWrap/>
            <w:vAlign w:val="center"/>
          </w:tcPr>
          <w:p w14:paraId="0F0A10B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030797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EB00E5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6EEA2CD" w14:textId="77777777" w:rsidTr="00A755A7">
        <w:tblPrEx>
          <w:jc w:val="left"/>
        </w:tblPrEx>
        <w:trPr>
          <w:trHeight w:val="20"/>
        </w:trPr>
        <w:tc>
          <w:tcPr>
            <w:tcW w:w="700" w:type="dxa"/>
            <w:shd w:val="clear" w:color="auto" w:fill="auto"/>
            <w:noWrap/>
            <w:vAlign w:val="center"/>
            <w:hideMark/>
          </w:tcPr>
          <w:p w14:paraId="0186377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49300</w:t>
            </w:r>
          </w:p>
        </w:tc>
        <w:tc>
          <w:tcPr>
            <w:tcW w:w="3973" w:type="dxa"/>
            <w:shd w:val="clear" w:color="auto" w:fill="auto"/>
            <w:vAlign w:val="center"/>
            <w:hideMark/>
          </w:tcPr>
          <w:p w14:paraId="150A8AD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Transferencias para el sector privado externo.</w:t>
            </w:r>
          </w:p>
        </w:tc>
        <w:tc>
          <w:tcPr>
            <w:tcW w:w="1276" w:type="dxa"/>
            <w:shd w:val="clear" w:color="auto" w:fill="auto"/>
            <w:noWrap/>
            <w:vAlign w:val="center"/>
          </w:tcPr>
          <w:p w14:paraId="507C9C2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77EEE1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B81358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4F66A71" w14:textId="77777777" w:rsidTr="00A755A7">
        <w:tblPrEx>
          <w:jc w:val="left"/>
        </w:tblPrEx>
        <w:trPr>
          <w:trHeight w:val="20"/>
        </w:trPr>
        <w:tc>
          <w:tcPr>
            <w:tcW w:w="700" w:type="dxa"/>
            <w:shd w:val="clear" w:color="auto" w:fill="auto"/>
            <w:noWrap/>
            <w:vAlign w:val="center"/>
            <w:hideMark/>
          </w:tcPr>
          <w:p w14:paraId="6BE885DC"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50000</w:t>
            </w:r>
          </w:p>
        </w:tc>
        <w:tc>
          <w:tcPr>
            <w:tcW w:w="3973" w:type="dxa"/>
            <w:shd w:val="clear" w:color="auto" w:fill="auto"/>
            <w:vAlign w:val="center"/>
            <w:hideMark/>
          </w:tcPr>
          <w:p w14:paraId="52643EA2"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BIENES MUEBLES, INMUEBLES E INTANGIBLES.</w:t>
            </w:r>
          </w:p>
        </w:tc>
        <w:tc>
          <w:tcPr>
            <w:tcW w:w="1276" w:type="dxa"/>
            <w:shd w:val="clear" w:color="auto" w:fill="auto"/>
            <w:noWrap/>
            <w:vAlign w:val="center"/>
          </w:tcPr>
          <w:p w14:paraId="6AC3B47A"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49,657,754 </w:t>
            </w:r>
          </w:p>
        </w:tc>
        <w:tc>
          <w:tcPr>
            <w:tcW w:w="1276" w:type="dxa"/>
            <w:shd w:val="clear" w:color="auto" w:fill="auto"/>
            <w:noWrap/>
            <w:vAlign w:val="center"/>
          </w:tcPr>
          <w:p w14:paraId="70EF8E2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312E36B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49,657,754 </w:t>
            </w:r>
          </w:p>
        </w:tc>
      </w:tr>
      <w:tr w:rsidR="00D868AB" w:rsidRPr="00D868AB" w14:paraId="530A88BB" w14:textId="77777777" w:rsidTr="00A755A7">
        <w:tblPrEx>
          <w:jc w:val="left"/>
        </w:tblPrEx>
        <w:trPr>
          <w:trHeight w:val="20"/>
        </w:trPr>
        <w:tc>
          <w:tcPr>
            <w:tcW w:w="700" w:type="dxa"/>
            <w:shd w:val="clear" w:color="auto" w:fill="auto"/>
            <w:noWrap/>
            <w:vAlign w:val="center"/>
            <w:hideMark/>
          </w:tcPr>
          <w:p w14:paraId="0C5E47F9"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51000</w:t>
            </w:r>
          </w:p>
        </w:tc>
        <w:tc>
          <w:tcPr>
            <w:tcW w:w="3973" w:type="dxa"/>
            <w:shd w:val="clear" w:color="auto" w:fill="auto"/>
            <w:vAlign w:val="center"/>
            <w:hideMark/>
          </w:tcPr>
          <w:p w14:paraId="17FBC38C"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MOBILIARIO Y EQUIPO DE ADMINISTRACIÓN.</w:t>
            </w:r>
          </w:p>
        </w:tc>
        <w:tc>
          <w:tcPr>
            <w:tcW w:w="1276" w:type="dxa"/>
            <w:shd w:val="clear" w:color="auto" w:fill="auto"/>
            <w:noWrap/>
            <w:vAlign w:val="center"/>
          </w:tcPr>
          <w:p w14:paraId="30898C2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13,408,441 </w:t>
            </w:r>
          </w:p>
        </w:tc>
        <w:tc>
          <w:tcPr>
            <w:tcW w:w="1276" w:type="dxa"/>
            <w:shd w:val="clear" w:color="auto" w:fill="auto"/>
            <w:noWrap/>
            <w:vAlign w:val="center"/>
          </w:tcPr>
          <w:p w14:paraId="27D29A2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55705F7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13,408,441 </w:t>
            </w:r>
          </w:p>
        </w:tc>
      </w:tr>
      <w:tr w:rsidR="00D868AB" w:rsidRPr="00D868AB" w14:paraId="28C32EEF" w14:textId="77777777" w:rsidTr="00A755A7">
        <w:tblPrEx>
          <w:jc w:val="left"/>
        </w:tblPrEx>
        <w:trPr>
          <w:trHeight w:val="20"/>
        </w:trPr>
        <w:tc>
          <w:tcPr>
            <w:tcW w:w="700" w:type="dxa"/>
            <w:shd w:val="clear" w:color="auto" w:fill="auto"/>
            <w:noWrap/>
            <w:vAlign w:val="center"/>
            <w:hideMark/>
          </w:tcPr>
          <w:p w14:paraId="562C527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51100</w:t>
            </w:r>
          </w:p>
        </w:tc>
        <w:tc>
          <w:tcPr>
            <w:tcW w:w="3973" w:type="dxa"/>
            <w:shd w:val="clear" w:color="auto" w:fill="auto"/>
            <w:vAlign w:val="center"/>
            <w:hideMark/>
          </w:tcPr>
          <w:p w14:paraId="7D65561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Muebles de oficina y estantería.</w:t>
            </w:r>
          </w:p>
        </w:tc>
        <w:tc>
          <w:tcPr>
            <w:tcW w:w="1276" w:type="dxa"/>
            <w:shd w:val="clear" w:color="auto" w:fill="auto"/>
            <w:noWrap/>
            <w:vAlign w:val="center"/>
          </w:tcPr>
          <w:p w14:paraId="33A53BB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2,021,143 </w:t>
            </w:r>
          </w:p>
        </w:tc>
        <w:tc>
          <w:tcPr>
            <w:tcW w:w="1276" w:type="dxa"/>
            <w:shd w:val="clear" w:color="auto" w:fill="auto"/>
            <w:noWrap/>
            <w:vAlign w:val="center"/>
          </w:tcPr>
          <w:p w14:paraId="64F01F7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AF3DF1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2,021,143 </w:t>
            </w:r>
          </w:p>
        </w:tc>
      </w:tr>
      <w:tr w:rsidR="00D868AB" w:rsidRPr="00D868AB" w14:paraId="6C94B3FC" w14:textId="77777777" w:rsidTr="00A755A7">
        <w:tblPrEx>
          <w:jc w:val="left"/>
        </w:tblPrEx>
        <w:trPr>
          <w:trHeight w:val="20"/>
        </w:trPr>
        <w:tc>
          <w:tcPr>
            <w:tcW w:w="700" w:type="dxa"/>
            <w:shd w:val="clear" w:color="auto" w:fill="auto"/>
            <w:noWrap/>
            <w:vAlign w:val="center"/>
            <w:hideMark/>
          </w:tcPr>
          <w:p w14:paraId="62EC40B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51200</w:t>
            </w:r>
          </w:p>
        </w:tc>
        <w:tc>
          <w:tcPr>
            <w:tcW w:w="3973" w:type="dxa"/>
            <w:shd w:val="clear" w:color="auto" w:fill="auto"/>
            <w:vAlign w:val="center"/>
            <w:hideMark/>
          </w:tcPr>
          <w:p w14:paraId="1C7CA28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Muebles, excepto de oficina y estantería.</w:t>
            </w:r>
          </w:p>
        </w:tc>
        <w:tc>
          <w:tcPr>
            <w:tcW w:w="1276" w:type="dxa"/>
            <w:shd w:val="clear" w:color="auto" w:fill="auto"/>
            <w:noWrap/>
            <w:vAlign w:val="center"/>
          </w:tcPr>
          <w:p w14:paraId="7473BEE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306,240 </w:t>
            </w:r>
          </w:p>
        </w:tc>
        <w:tc>
          <w:tcPr>
            <w:tcW w:w="1276" w:type="dxa"/>
            <w:shd w:val="clear" w:color="auto" w:fill="auto"/>
            <w:noWrap/>
            <w:vAlign w:val="center"/>
          </w:tcPr>
          <w:p w14:paraId="1770788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0CD3C7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306,240 </w:t>
            </w:r>
          </w:p>
        </w:tc>
      </w:tr>
      <w:tr w:rsidR="00D868AB" w:rsidRPr="00D868AB" w14:paraId="170729FC" w14:textId="77777777" w:rsidTr="00A755A7">
        <w:tblPrEx>
          <w:jc w:val="left"/>
        </w:tblPrEx>
        <w:trPr>
          <w:trHeight w:val="20"/>
        </w:trPr>
        <w:tc>
          <w:tcPr>
            <w:tcW w:w="700" w:type="dxa"/>
            <w:shd w:val="clear" w:color="auto" w:fill="auto"/>
            <w:noWrap/>
            <w:vAlign w:val="center"/>
            <w:hideMark/>
          </w:tcPr>
          <w:p w14:paraId="1FC9AAD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51300</w:t>
            </w:r>
          </w:p>
        </w:tc>
        <w:tc>
          <w:tcPr>
            <w:tcW w:w="3973" w:type="dxa"/>
            <w:shd w:val="clear" w:color="auto" w:fill="auto"/>
            <w:vAlign w:val="center"/>
            <w:hideMark/>
          </w:tcPr>
          <w:p w14:paraId="16AB709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Bienes artísticos, culturales y científicos.</w:t>
            </w:r>
          </w:p>
        </w:tc>
        <w:tc>
          <w:tcPr>
            <w:tcW w:w="1276" w:type="dxa"/>
            <w:shd w:val="clear" w:color="auto" w:fill="auto"/>
            <w:noWrap/>
            <w:vAlign w:val="center"/>
          </w:tcPr>
          <w:p w14:paraId="4A0B281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90D24D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84C027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3B195E6" w14:textId="77777777" w:rsidTr="00A755A7">
        <w:tblPrEx>
          <w:jc w:val="left"/>
        </w:tblPrEx>
        <w:trPr>
          <w:trHeight w:val="20"/>
        </w:trPr>
        <w:tc>
          <w:tcPr>
            <w:tcW w:w="700" w:type="dxa"/>
            <w:shd w:val="clear" w:color="auto" w:fill="auto"/>
            <w:noWrap/>
            <w:vAlign w:val="center"/>
            <w:hideMark/>
          </w:tcPr>
          <w:p w14:paraId="08E2562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51400</w:t>
            </w:r>
          </w:p>
        </w:tc>
        <w:tc>
          <w:tcPr>
            <w:tcW w:w="3973" w:type="dxa"/>
            <w:shd w:val="clear" w:color="auto" w:fill="auto"/>
            <w:vAlign w:val="center"/>
            <w:hideMark/>
          </w:tcPr>
          <w:p w14:paraId="6E10EDF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Objetos de valor.</w:t>
            </w:r>
          </w:p>
        </w:tc>
        <w:tc>
          <w:tcPr>
            <w:tcW w:w="1276" w:type="dxa"/>
            <w:shd w:val="clear" w:color="auto" w:fill="auto"/>
            <w:noWrap/>
            <w:vAlign w:val="center"/>
          </w:tcPr>
          <w:p w14:paraId="1A84F81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A2F47F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2E91AB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39F01BF" w14:textId="77777777" w:rsidTr="00A755A7">
        <w:tblPrEx>
          <w:jc w:val="left"/>
        </w:tblPrEx>
        <w:trPr>
          <w:trHeight w:val="20"/>
        </w:trPr>
        <w:tc>
          <w:tcPr>
            <w:tcW w:w="700" w:type="dxa"/>
            <w:shd w:val="clear" w:color="auto" w:fill="auto"/>
            <w:noWrap/>
            <w:vAlign w:val="center"/>
            <w:hideMark/>
          </w:tcPr>
          <w:p w14:paraId="0ED068B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51500</w:t>
            </w:r>
          </w:p>
        </w:tc>
        <w:tc>
          <w:tcPr>
            <w:tcW w:w="3973" w:type="dxa"/>
            <w:shd w:val="clear" w:color="auto" w:fill="auto"/>
            <w:vAlign w:val="center"/>
            <w:hideMark/>
          </w:tcPr>
          <w:p w14:paraId="6C4EA60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Equipo de cómputo y de tecnologías de la información.</w:t>
            </w:r>
          </w:p>
        </w:tc>
        <w:tc>
          <w:tcPr>
            <w:tcW w:w="1276" w:type="dxa"/>
            <w:shd w:val="clear" w:color="auto" w:fill="auto"/>
            <w:noWrap/>
            <w:vAlign w:val="center"/>
          </w:tcPr>
          <w:p w14:paraId="20450B9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11,031,058 </w:t>
            </w:r>
          </w:p>
        </w:tc>
        <w:tc>
          <w:tcPr>
            <w:tcW w:w="1276" w:type="dxa"/>
            <w:shd w:val="clear" w:color="auto" w:fill="auto"/>
            <w:noWrap/>
            <w:vAlign w:val="center"/>
          </w:tcPr>
          <w:p w14:paraId="13D9F1E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B22DDA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11,031,058 </w:t>
            </w:r>
          </w:p>
        </w:tc>
      </w:tr>
      <w:tr w:rsidR="00D868AB" w:rsidRPr="00D868AB" w14:paraId="2C76F3B5" w14:textId="77777777" w:rsidTr="00A755A7">
        <w:tblPrEx>
          <w:jc w:val="left"/>
        </w:tblPrEx>
        <w:trPr>
          <w:trHeight w:val="20"/>
        </w:trPr>
        <w:tc>
          <w:tcPr>
            <w:tcW w:w="700" w:type="dxa"/>
            <w:shd w:val="clear" w:color="auto" w:fill="auto"/>
            <w:noWrap/>
            <w:vAlign w:val="center"/>
            <w:hideMark/>
          </w:tcPr>
          <w:p w14:paraId="3612FCA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51900</w:t>
            </w:r>
          </w:p>
        </w:tc>
        <w:tc>
          <w:tcPr>
            <w:tcW w:w="3973" w:type="dxa"/>
            <w:shd w:val="clear" w:color="auto" w:fill="auto"/>
            <w:vAlign w:val="center"/>
            <w:hideMark/>
          </w:tcPr>
          <w:p w14:paraId="1173DE6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mobiliarios y equipos de administración.</w:t>
            </w:r>
          </w:p>
        </w:tc>
        <w:tc>
          <w:tcPr>
            <w:tcW w:w="1276" w:type="dxa"/>
            <w:shd w:val="clear" w:color="auto" w:fill="auto"/>
            <w:noWrap/>
            <w:vAlign w:val="center"/>
          </w:tcPr>
          <w:p w14:paraId="2527C45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50,000 </w:t>
            </w:r>
          </w:p>
        </w:tc>
        <w:tc>
          <w:tcPr>
            <w:tcW w:w="1276" w:type="dxa"/>
            <w:shd w:val="clear" w:color="auto" w:fill="auto"/>
            <w:noWrap/>
            <w:vAlign w:val="center"/>
          </w:tcPr>
          <w:p w14:paraId="01A372C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6761E5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50,000 </w:t>
            </w:r>
          </w:p>
        </w:tc>
      </w:tr>
      <w:tr w:rsidR="00D868AB" w:rsidRPr="00D868AB" w14:paraId="753E77C0" w14:textId="77777777" w:rsidTr="00A755A7">
        <w:tblPrEx>
          <w:jc w:val="left"/>
        </w:tblPrEx>
        <w:trPr>
          <w:trHeight w:val="20"/>
        </w:trPr>
        <w:tc>
          <w:tcPr>
            <w:tcW w:w="700" w:type="dxa"/>
            <w:shd w:val="clear" w:color="auto" w:fill="auto"/>
            <w:noWrap/>
            <w:vAlign w:val="center"/>
            <w:hideMark/>
          </w:tcPr>
          <w:p w14:paraId="6A702EC2"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52000</w:t>
            </w:r>
          </w:p>
        </w:tc>
        <w:tc>
          <w:tcPr>
            <w:tcW w:w="3973" w:type="dxa"/>
            <w:shd w:val="clear" w:color="auto" w:fill="auto"/>
            <w:vAlign w:val="center"/>
            <w:hideMark/>
          </w:tcPr>
          <w:p w14:paraId="6CBEB7AB"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MOBILIARIO Y EQUIPO EDUCACIONAL Y RECREATIVO.</w:t>
            </w:r>
          </w:p>
        </w:tc>
        <w:tc>
          <w:tcPr>
            <w:tcW w:w="1276" w:type="dxa"/>
            <w:shd w:val="clear" w:color="auto" w:fill="auto"/>
            <w:noWrap/>
            <w:vAlign w:val="center"/>
          </w:tcPr>
          <w:p w14:paraId="6B990A3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10,202,972 </w:t>
            </w:r>
          </w:p>
        </w:tc>
        <w:tc>
          <w:tcPr>
            <w:tcW w:w="1276" w:type="dxa"/>
            <w:shd w:val="clear" w:color="auto" w:fill="auto"/>
            <w:noWrap/>
            <w:vAlign w:val="center"/>
          </w:tcPr>
          <w:p w14:paraId="692AAE6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2570D8E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10,202,972 </w:t>
            </w:r>
          </w:p>
        </w:tc>
      </w:tr>
      <w:tr w:rsidR="00D868AB" w:rsidRPr="00D868AB" w14:paraId="4382921A" w14:textId="77777777" w:rsidTr="00A755A7">
        <w:tblPrEx>
          <w:jc w:val="left"/>
        </w:tblPrEx>
        <w:trPr>
          <w:trHeight w:val="20"/>
        </w:trPr>
        <w:tc>
          <w:tcPr>
            <w:tcW w:w="700" w:type="dxa"/>
            <w:shd w:val="clear" w:color="auto" w:fill="auto"/>
            <w:noWrap/>
            <w:vAlign w:val="center"/>
            <w:hideMark/>
          </w:tcPr>
          <w:p w14:paraId="7884EC6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52100</w:t>
            </w:r>
          </w:p>
        </w:tc>
        <w:tc>
          <w:tcPr>
            <w:tcW w:w="3973" w:type="dxa"/>
            <w:shd w:val="clear" w:color="auto" w:fill="auto"/>
            <w:vAlign w:val="center"/>
            <w:hideMark/>
          </w:tcPr>
          <w:p w14:paraId="1E6EC5D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Equipos y aparatos audiovisuales.</w:t>
            </w:r>
          </w:p>
        </w:tc>
        <w:tc>
          <w:tcPr>
            <w:tcW w:w="1276" w:type="dxa"/>
            <w:shd w:val="clear" w:color="auto" w:fill="auto"/>
            <w:noWrap/>
            <w:vAlign w:val="center"/>
          </w:tcPr>
          <w:p w14:paraId="1AA7FA5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10,027,519 </w:t>
            </w:r>
          </w:p>
        </w:tc>
        <w:tc>
          <w:tcPr>
            <w:tcW w:w="1276" w:type="dxa"/>
            <w:shd w:val="clear" w:color="auto" w:fill="auto"/>
            <w:noWrap/>
            <w:vAlign w:val="center"/>
          </w:tcPr>
          <w:p w14:paraId="393C529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A3878E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10,027,519 </w:t>
            </w:r>
          </w:p>
        </w:tc>
      </w:tr>
      <w:tr w:rsidR="00D868AB" w:rsidRPr="00D868AB" w14:paraId="7FB96B99" w14:textId="77777777" w:rsidTr="00A755A7">
        <w:tblPrEx>
          <w:jc w:val="left"/>
        </w:tblPrEx>
        <w:trPr>
          <w:trHeight w:val="20"/>
        </w:trPr>
        <w:tc>
          <w:tcPr>
            <w:tcW w:w="700" w:type="dxa"/>
            <w:shd w:val="clear" w:color="auto" w:fill="auto"/>
            <w:noWrap/>
            <w:vAlign w:val="center"/>
            <w:hideMark/>
          </w:tcPr>
          <w:p w14:paraId="032BD00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52200</w:t>
            </w:r>
          </w:p>
        </w:tc>
        <w:tc>
          <w:tcPr>
            <w:tcW w:w="3973" w:type="dxa"/>
            <w:shd w:val="clear" w:color="auto" w:fill="auto"/>
            <w:vAlign w:val="center"/>
            <w:hideMark/>
          </w:tcPr>
          <w:p w14:paraId="42D87B8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Aparatos deportivos.</w:t>
            </w:r>
          </w:p>
        </w:tc>
        <w:tc>
          <w:tcPr>
            <w:tcW w:w="1276" w:type="dxa"/>
            <w:shd w:val="clear" w:color="auto" w:fill="auto"/>
            <w:noWrap/>
            <w:vAlign w:val="center"/>
          </w:tcPr>
          <w:p w14:paraId="0608B65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7487B4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2AE31C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D7B1F20" w14:textId="77777777" w:rsidTr="00A755A7">
        <w:tblPrEx>
          <w:jc w:val="left"/>
        </w:tblPrEx>
        <w:trPr>
          <w:trHeight w:val="20"/>
        </w:trPr>
        <w:tc>
          <w:tcPr>
            <w:tcW w:w="700" w:type="dxa"/>
            <w:shd w:val="clear" w:color="auto" w:fill="auto"/>
            <w:noWrap/>
            <w:vAlign w:val="center"/>
            <w:hideMark/>
          </w:tcPr>
          <w:p w14:paraId="0761BC8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52300</w:t>
            </w:r>
          </w:p>
        </w:tc>
        <w:tc>
          <w:tcPr>
            <w:tcW w:w="3973" w:type="dxa"/>
            <w:shd w:val="clear" w:color="auto" w:fill="auto"/>
            <w:vAlign w:val="center"/>
            <w:hideMark/>
          </w:tcPr>
          <w:p w14:paraId="4B8A48E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Cámaras fotográficas y de video.</w:t>
            </w:r>
          </w:p>
        </w:tc>
        <w:tc>
          <w:tcPr>
            <w:tcW w:w="1276" w:type="dxa"/>
            <w:shd w:val="clear" w:color="auto" w:fill="auto"/>
            <w:noWrap/>
            <w:vAlign w:val="center"/>
          </w:tcPr>
          <w:p w14:paraId="131BB92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175,453 </w:t>
            </w:r>
          </w:p>
        </w:tc>
        <w:tc>
          <w:tcPr>
            <w:tcW w:w="1276" w:type="dxa"/>
            <w:shd w:val="clear" w:color="auto" w:fill="auto"/>
            <w:noWrap/>
            <w:vAlign w:val="center"/>
          </w:tcPr>
          <w:p w14:paraId="299B1B4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E736F2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175,453 </w:t>
            </w:r>
          </w:p>
        </w:tc>
      </w:tr>
      <w:tr w:rsidR="00D868AB" w:rsidRPr="00D868AB" w14:paraId="539DFA4E" w14:textId="77777777" w:rsidTr="00A755A7">
        <w:tblPrEx>
          <w:jc w:val="left"/>
        </w:tblPrEx>
        <w:trPr>
          <w:trHeight w:val="20"/>
        </w:trPr>
        <w:tc>
          <w:tcPr>
            <w:tcW w:w="700" w:type="dxa"/>
            <w:shd w:val="clear" w:color="auto" w:fill="auto"/>
            <w:noWrap/>
            <w:vAlign w:val="center"/>
            <w:hideMark/>
          </w:tcPr>
          <w:p w14:paraId="2765FC2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52900</w:t>
            </w:r>
          </w:p>
        </w:tc>
        <w:tc>
          <w:tcPr>
            <w:tcW w:w="3973" w:type="dxa"/>
            <w:shd w:val="clear" w:color="auto" w:fill="auto"/>
            <w:vAlign w:val="center"/>
            <w:hideMark/>
          </w:tcPr>
          <w:p w14:paraId="0E87ED0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 mobiliario y equipo educacional y recreativo.</w:t>
            </w:r>
          </w:p>
        </w:tc>
        <w:tc>
          <w:tcPr>
            <w:tcW w:w="1276" w:type="dxa"/>
            <w:shd w:val="clear" w:color="auto" w:fill="auto"/>
            <w:noWrap/>
            <w:vAlign w:val="center"/>
          </w:tcPr>
          <w:p w14:paraId="0F9D764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6CFF70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344DB4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9001E35" w14:textId="77777777" w:rsidTr="00A755A7">
        <w:tblPrEx>
          <w:jc w:val="left"/>
        </w:tblPrEx>
        <w:trPr>
          <w:trHeight w:val="20"/>
        </w:trPr>
        <w:tc>
          <w:tcPr>
            <w:tcW w:w="700" w:type="dxa"/>
            <w:shd w:val="clear" w:color="auto" w:fill="auto"/>
            <w:noWrap/>
            <w:vAlign w:val="center"/>
            <w:hideMark/>
          </w:tcPr>
          <w:p w14:paraId="6E985A4D"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53000</w:t>
            </w:r>
          </w:p>
        </w:tc>
        <w:tc>
          <w:tcPr>
            <w:tcW w:w="3973" w:type="dxa"/>
            <w:shd w:val="clear" w:color="auto" w:fill="auto"/>
            <w:vAlign w:val="center"/>
            <w:hideMark/>
          </w:tcPr>
          <w:p w14:paraId="65CD1F40"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EQUIPO E INSTRUMENTAL MÉDICO Y DE LABORATORIO.</w:t>
            </w:r>
          </w:p>
        </w:tc>
        <w:tc>
          <w:tcPr>
            <w:tcW w:w="1276" w:type="dxa"/>
            <w:shd w:val="clear" w:color="auto" w:fill="auto"/>
            <w:noWrap/>
            <w:vAlign w:val="center"/>
          </w:tcPr>
          <w:p w14:paraId="0934CE0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796,393 </w:t>
            </w:r>
          </w:p>
        </w:tc>
        <w:tc>
          <w:tcPr>
            <w:tcW w:w="1276" w:type="dxa"/>
            <w:shd w:val="clear" w:color="auto" w:fill="auto"/>
            <w:noWrap/>
            <w:vAlign w:val="center"/>
          </w:tcPr>
          <w:p w14:paraId="49D03B4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547F0C1A"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796,393 </w:t>
            </w:r>
          </w:p>
        </w:tc>
      </w:tr>
      <w:tr w:rsidR="00D868AB" w:rsidRPr="00D868AB" w14:paraId="5C174866" w14:textId="77777777" w:rsidTr="00A755A7">
        <w:tblPrEx>
          <w:jc w:val="left"/>
        </w:tblPrEx>
        <w:trPr>
          <w:trHeight w:val="20"/>
        </w:trPr>
        <w:tc>
          <w:tcPr>
            <w:tcW w:w="700" w:type="dxa"/>
            <w:shd w:val="clear" w:color="auto" w:fill="auto"/>
            <w:noWrap/>
            <w:vAlign w:val="center"/>
            <w:hideMark/>
          </w:tcPr>
          <w:p w14:paraId="0493AC2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53100</w:t>
            </w:r>
          </w:p>
        </w:tc>
        <w:tc>
          <w:tcPr>
            <w:tcW w:w="3973" w:type="dxa"/>
            <w:shd w:val="clear" w:color="auto" w:fill="auto"/>
            <w:vAlign w:val="center"/>
            <w:hideMark/>
          </w:tcPr>
          <w:p w14:paraId="303FFFE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Equipo médico y de laboratorio.</w:t>
            </w:r>
          </w:p>
        </w:tc>
        <w:tc>
          <w:tcPr>
            <w:tcW w:w="1276" w:type="dxa"/>
            <w:shd w:val="clear" w:color="auto" w:fill="auto"/>
            <w:noWrap/>
            <w:vAlign w:val="center"/>
          </w:tcPr>
          <w:p w14:paraId="224A03F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796,393 </w:t>
            </w:r>
          </w:p>
        </w:tc>
        <w:tc>
          <w:tcPr>
            <w:tcW w:w="1276" w:type="dxa"/>
            <w:shd w:val="clear" w:color="auto" w:fill="auto"/>
            <w:noWrap/>
            <w:vAlign w:val="center"/>
          </w:tcPr>
          <w:p w14:paraId="0C85C3B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2B104F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796,393 </w:t>
            </w:r>
          </w:p>
        </w:tc>
      </w:tr>
      <w:tr w:rsidR="00D868AB" w:rsidRPr="00D868AB" w14:paraId="1859832A" w14:textId="77777777" w:rsidTr="00A755A7">
        <w:tblPrEx>
          <w:jc w:val="left"/>
        </w:tblPrEx>
        <w:trPr>
          <w:trHeight w:val="20"/>
        </w:trPr>
        <w:tc>
          <w:tcPr>
            <w:tcW w:w="700" w:type="dxa"/>
            <w:shd w:val="clear" w:color="auto" w:fill="auto"/>
            <w:noWrap/>
            <w:vAlign w:val="center"/>
            <w:hideMark/>
          </w:tcPr>
          <w:p w14:paraId="0441496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53200</w:t>
            </w:r>
          </w:p>
        </w:tc>
        <w:tc>
          <w:tcPr>
            <w:tcW w:w="3973" w:type="dxa"/>
            <w:shd w:val="clear" w:color="auto" w:fill="auto"/>
            <w:vAlign w:val="center"/>
            <w:hideMark/>
          </w:tcPr>
          <w:p w14:paraId="57A99E7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Instrumental médico y de laboratorio.</w:t>
            </w:r>
          </w:p>
        </w:tc>
        <w:tc>
          <w:tcPr>
            <w:tcW w:w="1276" w:type="dxa"/>
            <w:shd w:val="clear" w:color="auto" w:fill="auto"/>
            <w:noWrap/>
            <w:vAlign w:val="center"/>
          </w:tcPr>
          <w:p w14:paraId="21309E2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130527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5D7F18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349B7FC" w14:textId="77777777" w:rsidTr="00A755A7">
        <w:tblPrEx>
          <w:jc w:val="left"/>
        </w:tblPrEx>
        <w:trPr>
          <w:trHeight w:val="20"/>
        </w:trPr>
        <w:tc>
          <w:tcPr>
            <w:tcW w:w="700" w:type="dxa"/>
            <w:shd w:val="clear" w:color="auto" w:fill="auto"/>
            <w:noWrap/>
            <w:vAlign w:val="center"/>
            <w:hideMark/>
          </w:tcPr>
          <w:p w14:paraId="3D09A1CC"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54000</w:t>
            </w:r>
          </w:p>
        </w:tc>
        <w:tc>
          <w:tcPr>
            <w:tcW w:w="3973" w:type="dxa"/>
            <w:shd w:val="clear" w:color="auto" w:fill="auto"/>
            <w:vAlign w:val="center"/>
            <w:hideMark/>
          </w:tcPr>
          <w:p w14:paraId="3590EA26"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VEHÍCULOS Y EQUIPO DE TRANSPORTE.</w:t>
            </w:r>
          </w:p>
        </w:tc>
        <w:tc>
          <w:tcPr>
            <w:tcW w:w="1276" w:type="dxa"/>
            <w:shd w:val="clear" w:color="auto" w:fill="auto"/>
            <w:noWrap/>
            <w:vAlign w:val="center"/>
          </w:tcPr>
          <w:p w14:paraId="137381E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4,300,000 </w:t>
            </w:r>
          </w:p>
        </w:tc>
        <w:tc>
          <w:tcPr>
            <w:tcW w:w="1276" w:type="dxa"/>
            <w:shd w:val="clear" w:color="auto" w:fill="auto"/>
            <w:noWrap/>
            <w:vAlign w:val="center"/>
          </w:tcPr>
          <w:p w14:paraId="514A78E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310DA39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4,300,000 </w:t>
            </w:r>
          </w:p>
        </w:tc>
      </w:tr>
      <w:tr w:rsidR="00D868AB" w:rsidRPr="00D868AB" w14:paraId="5983786F" w14:textId="77777777" w:rsidTr="00A755A7">
        <w:tblPrEx>
          <w:jc w:val="left"/>
        </w:tblPrEx>
        <w:trPr>
          <w:trHeight w:val="20"/>
        </w:trPr>
        <w:tc>
          <w:tcPr>
            <w:tcW w:w="700" w:type="dxa"/>
            <w:shd w:val="clear" w:color="auto" w:fill="auto"/>
            <w:noWrap/>
            <w:vAlign w:val="center"/>
            <w:hideMark/>
          </w:tcPr>
          <w:p w14:paraId="6E24407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54100</w:t>
            </w:r>
          </w:p>
        </w:tc>
        <w:tc>
          <w:tcPr>
            <w:tcW w:w="3973" w:type="dxa"/>
            <w:shd w:val="clear" w:color="auto" w:fill="auto"/>
            <w:vAlign w:val="center"/>
            <w:hideMark/>
          </w:tcPr>
          <w:p w14:paraId="7FCA3A9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Vehículos y equipo terrestre.</w:t>
            </w:r>
          </w:p>
        </w:tc>
        <w:tc>
          <w:tcPr>
            <w:tcW w:w="1276" w:type="dxa"/>
            <w:shd w:val="clear" w:color="auto" w:fill="auto"/>
            <w:noWrap/>
            <w:vAlign w:val="center"/>
          </w:tcPr>
          <w:p w14:paraId="0C36D4E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4,300,000 </w:t>
            </w:r>
          </w:p>
        </w:tc>
        <w:tc>
          <w:tcPr>
            <w:tcW w:w="1276" w:type="dxa"/>
            <w:shd w:val="clear" w:color="auto" w:fill="auto"/>
            <w:noWrap/>
            <w:vAlign w:val="center"/>
          </w:tcPr>
          <w:p w14:paraId="2E935DB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6800D1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4,300,000 </w:t>
            </w:r>
          </w:p>
        </w:tc>
      </w:tr>
      <w:tr w:rsidR="00D868AB" w:rsidRPr="00D868AB" w14:paraId="5B7B97AF" w14:textId="77777777" w:rsidTr="00A755A7">
        <w:tblPrEx>
          <w:jc w:val="left"/>
        </w:tblPrEx>
        <w:trPr>
          <w:trHeight w:val="20"/>
        </w:trPr>
        <w:tc>
          <w:tcPr>
            <w:tcW w:w="700" w:type="dxa"/>
            <w:shd w:val="clear" w:color="auto" w:fill="auto"/>
            <w:noWrap/>
            <w:vAlign w:val="center"/>
            <w:hideMark/>
          </w:tcPr>
          <w:p w14:paraId="23B019E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54200</w:t>
            </w:r>
          </w:p>
        </w:tc>
        <w:tc>
          <w:tcPr>
            <w:tcW w:w="3973" w:type="dxa"/>
            <w:shd w:val="clear" w:color="auto" w:fill="auto"/>
            <w:vAlign w:val="center"/>
            <w:hideMark/>
          </w:tcPr>
          <w:p w14:paraId="35DFB6F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Carrocerías y remolques.</w:t>
            </w:r>
          </w:p>
        </w:tc>
        <w:tc>
          <w:tcPr>
            <w:tcW w:w="1276" w:type="dxa"/>
            <w:shd w:val="clear" w:color="auto" w:fill="auto"/>
            <w:noWrap/>
            <w:vAlign w:val="center"/>
          </w:tcPr>
          <w:p w14:paraId="627B3D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CF0900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3D2726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A2AD805" w14:textId="77777777" w:rsidTr="00A755A7">
        <w:tblPrEx>
          <w:jc w:val="left"/>
        </w:tblPrEx>
        <w:trPr>
          <w:trHeight w:val="20"/>
        </w:trPr>
        <w:tc>
          <w:tcPr>
            <w:tcW w:w="700" w:type="dxa"/>
            <w:shd w:val="clear" w:color="auto" w:fill="auto"/>
            <w:noWrap/>
            <w:vAlign w:val="center"/>
            <w:hideMark/>
          </w:tcPr>
          <w:p w14:paraId="2F76EC3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54300</w:t>
            </w:r>
          </w:p>
        </w:tc>
        <w:tc>
          <w:tcPr>
            <w:tcW w:w="3973" w:type="dxa"/>
            <w:shd w:val="clear" w:color="auto" w:fill="auto"/>
            <w:vAlign w:val="center"/>
            <w:hideMark/>
          </w:tcPr>
          <w:p w14:paraId="0051CDE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Equipo aeroespacial.</w:t>
            </w:r>
          </w:p>
        </w:tc>
        <w:tc>
          <w:tcPr>
            <w:tcW w:w="1276" w:type="dxa"/>
            <w:shd w:val="clear" w:color="auto" w:fill="auto"/>
            <w:noWrap/>
            <w:vAlign w:val="center"/>
          </w:tcPr>
          <w:p w14:paraId="5D56014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77B9DC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C6141E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13EC45A" w14:textId="77777777" w:rsidTr="00A755A7">
        <w:tblPrEx>
          <w:jc w:val="left"/>
        </w:tblPrEx>
        <w:trPr>
          <w:trHeight w:val="20"/>
        </w:trPr>
        <w:tc>
          <w:tcPr>
            <w:tcW w:w="700" w:type="dxa"/>
            <w:shd w:val="clear" w:color="auto" w:fill="auto"/>
            <w:noWrap/>
            <w:vAlign w:val="center"/>
            <w:hideMark/>
          </w:tcPr>
          <w:p w14:paraId="08AE173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54400</w:t>
            </w:r>
          </w:p>
        </w:tc>
        <w:tc>
          <w:tcPr>
            <w:tcW w:w="3973" w:type="dxa"/>
            <w:shd w:val="clear" w:color="auto" w:fill="auto"/>
            <w:vAlign w:val="center"/>
            <w:hideMark/>
          </w:tcPr>
          <w:p w14:paraId="19BCE22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Equipo ferroviario.</w:t>
            </w:r>
          </w:p>
        </w:tc>
        <w:tc>
          <w:tcPr>
            <w:tcW w:w="1276" w:type="dxa"/>
            <w:shd w:val="clear" w:color="auto" w:fill="auto"/>
            <w:noWrap/>
            <w:vAlign w:val="center"/>
          </w:tcPr>
          <w:p w14:paraId="7E3C0DB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0E602E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309924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738DA2E" w14:textId="77777777" w:rsidTr="00A755A7">
        <w:tblPrEx>
          <w:jc w:val="left"/>
        </w:tblPrEx>
        <w:trPr>
          <w:trHeight w:val="20"/>
        </w:trPr>
        <w:tc>
          <w:tcPr>
            <w:tcW w:w="700" w:type="dxa"/>
            <w:shd w:val="clear" w:color="auto" w:fill="auto"/>
            <w:noWrap/>
            <w:vAlign w:val="center"/>
            <w:hideMark/>
          </w:tcPr>
          <w:p w14:paraId="6FFFA10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54500</w:t>
            </w:r>
          </w:p>
        </w:tc>
        <w:tc>
          <w:tcPr>
            <w:tcW w:w="3973" w:type="dxa"/>
            <w:shd w:val="clear" w:color="auto" w:fill="auto"/>
            <w:vAlign w:val="center"/>
            <w:hideMark/>
          </w:tcPr>
          <w:p w14:paraId="3CD0D4A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Embarcaciones.</w:t>
            </w:r>
          </w:p>
        </w:tc>
        <w:tc>
          <w:tcPr>
            <w:tcW w:w="1276" w:type="dxa"/>
            <w:shd w:val="clear" w:color="auto" w:fill="auto"/>
            <w:noWrap/>
            <w:vAlign w:val="center"/>
          </w:tcPr>
          <w:p w14:paraId="327A8EC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2C4B4D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F5ABE0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2A95849" w14:textId="77777777" w:rsidTr="00A755A7">
        <w:tblPrEx>
          <w:jc w:val="left"/>
        </w:tblPrEx>
        <w:trPr>
          <w:trHeight w:val="20"/>
        </w:trPr>
        <w:tc>
          <w:tcPr>
            <w:tcW w:w="700" w:type="dxa"/>
            <w:shd w:val="clear" w:color="auto" w:fill="auto"/>
            <w:noWrap/>
            <w:vAlign w:val="center"/>
            <w:hideMark/>
          </w:tcPr>
          <w:p w14:paraId="2B16BCB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54900</w:t>
            </w:r>
          </w:p>
        </w:tc>
        <w:tc>
          <w:tcPr>
            <w:tcW w:w="3973" w:type="dxa"/>
            <w:shd w:val="clear" w:color="auto" w:fill="auto"/>
            <w:vAlign w:val="center"/>
            <w:hideMark/>
          </w:tcPr>
          <w:p w14:paraId="2251FC6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equipos de transporte.</w:t>
            </w:r>
          </w:p>
        </w:tc>
        <w:tc>
          <w:tcPr>
            <w:tcW w:w="1276" w:type="dxa"/>
            <w:shd w:val="clear" w:color="auto" w:fill="auto"/>
            <w:noWrap/>
            <w:vAlign w:val="center"/>
          </w:tcPr>
          <w:p w14:paraId="3E4C483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F7C4A0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E31417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600D912" w14:textId="77777777" w:rsidTr="00A755A7">
        <w:tblPrEx>
          <w:jc w:val="left"/>
        </w:tblPrEx>
        <w:trPr>
          <w:trHeight w:val="20"/>
        </w:trPr>
        <w:tc>
          <w:tcPr>
            <w:tcW w:w="700" w:type="dxa"/>
            <w:shd w:val="clear" w:color="auto" w:fill="auto"/>
            <w:noWrap/>
            <w:vAlign w:val="center"/>
            <w:hideMark/>
          </w:tcPr>
          <w:p w14:paraId="25ACAB22"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55000</w:t>
            </w:r>
          </w:p>
        </w:tc>
        <w:tc>
          <w:tcPr>
            <w:tcW w:w="3973" w:type="dxa"/>
            <w:shd w:val="clear" w:color="auto" w:fill="auto"/>
            <w:vAlign w:val="center"/>
            <w:hideMark/>
          </w:tcPr>
          <w:p w14:paraId="6C2DFD2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EQUIPO DE DEFENSA Y SEGURIDAD.</w:t>
            </w:r>
          </w:p>
        </w:tc>
        <w:tc>
          <w:tcPr>
            <w:tcW w:w="1276" w:type="dxa"/>
            <w:shd w:val="clear" w:color="auto" w:fill="auto"/>
            <w:noWrap/>
            <w:vAlign w:val="center"/>
          </w:tcPr>
          <w:p w14:paraId="3B56D90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92,063 </w:t>
            </w:r>
          </w:p>
        </w:tc>
        <w:tc>
          <w:tcPr>
            <w:tcW w:w="1276" w:type="dxa"/>
            <w:shd w:val="clear" w:color="auto" w:fill="auto"/>
            <w:noWrap/>
            <w:vAlign w:val="center"/>
          </w:tcPr>
          <w:p w14:paraId="0DCFC89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7750134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92,063 </w:t>
            </w:r>
          </w:p>
        </w:tc>
      </w:tr>
      <w:tr w:rsidR="00D868AB" w:rsidRPr="00D868AB" w14:paraId="30272F00" w14:textId="77777777" w:rsidTr="00A755A7">
        <w:tblPrEx>
          <w:jc w:val="left"/>
        </w:tblPrEx>
        <w:trPr>
          <w:trHeight w:val="20"/>
        </w:trPr>
        <w:tc>
          <w:tcPr>
            <w:tcW w:w="700" w:type="dxa"/>
            <w:shd w:val="clear" w:color="auto" w:fill="auto"/>
            <w:noWrap/>
            <w:vAlign w:val="center"/>
            <w:hideMark/>
          </w:tcPr>
          <w:p w14:paraId="7994639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55100</w:t>
            </w:r>
          </w:p>
        </w:tc>
        <w:tc>
          <w:tcPr>
            <w:tcW w:w="3973" w:type="dxa"/>
            <w:shd w:val="clear" w:color="auto" w:fill="auto"/>
            <w:vAlign w:val="center"/>
            <w:hideMark/>
          </w:tcPr>
          <w:p w14:paraId="4CBED40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Equipo de defensa y seguridad.</w:t>
            </w:r>
          </w:p>
        </w:tc>
        <w:tc>
          <w:tcPr>
            <w:tcW w:w="1276" w:type="dxa"/>
            <w:shd w:val="clear" w:color="auto" w:fill="auto"/>
            <w:noWrap/>
            <w:vAlign w:val="center"/>
          </w:tcPr>
          <w:p w14:paraId="4FD907C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92,063 </w:t>
            </w:r>
          </w:p>
        </w:tc>
        <w:tc>
          <w:tcPr>
            <w:tcW w:w="1276" w:type="dxa"/>
            <w:shd w:val="clear" w:color="auto" w:fill="auto"/>
            <w:noWrap/>
            <w:vAlign w:val="center"/>
          </w:tcPr>
          <w:p w14:paraId="540B509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11F12F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92,063 </w:t>
            </w:r>
          </w:p>
        </w:tc>
      </w:tr>
      <w:tr w:rsidR="00D868AB" w:rsidRPr="00D868AB" w14:paraId="0C7A10E4" w14:textId="77777777" w:rsidTr="00A755A7">
        <w:tblPrEx>
          <w:jc w:val="left"/>
        </w:tblPrEx>
        <w:trPr>
          <w:trHeight w:val="20"/>
        </w:trPr>
        <w:tc>
          <w:tcPr>
            <w:tcW w:w="700" w:type="dxa"/>
            <w:shd w:val="clear" w:color="auto" w:fill="auto"/>
            <w:noWrap/>
            <w:vAlign w:val="center"/>
            <w:hideMark/>
          </w:tcPr>
          <w:p w14:paraId="6A42DF5A"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56000</w:t>
            </w:r>
          </w:p>
        </w:tc>
        <w:tc>
          <w:tcPr>
            <w:tcW w:w="3973" w:type="dxa"/>
            <w:shd w:val="clear" w:color="auto" w:fill="auto"/>
            <w:vAlign w:val="center"/>
            <w:hideMark/>
          </w:tcPr>
          <w:p w14:paraId="227F5D0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MAQUINARIA, OTROS EQUIPOS Y HERRAMIENTAS.</w:t>
            </w:r>
          </w:p>
        </w:tc>
        <w:tc>
          <w:tcPr>
            <w:tcW w:w="1276" w:type="dxa"/>
            <w:shd w:val="clear" w:color="auto" w:fill="auto"/>
            <w:noWrap/>
            <w:vAlign w:val="center"/>
          </w:tcPr>
          <w:p w14:paraId="0B21C85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18,262,100 </w:t>
            </w:r>
          </w:p>
        </w:tc>
        <w:tc>
          <w:tcPr>
            <w:tcW w:w="1276" w:type="dxa"/>
            <w:shd w:val="clear" w:color="auto" w:fill="auto"/>
            <w:noWrap/>
            <w:vAlign w:val="center"/>
          </w:tcPr>
          <w:p w14:paraId="2A106F4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538ABCC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18,262,100 </w:t>
            </w:r>
          </w:p>
        </w:tc>
      </w:tr>
      <w:tr w:rsidR="00D868AB" w:rsidRPr="00D868AB" w14:paraId="2FA7260F" w14:textId="77777777" w:rsidTr="00A755A7">
        <w:tblPrEx>
          <w:jc w:val="left"/>
        </w:tblPrEx>
        <w:trPr>
          <w:trHeight w:val="20"/>
        </w:trPr>
        <w:tc>
          <w:tcPr>
            <w:tcW w:w="700" w:type="dxa"/>
            <w:shd w:val="clear" w:color="auto" w:fill="auto"/>
            <w:noWrap/>
            <w:vAlign w:val="center"/>
            <w:hideMark/>
          </w:tcPr>
          <w:p w14:paraId="41E6BD7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56100</w:t>
            </w:r>
          </w:p>
        </w:tc>
        <w:tc>
          <w:tcPr>
            <w:tcW w:w="3973" w:type="dxa"/>
            <w:shd w:val="clear" w:color="auto" w:fill="auto"/>
            <w:vAlign w:val="center"/>
            <w:hideMark/>
          </w:tcPr>
          <w:p w14:paraId="4BFE5DE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Maquinaria y equipo agropecuario.</w:t>
            </w:r>
          </w:p>
        </w:tc>
        <w:tc>
          <w:tcPr>
            <w:tcW w:w="1276" w:type="dxa"/>
            <w:shd w:val="clear" w:color="auto" w:fill="auto"/>
            <w:noWrap/>
            <w:vAlign w:val="center"/>
          </w:tcPr>
          <w:p w14:paraId="78648C0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45CDC1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973EF1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D0CF28F" w14:textId="77777777" w:rsidTr="00A755A7">
        <w:tblPrEx>
          <w:jc w:val="left"/>
        </w:tblPrEx>
        <w:trPr>
          <w:trHeight w:val="20"/>
        </w:trPr>
        <w:tc>
          <w:tcPr>
            <w:tcW w:w="700" w:type="dxa"/>
            <w:shd w:val="clear" w:color="auto" w:fill="auto"/>
            <w:noWrap/>
            <w:vAlign w:val="center"/>
            <w:hideMark/>
          </w:tcPr>
          <w:p w14:paraId="3A6BE0D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56200</w:t>
            </w:r>
          </w:p>
        </w:tc>
        <w:tc>
          <w:tcPr>
            <w:tcW w:w="3973" w:type="dxa"/>
            <w:shd w:val="clear" w:color="auto" w:fill="auto"/>
            <w:vAlign w:val="center"/>
            <w:hideMark/>
          </w:tcPr>
          <w:p w14:paraId="579D9EA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Maquinaria y equipo industrial.</w:t>
            </w:r>
          </w:p>
        </w:tc>
        <w:tc>
          <w:tcPr>
            <w:tcW w:w="1276" w:type="dxa"/>
            <w:shd w:val="clear" w:color="auto" w:fill="auto"/>
            <w:noWrap/>
            <w:vAlign w:val="center"/>
          </w:tcPr>
          <w:p w14:paraId="54DD356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5559E9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0B28E6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5EF0538" w14:textId="77777777" w:rsidTr="00A755A7">
        <w:tblPrEx>
          <w:jc w:val="left"/>
        </w:tblPrEx>
        <w:trPr>
          <w:trHeight w:val="20"/>
        </w:trPr>
        <w:tc>
          <w:tcPr>
            <w:tcW w:w="700" w:type="dxa"/>
            <w:shd w:val="clear" w:color="auto" w:fill="auto"/>
            <w:noWrap/>
            <w:vAlign w:val="center"/>
            <w:hideMark/>
          </w:tcPr>
          <w:p w14:paraId="54C2313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56300</w:t>
            </w:r>
          </w:p>
        </w:tc>
        <w:tc>
          <w:tcPr>
            <w:tcW w:w="3973" w:type="dxa"/>
            <w:shd w:val="clear" w:color="auto" w:fill="auto"/>
            <w:vAlign w:val="center"/>
            <w:hideMark/>
          </w:tcPr>
          <w:p w14:paraId="38E5F08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Maquinaria y equipo de construcción.</w:t>
            </w:r>
          </w:p>
        </w:tc>
        <w:tc>
          <w:tcPr>
            <w:tcW w:w="1276" w:type="dxa"/>
            <w:shd w:val="clear" w:color="auto" w:fill="auto"/>
            <w:noWrap/>
            <w:vAlign w:val="center"/>
          </w:tcPr>
          <w:p w14:paraId="684A439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40ECC3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6BC6EA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AA55B27" w14:textId="77777777" w:rsidTr="00A755A7">
        <w:tblPrEx>
          <w:jc w:val="left"/>
        </w:tblPrEx>
        <w:trPr>
          <w:trHeight w:val="20"/>
        </w:trPr>
        <w:tc>
          <w:tcPr>
            <w:tcW w:w="700" w:type="dxa"/>
            <w:shd w:val="clear" w:color="auto" w:fill="auto"/>
            <w:noWrap/>
            <w:vAlign w:val="center"/>
            <w:hideMark/>
          </w:tcPr>
          <w:p w14:paraId="7DA8006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56400</w:t>
            </w:r>
          </w:p>
        </w:tc>
        <w:tc>
          <w:tcPr>
            <w:tcW w:w="3973" w:type="dxa"/>
            <w:shd w:val="clear" w:color="auto" w:fill="auto"/>
            <w:vAlign w:val="center"/>
            <w:hideMark/>
          </w:tcPr>
          <w:p w14:paraId="3125093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Sistemas de aire acondicionado, calefacción y de refrigeración industrial y comercial.</w:t>
            </w:r>
          </w:p>
        </w:tc>
        <w:tc>
          <w:tcPr>
            <w:tcW w:w="1276" w:type="dxa"/>
            <w:shd w:val="clear" w:color="auto" w:fill="auto"/>
            <w:noWrap/>
            <w:vAlign w:val="center"/>
          </w:tcPr>
          <w:p w14:paraId="74DFAF6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790,000 </w:t>
            </w:r>
          </w:p>
        </w:tc>
        <w:tc>
          <w:tcPr>
            <w:tcW w:w="1276" w:type="dxa"/>
            <w:shd w:val="clear" w:color="auto" w:fill="auto"/>
            <w:noWrap/>
            <w:vAlign w:val="center"/>
          </w:tcPr>
          <w:p w14:paraId="4458677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E854B4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790,000 </w:t>
            </w:r>
          </w:p>
        </w:tc>
      </w:tr>
      <w:tr w:rsidR="00D868AB" w:rsidRPr="00D868AB" w14:paraId="17014ADD" w14:textId="77777777" w:rsidTr="00A755A7">
        <w:tblPrEx>
          <w:jc w:val="left"/>
        </w:tblPrEx>
        <w:trPr>
          <w:trHeight w:val="20"/>
        </w:trPr>
        <w:tc>
          <w:tcPr>
            <w:tcW w:w="700" w:type="dxa"/>
            <w:shd w:val="clear" w:color="auto" w:fill="auto"/>
            <w:noWrap/>
            <w:vAlign w:val="center"/>
            <w:hideMark/>
          </w:tcPr>
          <w:p w14:paraId="24A6ACC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56500</w:t>
            </w:r>
          </w:p>
        </w:tc>
        <w:tc>
          <w:tcPr>
            <w:tcW w:w="3973" w:type="dxa"/>
            <w:shd w:val="clear" w:color="auto" w:fill="auto"/>
            <w:vAlign w:val="center"/>
            <w:hideMark/>
          </w:tcPr>
          <w:p w14:paraId="293F1E5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Equipo de comunicación y telecomunicación.</w:t>
            </w:r>
          </w:p>
        </w:tc>
        <w:tc>
          <w:tcPr>
            <w:tcW w:w="1276" w:type="dxa"/>
            <w:shd w:val="clear" w:color="auto" w:fill="auto"/>
            <w:noWrap/>
            <w:vAlign w:val="center"/>
          </w:tcPr>
          <w:p w14:paraId="757AE2F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15,665,300 </w:t>
            </w:r>
          </w:p>
        </w:tc>
        <w:tc>
          <w:tcPr>
            <w:tcW w:w="1276" w:type="dxa"/>
            <w:shd w:val="clear" w:color="auto" w:fill="auto"/>
            <w:noWrap/>
            <w:vAlign w:val="center"/>
          </w:tcPr>
          <w:p w14:paraId="0661F9E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7BC89D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15,665,300 </w:t>
            </w:r>
          </w:p>
        </w:tc>
      </w:tr>
      <w:tr w:rsidR="00D868AB" w:rsidRPr="00D868AB" w14:paraId="76A041CE" w14:textId="77777777" w:rsidTr="00A755A7">
        <w:tblPrEx>
          <w:jc w:val="left"/>
        </w:tblPrEx>
        <w:trPr>
          <w:trHeight w:val="20"/>
        </w:trPr>
        <w:tc>
          <w:tcPr>
            <w:tcW w:w="700" w:type="dxa"/>
            <w:shd w:val="clear" w:color="auto" w:fill="auto"/>
            <w:noWrap/>
            <w:vAlign w:val="center"/>
            <w:hideMark/>
          </w:tcPr>
          <w:p w14:paraId="27A1ABA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56600</w:t>
            </w:r>
          </w:p>
        </w:tc>
        <w:tc>
          <w:tcPr>
            <w:tcW w:w="3973" w:type="dxa"/>
            <w:shd w:val="clear" w:color="auto" w:fill="auto"/>
            <w:vAlign w:val="center"/>
            <w:hideMark/>
          </w:tcPr>
          <w:p w14:paraId="00439F7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Equipos de generación eléctrica, aparatos y accesorios eléctricos.</w:t>
            </w:r>
          </w:p>
        </w:tc>
        <w:tc>
          <w:tcPr>
            <w:tcW w:w="1276" w:type="dxa"/>
            <w:shd w:val="clear" w:color="auto" w:fill="auto"/>
            <w:noWrap/>
            <w:vAlign w:val="center"/>
          </w:tcPr>
          <w:p w14:paraId="3D49FBC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1,636,800 </w:t>
            </w:r>
          </w:p>
        </w:tc>
        <w:tc>
          <w:tcPr>
            <w:tcW w:w="1276" w:type="dxa"/>
            <w:shd w:val="clear" w:color="auto" w:fill="auto"/>
            <w:noWrap/>
            <w:vAlign w:val="center"/>
          </w:tcPr>
          <w:p w14:paraId="5A4D408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0B0B8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1,636,800 </w:t>
            </w:r>
          </w:p>
        </w:tc>
      </w:tr>
      <w:tr w:rsidR="00D868AB" w:rsidRPr="00D868AB" w14:paraId="65070BF7" w14:textId="77777777" w:rsidTr="00A755A7">
        <w:tblPrEx>
          <w:jc w:val="left"/>
        </w:tblPrEx>
        <w:trPr>
          <w:trHeight w:val="20"/>
        </w:trPr>
        <w:tc>
          <w:tcPr>
            <w:tcW w:w="700" w:type="dxa"/>
            <w:shd w:val="clear" w:color="auto" w:fill="auto"/>
            <w:noWrap/>
            <w:vAlign w:val="center"/>
            <w:hideMark/>
          </w:tcPr>
          <w:p w14:paraId="7D09609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56700</w:t>
            </w:r>
          </w:p>
        </w:tc>
        <w:tc>
          <w:tcPr>
            <w:tcW w:w="3973" w:type="dxa"/>
            <w:shd w:val="clear" w:color="auto" w:fill="auto"/>
            <w:vAlign w:val="center"/>
            <w:hideMark/>
          </w:tcPr>
          <w:p w14:paraId="6BCC4CB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Herramientas y máquinas-herramienta.</w:t>
            </w:r>
          </w:p>
        </w:tc>
        <w:tc>
          <w:tcPr>
            <w:tcW w:w="1276" w:type="dxa"/>
            <w:shd w:val="clear" w:color="auto" w:fill="auto"/>
            <w:noWrap/>
            <w:vAlign w:val="center"/>
          </w:tcPr>
          <w:p w14:paraId="17A7CEB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70,000 </w:t>
            </w:r>
          </w:p>
        </w:tc>
        <w:tc>
          <w:tcPr>
            <w:tcW w:w="1276" w:type="dxa"/>
            <w:shd w:val="clear" w:color="auto" w:fill="auto"/>
            <w:noWrap/>
            <w:vAlign w:val="center"/>
          </w:tcPr>
          <w:p w14:paraId="1BB1176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3DC49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70,000 </w:t>
            </w:r>
          </w:p>
        </w:tc>
      </w:tr>
      <w:tr w:rsidR="00D868AB" w:rsidRPr="00D868AB" w14:paraId="504E6ADC" w14:textId="77777777" w:rsidTr="00A755A7">
        <w:tblPrEx>
          <w:jc w:val="left"/>
        </w:tblPrEx>
        <w:trPr>
          <w:trHeight w:val="20"/>
        </w:trPr>
        <w:tc>
          <w:tcPr>
            <w:tcW w:w="700" w:type="dxa"/>
            <w:shd w:val="clear" w:color="auto" w:fill="auto"/>
            <w:noWrap/>
            <w:vAlign w:val="center"/>
            <w:hideMark/>
          </w:tcPr>
          <w:p w14:paraId="5A62F73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56900</w:t>
            </w:r>
          </w:p>
        </w:tc>
        <w:tc>
          <w:tcPr>
            <w:tcW w:w="3973" w:type="dxa"/>
            <w:shd w:val="clear" w:color="auto" w:fill="auto"/>
            <w:vAlign w:val="center"/>
            <w:hideMark/>
          </w:tcPr>
          <w:p w14:paraId="21B3F0A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equipos.</w:t>
            </w:r>
          </w:p>
        </w:tc>
        <w:tc>
          <w:tcPr>
            <w:tcW w:w="1276" w:type="dxa"/>
            <w:shd w:val="clear" w:color="auto" w:fill="auto"/>
            <w:noWrap/>
            <w:vAlign w:val="center"/>
          </w:tcPr>
          <w:p w14:paraId="0F24C69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100,000 </w:t>
            </w:r>
          </w:p>
        </w:tc>
        <w:tc>
          <w:tcPr>
            <w:tcW w:w="1276" w:type="dxa"/>
            <w:shd w:val="clear" w:color="auto" w:fill="auto"/>
            <w:noWrap/>
            <w:vAlign w:val="center"/>
          </w:tcPr>
          <w:p w14:paraId="10E322A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4B49F4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100,000 </w:t>
            </w:r>
          </w:p>
        </w:tc>
      </w:tr>
      <w:tr w:rsidR="00D868AB" w:rsidRPr="00D868AB" w14:paraId="7D61A59D" w14:textId="77777777" w:rsidTr="00A755A7">
        <w:tblPrEx>
          <w:jc w:val="left"/>
        </w:tblPrEx>
        <w:trPr>
          <w:trHeight w:val="20"/>
        </w:trPr>
        <w:tc>
          <w:tcPr>
            <w:tcW w:w="700" w:type="dxa"/>
            <w:shd w:val="clear" w:color="auto" w:fill="auto"/>
            <w:noWrap/>
            <w:vAlign w:val="center"/>
            <w:hideMark/>
          </w:tcPr>
          <w:p w14:paraId="6B6669A3"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57000</w:t>
            </w:r>
          </w:p>
        </w:tc>
        <w:tc>
          <w:tcPr>
            <w:tcW w:w="3973" w:type="dxa"/>
            <w:shd w:val="clear" w:color="auto" w:fill="auto"/>
            <w:vAlign w:val="center"/>
            <w:hideMark/>
          </w:tcPr>
          <w:p w14:paraId="52EF8BB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ACTIVOS BIO LÓGICOS.</w:t>
            </w:r>
          </w:p>
        </w:tc>
        <w:tc>
          <w:tcPr>
            <w:tcW w:w="1276" w:type="dxa"/>
            <w:shd w:val="clear" w:color="auto" w:fill="auto"/>
            <w:noWrap/>
            <w:vAlign w:val="center"/>
          </w:tcPr>
          <w:p w14:paraId="4AD1103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5167715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0874A16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62E8687F" w14:textId="77777777" w:rsidTr="00A755A7">
        <w:tblPrEx>
          <w:jc w:val="left"/>
        </w:tblPrEx>
        <w:trPr>
          <w:trHeight w:val="20"/>
        </w:trPr>
        <w:tc>
          <w:tcPr>
            <w:tcW w:w="700" w:type="dxa"/>
            <w:shd w:val="clear" w:color="auto" w:fill="auto"/>
            <w:noWrap/>
            <w:vAlign w:val="center"/>
            <w:hideMark/>
          </w:tcPr>
          <w:p w14:paraId="261B822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57100</w:t>
            </w:r>
          </w:p>
        </w:tc>
        <w:tc>
          <w:tcPr>
            <w:tcW w:w="3973" w:type="dxa"/>
            <w:shd w:val="clear" w:color="auto" w:fill="auto"/>
            <w:vAlign w:val="center"/>
            <w:hideMark/>
          </w:tcPr>
          <w:p w14:paraId="085BFCD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Bovinos.</w:t>
            </w:r>
          </w:p>
        </w:tc>
        <w:tc>
          <w:tcPr>
            <w:tcW w:w="1276" w:type="dxa"/>
            <w:shd w:val="clear" w:color="auto" w:fill="auto"/>
            <w:noWrap/>
            <w:vAlign w:val="center"/>
          </w:tcPr>
          <w:p w14:paraId="4BFF773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28D017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67D606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5B8320D" w14:textId="77777777" w:rsidTr="00A755A7">
        <w:tblPrEx>
          <w:jc w:val="left"/>
        </w:tblPrEx>
        <w:trPr>
          <w:trHeight w:val="20"/>
        </w:trPr>
        <w:tc>
          <w:tcPr>
            <w:tcW w:w="700" w:type="dxa"/>
            <w:shd w:val="clear" w:color="auto" w:fill="auto"/>
            <w:noWrap/>
            <w:vAlign w:val="center"/>
            <w:hideMark/>
          </w:tcPr>
          <w:p w14:paraId="08FDAD8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57200</w:t>
            </w:r>
          </w:p>
        </w:tc>
        <w:tc>
          <w:tcPr>
            <w:tcW w:w="3973" w:type="dxa"/>
            <w:shd w:val="clear" w:color="auto" w:fill="auto"/>
            <w:vAlign w:val="center"/>
            <w:hideMark/>
          </w:tcPr>
          <w:p w14:paraId="06F5C76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Porcinos.</w:t>
            </w:r>
          </w:p>
        </w:tc>
        <w:tc>
          <w:tcPr>
            <w:tcW w:w="1276" w:type="dxa"/>
            <w:shd w:val="clear" w:color="auto" w:fill="auto"/>
            <w:noWrap/>
            <w:vAlign w:val="center"/>
          </w:tcPr>
          <w:p w14:paraId="1DF0050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BFD970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A97342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DA6E045" w14:textId="77777777" w:rsidTr="00A755A7">
        <w:tblPrEx>
          <w:jc w:val="left"/>
        </w:tblPrEx>
        <w:trPr>
          <w:trHeight w:val="20"/>
        </w:trPr>
        <w:tc>
          <w:tcPr>
            <w:tcW w:w="700" w:type="dxa"/>
            <w:shd w:val="clear" w:color="auto" w:fill="auto"/>
            <w:noWrap/>
            <w:vAlign w:val="center"/>
            <w:hideMark/>
          </w:tcPr>
          <w:p w14:paraId="466508E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57300</w:t>
            </w:r>
          </w:p>
        </w:tc>
        <w:tc>
          <w:tcPr>
            <w:tcW w:w="3973" w:type="dxa"/>
            <w:shd w:val="clear" w:color="auto" w:fill="auto"/>
            <w:vAlign w:val="center"/>
            <w:hideMark/>
          </w:tcPr>
          <w:p w14:paraId="2D14044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Aves.</w:t>
            </w:r>
          </w:p>
        </w:tc>
        <w:tc>
          <w:tcPr>
            <w:tcW w:w="1276" w:type="dxa"/>
            <w:shd w:val="clear" w:color="auto" w:fill="auto"/>
            <w:noWrap/>
            <w:vAlign w:val="center"/>
          </w:tcPr>
          <w:p w14:paraId="73F5CB2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77F4E1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9E3A7B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4784FB5" w14:textId="77777777" w:rsidTr="00A755A7">
        <w:tblPrEx>
          <w:jc w:val="left"/>
        </w:tblPrEx>
        <w:trPr>
          <w:trHeight w:val="20"/>
        </w:trPr>
        <w:tc>
          <w:tcPr>
            <w:tcW w:w="700" w:type="dxa"/>
            <w:shd w:val="clear" w:color="auto" w:fill="auto"/>
            <w:noWrap/>
            <w:vAlign w:val="center"/>
            <w:hideMark/>
          </w:tcPr>
          <w:p w14:paraId="25F66C0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57400</w:t>
            </w:r>
          </w:p>
        </w:tc>
        <w:tc>
          <w:tcPr>
            <w:tcW w:w="3973" w:type="dxa"/>
            <w:shd w:val="clear" w:color="auto" w:fill="auto"/>
            <w:vAlign w:val="center"/>
            <w:hideMark/>
          </w:tcPr>
          <w:p w14:paraId="799BA59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Ovinos y caprinos.</w:t>
            </w:r>
          </w:p>
        </w:tc>
        <w:tc>
          <w:tcPr>
            <w:tcW w:w="1276" w:type="dxa"/>
            <w:shd w:val="clear" w:color="auto" w:fill="auto"/>
            <w:noWrap/>
            <w:vAlign w:val="center"/>
          </w:tcPr>
          <w:p w14:paraId="632C18D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DC12C7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6D2EA6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FAA1A96" w14:textId="77777777" w:rsidTr="00A755A7">
        <w:tblPrEx>
          <w:jc w:val="left"/>
        </w:tblPrEx>
        <w:trPr>
          <w:trHeight w:val="20"/>
        </w:trPr>
        <w:tc>
          <w:tcPr>
            <w:tcW w:w="700" w:type="dxa"/>
            <w:shd w:val="clear" w:color="auto" w:fill="auto"/>
            <w:noWrap/>
            <w:vAlign w:val="center"/>
            <w:hideMark/>
          </w:tcPr>
          <w:p w14:paraId="5696B31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57500</w:t>
            </w:r>
          </w:p>
        </w:tc>
        <w:tc>
          <w:tcPr>
            <w:tcW w:w="3973" w:type="dxa"/>
            <w:shd w:val="clear" w:color="auto" w:fill="auto"/>
            <w:vAlign w:val="center"/>
            <w:hideMark/>
          </w:tcPr>
          <w:p w14:paraId="6E6229A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Peces y acuicultura.</w:t>
            </w:r>
          </w:p>
        </w:tc>
        <w:tc>
          <w:tcPr>
            <w:tcW w:w="1276" w:type="dxa"/>
            <w:shd w:val="clear" w:color="auto" w:fill="auto"/>
            <w:noWrap/>
            <w:vAlign w:val="center"/>
          </w:tcPr>
          <w:p w14:paraId="46E444B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E2C9C3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0718FE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843EFEB" w14:textId="77777777" w:rsidTr="00A755A7">
        <w:tblPrEx>
          <w:jc w:val="left"/>
        </w:tblPrEx>
        <w:trPr>
          <w:trHeight w:val="20"/>
        </w:trPr>
        <w:tc>
          <w:tcPr>
            <w:tcW w:w="700" w:type="dxa"/>
            <w:shd w:val="clear" w:color="auto" w:fill="auto"/>
            <w:noWrap/>
            <w:vAlign w:val="center"/>
            <w:hideMark/>
          </w:tcPr>
          <w:p w14:paraId="2BCAB08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57600</w:t>
            </w:r>
          </w:p>
        </w:tc>
        <w:tc>
          <w:tcPr>
            <w:tcW w:w="3973" w:type="dxa"/>
            <w:shd w:val="clear" w:color="auto" w:fill="auto"/>
            <w:vAlign w:val="center"/>
            <w:hideMark/>
          </w:tcPr>
          <w:p w14:paraId="19E3023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Equinos.</w:t>
            </w:r>
          </w:p>
        </w:tc>
        <w:tc>
          <w:tcPr>
            <w:tcW w:w="1276" w:type="dxa"/>
            <w:shd w:val="clear" w:color="auto" w:fill="auto"/>
            <w:noWrap/>
            <w:vAlign w:val="center"/>
          </w:tcPr>
          <w:p w14:paraId="34D7A8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065584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AF79CB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95A4D4F" w14:textId="77777777" w:rsidTr="00A755A7">
        <w:tblPrEx>
          <w:jc w:val="left"/>
        </w:tblPrEx>
        <w:trPr>
          <w:trHeight w:val="20"/>
        </w:trPr>
        <w:tc>
          <w:tcPr>
            <w:tcW w:w="700" w:type="dxa"/>
            <w:shd w:val="clear" w:color="auto" w:fill="auto"/>
            <w:noWrap/>
            <w:vAlign w:val="center"/>
            <w:hideMark/>
          </w:tcPr>
          <w:p w14:paraId="1158099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57700</w:t>
            </w:r>
          </w:p>
        </w:tc>
        <w:tc>
          <w:tcPr>
            <w:tcW w:w="3973" w:type="dxa"/>
            <w:shd w:val="clear" w:color="auto" w:fill="auto"/>
            <w:vAlign w:val="center"/>
            <w:hideMark/>
          </w:tcPr>
          <w:p w14:paraId="79751CC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Especies menores y de zoológico.</w:t>
            </w:r>
          </w:p>
        </w:tc>
        <w:tc>
          <w:tcPr>
            <w:tcW w:w="1276" w:type="dxa"/>
            <w:shd w:val="clear" w:color="auto" w:fill="auto"/>
            <w:noWrap/>
            <w:vAlign w:val="center"/>
          </w:tcPr>
          <w:p w14:paraId="1CDD00B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57135D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32B25E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AD68642" w14:textId="77777777" w:rsidTr="00A755A7">
        <w:tblPrEx>
          <w:jc w:val="left"/>
        </w:tblPrEx>
        <w:trPr>
          <w:trHeight w:val="20"/>
        </w:trPr>
        <w:tc>
          <w:tcPr>
            <w:tcW w:w="700" w:type="dxa"/>
            <w:shd w:val="clear" w:color="auto" w:fill="auto"/>
            <w:noWrap/>
            <w:vAlign w:val="center"/>
            <w:hideMark/>
          </w:tcPr>
          <w:p w14:paraId="4854BE9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57800</w:t>
            </w:r>
          </w:p>
        </w:tc>
        <w:tc>
          <w:tcPr>
            <w:tcW w:w="3973" w:type="dxa"/>
            <w:shd w:val="clear" w:color="auto" w:fill="auto"/>
            <w:vAlign w:val="center"/>
            <w:hideMark/>
          </w:tcPr>
          <w:p w14:paraId="7620A07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Árboles y plantas.</w:t>
            </w:r>
          </w:p>
        </w:tc>
        <w:tc>
          <w:tcPr>
            <w:tcW w:w="1276" w:type="dxa"/>
            <w:shd w:val="clear" w:color="auto" w:fill="auto"/>
            <w:noWrap/>
            <w:vAlign w:val="center"/>
          </w:tcPr>
          <w:p w14:paraId="5CB8C78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7CA646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A7B64C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F96400B" w14:textId="77777777" w:rsidTr="00A755A7">
        <w:tblPrEx>
          <w:jc w:val="left"/>
        </w:tblPrEx>
        <w:trPr>
          <w:trHeight w:val="20"/>
        </w:trPr>
        <w:tc>
          <w:tcPr>
            <w:tcW w:w="700" w:type="dxa"/>
            <w:shd w:val="clear" w:color="auto" w:fill="auto"/>
            <w:noWrap/>
            <w:vAlign w:val="center"/>
            <w:hideMark/>
          </w:tcPr>
          <w:p w14:paraId="32E9428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57900</w:t>
            </w:r>
          </w:p>
        </w:tc>
        <w:tc>
          <w:tcPr>
            <w:tcW w:w="3973" w:type="dxa"/>
            <w:shd w:val="clear" w:color="auto" w:fill="auto"/>
            <w:vAlign w:val="center"/>
            <w:hideMark/>
          </w:tcPr>
          <w:p w14:paraId="39AA29D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activos biológicos.</w:t>
            </w:r>
          </w:p>
        </w:tc>
        <w:tc>
          <w:tcPr>
            <w:tcW w:w="1276" w:type="dxa"/>
            <w:shd w:val="clear" w:color="auto" w:fill="auto"/>
            <w:noWrap/>
            <w:vAlign w:val="center"/>
          </w:tcPr>
          <w:p w14:paraId="5014973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0F9FEF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1B6DF0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47714B0" w14:textId="77777777" w:rsidTr="00A755A7">
        <w:tblPrEx>
          <w:jc w:val="left"/>
        </w:tblPrEx>
        <w:trPr>
          <w:trHeight w:val="20"/>
        </w:trPr>
        <w:tc>
          <w:tcPr>
            <w:tcW w:w="700" w:type="dxa"/>
            <w:shd w:val="clear" w:color="auto" w:fill="auto"/>
            <w:noWrap/>
            <w:vAlign w:val="center"/>
            <w:hideMark/>
          </w:tcPr>
          <w:p w14:paraId="7223CA8C"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58000</w:t>
            </w:r>
          </w:p>
        </w:tc>
        <w:tc>
          <w:tcPr>
            <w:tcW w:w="3973" w:type="dxa"/>
            <w:shd w:val="clear" w:color="auto" w:fill="auto"/>
            <w:vAlign w:val="center"/>
            <w:hideMark/>
          </w:tcPr>
          <w:p w14:paraId="621E5412"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BIENES INMUEBLES.</w:t>
            </w:r>
          </w:p>
        </w:tc>
        <w:tc>
          <w:tcPr>
            <w:tcW w:w="1276" w:type="dxa"/>
            <w:shd w:val="clear" w:color="auto" w:fill="auto"/>
            <w:noWrap/>
            <w:vAlign w:val="center"/>
          </w:tcPr>
          <w:p w14:paraId="408C101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5851AB6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502A5E7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62B7BA36" w14:textId="77777777" w:rsidTr="00A755A7">
        <w:tblPrEx>
          <w:jc w:val="left"/>
        </w:tblPrEx>
        <w:trPr>
          <w:trHeight w:val="20"/>
        </w:trPr>
        <w:tc>
          <w:tcPr>
            <w:tcW w:w="700" w:type="dxa"/>
            <w:shd w:val="clear" w:color="auto" w:fill="auto"/>
            <w:noWrap/>
            <w:vAlign w:val="center"/>
            <w:hideMark/>
          </w:tcPr>
          <w:p w14:paraId="6761576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58100</w:t>
            </w:r>
          </w:p>
        </w:tc>
        <w:tc>
          <w:tcPr>
            <w:tcW w:w="3973" w:type="dxa"/>
            <w:shd w:val="clear" w:color="auto" w:fill="auto"/>
            <w:vAlign w:val="center"/>
            <w:hideMark/>
          </w:tcPr>
          <w:p w14:paraId="1C634F2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Terrenos.</w:t>
            </w:r>
          </w:p>
        </w:tc>
        <w:tc>
          <w:tcPr>
            <w:tcW w:w="1276" w:type="dxa"/>
            <w:shd w:val="clear" w:color="auto" w:fill="auto"/>
            <w:noWrap/>
            <w:vAlign w:val="center"/>
          </w:tcPr>
          <w:p w14:paraId="28E1711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BBCC0A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338523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35B73D4" w14:textId="77777777" w:rsidTr="00A755A7">
        <w:tblPrEx>
          <w:jc w:val="left"/>
        </w:tblPrEx>
        <w:trPr>
          <w:trHeight w:val="20"/>
        </w:trPr>
        <w:tc>
          <w:tcPr>
            <w:tcW w:w="700" w:type="dxa"/>
            <w:shd w:val="clear" w:color="auto" w:fill="auto"/>
            <w:noWrap/>
            <w:vAlign w:val="center"/>
            <w:hideMark/>
          </w:tcPr>
          <w:p w14:paraId="3D6F917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58200</w:t>
            </w:r>
          </w:p>
        </w:tc>
        <w:tc>
          <w:tcPr>
            <w:tcW w:w="3973" w:type="dxa"/>
            <w:shd w:val="clear" w:color="auto" w:fill="auto"/>
            <w:vAlign w:val="center"/>
            <w:hideMark/>
          </w:tcPr>
          <w:p w14:paraId="7C2C78F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Viviendas.</w:t>
            </w:r>
          </w:p>
        </w:tc>
        <w:tc>
          <w:tcPr>
            <w:tcW w:w="1276" w:type="dxa"/>
            <w:shd w:val="clear" w:color="auto" w:fill="auto"/>
            <w:noWrap/>
            <w:vAlign w:val="center"/>
          </w:tcPr>
          <w:p w14:paraId="512A7E4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63BCAC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EE006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A565898" w14:textId="77777777" w:rsidTr="00A755A7">
        <w:tblPrEx>
          <w:jc w:val="left"/>
        </w:tblPrEx>
        <w:trPr>
          <w:trHeight w:val="20"/>
        </w:trPr>
        <w:tc>
          <w:tcPr>
            <w:tcW w:w="700" w:type="dxa"/>
            <w:shd w:val="clear" w:color="auto" w:fill="auto"/>
            <w:noWrap/>
            <w:vAlign w:val="center"/>
            <w:hideMark/>
          </w:tcPr>
          <w:p w14:paraId="36774B8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58300</w:t>
            </w:r>
          </w:p>
        </w:tc>
        <w:tc>
          <w:tcPr>
            <w:tcW w:w="3973" w:type="dxa"/>
            <w:shd w:val="clear" w:color="auto" w:fill="auto"/>
            <w:vAlign w:val="center"/>
            <w:hideMark/>
          </w:tcPr>
          <w:p w14:paraId="199A61A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Edificios no residenciales.</w:t>
            </w:r>
          </w:p>
        </w:tc>
        <w:tc>
          <w:tcPr>
            <w:tcW w:w="1276" w:type="dxa"/>
            <w:shd w:val="clear" w:color="auto" w:fill="auto"/>
            <w:noWrap/>
            <w:vAlign w:val="center"/>
          </w:tcPr>
          <w:p w14:paraId="52A0053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FF459B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C2248F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56CBE84" w14:textId="77777777" w:rsidTr="00A755A7">
        <w:tblPrEx>
          <w:jc w:val="left"/>
        </w:tblPrEx>
        <w:trPr>
          <w:trHeight w:val="20"/>
        </w:trPr>
        <w:tc>
          <w:tcPr>
            <w:tcW w:w="700" w:type="dxa"/>
            <w:shd w:val="clear" w:color="auto" w:fill="auto"/>
            <w:noWrap/>
            <w:vAlign w:val="center"/>
            <w:hideMark/>
          </w:tcPr>
          <w:p w14:paraId="2D91746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58900</w:t>
            </w:r>
          </w:p>
        </w:tc>
        <w:tc>
          <w:tcPr>
            <w:tcW w:w="3973" w:type="dxa"/>
            <w:shd w:val="clear" w:color="auto" w:fill="auto"/>
            <w:vAlign w:val="center"/>
            <w:hideMark/>
          </w:tcPr>
          <w:p w14:paraId="402C055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bienes inmuebles.</w:t>
            </w:r>
          </w:p>
        </w:tc>
        <w:tc>
          <w:tcPr>
            <w:tcW w:w="1276" w:type="dxa"/>
            <w:shd w:val="clear" w:color="auto" w:fill="auto"/>
            <w:noWrap/>
            <w:vAlign w:val="center"/>
          </w:tcPr>
          <w:p w14:paraId="73D6881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830BDB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0EBE99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899F80B" w14:textId="77777777" w:rsidTr="00A755A7">
        <w:tblPrEx>
          <w:jc w:val="left"/>
        </w:tblPrEx>
        <w:trPr>
          <w:trHeight w:val="20"/>
        </w:trPr>
        <w:tc>
          <w:tcPr>
            <w:tcW w:w="700" w:type="dxa"/>
            <w:shd w:val="clear" w:color="auto" w:fill="auto"/>
            <w:noWrap/>
            <w:vAlign w:val="center"/>
            <w:hideMark/>
          </w:tcPr>
          <w:p w14:paraId="37D58913"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59000</w:t>
            </w:r>
          </w:p>
        </w:tc>
        <w:tc>
          <w:tcPr>
            <w:tcW w:w="3973" w:type="dxa"/>
            <w:shd w:val="clear" w:color="auto" w:fill="auto"/>
            <w:vAlign w:val="center"/>
            <w:hideMark/>
          </w:tcPr>
          <w:p w14:paraId="15F85D72"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ACTIVOS INTANGIBLES.</w:t>
            </w:r>
          </w:p>
        </w:tc>
        <w:tc>
          <w:tcPr>
            <w:tcW w:w="1276" w:type="dxa"/>
            <w:shd w:val="clear" w:color="auto" w:fill="auto"/>
            <w:noWrap/>
            <w:vAlign w:val="center"/>
          </w:tcPr>
          <w:p w14:paraId="7425931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2,595,785 </w:t>
            </w:r>
          </w:p>
        </w:tc>
        <w:tc>
          <w:tcPr>
            <w:tcW w:w="1276" w:type="dxa"/>
            <w:shd w:val="clear" w:color="auto" w:fill="auto"/>
            <w:noWrap/>
            <w:vAlign w:val="center"/>
          </w:tcPr>
          <w:p w14:paraId="6088A76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758C0B4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2,595,785 </w:t>
            </w:r>
          </w:p>
        </w:tc>
      </w:tr>
      <w:tr w:rsidR="00D868AB" w:rsidRPr="00D868AB" w14:paraId="0B8A9846" w14:textId="77777777" w:rsidTr="00A755A7">
        <w:tblPrEx>
          <w:jc w:val="left"/>
        </w:tblPrEx>
        <w:trPr>
          <w:trHeight w:val="20"/>
        </w:trPr>
        <w:tc>
          <w:tcPr>
            <w:tcW w:w="700" w:type="dxa"/>
            <w:shd w:val="clear" w:color="auto" w:fill="auto"/>
            <w:noWrap/>
            <w:vAlign w:val="center"/>
            <w:hideMark/>
          </w:tcPr>
          <w:p w14:paraId="65CD6FA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59100</w:t>
            </w:r>
          </w:p>
        </w:tc>
        <w:tc>
          <w:tcPr>
            <w:tcW w:w="3973" w:type="dxa"/>
            <w:shd w:val="clear" w:color="auto" w:fill="auto"/>
            <w:vAlign w:val="center"/>
            <w:hideMark/>
          </w:tcPr>
          <w:p w14:paraId="154203B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Software.</w:t>
            </w:r>
          </w:p>
        </w:tc>
        <w:tc>
          <w:tcPr>
            <w:tcW w:w="1276" w:type="dxa"/>
            <w:shd w:val="clear" w:color="auto" w:fill="auto"/>
            <w:noWrap/>
            <w:vAlign w:val="center"/>
          </w:tcPr>
          <w:p w14:paraId="20960C8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1,420,718 </w:t>
            </w:r>
          </w:p>
        </w:tc>
        <w:tc>
          <w:tcPr>
            <w:tcW w:w="1276" w:type="dxa"/>
            <w:shd w:val="clear" w:color="auto" w:fill="auto"/>
            <w:noWrap/>
            <w:vAlign w:val="center"/>
          </w:tcPr>
          <w:p w14:paraId="376A761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A4170A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1,420,718 </w:t>
            </w:r>
          </w:p>
        </w:tc>
      </w:tr>
      <w:tr w:rsidR="00D868AB" w:rsidRPr="00D868AB" w14:paraId="05DD054E" w14:textId="77777777" w:rsidTr="00A755A7">
        <w:tblPrEx>
          <w:jc w:val="left"/>
        </w:tblPrEx>
        <w:trPr>
          <w:trHeight w:val="20"/>
        </w:trPr>
        <w:tc>
          <w:tcPr>
            <w:tcW w:w="700" w:type="dxa"/>
            <w:shd w:val="clear" w:color="auto" w:fill="auto"/>
            <w:noWrap/>
            <w:vAlign w:val="center"/>
            <w:hideMark/>
          </w:tcPr>
          <w:p w14:paraId="5F00695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59200</w:t>
            </w:r>
          </w:p>
        </w:tc>
        <w:tc>
          <w:tcPr>
            <w:tcW w:w="3973" w:type="dxa"/>
            <w:shd w:val="clear" w:color="auto" w:fill="auto"/>
            <w:vAlign w:val="center"/>
            <w:hideMark/>
          </w:tcPr>
          <w:p w14:paraId="2DD69D2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Patentes.</w:t>
            </w:r>
          </w:p>
        </w:tc>
        <w:tc>
          <w:tcPr>
            <w:tcW w:w="1276" w:type="dxa"/>
            <w:shd w:val="clear" w:color="auto" w:fill="auto"/>
            <w:noWrap/>
            <w:vAlign w:val="center"/>
          </w:tcPr>
          <w:p w14:paraId="1D58AE6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E26695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2A4585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55ADCF1" w14:textId="77777777" w:rsidTr="00A755A7">
        <w:tblPrEx>
          <w:jc w:val="left"/>
        </w:tblPrEx>
        <w:trPr>
          <w:trHeight w:val="20"/>
        </w:trPr>
        <w:tc>
          <w:tcPr>
            <w:tcW w:w="700" w:type="dxa"/>
            <w:shd w:val="clear" w:color="auto" w:fill="auto"/>
            <w:noWrap/>
            <w:vAlign w:val="center"/>
            <w:hideMark/>
          </w:tcPr>
          <w:p w14:paraId="0B2127B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59300</w:t>
            </w:r>
          </w:p>
        </w:tc>
        <w:tc>
          <w:tcPr>
            <w:tcW w:w="3973" w:type="dxa"/>
            <w:shd w:val="clear" w:color="auto" w:fill="auto"/>
            <w:vAlign w:val="center"/>
            <w:hideMark/>
          </w:tcPr>
          <w:p w14:paraId="11FCD7D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Marcas.</w:t>
            </w:r>
          </w:p>
        </w:tc>
        <w:tc>
          <w:tcPr>
            <w:tcW w:w="1276" w:type="dxa"/>
            <w:shd w:val="clear" w:color="auto" w:fill="auto"/>
            <w:noWrap/>
            <w:vAlign w:val="center"/>
          </w:tcPr>
          <w:p w14:paraId="2BF2315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55AF02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CBCE2F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C0F8EE5" w14:textId="77777777" w:rsidTr="00A755A7">
        <w:tblPrEx>
          <w:jc w:val="left"/>
        </w:tblPrEx>
        <w:trPr>
          <w:trHeight w:val="20"/>
        </w:trPr>
        <w:tc>
          <w:tcPr>
            <w:tcW w:w="700" w:type="dxa"/>
            <w:shd w:val="clear" w:color="auto" w:fill="auto"/>
            <w:noWrap/>
            <w:vAlign w:val="center"/>
            <w:hideMark/>
          </w:tcPr>
          <w:p w14:paraId="49DAD58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59400</w:t>
            </w:r>
          </w:p>
        </w:tc>
        <w:tc>
          <w:tcPr>
            <w:tcW w:w="3973" w:type="dxa"/>
            <w:shd w:val="clear" w:color="auto" w:fill="auto"/>
            <w:vAlign w:val="center"/>
            <w:hideMark/>
          </w:tcPr>
          <w:p w14:paraId="6B3E7CE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Derechos.</w:t>
            </w:r>
          </w:p>
        </w:tc>
        <w:tc>
          <w:tcPr>
            <w:tcW w:w="1276" w:type="dxa"/>
            <w:shd w:val="clear" w:color="auto" w:fill="auto"/>
            <w:noWrap/>
            <w:vAlign w:val="center"/>
          </w:tcPr>
          <w:p w14:paraId="574B649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25FD70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1C98C1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51A7F47" w14:textId="77777777" w:rsidTr="00A755A7">
        <w:tblPrEx>
          <w:jc w:val="left"/>
        </w:tblPrEx>
        <w:trPr>
          <w:trHeight w:val="20"/>
        </w:trPr>
        <w:tc>
          <w:tcPr>
            <w:tcW w:w="700" w:type="dxa"/>
            <w:shd w:val="clear" w:color="auto" w:fill="auto"/>
            <w:noWrap/>
            <w:vAlign w:val="center"/>
            <w:hideMark/>
          </w:tcPr>
          <w:p w14:paraId="1BE9B77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59500</w:t>
            </w:r>
          </w:p>
        </w:tc>
        <w:tc>
          <w:tcPr>
            <w:tcW w:w="3973" w:type="dxa"/>
            <w:shd w:val="clear" w:color="auto" w:fill="auto"/>
            <w:vAlign w:val="center"/>
            <w:hideMark/>
          </w:tcPr>
          <w:p w14:paraId="702F322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Concesiones.</w:t>
            </w:r>
          </w:p>
        </w:tc>
        <w:tc>
          <w:tcPr>
            <w:tcW w:w="1276" w:type="dxa"/>
            <w:shd w:val="clear" w:color="auto" w:fill="auto"/>
            <w:noWrap/>
            <w:vAlign w:val="center"/>
          </w:tcPr>
          <w:p w14:paraId="5DA3122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3FC26E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B6C4ED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9F75EE6" w14:textId="77777777" w:rsidTr="00A755A7">
        <w:tblPrEx>
          <w:jc w:val="left"/>
        </w:tblPrEx>
        <w:trPr>
          <w:trHeight w:val="20"/>
        </w:trPr>
        <w:tc>
          <w:tcPr>
            <w:tcW w:w="700" w:type="dxa"/>
            <w:shd w:val="clear" w:color="auto" w:fill="auto"/>
            <w:noWrap/>
            <w:vAlign w:val="center"/>
            <w:hideMark/>
          </w:tcPr>
          <w:p w14:paraId="74919E7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59600</w:t>
            </w:r>
          </w:p>
        </w:tc>
        <w:tc>
          <w:tcPr>
            <w:tcW w:w="3973" w:type="dxa"/>
            <w:shd w:val="clear" w:color="auto" w:fill="auto"/>
            <w:vAlign w:val="center"/>
            <w:hideMark/>
          </w:tcPr>
          <w:p w14:paraId="1178DC4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Franquicias.</w:t>
            </w:r>
          </w:p>
        </w:tc>
        <w:tc>
          <w:tcPr>
            <w:tcW w:w="1276" w:type="dxa"/>
            <w:shd w:val="clear" w:color="auto" w:fill="auto"/>
            <w:noWrap/>
            <w:vAlign w:val="center"/>
          </w:tcPr>
          <w:p w14:paraId="64A7475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067B8C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627A52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3F27CF9" w14:textId="77777777" w:rsidTr="00A755A7">
        <w:tblPrEx>
          <w:jc w:val="left"/>
        </w:tblPrEx>
        <w:trPr>
          <w:trHeight w:val="20"/>
        </w:trPr>
        <w:tc>
          <w:tcPr>
            <w:tcW w:w="700" w:type="dxa"/>
            <w:shd w:val="clear" w:color="auto" w:fill="auto"/>
            <w:noWrap/>
            <w:vAlign w:val="center"/>
            <w:hideMark/>
          </w:tcPr>
          <w:p w14:paraId="0200795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59700</w:t>
            </w:r>
          </w:p>
        </w:tc>
        <w:tc>
          <w:tcPr>
            <w:tcW w:w="3973" w:type="dxa"/>
            <w:shd w:val="clear" w:color="auto" w:fill="auto"/>
            <w:vAlign w:val="center"/>
            <w:hideMark/>
          </w:tcPr>
          <w:p w14:paraId="673BEC0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Licencias informáticas e intelectuales.</w:t>
            </w:r>
          </w:p>
        </w:tc>
        <w:tc>
          <w:tcPr>
            <w:tcW w:w="1276" w:type="dxa"/>
            <w:shd w:val="clear" w:color="auto" w:fill="auto"/>
            <w:noWrap/>
            <w:vAlign w:val="center"/>
          </w:tcPr>
          <w:p w14:paraId="00D99D5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1,175,067 </w:t>
            </w:r>
          </w:p>
        </w:tc>
        <w:tc>
          <w:tcPr>
            <w:tcW w:w="1276" w:type="dxa"/>
            <w:shd w:val="clear" w:color="auto" w:fill="auto"/>
            <w:noWrap/>
            <w:vAlign w:val="center"/>
          </w:tcPr>
          <w:p w14:paraId="3775B4D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9A7C30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1,175,067 </w:t>
            </w:r>
          </w:p>
        </w:tc>
      </w:tr>
      <w:tr w:rsidR="00D868AB" w:rsidRPr="00D868AB" w14:paraId="4C8EC16E" w14:textId="77777777" w:rsidTr="00A755A7">
        <w:tblPrEx>
          <w:jc w:val="left"/>
        </w:tblPrEx>
        <w:trPr>
          <w:trHeight w:val="20"/>
        </w:trPr>
        <w:tc>
          <w:tcPr>
            <w:tcW w:w="700" w:type="dxa"/>
            <w:shd w:val="clear" w:color="auto" w:fill="auto"/>
            <w:noWrap/>
            <w:vAlign w:val="center"/>
            <w:hideMark/>
          </w:tcPr>
          <w:p w14:paraId="38B13F9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59800</w:t>
            </w:r>
          </w:p>
        </w:tc>
        <w:tc>
          <w:tcPr>
            <w:tcW w:w="3973" w:type="dxa"/>
            <w:shd w:val="clear" w:color="auto" w:fill="auto"/>
            <w:vAlign w:val="center"/>
            <w:hideMark/>
          </w:tcPr>
          <w:p w14:paraId="02E1435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Licencias industriales, comerciales y otras.</w:t>
            </w:r>
          </w:p>
        </w:tc>
        <w:tc>
          <w:tcPr>
            <w:tcW w:w="1276" w:type="dxa"/>
            <w:shd w:val="clear" w:color="auto" w:fill="auto"/>
            <w:noWrap/>
            <w:vAlign w:val="center"/>
          </w:tcPr>
          <w:p w14:paraId="16E074D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BEFEE1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E8EEFB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4B131E4" w14:textId="77777777" w:rsidTr="00A755A7">
        <w:tblPrEx>
          <w:jc w:val="left"/>
        </w:tblPrEx>
        <w:trPr>
          <w:trHeight w:val="20"/>
        </w:trPr>
        <w:tc>
          <w:tcPr>
            <w:tcW w:w="700" w:type="dxa"/>
            <w:shd w:val="clear" w:color="auto" w:fill="auto"/>
            <w:noWrap/>
            <w:vAlign w:val="center"/>
            <w:hideMark/>
          </w:tcPr>
          <w:p w14:paraId="1B9F685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59900</w:t>
            </w:r>
          </w:p>
        </w:tc>
        <w:tc>
          <w:tcPr>
            <w:tcW w:w="3973" w:type="dxa"/>
            <w:shd w:val="clear" w:color="auto" w:fill="auto"/>
            <w:vAlign w:val="center"/>
            <w:hideMark/>
          </w:tcPr>
          <w:p w14:paraId="4D71864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activos intangibles.</w:t>
            </w:r>
          </w:p>
        </w:tc>
        <w:tc>
          <w:tcPr>
            <w:tcW w:w="1276" w:type="dxa"/>
            <w:shd w:val="clear" w:color="auto" w:fill="auto"/>
            <w:noWrap/>
            <w:vAlign w:val="center"/>
          </w:tcPr>
          <w:p w14:paraId="1738202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F35C53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CDBBB6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4F525C7" w14:textId="77777777" w:rsidTr="00A755A7">
        <w:tblPrEx>
          <w:jc w:val="left"/>
        </w:tblPrEx>
        <w:trPr>
          <w:trHeight w:val="20"/>
        </w:trPr>
        <w:tc>
          <w:tcPr>
            <w:tcW w:w="700" w:type="dxa"/>
            <w:shd w:val="clear" w:color="auto" w:fill="auto"/>
            <w:noWrap/>
            <w:vAlign w:val="center"/>
            <w:hideMark/>
          </w:tcPr>
          <w:p w14:paraId="1CD3B8A5"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60000</w:t>
            </w:r>
          </w:p>
        </w:tc>
        <w:tc>
          <w:tcPr>
            <w:tcW w:w="3973" w:type="dxa"/>
            <w:shd w:val="clear" w:color="auto" w:fill="auto"/>
            <w:vAlign w:val="center"/>
            <w:hideMark/>
          </w:tcPr>
          <w:p w14:paraId="015F49FE"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INVERSION PÚBLICA.</w:t>
            </w:r>
          </w:p>
        </w:tc>
        <w:tc>
          <w:tcPr>
            <w:tcW w:w="1276" w:type="dxa"/>
            <w:shd w:val="clear" w:color="auto" w:fill="auto"/>
            <w:noWrap/>
            <w:vAlign w:val="center"/>
          </w:tcPr>
          <w:p w14:paraId="3FA643A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99,022,325 </w:t>
            </w:r>
          </w:p>
        </w:tc>
        <w:tc>
          <w:tcPr>
            <w:tcW w:w="1276" w:type="dxa"/>
            <w:shd w:val="clear" w:color="auto" w:fill="auto"/>
            <w:noWrap/>
            <w:vAlign w:val="center"/>
          </w:tcPr>
          <w:p w14:paraId="687E483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4FA5568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99,022,325 </w:t>
            </w:r>
          </w:p>
        </w:tc>
      </w:tr>
      <w:tr w:rsidR="00D868AB" w:rsidRPr="00D868AB" w14:paraId="43BDE355" w14:textId="77777777" w:rsidTr="00A755A7">
        <w:tblPrEx>
          <w:jc w:val="left"/>
        </w:tblPrEx>
        <w:trPr>
          <w:trHeight w:val="20"/>
        </w:trPr>
        <w:tc>
          <w:tcPr>
            <w:tcW w:w="700" w:type="dxa"/>
            <w:shd w:val="clear" w:color="auto" w:fill="auto"/>
            <w:noWrap/>
            <w:vAlign w:val="center"/>
            <w:hideMark/>
          </w:tcPr>
          <w:p w14:paraId="1BB707A1"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61000</w:t>
            </w:r>
          </w:p>
        </w:tc>
        <w:tc>
          <w:tcPr>
            <w:tcW w:w="3973" w:type="dxa"/>
            <w:shd w:val="clear" w:color="auto" w:fill="auto"/>
            <w:vAlign w:val="center"/>
            <w:hideMark/>
          </w:tcPr>
          <w:p w14:paraId="57AC7824"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OBRA PÚBLICA EN BIENES DE DOMINIO PÚBLICO.</w:t>
            </w:r>
          </w:p>
        </w:tc>
        <w:tc>
          <w:tcPr>
            <w:tcW w:w="1276" w:type="dxa"/>
            <w:shd w:val="clear" w:color="auto" w:fill="auto"/>
            <w:noWrap/>
            <w:vAlign w:val="center"/>
          </w:tcPr>
          <w:p w14:paraId="0E89CFF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79,545,816 </w:t>
            </w:r>
          </w:p>
        </w:tc>
        <w:tc>
          <w:tcPr>
            <w:tcW w:w="1276" w:type="dxa"/>
            <w:shd w:val="clear" w:color="auto" w:fill="auto"/>
            <w:noWrap/>
            <w:vAlign w:val="center"/>
          </w:tcPr>
          <w:p w14:paraId="57FB731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647A528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79,545,816 </w:t>
            </w:r>
          </w:p>
        </w:tc>
      </w:tr>
      <w:tr w:rsidR="00D868AB" w:rsidRPr="00D868AB" w14:paraId="57878535" w14:textId="77777777" w:rsidTr="00A755A7">
        <w:tblPrEx>
          <w:jc w:val="left"/>
        </w:tblPrEx>
        <w:trPr>
          <w:trHeight w:val="20"/>
        </w:trPr>
        <w:tc>
          <w:tcPr>
            <w:tcW w:w="700" w:type="dxa"/>
            <w:shd w:val="clear" w:color="auto" w:fill="auto"/>
            <w:noWrap/>
            <w:vAlign w:val="center"/>
            <w:hideMark/>
          </w:tcPr>
          <w:p w14:paraId="66C7143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61100</w:t>
            </w:r>
          </w:p>
        </w:tc>
        <w:tc>
          <w:tcPr>
            <w:tcW w:w="3973" w:type="dxa"/>
            <w:shd w:val="clear" w:color="auto" w:fill="auto"/>
            <w:vAlign w:val="center"/>
            <w:hideMark/>
          </w:tcPr>
          <w:p w14:paraId="7E60324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Edificación habitacional.</w:t>
            </w:r>
          </w:p>
        </w:tc>
        <w:tc>
          <w:tcPr>
            <w:tcW w:w="1276" w:type="dxa"/>
            <w:shd w:val="clear" w:color="auto" w:fill="auto"/>
            <w:noWrap/>
            <w:vAlign w:val="center"/>
          </w:tcPr>
          <w:p w14:paraId="4B7526D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85F81D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304BB0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8A5598D" w14:textId="77777777" w:rsidTr="00A755A7">
        <w:tblPrEx>
          <w:jc w:val="left"/>
        </w:tblPrEx>
        <w:trPr>
          <w:trHeight w:val="20"/>
        </w:trPr>
        <w:tc>
          <w:tcPr>
            <w:tcW w:w="700" w:type="dxa"/>
            <w:shd w:val="clear" w:color="auto" w:fill="auto"/>
            <w:noWrap/>
            <w:vAlign w:val="center"/>
            <w:hideMark/>
          </w:tcPr>
          <w:p w14:paraId="050E2CA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61200</w:t>
            </w:r>
          </w:p>
        </w:tc>
        <w:tc>
          <w:tcPr>
            <w:tcW w:w="3973" w:type="dxa"/>
            <w:shd w:val="clear" w:color="auto" w:fill="auto"/>
            <w:vAlign w:val="center"/>
            <w:hideMark/>
          </w:tcPr>
          <w:p w14:paraId="0BD3D9D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Edificación no habitacional.</w:t>
            </w:r>
          </w:p>
        </w:tc>
        <w:tc>
          <w:tcPr>
            <w:tcW w:w="1276" w:type="dxa"/>
            <w:shd w:val="clear" w:color="auto" w:fill="auto"/>
            <w:noWrap/>
            <w:vAlign w:val="center"/>
          </w:tcPr>
          <w:p w14:paraId="5957BD8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79,545,816 </w:t>
            </w:r>
          </w:p>
        </w:tc>
        <w:tc>
          <w:tcPr>
            <w:tcW w:w="1276" w:type="dxa"/>
            <w:shd w:val="clear" w:color="auto" w:fill="auto"/>
            <w:noWrap/>
            <w:vAlign w:val="center"/>
          </w:tcPr>
          <w:p w14:paraId="160FC4E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600D2D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79,545,816 </w:t>
            </w:r>
          </w:p>
        </w:tc>
      </w:tr>
      <w:tr w:rsidR="00D868AB" w:rsidRPr="00D868AB" w14:paraId="7135E0D7" w14:textId="77777777" w:rsidTr="00A755A7">
        <w:tblPrEx>
          <w:jc w:val="left"/>
        </w:tblPrEx>
        <w:trPr>
          <w:trHeight w:val="20"/>
        </w:trPr>
        <w:tc>
          <w:tcPr>
            <w:tcW w:w="700" w:type="dxa"/>
            <w:shd w:val="clear" w:color="auto" w:fill="auto"/>
            <w:noWrap/>
            <w:vAlign w:val="center"/>
            <w:hideMark/>
          </w:tcPr>
          <w:p w14:paraId="1A6928C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61300</w:t>
            </w:r>
          </w:p>
        </w:tc>
        <w:tc>
          <w:tcPr>
            <w:tcW w:w="3973" w:type="dxa"/>
            <w:shd w:val="clear" w:color="auto" w:fill="auto"/>
            <w:vAlign w:val="center"/>
            <w:hideMark/>
          </w:tcPr>
          <w:p w14:paraId="4F4F0B4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Construcción de obras para el abastecimiento de agua, petróleo, gas, electricidad y telecomunicaciones.</w:t>
            </w:r>
          </w:p>
        </w:tc>
        <w:tc>
          <w:tcPr>
            <w:tcW w:w="1276" w:type="dxa"/>
            <w:shd w:val="clear" w:color="auto" w:fill="auto"/>
            <w:noWrap/>
            <w:vAlign w:val="center"/>
          </w:tcPr>
          <w:p w14:paraId="266F7AB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DC421A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84C466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8DEFACA" w14:textId="77777777" w:rsidTr="00A755A7">
        <w:tblPrEx>
          <w:jc w:val="left"/>
        </w:tblPrEx>
        <w:trPr>
          <w:trHeight w:val="20"/>
        </w:trPr>
        <w:tc>
          <w:tcPr>
            <w:tcW w:w="700" w:type="dxa"/>
            <w:shd w:val="clear" w:color="auto" w:fill="auto"/>
            <w:noWrap/>
            <w:vAlign w:val="center"/>
            <w:hideMark/>
          </w:tcPr>
          <w:p w14:paraId="3AFF88E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61400</w:t>
            </w:r>
          </w:p>
        </w:tc>
        <w:tc>
          <w:tcPr>
            <w:tcW w:w="3973" w:type="dxa"/>
            <w:shd w:val="clear" w:color="auto" w:fill="auto"/>
            <w:vAlign w:val="center"/>
            <w:hideMark/>
          </w:tcPr>
          <w:p w14:paraId="7832BB1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División de terrenos y construcción de obras de urbanización.</w:t>
            </w:r>
          </w:p>
        </w:tc>
        <w:tc>
          <w:tcPr>
            <w:tcW w:w="1276" w:type="dxa"/>
            <w:shd w:val="clear" w:color="auto" w:fill="auto"/>
            <w:noWrap/>
            <w:vAlign w:val="center"/>
          </w:tcPr>
          <w:p w14:paraId="4D40204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023CD4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886726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49DE783" w14:textId="77777777" w:rsidTr="00A755A7">
        <w:tblPrEx>
          <w:jc w:val="left"/>
        </w:tblPrEx>
        <w:trPr>
          <w:trHeight w:val="20"/>
        </w:trPr>
        <w:tc>
          <w:tcPr>
            <w:tcW w:w="700" w:type="dxa"/>
            <w:shd w:val="clear" w:color="auto" w:fill="auto"/>
            <w:noWrap/>
            <w:vAlign w:val="center"/>
            <w:hideMark/>
          </w:tcPr>
          <w:p w14:paraId="6D47BB0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61500</w:t>
            </w:r>
          </w:p>
        </w:tc>
        <w:tc>
          <w:tcPr>
            <w:tcW w:w="3973" w:type="dxa"/>
            <w:shd w:val="clear" w:color="auto" w:fill="auto"/>
            <w:vAlign w:val="center"/>
            <w:hideMark/>
          </w:tcPr>
          <w:p w14:paraId="73DFA6E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Construcción de vías de comunicación.</w:t>
            </w:r>
          </w:p>
        </w:tc>
        <w:tc>
          <w:tcPr>
            <w:tcW w:w="1276" w:type="dxa"/>
            <w:shd w:val="clear" w:color="auto" w:fill="auto"/>
            <w:noWrap/>
            <w:vAlign w:val="center"/>
          </w:tcPr>
          <w:p w14:paraId="6611F8C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A80D70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BC7373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C19F5AF" w14:textId="77777777" w:rsidTr="00A755A7">
        <w:tblPrEx>
          <w:jc w:val="left"/>
        </w:tblPrEx>
        <w:trPr>
          <w:trHeight w:val="20"/>
        </w:trPr>
        <w:tc>
          <w:tcPr>
            <w:tcW w:w="700" w:type="dxa"/>
            <w:shd w:val="clear" w:color="auto" w:fill="auto"/>
            <w:noWrap/>
            <w:vAlign w:val="center"/>
            <w:hideMark/>
          </w:tcPr>
          <w:p w14:paraId="78C75EB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61600</w:t>
            </w:r>
          </w:p>
        </w:tc>
        <w:tc>
          <w:tcPr>
            <w:tcW w:w="3973" w:type="dxa"/>
            <w:shd w:val="clear" w:color="auto" w:fill="auto"/>
            <w:vAlign w:val="center"/>
            <w:hideMark/>
          </w:tcPr>
          <w:p w14:paraId="138948F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Otras construcciones de ingeniería civil u obra pesada.</w:t>
            </w:r>
          </w:p>
        </w:tc>
        <w:tc>
          <w:tcPr>
            <w:tcW w:w="1276" w:type="dxa"/>
            <w:shd w:val="clear" w:color="auto" w:fill="auto"/>
            <w:noWrap/>
            <w:vAlign w:val="center"/>
          </w:tcPr>
          <w:p w14:paraId="14C0949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B10C6B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DA4F36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DB2400C" w14:textId="77777777" w:rsidTr="00A755A7">
        <w:tblPrEx>
          <w:jc w:val="left"/>
        </w:tblPrEx>
        <w:trPr>
          <w:trHeight w:val="20"/>
        </w:trPr>
        <w:tc>
          <w:tcPr>
            <w:tcW w:w="700" w:type="dxa"/>
            <w:shd w:val="clear" w:color="auto" w:fill="auto"/>
            <w:noWrap/>
            <w:vAlign w:val="center"/>
            <w:hideMark/>
          </w:tcPr>
          <w:p w14:paraId="5AF2F07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61700</w:t>
            </w:r>
          </w:p>
        </w:tc>
        <w:tc>
          <w:tcPr>
            <w:tcW w:w="3973" w:type="dxa"/>
            <w:shd w:val="clear" w:color="auto" w:fill="auto"/>
            <w:vAlign w:val="center"/>
            <w:hideMark/>
          </w:tcPr>
          <w:p w14:paraId="34FF364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Instalaciones y equipamiento en construcciones.</w:t>
            </w:r>
          </w:p>
        </w:tc>
        <w:tc>
          <w:tcPr>
            <w:tcW w:w="1276" w:type="dxa"/>
            <w:shd w:val="clear" w:color="auto" w:fill="auto"/>
            <w:noWrap/>
            <w:vAlign w:val="center"/>
          </w:tcPr>
          <w:p w14:paraId="3DD14A9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127105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2AACE1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CEA1245" w14:textId="77777777" w:rsidTr="00A755A7">
        <w:tblPrEx>
          <w:jc w:val="left"/>
        </w:tblPrEx>
        <w:trPr>
          <w:trHeight w:val="20"/>
        </w:trPr>
        <w:tc>
          <w:tcPr>
            <w:tcW w:w="700" w:type="dxa"/>
            <w:shd w:val="clear" w:color="auto" w:fill="auto"/>
            <w:noWrap/>
            <w:vAlign w:val="center"/>
            <w:hideMark/>
          </w:tcPr>
          <w:p w14:paraId="5A4FDC9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61900</w:t>
            </w:r>
          </w:p>
        </w:tc>
        <w:tc>
          <w:tcPr>
            <w:tcW w:w="3973" w:type="dxa"/>
            <w:shd w:val="clear" w:color="auto" w:fill="auto"/>
            <w:vAlign w:val="center"/>
            <w:hideMark/>
          </w:tcPr>
          <w:p w14:paraId="44CF14C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Trabajos de acabados en edificaciones y otros trabajos especializados.</w:t>
            </w:r>
          </w:p>
        </w:tc>
        <w:tc>
          <w:tcPr>
            <w:tcW w:w="1276" w:type="dxa"/>
            <w:shd w:val="clear" w:color="auto" w:fill="auto"/>
            <w:noWrap/>
            <w:vAlign w:val="center"/>
          </w:tcPr>
          <w:p w14:paraId="575BFFE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F7578A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8A2141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A7BC943" w14:textId="77777777" w:rsidTr="00A755A7">
        <w:tblPrEx>
          <w:jc w:val="left"/>
        </w:tblPrEx>
        <w:trPr>
          <w:trHeight w:val="20"/>
        </w:trPr>
        <w:tc>
          <w:tcPr>
            <w:tcW w:w="700" w:type="dxa"/>
            <w:shd w:val="clear" w:color="auto" w:fill="auto"/>
            <w:noWrap/>
            <w:vAlign w:val="center"/>
            <w:hideMark/>
          </w:tcPr>
          <w:p w14:paraId="1ACBBF54"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62000</w:t>
            </w:r>
          </w:p>
        </w:tc>
        <w:tc>
          <w:tcPr>
            <w:tcW w:w="3973" w:type="dxa"/>
            <w:shd w:val="clear" w:color="auto" w:fill="auto"/>
            <w:vAlign w:val="center"/>
            <w:hideMark/>
          </w:tcPr>
          <w:p w14:paraId="1577C053"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OBRA PÚBLICA EN BIENES PROPIOS.</w:t>
            </w:r>
          </w:p>
        </w:tc>
        <w:tc>
          <w:tcPr>
            <w:tcW w:w="1276" w:type="dxa"/>
            <w:shd w:val="clear" w:color="auto" w:fill="auto"/>
            <w:noWrap/>
            <w:vAlign w:val="center"/>
          </w:tcPr>
          <w:p w14:paraId="2E19FC9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19,476,509 </w:t>
            </w:r>
          </w:p>
        </w:tc>
        <w:tc>
          <w:tcPr>
            <w:tcW w:w="1276" w:type="dxa"/>
            <w:shd w:val="clear" w:color="auto" w:fill="auto"/>
            <w:noWrap/>
            <w:vAlign w:val="center"/>
          </w:tcPr>
          <w:p w14:paraId="35FB9E1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10ECE0E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19,476,509 </w:t>
            </w:r>
          </w:p>
        </w:tc>
      </w:tr>
      <w:tr w:rsidR="00D868AB" w:rsidRPr="00D868AB" w14:paraId="0E7E0C9B" w14:textId="77777777" w:rsidTr="00A755A7">
        <w:tblPrEx>
          <w:jc w:val="left"/>
        </w:tblPrEx>
        <w:trPr>
          <w:trHeight w:val="20"/>
        </w:trPr>
        <w:tc>
          <w:tcPr>
            <w:tcW w:w="700" w:type="dxa"/>
            <w:shd w:val="clear" w:color="auto" w:fill="auto"/>
            <w:noWrap/>
            <w:vAlign w:val="center"/>
            <w:hideMark/>
          </w:tcPr>
          <w:p w14:paraId="29E5120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62100</w:t>
            </w:r>
          </w:p>
        </w:tc>
        <w:tc>
          <w:tcPr>
            <w:tcW w:w="3973" w:type="dxa"/>
            <w:shd w:val="clear" w:color="auto" w:fill="auto"/>
            <w:vAlign w:val="center"/>
            <w:hideMark/>
          </w:tcPr>
          <w:p w14:paraId="53F0F4E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Edificación habitacional.</w:t>
            </w:r>
          </w:p>
        </w:tc>
        <w:tc>
          <w:tcPr>
            <w:tcW w:w="1276" w:type="dxa"/>
            <w:shd w:val="clear" w:color="auto" w:fill="auto"/>
            <w:noWrap/>
            <w:vAlign w:val="center"/>
          </w:tcPr>
          <w:p w14:paraId="5DF0066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C32780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732AF5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5FD4EC7" w14:textId="77777777" w:rsidTr="00A755A7">
        <w:tblPrEx>
          <w:jc w:val="left"/>
        </w:tblPrEx>
        <w:trPr>
          <w:trHeight w:val="20"/>
        </w:trPr>
        <w:tc>
          <w:tcPr>
            <w:tcW w:w="700" w:type="dxa"/>
            <w:shd w:val="clear" w:color="auto" w:fill="auto"/>
            <w:noWrap/>
            <w:vAlign w:val="center"/>
            <w:hideMark/>
          </w:tcPr>
          <w:p w14:paraId="14B641E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62200</w:t>
            </w:r>
          </w:p>
        </w:tc>
        <w:tc>
          <w:tcPr>
            <w:tcW w:w="3973" w:type="dxa"/>
            <w:shd w:val="clear" w:color="auto" w:fill="auto"/>
            <w:vAlign w:val="center"/>
            <w:hideMark/>
          </w:tcPr>
          <w:p w14:paraId="2F0BA34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Edificación no habitacional.</w:t>
            </w:r>
          </w:p>
        </w:tc>
        <w:tc>
          <w:tcPr>
            <w:tcW w:w="1276" w:type="dxa"/>
            <w:shd w:val="clear" w:color="auto" w:fill="auto"/>
            <w:noWrap/>
            <w:vAlign w:val="center"/>
          </w:tcPr>
          <w:p w14:paraId="6C83722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19,476,509 </w:t>
            </w:r>
          </w:p>
        </w:tc>
        <w:tc>
          <w:tcPr>
            <w:tcW w:w="1276" w:type="dxa"/>
            <w:shd w:val="clear" w:color="auto" w:fill="auto"/>
            <w:noWrap/>
            <w:vAlign w:val="center"/>
          </w:tcPr>
          <w:p w14:paraId="09BFCF3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E7E152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19,476,509 </w:t>
            </w:r>
          </w:p>
        </w:tc>
      </w:tr>
      <w:tr w:rsidR="00D868AB" w:rsidRPr="00D868AB" w14:paraId="38A1EB03" w14:textId="77777777" w:rsidTr="00A755A7">
        <w:tblPrEx>
          <w:jc w:val="left"/>
        </w:tblPrEx>
        <w:trPr>
          <w:trHeight w:val="20"/>
        </w:trPr>
        <w:tc>
          <w:tcPr>
            <w:tcW w:w="700" w:type="dxa"/>
            <w:shd w:val="clear" w:color="auto" w:fill="auto"/>
            <w:noWrap/>
            <w:vAlign w:val="center"/>
            <w:hideMark/>
          </w:tcPr>
          <w:p w14:paraId="41C4268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62300</w:t>
            </w:r>
          </w:p>
        </w:tc>
        <w:tc>
          <w:tcPr>
            <w:tcW w:w="3973" w:type="dxa"/>
            <w:shd w:val="clear" w:color="auto" w:fill="auto"/>
            <w:vAlign w:val="center"/>
            <w:hideMark/>
          </w:tcPr>
          <w:p w14:paraId="1D07A52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Construcción de obras para el abastecimiento de agua, petróleo, gas, electricidad y telecomunicaciones.</w:t>
            </w:r>
          </w:p>
        </w:tc>
        <w:tc>
          <w:tcPr>
            <w:tcW w:w="1276" w:type="dxa"/>
            <w:shd w:val="clear" w:color="auto" w:fill="auto"/>
            <w:noWrap/>
            <w:vAlign w:val="center"/>
          </w:tcPr>
          <w:p w14:paraId="49585A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D9218C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8CE97C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11B6876" w14:textId="77777777" w:rsidTr="00A755A7">
        <w:tblPrEx>
          <w:jc w:val="left"/>
        </w:tblPrEx>
        <w:trPr>
          <w:trHeight w:val="20"/>
        </w:trPr>
        <w:tc>
          <w:tcPr>
            <w:tcW w:w="700" w:type="dxa"/>
            <w:shd w:val="clear" w:color="auto" w:fill="auto"/>
            <w:noWrap/>
            <w:vAlign w:val="center"/>
            <w:hideMark/>
          </w:tcPr>
          <w:p w14:paraId="36C1A8A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62400</w:t>
            </w:r>
          </w:p>
        </w:tc>
        <w:tc>
          <w:tcPr>
            <w:tcW w:w="3973" w:type="dxa"/>
            <w:shd w:val="clear" w:color="auto" w:fill="auto"/>
            <w:vAlign w:val="center"/>
            <w:hideMark/>
          </w:tcPr>
          <w:p w14:paraId="3E6F20D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División de terrenos y construcción de obras de urbanización.</w:t>
            </w:r>
          </w:p>
        </w:tc>
        <w:tc>
          <w:tcPr>
            <w:tcW w:w="1276" w:type="dxa"/>
            <w:shd w:val="clear" w:color="auto" w:fill="auto"/>
            <w:noWrap/>
            <w:vAlign w:val="center"/>
          </w:tcPr>
          <w:p w14:paraId="484B0D8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253BE5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1B969C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A8898EF" w14:textId="77777777" w:rsidTr="00A755A7">
        <w:tblPrEx>
          <w:jc w:val="left"/>
        </w:tblPrEx>
        <w:trPr>
          <w:trHeight w:val="20"/>
        </w:trPr>
        <w:tc>
          <w:tcPr>
            <w:tcW w:w="700" w:type="dxa"/>
            <w:shd w:val="clear" w:color="auto" w:fill="auto"/>
            <w:noWrap/>
            <w:vAlign w:val="center"/>
            <w:hideMark/>
          </w:tcPr>
          <w:p w14:paraId="338342B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62500</w:t>
            </w:r>
          </w:p>
        </w:tc>
        <w:tc>
          <w:tcPr>
            <w:tcW w:w="3973" w:type="dxa"/>
            <w:shd w:val="clear" w:color="auto" w:fill="auto"/>
            <w:vAlign w:val="center"/>
            <w:hideMark/>
          </w:tcPr>
          <w:p w14:paraId="4DA2799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Construcción de vías de comunicación.</w:t>
            </w:r>
          </w:p>
        </w:tc>
        <w:tc>
          <w:tcPr>
            <w:tcW w:w="1276" w:type="dxa"/>
            <w:shd w:val="clear" w:color="auto" w:fill="auto"/>
            <w:noWrap/>
            <w:vAlign w:val="center"/>
          </w:tcPr>
          <w:p w14:paraId="6D2032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73BA1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5A4B38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C78231B" w14:textId="77777777" w:rsidTr="00A755A7">
        <w:tblPrEx>
          <w:jc w:val="left"/>
        </w:tblPrEx>
        <w:trPr>
          <w:trHeight w:val="20"/>
        </w:trPr>
        <w:tc>
          <w:tcPr>
            <w:tcW w:w="700" w:type="dxa"/>
            <w:shd w:val="clear" w:color="auto" w:fill="auto"/>
            <w:noWrap/>
            <w:vAlign w:val="center"/>
            <w:hideMark/>
          </w:tcPr>
          <w:p w14:paraId="156006E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62600</w:t>
            </w:r>
          </w:p>
        </w:tc>
        <w:tc>
          <w:tcPr>
            <w:tcW w:w="3973" w:type="dxa"/>
            <w:shd w:val="clear" w:color="auto" w:fill="auto"/>
            <w:vAlign w:val="center"/>
            <w:hideMark/>
          </w:tcPr>
          <w:p w14:paraId="1FF6A6D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Otras construcciones de ingeniería civil u obra pesada.</w:t>
            </w:r>
          </w:p>
        </w:tc>
        <w:tc>
          <w:tcPr>
            <w:tcW w:w="1276" w:type="dxa"/>
            <w:shd w:val="clear" w:color="auto" w:fill="auto"/>
            <w:noWrap/>
            <w:vAlign w:val="center"/>
          </w:tcPr>
          <w:p w14:paraId="546B39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0871B1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A25F01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F19518E" w14:textId="77777777" w:rsidTr="00A755A7">
        <w:tblPrEx>
          <w:jc w:val="left"/>
        </w:tblPrEx>
        <w:trPr>
          <w:trHeight w:val="20"/>
        </w:trPr>
        <w:tc>
          <w:tcPr>
            <w:tcW w:w="700" w:type="dxa"/>
            <w:shd w:val="clear" w:color="auto" w:fill="auto"/>
            <w:noWrap/>
            <w:vAlign w:val="center"/>
            <w:hideMark/>
          </w:tcPr>
          <w:p w14:paraId="17E7959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62700</w:t>
            </w:r>
          </w:p>
        </w:tc>
        <w:tc>
          <w:tcPr>
            <w:tcW w:w="3973" w:type="dxa"/>
            <w:shd w:val="clear" w:color="auto" w:fill="auto"/>
            <w:vAlign w:val="center"/>
            <w:hideMark/>
          </w:tcPr>
          <w:p w14:paraId="2A632A2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Instalaciones y equipamiento en construcciones.</w:t>
            </w:r>
          </w:p>
        </w:tc>
        <w:tc>
          <w:tcPr>
            <w:tcW w:w="1276" w:type="dxa"/>
            <w:shd w:val="clear" w:color="auto" w:fill="auto"/>
            <w:noWrap/>
            <w:vAlign w:val="center"/>
          </w:tcPr>
          <w:p w14:paraId="3954377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EE187C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D22E78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BEFCDAD" w14:textId="77777777" w:rsidTr="00A755A7">
        <w:tblPrEx>
          <w:jc w:val="left"/>
        </w:tblPrEx>
        <w:trPr>
          <w:trHeight w:val="20"/>
        </w:trPr>
        <w:tc>
          <w:tcPr>
            <w:tcW w:w="700" w:type="dxa"/>
            <w:shd w:val="clear" w:color="auto" w:fill="auto"/>
            <w:noWrap/>
            <w:vAlign w:val="center"/>
            <w:hideMark/>
          </w:tcPr>
          <w:p w14:paraId="295A85C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62900</w:t>
            </w:r>
          </w:p>
        </w:tc>
        <w:tc>
          <w:tcPr>
            <w:tcW w:w="3973" w:type="dxa"/>
            <w:shd w:val="clear" w:color="auto" w:fill="auto"/>
            <w:vAlign w:val="center"/>
            <w:hideMark/>
          </w:tcPr>
          <w:p w14:paraId="10CC2C2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Trabajos de acabados en edificaciones y otros trabajos especializados.</w:t>
            </w:r>
          </w:p>
        </w:tc>
        <w:tc>
          <w:tcPr>
            <w:tcW w:w="1276" w:type="dxa"/>
            <w:shd w:val="clear" w:color="auto" w:fill="auto"/>
            <w:noWrap/>
            <w:vAlign w:val="center"/>
          </w:tcPr>
          <w:p w14:paraId="03C6480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8C6246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46FB14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77E689E" w14:textId="77777777" w:rsidTr="00A755A7">
        <w:tblPrEx>
          <w:jc w:val="left"/>
        </w:tblPrEx>
        <w:trPr>
          <w:trHeight w:val="20"/>
        </w:trPr>
        <w:tc>
          <w:tcPr>
            <w:tcW w:w="700" w:type="dxa"/>
            <w:shd w:val="clear" w:color="auto" w:fill="auto"/>
            <w:noWrap/>
            <w:vAlign w:val="center"/>
            <w:hideMark/>
          </w:tcPr>
          <w:p w14:paraId="59B22F2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63000</w:t>
            </w:r>
          </w:p>
        </w:tc>
        <w:tc>
          <w:tcPr>
            <w:tcW w:w="3973" w:type="dxa"/>
            <w:shd w:val="clear" w:color="auto" w:fill="auto"/>
            <w:vAlign w:val="center"/>
            <w:hideMark/>
          </w:tcPr>
          <w:p w14:paraId="23C6D131"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PROYECTOS PRODUCTIVOS Y ACCIONES DE FOMENTO.</w:t>
            </w:r>
          </w:p>
        </w:tc>
        <w:tc>
          <w:tcPr>
            <w:tcW w:w="1276" w:type="dxa"/>
            <w:shd w:val="clear" w:color="auto" w:fill="auto"/>
            <w:noWrap/>
            <w:vAlign w:val="center"/>
          </w:tcPr>
          <w:p w14:paraId="1D54143A"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3D98BD3A"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27A030D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26A37874" w14:textId="77777777" w:rsidTr="00A755A7">
        <w:tblPrEx>
          <w:jc w:val="left"/>
        </w:tblPrEx>
        <w:trPr>
          <w:trHeight w:val="20"/>
        </w:trPr>
        <w:tc>
          <w:tcPr>
            <w:tcW w:w="700" w:type="dxa"/>
            <w:shd w:val="clear" w:color="auto" w:fill="auto"/>
            <w:noWrap/>
            <w:vAlign w:val="center"/>
            <w:hideMark/>
          </w:tcPr>
          <w:p w14:paraId="57805E4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63100</w:t>
            </w:r>
          </w:p>
        </w:tc>
        <w:tc>
          <w:tcPr>
            <w:tcW w:w="3973" w:type="dxa"/>
            <w:shd w:val="clear" w:color="auto" w:fill="auto"/>
            <w:vAlign w:val="center"/>
            <w:hideMark/>
          </w:tcPr>
          <w:p w14:paraId="72AE6ED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Estudios, formulación y evaluación de proyectos productivos no incluidos en conceptos anteriores de este capítulo.</w:t>
            </w:r>
          </w:p>
        </w:tc>
        <w:tc>
          <w:tcPr>
            <w:tcW w:w="1276" w:type="dxa"/>
            <w:shd w:val="clear" w:color="auto" w:fill="auto"/>
            <w:noWrap/>
            <w:vAlign w:val="center"/>
          </w:tcPr>
          <w:p w14:paraId="28DEF0C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BC868B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265636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39BB652" w14:textId="77777777" w:rsidTr="00A755A7">
        <w:tblPrEx>
          <w:jc w:val="left"/>
        </w:tblPrEx>
        <w:trPr>
          <w:trHeight w:val="20"/>
        </w:trPr>
        <w:tc>
          <w:tcPr>
            <w:tcW w:w="700" w:type="dxa"/>
            <w:shd w:val="clear" w:color="auto" w:fill="auto"/>
            <w:noWrap/>
            <w:vAlign w:val="center"/>
            <w:hideMark/>
          </w:tcPr>
          <w:p w14:paraId="6850D4A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63200</w:t>
            </w:r>
          </w:p>
        </w:tc>
        <w:tc>
          <w:tcPr>
            <w:tcW w:w="3973" w:type="dxa"/>
            <w:shd w:val="clear" w:color="auto" w:fill="auto"/>
            <w:vAlign w:val="center"/>
            <w:hideMark/>
          </w:tcPr>
          <w:p w14:paraId="7FFAF4B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Ejecución de proyectos productivos no incluidos en conceptos anteriores de este capítulo.</w:t>
            </w:r>
          </w:p>
        </w:tc>
        <w:tc>
          <w:tcPr>
            <w:tcW w:w="1276" w:type="dxa"/>
            <w:shd w:val="clear" w:color="auto" w:fill="auto"/>
            <w:noWrap/>
            <w:vAlign w:val="center"/>
          </w:tcPr>
          <w:p w14:paraId="598A04F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EED497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028ADA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0AF4F14" w14:textId="77777777" w:rsidTr="00A755A7">
        <w:tblPrEx>
          <w:jc w:val="left"/>
        </w:tblPrEx>
        <w:trPr>
          <w:trHeight w:val="20"/>
        </w:trPr>
        <w:tc>
          <w:tcPr>
            <w:tcW w:w="700" w:type="dxa"/>
            <w:shd w:val="clear" w:color="auto" w:fill="auto"/>
            <w:noWrap/>
            <w:vAlign w:val="center"/>
            <w:hideMark/>
          </w:tcPr>
          <w:p w14:paraId="07AE0D8F"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70000</w:t>
            </w:r>
          </w:p>
        </w:tc>
        <w:tc>
          <w:tcPr>
            <w:tcW w:w="3973" w:type="dxa"/>
            <w:shd w:val="clear" w:color="auto" w:fill="auto"/>
            <w:vAlign w:val="center"/>
            <w:hideMark/>
          </w:tcPr>
          <w:p w14:paraId="3B4AC90B"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INVERSIONES FINANCIERAS Y OTRAS PROVISIONES.</w:t>
            </w:r>
          </w:p>
        </w:tc>
        <w:tc>
          <w:tcPr>
            <w:tcW w:w="1276" w:type="dxa"/>
            <w:shd w:val="clear" w:color="auto" w:fill="auto"/>
            <w:noWrap/>
            <w:vAlign w:val="center"/>
          </w:tcPr>
          <w:p w14:paraId="3F0F774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2,000,000 </w:t>
            </w:r>
          </w:p>
        </w:tc>
        <w:tc>
          <w:tcPr>
            <w:tcW w:w="1276" w:type="dxa"/>
            <w:shd w:val="clear" w:color="auto" w:fill="auto"/>
            <w:noWrap/>
            <w:vAlign w:val="center"/>
          </w:tcPr>
          <w:p w14:paraId="4F5F8ED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1,800,000 </w:t>
            </w:r>
          </w:p>
        </w:tc>
        <w:tc>
          <w:tcPr>
            <w:tcW w:w="1275" w:type="dxa"/>
            <w:shd w:val="clear" w:color="auto" w:fill="auto"/>
            <w:noWrap/>
            <w:vAlign w:val="center"/>
          </w:tcPr>
          <w:p w14:paraId="1FF6F8B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3,800,000 </w:t>
            </w:r>
          </w:p>
        </w:tc>
      </w:tr>
      <w:tr w:rsidR="00D868AB" w:rsidRPr="00D868AB" w14:paraId="50DE8F10" w14:textId="77777777" w:rsidTr="00A755A7">
        <w:tblPrEx>
          <w:jc w:val="left"/>
        </w:tblPrEx>
        <w:trPr>
          <w:trHeight w:val="20"/>
        </w:trPr>
        <w:tc>
          <w:tcPr>
            <w:tcW w:w="700" w:type="dxa"/>
            <w:shd w:val="clear" w:color="auto" w:fill="auto"/>
            <w:noWrap/>
            <w:vAlign w:val="center"/>
            <w:hideMark/>
          </w:tcPr>
          <w:p w14:paraId="4079959F"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71000</w:t>
            </w:r>
          </w:p>
        </w:tc>
        <w:tc>
          <w:tcPr>
            <w:tcW w:w="3973" w:type="dxa"/>
            <w:shd w:val="clear" w:color="auto" w:fill="auto"/>
            <w:vAlign w:val="center"/>
            <w:hideMark/>
          </w:tcPr>
          <w:p w14:paraId="136DC90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INVERSIONES PARA EL FOMENTO DE ACTIVIDADES PRODUCTIVAS.</w:t>
            </w:r>
          </w:p>
        </w:tc>
        <w:tc>
          <w:tcPr>
            <w:tcW w:w="1276" w:type="dxa"/>
            <w:shd w:val="clear" w:color="auto" w:fill="auto"/>
            <w:noWrap/>
            <w:vAlign w:val="center"/>
          </w:tcPr>
          <w:p w14:paraId="75C7052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6F1ED9E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0D9965A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4285E8A0" w14:textId="77777777" w:rsidTr="00A755A7">
        <w:tblPrEx>
          <w:jc w:val="left"/>
        </w:tblPrEx>
        <w:trPr>
          <w:trHeight w:val="20"/>
        </w:trPr>
        <w:tc>
          <w:tcPr>
            <w:tcW w:w="700" w:type="dxa"/>
            <w:shd w:val="clear" w:color="auto" w:fill="auto"/>
            <w:noWrap/>
            <w:vAlign w:val="center"/>
            <w:hideMark/>
          </w:tcPr>
          <w:p w14:paraId="0523444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71100</w:t>
            </w:r>
          </w:p>
        </w:tc>
        <w:tc>
          <w:tcPr>
            <w:tcW w:w="3973" w:type="dxa"/>
            <w:shd w:val="clear" w:color="auto" w:fill="auto"/>
            <w:vAlign w:val="center"/>
            <w:hideMark/>
          </w:tcPr>
          <w:p w14:paraId="34FE83F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Créditos otorgados por entidades federativas y municipios al sector social y privado para el fomento de actividades productivas.</w:t>
            </w:r>
          </w:p>
        </w:tc>
        <w:tc>
          <w:tcPr>
            <w:tcW w:w="1276" w:type="dxa"/>
            <w:shd w:val="clear" w:color="auto" w:fill="auto"/>
            <w:noWrap/>
            <w:vAlign w:val="center"/>
          </w:tcPr>
          <w:p w14:paraId="2318D14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A22508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1778DC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8AB800C" w14:textId="77777777" w:rsidTr="00A755A7">
        <w:tblPrEx>
          <w:jc w:val="left"/>
        </w:tblPrEx>
        <w:trPr>
          <w:trHeight w:val="20"/>
        </w:trPr>
        <w:tc>
          <w:tcPr>
            <w:tcW w:w="700" w:type="dxa"/>
            <w:shd w:val="clear" w:color="auto" w:fill="auto"/>
            <w:noWrap/>
            <w:vAlign w:val="center"/>
            <w:hideMark/>
          </w:tcPr>
          <w:p w14:paraId="263A0ED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71200</w:t>
            </w:r>
          </w:p>
        </w:tc>
        <w:tc>
          <w:tcPr>
            <w:tcW w:w="3973" w:type="dxa"/>
            <w:shd w:val="clear" w:color="auto" w:fill="auto"/>
            <w:vAlign w:val="center"/>
            <w:hideMark/>
          </w:tcPr>
          <w:p w14:paraId="1C589B0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Créditos otorgados por las entidades federativas a municipios para el fomento de actividades productivas.</w:t>
            </w:r>
          </w:p>
        </w:tc>
        <w:tc>
          <w:tcPr>
            <w:tcW w:w="1276" w:type="dxa"/>
            <w:shd w:val="clear" w:color="auto" w:fill="auto"/>
            <w:noWrap/>
            <w:vAlign w:val="center"/>
          </w:tcPr>
          <w:p w14:paraId="0E4079F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A92EBF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1724AC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47F4C67" w14:textId="77777777" w:rsidTr="00A755A7">
        <w:tblPrEx>
          <w:jc w:val="left"/>
        </w:tblPrEx>
        <w:trPr>
          <w:trHeight w:val="20"/>
        </w:trPr>
        <w:tc>
          <w:tcPr>
            <w:tcW w:w="700" w:type="dxa"/>
            <w:shd w:val="clear" w:color="auto" w:fill="auto"/>
            <w:noWrap/>
            <w:vAlign w:val="center"/>
            <w:hideMark/>
          </w:tcPr>
          <w:p w14:paraId="565C1856"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72000</w:t>
            </w:r>
          </w:p>
        </w:tc>
        <w:tc>
          <w:tcPr>
            <w:tcW w:w="3973" w:type="dxa"/>
            <w:shd w:val="clear" w:color="auto" w:fill="auto"/>
            <w:vAlign w:val="center"/>
            <w:hideMark/>
          </w:tcPr>
          <w:p w14:paraId="261E7C20"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ACCIONES Y PARTICIPACIONES DE CAPITAL.</w:t>
            </w:r>
          </w:p>
        </w:tc>
        <w:tc>
          <w:tcPr>
            <w:tcW w:w="1276" w:type="dxa"/>
            <w:shd w:val="clear" w:color="auto" w:fill="auto"/>
            <w:noWrap/>
            <w:vAlign w:val="center"/>
          </w:tcPr>
          <w:p w14:paraId="7A8CAC2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01B4DD1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1292602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63DB9152" w14:textId="77777777" w:rsidTr="00A755A7">
        <w:tblPrEx>
          <w:jc w:val="left"/>
        </w:tblPrEx>
        <w:trPr>
          <w:trHeight w:val="20"/>
        </w:trPr>
        <w:tc>
          <w:tcPr>
            <w:tcW w:w="700" w:type="dxa"/>
            <w:shd w:val="clear" w:color="auto" w:fill="auto"/>
            <w:noWrap/>
            <w:vAlign w:val="center"/>
            <w:hideMark/>
          </w:tcPr>
          <w:p w14:paraId="72A2D78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72100</w:t>
            </w:r>
          </w:p>
        </w:tc>
        <w:tc>
          <w:tcPr>
            <w:tcW w:w="3973" w:type="dxa"/>
            <w:shd w:val="clear" w:color="auto" w:fill="auto"/>
            <w:vAlign w:val="center"/>
            <w:hideMark/>
          </w:tcPr>
          <w:p w14:paraId="6C33DE5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Acciones y participaciones de capital en entidades paraestatales no empresariales y no financieras con fines de política económica.</w:t>
            </w:r>
          </w:p>
        </w:tc>
        <w:tc>
          <w:tcPr>
            <w:tcW w:w="1276" w:type="dxa"/>
            <w:shd w:val="clear" w:color="auto" w:fill="auto"/>
            <w:noWrap/>
            <w:vAlign w:val="center"/>
          </w:tcPr>
          <w:p w14:paraId="1CE495C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852D0B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C1E5CD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FDB8FC0" w14:textId="77777777" w:rsidTr="00A755A7">
        <w:tblPrEx>
          <w:jc w:val="left"/>
        </w:tblPrEx>
        <w:trPr>
          <w:trHeight w:val="20"/>
        </w:trPr>
        <w:tc>
          <w:tcPr>
            <w:tcW w:w="700" w:type="dxa"/>
            <w:shd w:val="clear" w:color="auto" w:fill="auto"/>
            <w:noWrap/>
            <w:vAlign w:val="center"/>
            <w:hideMark/>
          </w:tcPr>
          <w:p w14:paraId="7962D71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72200</w:t>
            </w:r>
          </w:p>
        </w:tc>
        <w:tc>
          <w:tcPr>
            <w:tcW w:w="3973" w:type="dxa"/>
            <w:shd w:val="clear" w:color="auto" w:fill="auto"/>
            <w:vAlign w:val="center"/>
            <w:hideMark/>
          </w:tcPr>
          <w:p w14:paraId="5FE1B70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Acciones y participaciones de capital en entidades paraestatales empresariales y no financieras con fines de política económica.</w:t>
            </w:r>
          </w:p>
        </w:tc>
        <w:tc>
          <w:tcPr>
            <w:tcW w:w="1276" w:type="dxa"/>
            <w:shd w:val="clear" w:color="auto" w:fill="auto"/>
            <w:noWrap/>
            <w:vAlign w:val="center"/>
          </w:tcPr>
          <w:p w14:paraId="7137CAE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46F083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299C30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1B508C1" w14:textId="77777777" w:rsidTr="00A755A7">
        <w:tblPrEx>
          <w:jc w:val="left"/>
        </w:tblPrEx>
        <w:trPr>
          <w:trHeight w:val="20"/>
        </w:trPr>
        <w:tc>
          <w:tcPr>
            <w:tcW w:w="700" w:type="dxa"/>
            <w:shd w:val="clear" w:color="auto" w:fill="auto"/>
            <w:noWrap/>
            <w:vAlign w:val="center"/>
            <w:hideMark/>
          </w:tcPr>
          <w:p w14:paraId="3526990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72300</w:t>
            </w:r>
          </w:p>
        </w:tc>
        <w:tc>
          <w:tcPr>
            <w:tcW w:w="3973" w:type="dxa"/>
            <w:shd w:val="clear" w:color="auto" w:fill="auto"/>
            <w:vAlign w:val="center"/>
            <w:hideMark/>
          </w:tcPr>
          <w:p w14:paraId="24C9B16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Acciones y participaciones de capital en instituciones paraestatales públicas financieras con fines de política económica.</w:t>
            </w:r>
          </w:p>
        </w:tc>
        <w:tc>
          <w:tcPr>
            <w:tcW w:w="1276" w:type="dxa"/>
            <w:shd w:val="clear" w:color="auto" w:fill="auto"/>
            <w:noWrap/>
            <w:vAlign w:val="center"/>
          </w:tcPr>
          <w:p w14:paraId="68A7B30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48C01F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A3516B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B329988" w14:textId="77777777" w:rsidTr="00A755A7">
        <w:tblPrEx>
          <w:jc w:val="left"/>
        </w:tblPrEx>
        <w:trPr>
          <w:trHeight w:val="20"/>
        </w:trPr>
        <w:tc>
          <w:tcPr>
            <w:tcW w:w="700" w:type="dxa"/>
            <w:shd w:val="clear" w:color="auto" w:fill="auto"/>
            <w:noWrap/>
            <w:vAlign w:val="center"/>
            <w:hideMark/>
          </w:tcPr>
          <w:p w14:paraId="091D964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72400</w:t>
            </w:r>
          </w:p>
        </w:tc>
        <w:tc>
          <w:tcPr>
            <w:tcW w:w="3973" w:type="dxa"/>
            <w:shd w:val="clear" w:color="auto" w:fill="auto"/>
            <w:vAlign w:val="center"/>
            <w:hideMark/>
          </w:tcPr>
          <w:p w14:paraId="4F1AE42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Acciones y participaciones de capital en el sector privado con fines de política económica.</w:t>
            </w:r>
          </w:p>
        </w:tc>
        <w:tc>
          <w:tcPr>
            <w:tcW w:w="1276" w:type="dxa"/>
            <w:shd w:val="clear" w:color="auto" w:fill="auto"/>
            <w:noWrap/>
            <w:vAlign w:val="center"/>
          </w:tcPr>
          <w:p w14:paraId="55B0900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191414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C82A64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E134DC9" w14:textId="77777777" w:rsidTr="00A755A7">
        <w:tblPrEx>
          <w:jc w:val="left"/>
        </w:tblPrEx>
        <w:trPr>
          <w:trHeight w:val="20"/>
        </w:trPr>
        <w:tc>
          <w:tcPr>
            <w:tcW w:w="700" w:type="dxa"/>
            <w:shd w:val="clear" w:color="auto" w:fill="auto"/>
            <w:noWrap/>
            <w:vAlign w:val="center"/>
            <w:hideMark/>
          </w:tcPr>
          <w:p w14:paraId="0F38F43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72500</w:t>
            </w:r>
          </w:p>
        </w:tc>
        <w:tc>
          <w:tcPr>
            <w:tcW w:w="3973" w:type="dxa"/>
            <w:shd w:val="clear" w:color="auto" w:fill="auto"/>
            <w:vAlign w:val="center"/>
            <w:hideMark/>
          </w:tcPr>
          <w:p w14:paraId="16FD948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Acciones y participaciones de capital en organismos internacionales con fines de política económica.</w:t>
            </w:r>
          </w:p>
        </w:tc>
        <w:tc>
          <w:tcPr>
            <w:tcW w:w="1276" w:type="dxa"/>
            <w:shd w:val="clear" w:color="auto" w:fill="auto"/>
            <w:noWrap/>
            <w:vAlign w:val="center"/>
          </w:tcPr>
          <w:p w14:paraId="1938FCB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A44500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9BFCC7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6D8095D" w14:textId="77777777" w:rsidTr="00A755A7">
        <w:tblPrEx>
          <w:jc w:val="left"/>
        </w:tblPrEx>
        <w:trPr>
          <w:trHeight w:val="20"/>
        </w:trPr>
        <w:tc>
          <w:tcPr>
            <w:tcW w:w="700" w:type="dxa"/>
            <w:shd w:val="clear" w:color="auto" w:fill="auto"/>
            <w:noWrap/>
            <w:vAlign w:val="center"/>
            <w:hideMark/>
          </w:tcPr>
          <w:p w14:paraId="459C1B7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72600</w:t>
            </w:r>
          </w:p>
        </w:tc>
        <w:tc>
          <w:tcPr>
            <w:tcW w:w="3973" w:type="dxa"/>
            <w:shd w:val="clear" w:color="auto" w:fill="auto"/>
            <w:vAlign w:val="center"/>
            <w:hideMark/>
          </w:tcPr>
          <w:p w14:paraId="10D5AEF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Acciones y participaciones de capital en el sector externo con fines de política económica.</w:t>
            </w:r>
          </w:p>
        </w:tc>
        <w:tc>
          <w:tcPr>
            <w:tcW w:w="1276" w:type="dxa"/>
            <w:shd w:val="clear" w:color="auto" w:fill="auto"/>
            <w:noWrap/>
            <w:vAlign w:val="center"/>
          </w:tcPr>
          <w:p w14:paraId="70A62FA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27F893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1BFD19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A412651" w14:textId="77777777" w:rsidTr="00A755A7">
        <w:tblPrEx>
          <w:jc w:val="left"/>
        </w:tblPrEx>
        <w:trPr>
          <w:trHeight w:val="20"/>
        </w:trPr>
        <w:tc>
          <w:tcPr>
            <w:tcW w:w="700" w:type="dxa"/>
            <w:shd w:val="clear" w:color="auto" w:fill="auto"/>
            <w:noWrap/>
            <w:vAlign w:val="center"/>
            <w:hideMark/>
          </w:tcPr>
          <w:p w14:paraId="78EBEC2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72700</w:t>
            </w:r>
          </w:p>
        </w:tc>
        <w:tc>
          <w:tcPr>
            <w:tcW w:w="3973" w:type="dxa"/>
            <w:shd w:val="clear" w:color="auto" w:fill="auto"/>
            <w:vAlign w:val="center"/>
            <w:hideMark/>
          </w:tcPr>
          <w:p w14:paraId="0DCF9D4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Acciones y participaciones de capital en el sector público con fines de gestión de liquidez.</w:t>
            </w:r>
          </w:p>
        </w:tc>
        <w:tc>
          <w:tcPr>
            <w:tcW w:w="1276" w:type="dxa"/>
            <w:shd w:val="clear" w:color="auto" w:fill="auto"/>
            <w:noWrap/>
            <w:vAlign w:val="center"/>
          </w:tcPr>
          <w:p w14:paraId="70D1E2F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EFC273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A78758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8BAA555" w14:textId="77777777" w:rsidTr="00A755A7">
        <w:tblPrEx>
          <w:jc w:val="left"/>
        </w:tblPrEx>
        <w:trPr>
          <w:trHeight w:val="20"/>
        </w:trPr>
        <w:tc>
          <w:tcPr>
            <w:tcW w:w="700" w:type="dxa"/>
            <w:shd w:val="clear" w:color="auto" w:fill="auto"/>
            <w:noWrap/>
            <w:vAlign w:val="center"/>
            <w:hideMark/>
          </w:tcPr>
          <w:p w14:paraId="2067B15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72800</w:t>
            </w:r>
          </w:p>
        </w:tc>
        <w:tc>
          <w:tcPr>
            <w:tcW w:w="3973" w:type="dxa"/>
            <w:shd w:val="clear" w:color="auto" w:fill="auto"/>
            <w:vAlign w:val="center"/>
            <w:hideMark/>
          </w:tcPr>
          <w:p w14:paraId="450B2E1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Acciones y participaciones de capital en el sector privado con fines de gestión de liquidez.</w:t>
            </w:r>
          </w:p>
        </w:tc>
        <w:tc>
          <w:tcPr>
            <w:tcW w:w="1276" w:type="dxa"/>
            <w:shd w:val="clear" w:color="auto" w:fill="auto"/>
            <w:noWrap/>
            <w:vAlign w:val="center"/>
          </w:tcPr>
          <w:p w14:paraId="58F53B1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2E8ED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CF6878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FAE987A" w14:textId="77777777" w:rsidTr="00A755A7">
        <w:tblPrEx>
          <w:jc w:val="left"/>
        </w:tblPrEx>
        <w:trPr>
          <w:trHeight w:val="20"/>
        </w:trPr>
        <w:tc>
          <w:tcPr>
            <w:tcW w:w="700" w:type="dxa"/>
            <w:shd w:val="clear" w:color="auto" w:fill="auto"/>
            <w:noWrap/>
            <w:vAlign w:val="center"/>
            <w:hideMark/>
          </w:tcPr>
          <w:p w14:paraId="1B656C7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72900</w:t>
            </w:r>
          </w:p>
        </w:tc>
        <w:tc>
          <w:tcPr>
            <w:tcW w:w="3973" w:type="dxa"/>
            <w:shd w:val="clear" w:color="auto" w:fill="auto"/>
            <w:vAlign w:val="center"/>
            <w:hideMark/>
          </w:tcPr>
          <w:p w14:paraId="1CFE1E9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Acciones y participaciones de capital en el sector externo con fines de gestión de liquidez.</w:t>
            </w:r>
          </w:p>
        </w:tc>
        <w:tc>
          <w:tcPr>
            <w:tcW w:w="1276" w:type="dxa"/>
            <w:shd w:val="clear" w:color="auto" w:fill="auto"/>
            <w:noWrap/>
            <w:vAlign w:val="center"/>
          </w:tcPr>
          <w:p w14:paraId="5BE8642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D56986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E20E99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0FE06F8" w14:textId="77777777" w:rsidTr="00A755A7">
        <w:tblPrEx>
          <w:jc w:val="left"/>
        </w:tblPrEx>
        <w:trPr>
          <w:trHeight w:val="20"/>
        </w:trPr>
        <w:tc>
          <w:tcPr>
            <w:tcW w:w="700" w:type="dxa"/>
            <w:shd w:val="clear" w:color="auto" w:fill="auto"/>
            <w:noWrap/>
            <w:vAlign w:val="center"/>
            <w:hideMark/>
          </w:tcPr>
          <w:p w14:paraId="781C70EF"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73000</w:t>
            </w:r>
          </w:p>
        </w:tc>
        <w:tc>
          <w:tcPr>
            <w:tcW w:w="3973" w:type="dxa"/>
            <w:shd w:val="clear" w:color="auto" w:fill="auto"/>
            <w:vAlign w:val="center"/>
            <w:hideMark/>
          </w:tcPr>
          <w:p w14:paraId="76258140"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COMPRA DE TITULOS Y VALORES.</w:t>
            </w:r>
          </w:p>
        </w:tc>
        <w:tc>
          <w:tcPr>
            <w:tcW w:w="1276" w:type="dxa"/>
            <w:shd w:val="clear" w:color="auto" w:fill="auto"/>
            <w:noWrap/>
            <w:vAlign w:val="center"/>
          </w:tcPr>
          <w:p w14:paraId="17DC5AF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7B9B03D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04EFDD0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0EC26CD9" w14:textId="77777777" w:rsidTr="00A755A7">
        <w:tblPrEx>
          <w:jc w:val="left"/>
        </w:tblPrEx>
        <w:trPr>
          <w:trHeight w:val="20"/>
        </w:trPr>
        <w:tc>
          <w:tcPr>
            <w:tcW w:w="700" w:type="dxa"/>
            <w:shd w:val="clear" w:color="auto" w:fill="auto"/>
            <w:noWrap/>
            <w:vAlign w:val="center"/>
            <w:hideMark/>
          </w:tcPr>
          <w:p w14:paraId="2C5E13E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73100</w:t>
            </w:r>
          </w:p>
        </w:tc>
        <w:tc>
          <w:tcPr>
            <w:tcW w:w="3973" w:type="dxa"/>
            <w:shd w:val="clear" w:color="auto" w:fill="auto"/>
            <w:vAlign w:val="center"/>
            <w:hideMark/>
          </w:tcPr>
          <w:p w14:paraId="302DC35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Bonos.</w:t>
            </w:r>
          </w:p>
        </w:tc>
        <w:tc>
          <w:tcPr>
            <w:tcW w:w="1276" w:type="dxa"/>
            <w:shd w:val="clear" w:color="auto" w:fill="auto"/>
            <w:noWrap/>
            <w:vAlign w:val="center"/>
          </w:tcPr>
          <w:p w14:paraId="66AC61D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E33881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9F95F1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49E291C" w14:textId="77777777" w:rsidTr="00A755A7">
        <w:tblPrEx>
          <w:jc w:val="left"/>
        </w:tblPrEx>
        <w:trPr>
          <w:trHeight w:val="20"/>
        </w:trPr>
        <w:tc>
          <w:tcPr>
            <w:tcW w:w="700" w:type="dxa"/>
            <w:shd w:val="clear" w:color="auto" w:fill="auto"/>
            <w:noWrap/>
            <w:vAlign w:val="center"/>
            <w:hideMark/>
          </w:tcPr>
          <w:p w14:paraId="53D672B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73200</w:t>
            </w:r>
          </w:p>
        </w:tc>
        <w:tc>
          <w:tcPr>
            <w:tcW w:w="3973" w:type="dxa"/>
            <w:shd w:val="clear" w:color="auto" w:fill="auto"/>
            <w:vAlign w:val="center"/>
            <w:hideMark/>
          </w:tcPr>
          <w:p w14:paraId="64FC6F1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Valores representativos de deuda adquiridos con fines de política económica.</w:t>
            </w:r>
          </w:p>
        </w:tc>
        <w:tc>
          <w:tcPr>
            <w:tcW w:w="1276" w:type="dxa"/>
            <w:shd w:val="clear" w:color="auto" w:fill="auto"/>
            <w:noWrap/>
            <w:vAlign w:val="center"/>
          </w:tcPr>
          <w:p w14:paraId="433E823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015A4E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963617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B97A41B" w14:textId="77777777" w:rsidTr="00A755A7">
        <w:tblPrEx>
          <w:jc w:val="left"/>
        </w:tblPrEx>
        <w:trPr>
          <w:trHeight w:val="20"/>
        </w:trPr>
        <w:tc>
          <w:tcPr>
            <w:tcW w:w="700" w:type="dxa"/>
            <w:shd w:val="clear" w:color="auto" w:fill="auto"/>
            <w:noWrap/>
            <w:vAlign w:val="center"/>
            <w:hideMark/>
          </w:tcPr>
          <w:p w14:paraId="629BD0B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73300</w:t>
            </w:r>
          </w:p>
        </w:tc>
        <w:tc>
          <w:tcPr>
            <w:tcW w:w="3973" w:type="dxa"/>
            <w:shd w:val="clear" w:color="auto" w:fill="auto"/>
            <w:vAlign w:val="center"/>
            <w:hideMark/>
          </w:tcPr>
          <w:p w14:paraId="0EA2E98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Valores representativos de deuda adquiridos con fines de gestión de liquidez.</w:t>
            </w:r>
          </w:p>
        </w:tc>
        <w:tc>
          <w:tcPr>
            <w:tcW w:w="1276" w:type="dxa"/>
            <w:shd w:val="clear" w:color="auto" w:fill="auto"/>
            <w:noWrap/>
            <w:vAlign w:val="center"/>
          </w:tcPr>
          <w:p w14:paraId="1AE4B85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381414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0B1AF1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0E60A0C" w14:textId="77777777" w:rsidTr="00A755A7">
        <w:tblPrEx>
          <w:jc w:val="left"/>
        </w:tblPrEx>
        <w:trPr>
          <w:trHeight w:val="20"/>
        </w:trPr>
        <w:tc>
          <w:tcPr>
            <w:tcW w:w="700" w:type="dxa"/>
            <w:shd w:val="clear" w:color="auto" w:fill="auto"/>
            <w:noWrap/>
            <w:vAlign w:val="center"/>
            <w:hideMark/>
          </w:tcPr>
          <w:p w14:paraId="637F7EF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73400</w:t>
            </w:r>
          </w:p>
        </w:tc>
        <w:tc>
          <w:tcPr>
            <w:tcW w:w="3973" w:type="dxa"/>
            <w:shd w:val="clear" w:color="auto" w:fill="auto"/>
            <w:vAlign w:val="center"/>
            <w:hideMark/>
          </w:tcPr>
          <w:p w14:paraId="2D36BDC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Obligaciones negociables adquiridas con fines de política económica.</w:t>
            </w:r>
          </w:p>
        </w:tc>
        <w:tc>
          <w:tcPr>
            <w:tcW w:w="1276" w:type="dxa"/>
            <w:shd w:val="clear" w:color="auto" w:fill="auto"/>
            <w:noWrap/>
            <w:vAlign w:val="center"/>
          </w:tcPr>
          <w:p w14:paraId="281BFC7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4B08A3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3B4246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4772EEF" w14:textId="77777777" w:rsidTr="00A755A7">
        <w:tblPrEx>
          <w:jc w:val="left"/>
        </w:tblPrEx>
        <w:trPr>
          <w:trHeight w:val="20"/>
        </w:trPr>
        <w:tc>
          <w:tcPr>
            <w:tcW w:w="700" w:type="dxa"/>
            <w:shd w:val="clear" w:color="auto" w:fill="auto"/>
            <w:noWrap/>
            <w:vAlign w:val="center"/>
            <w:hideMark/>
          </w:tcPr>
          <w:p w14:paraId="141C146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73500</w:t>
            </w:r>
          </w:p>
        </w:tc>
        <w:tc>
          <w:tcPr>
            <w:tcW w:w="3973" w:type="dxa"/>
            <w:shd w:val="clear" w:color="auto" w:fill="auto"/>
            <w:vAlign w:val="center"/>
            <w:hideMark/>
          </w:tcPr>
          <w:p w14:paraId="1448579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Obligaciones negociables adquiridas con fines de gestión de liquidez.</w:t>
            </w:r>
          </w:p>
        </w:tc>
        <w:tc>
          <w:tcPr>
            <w:tcW w:w="1276" w:type="dxa"/>
            <w:shd w:val="clear" w:color="auto" w:fill="auto"/>
            <w:noWrap/>
            <w:vAlign w:val="center"/>
          </w:tcPr>
          <w:p w14:paraId="36541CF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3E83CA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F6AEF9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DA38EEE" w14:textId="77777777" w:rsidTr="00A755A7">
        <w:tblPrEx>
          <w:jc w:val="left"/>
        </w:tblPrEx>
        <w:trPr>
          <w:trHeight w:val="20"/>
        </w:trPr>
        <w:tc>
          <w:tcPr>
            <w:tcW w:w="700" w:type="dxa"/>
            <w:shd w:val="clear" w:color="auto" w:fill="auto"/>
            <w:noWrap/>
            <w:vAlign w:val="center"/>
            <w:hideMark/>
          </w:tcPr>
          <w:p w14:paraId="3B50329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73900</w:t>
            </w:r>
          </w:p>
        </w:tc>
        <w:tc>
          <w:tcPr>
            <w:tcW w:w="3973" w:type="dxa"/>
            <w:shd w:val="clear" w:color="auto" w:fill="auto"/>
            <w:vAlign w:val="center"/>
            <w:hideMark/>
          </w:tcPr>
          <w:p w14:paraId="0EB15AF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valores.</w:t>
            </w:r>
          </w:p>
        </w:tc>
        <w:tc>
          <w:tcPr>
            <w:tcW w:w="1276" w:type="dxa"/>
            <w:shd w:val="clear" w:color="auto" w:fill="auto"/>
            <w:noWrap/>
            <w:vAlign w:val="center"/>
          </w:tcPr>
          <w:p w14:paraId="44FB919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20D42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1B23B8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FCEABD2" w14:textId="77777777" w:rsidTr="00A755A7">
        <w:tblPrEx>
          <w:jc w:val="left"/>
        </w:tblPrEx>
        <w:trPr>
          <w:trHeight w:val="20"/>
        </w:trPr>
        <w:tc>
          <w:tcPr>
            <w:tcW w:w="700" w:type="dxa"/>
            <w:shd w:val="clear" w:color="auto" w:fill="auto"/>
            <w:noWrap/>
            <w:vAlign w:val="center"/>
            <w:hideMark/>
          </w:tcPr>
          <w:p w14:paraId="46AF10DC"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74000</w:t>
            </w:r>
          </w:p>
        </w:tc>
        <w:tc>
          <w:tcPr>
            <w:tcW w:w="3973" w:type="dxa"/>
            <w:shd w:val="clear" w:color="auto" w:fill="auto"/>
            <w:vAlign w:val="center"/>
            <w:hideMark/>
          </w:tcPr>
          <w:p w14:paraId="45269DF1"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CONCESION DE PRÉSTAMOS.</w:t>
            </w:r>
          </w:p>
        </w:tc>
        <w:tc>
          <w:tcPr>
            <w:tcW w:w="1276" w:type="dxa"/>
            <w:shd w:val="clear" w:color="auto" w:fill="auto"/>
            <w:noWrap/>
            <w:vAlign w:val="center"/>
          </w:tcPr>
          <w:p w14:paraId="7585EE1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2E0C6D8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2DD3C23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1CB45B5A" w14:textId="77777777" w:rsidTr="00A755A7">
        <w:tblPrEx>
          <w:jc w:val="left"/>
        </w:tblPrEx>
        <w:trPr>
          <w:trHeight w:val="20"/>
        </w:trPr>
        <w:tc>
          <w:tcPr>
            <w:tcW w:w="700" w:type="dxa"/>
            <w:shd w:val="clear" w:color="auto" w:fill="auto"/>
            <w:noWrap/>
            <w:vAlign w:val="center"/>
            <w:hideMark/>
          </w:tcPr>
          <w:p w14:paraId="26A26A1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74100</w:t>
            </w:r>
          </w:p>
        </w:tc>
        <w:tc>
          <w:tcPr>
            <w:tcW w:w="3973" w:type="dxa"/>
            <w:shd w:val="clear" w:color="auto" w:fill="auto"/>
            <w:vAlign w:val="center"/>
            <w:hideMark/>
          </w:tcPr>
          <w:p w14:paraId="3FCC9CD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Concesión de préstamos a entidades paraestatales no empresariales y no financieras con fines de política económica.</w:t>
            </w:r>
          </w:p>
        </w:tc>
        <w:tc>
          <w:tcPr>
            <w:tcW w:w="1276" w:type="dxa"/>
            <w:shd w:val="clear" w:color="auto" w:fill="auto"/>
            <w:noWrap/>
            <w:vAlign w:val="center"/>
          </w:tcPr>
          <w:p w14:paraId="27A8DB1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3E8C63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407DCF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0259E31" w14:textId="77777777" w:rsidTr="00A755A7">
        <w:tblPrEx>
          <w:jc w:val="left"/>
        </w:tblPrEx>
        <w:trPr>
          <w:trHeight w:val="20"/>
        </w:trPr>
        <w:tc>
          <w:tcPr>
            <w:tcW w:w="700" w:type="dxa"/>
            <w:shd w:val="clear" w:color="auto" w:fill="auto"/>
            <w:noWrap/>
            <w:vAlign w:val="center"/>
            <w:hideMark/>
          </w:tcPr>
          <w:p w14:paraId="4E2155F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74200</w:t>
            </w:r>
          </w:p>
        </w:tc>
        <w:tc>
          <w:tcPr>
            <w:tcW w:w="3973" w:type="dxa"/>
            <w:shd w:val="clear" w:color="auto" w:fill="auto"/>
            <w:vAlign w:val="center"/>
            <w:hideMark/>
          </w:tcPr>
          <w:p w14:paraId="6FEB255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Concesión de préstamos a entidades paraestatales empresariales y no financieras con fines de política económica.</w:t>
            </w:r>
          </w:p>
        </w:tc>
        <w:tc>
          <w:tcPr>
            <w:tcW w:w="1276" w:type="dxa"/>
            <w:shd w:val="clear" w:color="auto" w:fill="auto"/>
            <w:noWrap/>
            <w:vAlign w:val="center"/>
          </w:tcPr>
          <w:p w14:paraId="2B04612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211152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46635A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217EEF6" w14:textId="77777777" w:rsidTr="00A755A7">
        <w:tblPrEx>
          <w:jc w:val="left"/>
        </w:tblPrEx>
        <w:trPr>
          <w:trHeight w:val="20"/>
        </w:trPr>
        <w:tc>
          <w:tcPr>
            <w:tcW w:w="700" w:type="dxa"/>
            <w:shd w:val="clear" w:color="auto" w:fill="auto"/>
            <w:noWrap/>
            <w:vAlign w:val="center"/>
            <w:hideMark/>
          </w:tcPr>
          <w:p w14:paraId="5E3272B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74300</w:t>
            </w:r>
          </w:p>
        </w:tc>
        <w:tc>
          <w:tcPr>
            <w:tcW w:w="3973" w:type="dxa"/>
            <w:shd w:val="clear" w:color="auto" w:fill="auto"/>
            <w:vAlign w:val="center"/>
            <w:hideMark/>
          </w:tcPr>
          <w:p w14:paraId="5067200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Concesión de préstamos a instituciones paraestatales públicas financieras con fines de política económica.</w:t>
            </w:r>
          </w:p>
        </w:tc>
        <w:tc>
          <w:tcPr>
            <w:tcW w:w="1276" w:type="dxa"/>
            <w:shd w:val="clear" w:color="auto" w:fill="auto"/>
            <w:noWrap/>
            <w:vAlign w:val="center"/>
          </w:tcPr>
          <w:p w14:paraId="1F43C48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5D7DDD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56656A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A6CFEF8" w14:textId="77777777" w:rsidTr="00A755A7">
        <w:tblPrEx>
          <w:jc w:val="left"/>
        </w:tblPrEx>
        <w:trPr>
          <w:trHeight w:val="20"/>
        </w:trPr>
        <w:tc>
          <w:tcPr>
            <w:tcW w:w="700" w:type="dxa"/>
            <w:shd w:val="clear" w:color="auto" w:fill="auto"/>
            <w:noWrap/>
            <w:vAlign w:val="center"/>
            <w:hideMark/>
          </w:tcPr>
          <w:p w14:paraId="6B370B1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74400</w:t>
            </w:r>
          </w:p>
        </w:tc>
        <w:tc>
          <w:tcPr>
            <w:tcW w:w="3973" w:type="dxa"/>
            <w:shd w:val="clear" w:color="auto" w:fill="auto"/>
            <w:vAlign w:val="center"/>
            <w:hideMark/>
          </w:tcPr>
          <w:p w14:paraId="39B236C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Concesión de préstamos a entidades federativas y municipios con fines de política económica.</w:t>
            </w:r>
          </w:p>
        </w:tc>
        <w:tc>
          <w:tcPr>
            <w:tcW w:w="1276" w:type="dxa"/>
            <w:shd w:val="clear" w:color="auto" w:fill="auto"/>
            <w:noWrap/>
            <w:vAlign w:val="center"/>
          </w:tcPr>
          <w:p w14:paraId="04EC0F3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F1171A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B42BD8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EB3A9C3" w14:textId="77777777" w:rsidTr="00A755A7">
        <w:tblPrEx>
          <w:jc w:val="left"/>
        </w:tblPrEx>
        <w:trPr>
          <w:trHeight w:val="20"/>
        </w:trPr>
        <w:tc>
          <w:tcPr>
            <w:tcW w:w="700" w:type="dxa"/>
            <w:shd w:val="clear" w:color="auto" w:fill="auto"/>
            <w:noWrap/>
            <w:vAlign w:val="center"/>
            <w:hideMark/>
          </w:tcPr>
          <w:p w14:paraId="627E224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74500</w:t>
            </w:r>
          </w:p>
        </w:tc>
        <w:tc>
          <w:tcPr>
            <w:tcW w:w="3973" w:type="dxa"/>
            <w:shd w:val="clear" w:color="auto" w:fill="auto"/>
            <w:vAlign w:val="center"/>
            <w:hideMark/>
          </w:tcPr>
          <w:p w14:paraId="1BF68BE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Concesión de préstamos al sector privado con fines de política económica.</w:t>
            </w:r>
          </w:p>
        </w:tc>
        <w:tc>
          <w:tcPr>
            <w:tcW w:w="1276" w:type="dxa"/>
            <w:shd w:val="clear" w:color="auto" w:fill="auto"/>
            <w:noWrap/>
            <w:vAlign w:val="center"/>
          </w:tcPr>
          <w:p w14:paraId="5C623C5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FB2AA0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430C99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63A5743" w14:textId="77777777" w:rsidTr="00A755A7">
        <w:tblPrEx>
          <w:jc w:val="left"/>
        </w:tblPrEx>
        <w:trPr>
          <w:trHeight w:val="20"/>
        </w:trPr>
        <w:tc>
          <w:tcPr>
            <w:tcW w:w="700" w:type="dxa"/>
            <w:shd w:val="clear" w:color="auto" w:fill="auto"/>
            <w:noWrap/>
            <w:vAlign w:val="center"/>
            <w:hideMark/>
          </w:tcPr>
          <w:p w14:paraId="6D845EE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74600</w:t>
            </w:r>
          </w:p>
        </w:tc>
        <w:tc>
          <w:tcPr>
            <w:tcW w:w="3973" w:type="dxa"/>
            <w:shd w:val="clear" w:color="auto" w:fill="auto"/>
            <w:vAlign w:val="center"/>
            <w:hideMark/>
          </w:tcPr>
          <w:p w14:paraId="0A38AAB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Concesión de préstamos al sector externo con fines de política económica.</w:t>
            </w:r>
          </w:p>
        </w:tc>
        <w:tc>
          <w:tcPr>
            <w:tcW w:w="1276" w:type="dxa"/>
            <w:shd w:val="clear" w:color="auto" w:fill="auto"/>
            <w:noWrap/>
            <w:vAlign w:val="center"/>
          </w:tcPr>
          <w:p w14:paraId="3AF910C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004AEC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EB0F88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F4D4B85" w14:textId="77777777" w:rsidTr="00A755A7">
        <w:tblPrEx>
          <w:jc w:val="left"/>
        </w:tblPrEx>
        <w:trPr>
          <w:trHeight w:val="20"/>
        </w:trPr>
        <w:tc>
          <w:tcPr>
            <w:tcW w:w="700" w:type="dxa"/>
            <w:shd w:val="clear" w:color="auto" w:fill="auto"/>
            <w:noWrap/>
            <w:vAlign w:val="center"/>
            <w:hideMark/>
          </w:tcPr>
          <w:p w14:paraId="37328A5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74700</w:t>
            </w:r>
          </w:p>
        </w:tc>
        <w:tc>
          <w:tcPr>
            <w:tcW w:w="3973" w:type="dxa"/>
            <w:shd w:val="clear" w:color="auto" w:fill="auto"/>
            <w:vAlign w:val="center"/>
            <w:hideMark/>
          </w:tcPr>
          <w:p w14:paraId="28F2261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Concesión de préstamos al sector público con fines de gestión de liquidez.</w:t>
            </w:r>
          </w:p>
        </w:tc>
        <w:tc>
          <w:tcPr>
            <w:tcW w:w="1276" w:type="dxa"/>
            <w:shd w:val="clear" w:color="auto" w:fill="auto"/>
            <w:noWrap/>
            <w:vAlign w:val="center"/>
          </w:tcPr>
          <w:p w14:paraId="6CACFFB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3DA55B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A16FF4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B460032" w14:textId="77777777" w:rsidTr="00A755A7">
        <w:tblPrEx>
          <w:jc w:val="left"/>
        </w:tblPrEx>
        <w:trPr>
          <w:trHeight w:val="20"/>
        </w:trPr>
        <w:tc>
          <w:tcPr>
            <w:tcW w:w="700" w:type="dxa"/>
            <w:shd w:val="clear" w:color="auto" w:fill="auto"/>
            <w:noWrap/>
            <w:vAlign w:val="center"/>
            <w:hideMark/>
          </w:tcPr>
          <w:p w14:paraId="635714A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74800</w:t>
            </w:r>
          </w:p>
        </w:tc>
        <w:tc>
          <w:tcPr>
            <w:tcW w:w="3973" w:type="dxa"/>
            <w:shd w:val="clear" w:color="auto" w:fill="auto"/>
            <w:vAlign w:val="center"/>
            <w:hideMark/>
          </w:tcPr>
          <w:p w14:paraId="1EBFC3E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Concesión de préstamos al sector privado con fines de gestión de liquidez.</w:t>
            </w:r>
          </w:p>
        </w:tc>
        <w:tc>
          <w:tcPr>
            <w:tcW w:w="1276" w:type="dxa"/>
            <w:shd w:val="clear" w:color="auto" w:fill="auto"/>
            <w:noWrap/>
            <w:vAlign w:val="center"/>
          </w:tcPr>
          <w:p w14:paraId="3DCC279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C1803E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059ACC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5BE813E" w14:textId="77777777" w:rsidTr="00A755A7">
        <w:tblPrEx>
          <w:jc w:val="left"/>
        </w:tblPrEx>
        <w:trPr>
          <w:trHeight w:val="20"/>
        </w:trPr>
        <w:tc>
          <w:tcPr>
            <w:tcW w:w="700" w:type="dxa"/>
            <w:shd w:val="clear" w:color="auto" w:fill="auto"/>
            <w:noWrap/>
            <w:vAlign w:val="center"/>
            <w:hideMark/>
          </w:tcPr>
          <w:p w14:paraId="378256F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74900</w:t>
            </w:r>
          </w:p>
        </w:tc>
        <w:tc>
          <w:tcPr>
            <w:tcW w:w="3973" w:type="dxa"/>
            <w:shd w:val="clear" w:color="auto" w:fill="auto"/>
            <w:vAlign w:val="center"/>
            <w:hideMark/>
          </w:tcPr>
          <w:p w14:paraId="1E4EB1D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Concesión de préstamos al sector externo con fines de gestión de liquidez.</w:t>
            </w:r>
          </w:p>
        </w:tc>
        <w:tc>
          <w:tcPr>
            <w:tcW w:w="1276" w:type="dxa"/>
            <w:shd w:val="clear" w:color="auto" w:fill="auto"/>
            <w:noWrap/>
            <w:vAlign w:val="center"/>
          </w:tcPr>
          <w:p w14:paraId="4C09983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72058C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EFAC75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EED9C0F" w14:textId="77777777" w:rsidTr="00A755A7">
        <w:tblPrEx>
          <w:jc w:val="left"/>
        </w:tblPrEx>
        <w:trPr>
          <w:trHeight w:val="20"/>
        </w:trPr>
        <w:tc>
          <w:tcPr>
            <w:tcW w:w="700" w:type="dxa"/>
            <w:shd w:val="clear" w:color="auto" w:fill="auto"/>
            <w:noWrap/>
            <w:vAlign w:val="center"/>
            <w:hideMark/>
          </w:tcPr>
          <w:p w14:paraId="4870EE2E"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75000</w:t>
            </w:r>
          </w:p>
        </w:tc>
        <w:tc>
          <w:tcPr>
            <w:tcW w:w="3973" w:type="dxa"/>
            <w:shd w:val="clear" w:color="auto" w:fill="auto"/>
            <w:vAlign w:val="center"/>
            <w:hideMark/>
          </w:tcPr>
          <w:p w14:paraId="2F6E3F91"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INVERSIONES EN FIDEICOMISOS, MANDATOS Y OTROS ANALOGOS.</w:t>
            </w:r>
          </w:p>
        </w:tc>
        <w:tc>
          <w:tcPr>
            <w:tcW w:w="1276" w:type="dxa"/>
            <w:shd w:val="clear" w:color="auto" w:fill="auto"/>
            <w:noWrap/>
            <w:vAlign w:val="center"/>
          </w:tcPr>
          <w:p w14:paraId="338963E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38C9B68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2D6B782A"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6DECCB92" w14:textId="77777777" w:rsidTr="00A755A7">
        <w:tblPrEx>
          <w:jc w:val="left"/>
        </w:tblPrEx>
        <w:trPr>
          <w:trHeight w:val="20"/>
        </w:trPr>
        <w:tc>
          <w:tcPr>
            <w:tcW w:w="700" w:type="dxa"/>
            <w:shd w:val="clear" w:color="auto" w:fill="auto"/>
            <w:noWrap/>
            <w:vAlign w:val="center"/>
            <w:hideMark/>
          </w:tcPr>
          <w:p w14:paraId="4C8892C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75100</w:t>
            </w:r>
          </w:p>
        </w:tc>
        <w:tc>
          <w:tcPr>
            <w:tcW w:w="3973" w:type="dxa"/>
            <w:shd w:val="clear" w:color="auto" w:fill="auto"/>
            <w:vAlign w:val="center"/>
            <w:hideMark/>
          </w:tcPr>
          <w:p w14:paraId="2E7410B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Inversiones en fideicomisos del Poder Ejecutivo.</w:t>
            </w:r>
          </w:p>
        </w:tc>
        <w:tc>
          <w:tcPr>
            <w:tcW w:w="1276" w:type="dxa"/>
            <w:shd w:val="clear" w:color="auto" w:fill="auto"/>
            <w:noWrap/>
            <w:vAlign w:val="center"/>
          </w:tcPr>
          <w:p w14:paraId="35B24BA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40DBD6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E271F6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A4B7493" w14:textId="77777777" w:rsidTr="00A755A7">
        <w:tblPrEx>
          <w:jc w:val="left"/>
        </w:tblPrEx>
        <w:trPr>
          <w:trHeight w:val="20"/>
        </w:trPr>
        <w:tc>
          <w:tcPr>
            <w:tcW w:w="700" w:type="dxa"/>
            <w:shd w:val="clear" w:color="auto" w:fill="auto"/>
            <w:noWrap/>
            <w:vAlign w:val="center"/>
            <w:hideMark/>
          </w:tcPr>
          <w:p w14:paraId="304A845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75200</w:t>
            </w:r>
          </w:p>
        </w:tc>
        <w:tc>
          <w:tcPr>
            <w:tcW w:w="3973" w:type="dxa"/>
            <w:shd w:val="clear" w:color="auto" w:fill="auto"/>
            <w:vAlign w:val="center"/>
            <w:hideMark/>
          </w:tcPr>
          <w:p w14:paraId="35C4EC6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Inversiones en fideicomisos del Poder Legislativo.</w:t>
            </w:r>
          </w:p>
        </w:tc>
        <w:tc>
          <w:tcPr>
            <w:tcW w:w="1276" w:type="dxa"/>
            <w:shd w:val="clear" w:color="auto" w:fill="auto"/>
            <w:noWrap/>
            <w:vAlign w:val="center"/>
          </w:tcPr>
          <w:p w14:paraId="5EAD241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34EAB4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C0D6E4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6E32846" w14:textId="77777777" w:rsidTr="00A755A7">
        <w:tblPrEx>
          <w:jc w:val="left"/>
        </w:tblPrEx>
        <w:trPr>
          <w:trHeight w:val="20"/>
        </w:trPr>
        <w:tc>
          <w:tcPr>
            <w:tcW w:w="700" w:type="dxa"/>
            <w:shd w:val="clear" w:color="auto" w:fill="auto"/>
            <w:noWrap/>
            <w:vAlign w:val="center"/>
            <w:hideMark/>
          </w:tcPr>
          <w:p w14:paraId="1BC417D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75300</w:t>
            </w:r>
          </w:p>
        </w:tc>
        <w:tc>
          <w:tcPr>
            <w:tcW w:w="3973" w:type="dxa"/>
            <w:shd w:val="clear" w:color="auto" w:fill="auto"/>
            <w:vAlign w:val="center"/>
            <w:hideMark/>
          </w:tcPr>
          <w:p w14:paraId="4CD2CD1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Inversiones en fideicomisos del Poder Judicial.</w:t>
            </w:r>
          </w:p>
        </w:tc>
        <w:tc>
          <w:tcPr>
            <w:tcW w:w="1276" w:type="dxa"/>
            <w:shd w:val="clear" w:color="auto" w:fill="auto"/>
            <w:noWrap/>
            <w:vAlign w:val="center"/>
          </w:tcPr>
          <w:p w14:paraId="4E14057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121781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C092BD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6F684E3" w14:textId="77777777" w:rsidTr="00A755A7">
        <w:tblPrEx>
          <w:jc w:val="left"/>
        </w:tblPrEx>
        <w:trPr>
          <w:trHeight w:val="20"/>
        </w:trPr>
        <w:tc>
          <w:tcPr>
            <w:tcW w:w="700" w:type="dxa"/>
            <w:shd w:val="clear" w:color="auto" w:fill="auto"/>
            <w:noWrap/>
            <w:vAlign w:val="center"/>
            <w:hideMark/>
          </w:tcPr>
          <w:p w14:paraId="038CF17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75400</w:t>
            </w:r>
          </w:p>
        </w:tc>
        <w:tc>
          <w:tcPr>
            <w:tcW w:w="3973" w:type="dxa"/>
            <w:shd w:val="clear" w:color="auto" w:fill="auto"/>
            <w:vAlign w:val="center"/>
            <w:hideMark/>
          </w:tcPr>
          <w:p w14:paraId="5118AC7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Inversiones en fideicomisos públicos no empresariales y no financieros.</w:t>
            </w:r>
          </w:p>
        </w:tc>
        <w:tc>
          <w:tcPr>
            <w:tcW w:w="1276" w:type="dxa"/>
            <w:shd w:val="clear" w:color="auto" w:fill="auto"/>
            <w:noWrap/>
            <w:vAlign w:val="center"/>
          </w:tcPr>
          <w:p w14:paraId="3A9D0E3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637750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890681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D9901BA" w14:textId="77777777" w:rsidTr="00A755A7">
        <w:tblPrEx>
          <w:jc w:val="left"/>
        </w:tblPrEx>
        <w:trPr>
          <w:trHeight w:val="20"/>
        </w:trPr>
        <w:tc>
          <w:tcPr>
            <w:tcW w:w="700" w:type="dxa"/>
            <w:shd w:val="clear" w:color="auto" w:fill="auto"/>
            <w:noWrap/>
            <w:vAlign w:val="center"/>
            <w:hideMark/>
          </w:tcPr>
          <w:p w14:paraId="5A54D15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75500</w:t>
            </w:r>
          </w:p>
        </w:tc>
        <w:tc>
          <w:tcPr>
            <w:tcW w:w="3973" w:type="dxa"/>
            <w:shd w:val="clear" w:color="auto" w:fill="auto"/>
            <w:vAlign w:val="center"/>
            <w:hideMark/>
          </w:tcPr>
          <w:p w14:paraId="02EF6DB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Inversiones en fideicomisos públicos empresariales y no financieros.</w:t>
            </w:r>
          </w:p>
        </w:tc>
        <w:tc>
          <w:tcPr>
            <w:tcW w:w="1276" w:type="dxa"/>
            <w:shd w:val="clear" w:color="auto" w:fill="auto"/>
            <w:noWrap/>
            <w:vAlign w:val="center"/>
          </w:tcPr>
          <w:p w14:paraId="364FE18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18C347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AC6899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6FC20E5" w14:textId="77777777" w:rsidTr="00A755A7">
        <w:tblPrEx>
          <w:jc w:val="left"/>
        </w:tblPrEx>
        <w:trPr>
          <w:trHeight w:val="20"/>
        </w:trPr>
        <w:tc>
          <w:tcPr>
            <w:tcW w:w="700" w:type="dxa"/>
            <w:shd w:val="clear" w:color="auto" w:fill="auto"/>
            <w:noWrap/>
            <w:vAlign w:val="center"/>
            <w:hideMark/>
          </w:tcPr>
          <w:p w14:paraId="51E42C4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75600</w:t>
            </w:r>
          </w:p>
        </w:tc>
        <w:tc>
          <w:tcPr>
            <w:tcW w:w="3973" w:type="dxa"/>
            <w:shd w:val="clear" w:color="auto" w:fill="auto"/>
            <w:vAlign w:val="center"/>
            <w:hideMark/>
          </w:tcPr>
          <w:p w14:paraId="3983E60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Inversiones en fideicomisos públicos financieros.</w:t>
            </w:r>
          </w:p>
        </w:tc>
        <w:tc>
          <w:tcPr>
            <w:tcW w:w="1276" w:type="dxa"/>
            <w:shd w:val="clear" w:color="auto" w:fill="auto"/>
            <w:noWrap/>
            <w:vAlign w:val="center"/>
          </w:tcPr>
          <w:p w14:paraId="141D726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8BA2ED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9A4812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9710C2B" w14:textId="77777777" w:rsidTr="00A755A7">
        <w:tblPrEx>
          <w:jc w:val="left"/>
        </w:tblPrEx>
        <w:trPr>
          <w:trHeight w:val="20"/>
        </w:trPr>
        <w:tc>
          <w:tcPr>
            <w:tcW w:w="700" w:type="dxa"/>
            <w:shd w:val="clear" w:color="auto" w:fill="auto"/>
            <w:noWrap/>
            <w:vAlign w:val="center"/>
            <w:hideMark/>
          </w:tcPr>
          <w:p w14:paraId="3186B59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75700</w:t>
            </w:r>
          </w:p>
        </w:tc>
        <w:tc>
          <w:tcPr>
            <w:tcW w:w="3973" w:type="dxa"/>
            <w:shd w:val="clear" w:color="auto" w:fill="auto"/>
            <w:vAlign w:val="center"/>
            <w:hideMark/>
          </w:tcPr>
          <w:p w14:paraId="17F1A89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Inversiones en fideicomisos de entidades federativas.</w:t>
            </w:r>
          </w:p>
        </w:tc>
        <w:tc>
          <w:tcPr>
            <w:tcW w:w="1276" w:type="dxa"/>
            <w:shd w:val="clear" w:color="auto" w:fill="auto"/>
            <w:noWrap/>
            <w:vAlign w:val="center"/>
          </w:tcPr>
          <w:p w14:paraId="2CDC916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4C3D8C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85FACB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6A554A9" w14:textId="77777777" w:rsidTr="00A755A7">
        <w:tblPrEx>
          <w:jc w:val="left"/>
        </w:tblPrEx>
        <w:trPr>
          <w:trHeight w:val="20"/>
        </w:trPr>
        <w:tc>
          <w:tcPr>
            <w:tcW w:w="700" w:type="dxa"/>
            <w:shd w:val="clear" w:color="auto" w:fill="auto"/>
            <w:noWrap/>
            <w:vAlign w:val="center"/>
            <w:hideMark/>
          </w:tcPr>
          <w:p w14:paraId="60ECAFD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75800</w:t>
            </w:r>
          </w:p>
        </w:tc>
        <w:tc>
          <w:tcPr>
            <w:tcW w:w="3973" w:type="dxa"/>
            <w:shd w:val="clear" w:color="auto" w:fill="auto"/>
            <w:vAlign w:val="center"/>
            <w:hideMark/>
          </w:tcPr>
          <w:p w14:paraId="73231D0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Inversiones en fideicomisos de municipios.</w:t>
            </w:r>
          </w:p>
        </w:tc>
        <w:tc>
          <w:tcPr>
            <w:tcW w:w="1276" w:type="dxa"/>
            <w:shd w:val="clear" w:color="auto" w:fill="auto"/>
            <w:noWrap/>
            <w:vAlign w:val="center"/>
          </w:tcPr>
          <w:p w14:paraId="251E7A4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D45C7B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90A993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4FDF9BD" w14:textId="77777777" w:rsidTr="00A755A7">
        <w:tblPrEx>
          <w:jc w:val="left"/>
        </w:tblPrEx>
        <w:trPr>
          <w:trHeight w:val="20"/>
        </w:trPr>
        <w:tc>
          <w:tcPr>
            <w:tcW w:w="700" w:type="dxa"/>
            <w:shd w:val="clear" w:color="auto" w:fill="auto"/>
            <w:noWrap/>
            <w:vAlign w:val="center"/>
            <w:hideMark/>
          </w:tcPr>
          <w:p w14:paraId="4FADA44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75900</w:t>
            </w:r>
          </w:p>
        </w:tc>
        <w:tc>
          <w:tcPr>
            <w:tcW w:w="3973" w:type="dxa"/>
            <w:shd w:val="clear" w:color="auto" w:fill="auto"/>
            <w:vAlign w:val="center"/>
            <w:hideMark/>
          </w:tcPr>
          <w:p w14:paraId="5383D2D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Otras inversiones en fideicomisos.</w:t>
            </w:r>
          </w:p>
        </w:tc>
        <w:tc>
          <w:tcPr>
            <w:tcW w:w="1276" w:type="dxa"/>
            <w:shd w:val="clear" w:color="auto" w:fill="auto"/>
            <w:noWrap/>
            <w:vAlign w:val="center"/>
          </w:tcPr>
          <w:p w14:paraId="033C71E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0EA5EB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A3F99D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F2C17CC" w14:textId="77777777" w:rsidTr="00A755A7">
        <w:tblPrEx>
          <w:jc w:val="left"/>
        </w:tblPrEx>
        <w:trPr>
          <w:trHeight w:val="20"/>
        </w:trPr>
        <w:tc>
          <w:tcPr>
            <w:tcW w:w="700" w:type="dxa"/>
            <w:shd w:val="clear" w:color="auto" w:fill="auto"/>
            <w:noWrap/>
            <w:vAlign w:val="center"/>
            <w:hideMark/>
          </w:tcPr>
          <w:p w14:paraId="4E62B4AE"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76000</w:t>
            </w:r>
          </w:p>
        </w:tc>
        <w:tc>
          <w:tcPr>
            <w:tcW w:w="3973" w:type="dxa"/>
            <w:shd w:val="clear" w:color="auto" w:fill="auto"/>
            <w:vAlign w:val="center"/>
            <w:hideMark/>
          </w:tcPr>
          <w:p w14:paraId="3BBA5C24"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OTRAS INVERSIONES FINANCIERAS.</w:t>
            </w:r>
          </w:p>
        </w:tc>
        <w:tc>
          <w:tcPr>
            <w:tcW w:w="1276" w:type="dxa"/>
            <w:shd w:val="clear" w:color="auto" w:fill="auto"/>
            <w:noWrap/>
            <w:vAlign w:val="center"/>
          </w:tcPr>
          <w:p w14:paraId="776D9E4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435D00E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61F856F0"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16750201" w14:textId="77777777" w:rsidTr="00A755A7">
        <w:tblPrEx>
          <w:jc w:val="left"/>
        </w:tblPrEx>
        <w:trPr>
          <w:trHeight w:val="20"/>
        </w:trPr>
        <w:tc>
          <w:tcPr>
            <w:tcW w:w="700" w:type="dxa"/>
            <w:shd w:val="clear" w:color="auto" w:fill="auto"/>
            <w:noWrap/>
            <w:vAlign w:val="center"/>
            <w:hideMark/>
          </w:tcPr>
          <w:p w14:paraId="2999A21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76100</w:t>
            </w:r>
          </w:p>
        </w:tc>
        <w:tc>
          <w:tcPr>
            <w:tcW w:w="3973" w:type="dxa"/>
            <w:shd w:val="clear" w:color="auto" w:fill="auto"/>
            <w:vAlign w:val="center"/>
            <w:hideMark/>
          </w:tcPr>
          <w:p w14:paraId="05EBE99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Depósitos a largo plazo en moneda nacional.</w:t>
            </w:r>
          </w:p>
        </w:tc>
        <w:tc>
          <w:tcPr>
            <w:tcW w:w="1276" w:type="dxa"/>
            <w:shd w:val="clear" w:color="auto" w:fill="auto"/>
            <w:noWrap/>
            <w:vAlign w:val="center"/>
          </w:tcPr>
          <w:p w14:paraId="466CA67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13AD29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8AD968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D2C255F" w14:textId="77777777" w:rsidTr="00A755A7">
        <w:tblPrEx>
          <w:jc w:val="left"/>
        </w:tblPrEx>
        <w:trPr>
          <w:trHeight w:val="20"/>
        </w:trPr>
        <w:tc>
          <w:tcPr>
            <w:tcW w:w="700" w:type="dxa"/>
            <w:shd w:val="clear" w:color="auto" w:fill="auto"/>
            <w:noWrap/>
            <w:vAlign w:val="center"/>
            <w:hideMark/>
          </w:tcPr>
          <w:p w14:paraId="21DA99F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76200</w:t>
            </w:r>
          </w:p>
        </w:tc>
        <w:tc>
          <w:tcPr>
            <w:tcW w:w="3973" w:type="dxa"/>
            <w:shd w:val="clear" w:color="auto" w:fill="auto"/>
            <w:vAlign w:val="center"/>
            <w:hideMark/>
          </w:tcPr>
          <w:p w14:paraId="5A52262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Depósitos a largo plazo en moneda extranjera.</w:t>
            </w:r>
          </w:p>
        </w:tc>
        <w:tc>
          <w:tcPr>
            <w:tcW w:w="1276" w:type="dxa"/>
            <w:shd w:val="clear" w:color="auto" w:fill="auto"/>
            <w:noWrap/>
            <w:vAlign w:val="center"/>
          </w:tcPr>
          <w:p w14:paraId="1C8F46B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F98C76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3277E7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B71ED99" w14:textId="77777777" w:rsidTr="00A755A7">
        <w:tblPrEx>
          <w:jc w:val="left"/>
        </w:tblPrEx>
        <w:trPr>
          <w:trHeight w:val="20"/>
        </w:trPr>
        <w:tc>
          <w:tcPr>
            <w:tcW w:w="700" w:type="dxa"/>
            <w:shd w:val="clear" w:color="auto" w:fill="auto"/>
            <w:noWrap/>
            <w:vAlign w:val="center"/>
            <w:hideMark/>
          </w:tcPr>
          <w:p w14:paraId="21A2B4E9"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79000</w:t>
            </w:r>
          </w:p>
        </w:tc>
        <w:tc>
          <w:tcPr>
            <w:tcW w:w="3973" w:type="dxa"/>
            <w:shd w:val="clear" w:color="auto" w:fill="auto"/>
            <w:vAlign w:val="center"/>
            <w:hideMark/>
          </w:tcPr>
          <w:p w14:paraId="7A030AC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PROVISIONES PARA CONTINGENCIAS Y OTRAS EROGACIONES ESPECIALES.</w:t>
            </w:r>
          </w:p>
        </w:tc>
        <w:tc>
          <w:tcPr>
            <w:tcW w:w="1276" w:type="dxa"/>
            <w:shd w:val="clear" w:color="auto" w:fill="auto"/>
            <w:noWrap/>
            <w:vAlign w:val="center"/>
          </w:tcPr>
          <w:p w14:paraId="61C2A1EE"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2,000,000 </w:t>
            </w:r>
          </w:p>
        </w:tc>
        <w:tc>
          <w:tcPr>
            <w:tcW w:w="1276" w:type="dxa"/>
            <w:shd w:val="clear" w:color="auto" w:fill="auto"/>
            <w:noWrap/>
            <w:vAlign w:val="center"/>
          </w:tcPr>
          <w:p w14:paraId="02CB15A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1,800,000 </w:t>
            </w:r>
          </w:p>
        </w:tc>
        <w:tc>
          <w:tcPr>
            <w:tcW w:w="1275" w:type="dxa"/>
            <w:shd w:val="clear" w:color="auto" w:fill="auto"/>
            <w:noWrap/>
            <w:vAlign w:val="center"/>
          </w:tcPr>
          <w:p w14:paraId="440B957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3,800,000 </w:t>
            </w:r>
          </w:p>
        </w:tc>
      </w:tr>
      <w:tr w:rsidR="00D868AB" w:rsidRPr="00D868AB" w14:paraId="74EAF322" w14:textId="77777777" w:rsidTr="00A755A7">
        <w:tblPrEx>
          <w:jc w:val="left"/>
        </w:tblPrEx>
        <w:trPr>
          <w:trHeight w:val="20"/>
        </w:trPr>
        <w:tc>
          <w:tcPr>
            <w:tcW w:w="700" w:type="dxa"/>
            <w:shd w:val="clear" w:color="auto" w:fill="auto"/>
            <w:noWrap/>
            <w:vAlign w:val="center"/>
            <w:hideMark/>
          </w:tcPr>
          <w:p w14:paraId="2CB4B843"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79100</w:t>
            </w:r>
          </w:p>
        </w:tc>
        <w:tc>
          <w:tcPr>
            <w:tcW w:w="3973" w:type="dxa"/>
            <w:shd w:val="clear" w:color="auto" w:fill="auto"/>
            <w:vAlign w:val="center"/>
            <w:hideMark/>
          </w:tcPr>
          <w:p w14:paraId="2C0DA63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Contingencias por fenómenos naturales.</w:t>
            </w:r>
          </w:p>
        </w:tc>
        <w:tc>
          <w:tcPr>
            <w:tcW w:w="1276" w:type="dxa"/>
            <w:shd w:val="clear" w:color="auto" w:fill="auto"/>
            <w:noWrap/>
            <w:vAlign w:val="center"/>
          </w:tcPr>
          <w:p w14:paraId="22AEC84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2,000,000 </w:t>
            </w:r>
          </w:p>
        </w:tc>
        <w:tc>
          <w:tcPr>
            <w:tcW w:w="1276" w:type="dxa"/>
            <w:shd w:val="clear" w:color="auto" w:fill="auto"/>
            <w:noWrap/>
            <w:vAlign w:val="center"/>
          </w:tcPr>
          <w:p w14:paraId="2646110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9080D1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2,000,000 </w:t>
            </w:r>
          </w:p>
        </w:tc>
      </w:tr>
      <w:tr w:rsidR="00D868AB" w:rsidRPr="00D868AB" w14:paraId="415D6C7A" w14:textId="77777777" w:rsidTr="00A755A7">
        <w:tblPrEx>
          <w:jc w:val="left"/>
        </w:tblPrEx>
        <w:trPr>
          <w:trHeight w:val="20"/>
        </w:trPr>
        <w:tc>
          <w:tcPr>
            <w:tcW w:w="700" w:type="dxa"/>
            <w:shd w:val="clear" w:color="auto" w:fill="auto"/>
            <w:noWrap/>
            <w:vAlign w:val="center"/>
            <w:hideMark/>
          </w:tcPr>
          <w:p w14:paraId="747E600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79200</w:t>
            </w:r>
          </w:p>
        </w:tc>
        <w:tc>
          <w:tcPr>
            <w:tcW w:w="3973" w:type="dxa"/>
            <w:shd w:val="clear" w:color="auto" w:fill="auto"/>
            <w:vAlign w:val="center"/>
            <w:hideMark/>
          </w:tcPr>
          <w:p w14:paraId="2F35DB8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Contingencias socioeconómicas.</w:t>
            </w:r>
          </w:p>
        </w:tc>
        <w:tc>
          <w:tcPr>
            <w:tcW w:w="1276" w:type="dxa"/>
            <w:shd w:val="clear" w:color="auto" w:fill="auto"/>
            <w:noWrap/>
            <w:vAlign w:val="center"/>
          </w:tcPr>
          <w:p w14:paraId="4034C4A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369345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60A39F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C204427" w14:textId="77777777" w:rsidTr="00A755A7">
        <w:tblPrEx>
          <w:jc w:val="left"/>
        </w:tblPrEx>
        <w:trPr>
          <w:trHeight w:val="20"/>
        </w:trPr>
        <w:tc>
          <w:tcPr>
            <w:tcW w:w="700" w:type="dxa"/>
            <w:shd w:val="clear" w:color="auto" w:fill="auto"/>
            <w:noWrap/>
            <w:vAlign w:val="center"/>
            <w:hideMark/>
          </w:tcPr>
          <w:p w14:paraId="3817585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79900</w:t>
            </w:r>
          </w:p>
        </w:tc>
        <w:tc>
          <w:tcPr>
            <w:tcW w:w="3973" w:type="dxa"/>
            <w:shd w:val="clear" w:color="auto" w:fill="auto"/>
            <w:vAlign w:val="center"/>
            <w:hideMark/>
          </w:tcPr>
          <w:p w14:paraId="72A3E6A7"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Otras erogaciones especiales.</w:t>
            </w:r>
          </w:p>
        </w:tc>
        <w:tc>
          <w:tcPr>
            <w:tcW w:w="1276" w:type="dxa"/>
            <w:shd w:val="clear" w:color="auto" w:fill="auto"/>
            <w:noWrap/>
            <w:vAlign w:val="center"/>
          </w:tcPr>
          <w:p w14:paraId="14D47C9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6BCAAA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1,800,000 </w:t>
            </w:r>
          </w:p>
        </w:tc>
        <w:tc>
          <w:tcPr>
            <w:tcW w:w="1275" w:type="dxa"/>
            <w:shd w:val="clear" w:color="auto" w:fill="auto"/>
            <w:noWrap/>
            <w:vAlign w:val="center"/>
          </w:tcPr>
          <w:p w14:paraId="7EEBEE4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1,800,000 </w:t>
            </w:r>
          </w:p>
        </w:tc>
      </w:tr>
      <w:tr w:rsidR="00D868AB" w:rsidRPr="00D868AB" w14:paraId="32FF3620" w14:textId="77777777" w:rsidTr="00A755A7">
        <w:tblPrEx>
          <w:jc w:val="left"/>
        </w:tblPrEx>
        <w:trPr>
          <w:trHeight w:val="20"/>
        </w:trPr>
        <w:tc>
          <w:tcPr>
            <w:tcW w:w="700" w:type="dxa"/>
            <w:shd w:val="clear" w:color="auto" w:fill="auto"/>
            <w:noWrap/>
            <w:vAlign w:val="center"/>
            <w:hideMark/>
          </w:tcPr>
          <w:p w14:paraId="3CE34E7B"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80000</w:t>
            </w:r>
          </w:p>
        </w:tc>
        <w:tc>
          <w:tcPr>
            <w:tcW w:w="3973" w:type="dxa"/>
            <w:shd w:val="clear" w:color="auto" w:fill="auto"/>
            <w:vAlign w:val="center"/>
            <w:hideMark/>
          </w:tcPr>
          <w:p w14:paraId="77469501"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PARTICIPACIONES Y APORTACIONES.</w:t>
            </w:r>
          </w:p>
        </w:tc>
        <w:tc>
          <w:tcPr>
            <w:tcW w:w="1276" w:type="dxa"/>
            <w:shd w:val="clear" w:color="auto" w:fill="auto"/>
            <w:noWrap/>
            <w:vAlign w:val="center"/>
          </w:tcPr>
          <w:p w14:paraId="69CF3CC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4E5B6A0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3,297,624,261 </w:t>
            </w:r>
          </w:p>
        </w:tc>
        <w:tc>
          <w:tcPr>
            <w:tcW w:w="1275" w:type="dxa"/>
            <w:shd w:val="clear" w:color="auto" w:fill="auto"/>
            <w:noWrap/>
            <w:vAlign w:val="center"/>
          </w:tcPr>
          <w:p w14:paraId="24001A5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3,297,624,261 </w:t>
            </w:r>
          </w:p>
        </w:tc>
      </w:tr>
      <w:tr w:rsidR="00D868AB" w:rsidRPr="00D868AB" w14:paraId="60873FD0" w14:textId="77777777" w:rsidTr="00A755A7">
        <w:tblPrEx>
          <w:jc w:val="left"/>
        </w:tblPrEx>
        <w:trPr>
          <w:trHeight w:val="20"/>
        </w:trPr>
        <w:tc>
          <w:tcPr>
            <w:tcW w:w="700" w:type="dxa"/>
            <w:shd w:val="clear" w:color="auto" w:fill="auto"/>
            <w:noWrap/>
            <w:vAlign w:val="center"/>
            <w:hideMark/>
          </w:tcPr>
          <w:p w14:paraId="03CC3E26"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81000</w:t>
            </w:r>
          </w:p>
        </w:tc>
        <w:tc>
          <w:tcPr>
            <w:tcW w:w="3973" w:type="dxa"/>
            <w:shd w:val="clear" w:color="auto" w:fill="auto"/>
            <w:vAlign w:val="center"/>
            <w:hideMark/>
          </w:tcPr>
          <w:p w14:paraId="4D78E715"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PARTICIPACIONES.</w:t>
            </w:r>
          </w:p>
        </w:tc>
        <w:tc>
          <w:tcPr>
            <w:tcW w:w="1276" w:type="dxa"/>
            <w:shd w:val="clear" w:color="auto" w:fill="auto"/>
            <w:noWrap/>
            <w:vAlign w:val="center"/>
          </w:tcPr>
          <w:p w14:paraId="3246021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42CA468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2,048,449,002 </w:t>
            </w:r>
          </w:p>
        </w:tc>
        <w:tc>
          <w:tcPr>
            <w:tcW w:w="1275" w:type="dxa"/>
            <w:shd w:val="clear" w:color="auto" w:fill="auto"/>
            <w:noWrap/>
            <w:vAlign w:val="center"/>
          </w:tcPr>
          <w:p w14:paraId="650088A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2,048,449,002 </w:t>
            </w:r>
          </w:p>
        </w:tc>
      </w:tr>
      <w:tr w:rsidR="00D868AB" w:rsidRPr="00D868AB" w14:paraId="0215AB07" w14:textId="77777777" w:rsidTr="00A755A7">
        <w:tblPrEx>
          <w:jc w:val="left"/>
        </w:tblPrEx>
        <w:trPr>
          <w:trHeight w:val="20"/>
        </w:trPr>
        <w:tc>
          <w:tcPr>
            <w:tcW w:w="700" w:type="dxa"/>
            <w:shd w:val="clear" w:color="auto" w:fill="auto"/>
            <w:noWrap/>
            <w:vAlign w:val="center"/>
            <w:hideMark/>
          </w:tcPr>
          <w:p w14:paraId="3FA803E7"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81100</w:t>
            </w:r>
          </w:p>
        </w:tc>
        <w:tc>
          <w:tcPr>
            <w:tcW w:w="3973" w:type="dxa"/>
            <w:shd w:val="clear" w:color="auto" w:fill="auto"/>
            <w:vAlign w:val="center"/>
            <w:hideMark/>
          </w:tcPr>
          <w:p w14:paraId="2BAA79A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Fondo general de participaciones.</w:t>
            </w:r>
          </w:p>
        </w:tc>
        <w:tc>
          <w:tcPr>
            <w:tcW w:w="1276" w:type="dxa"/>
            <w:shd w:val="clear" w:color="auto" w:fill="auto"/>
            <w:noWrap/>
            <w:vAlign w:val="center"/>
          </w:tcPr>
          <w:p w14:paraId="4608DE9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D51380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1,184,640,848 </w:t>
            </w:r>
          </w:p>
        </w:tc>
        <w:tc>
          <w:tcPr>
            <w:tcW w:w="1275" w:type="dxa"/>
            <w:shd w:val="clear" w:color="auto" w:fill="auto"/>
            <w:noWrap/>
            <w:vAlign w:val="center"/>
          </w:tcPr>
          <w:p w14:paraId="0FDF3C3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1,184,640,848 </w:t>
            </w:r>
          </w:p>
        </w:tc>
      </w:tr>
      <w:tr w:rsidR="00D868AB" w:rsidRPr="00D868AB" w14:paraId="623E20EC" w14:textId="77777777" w:rsidTr="00A755A7">
        <w:tblPrEx>
          <w:jc w:val="left"/>
        </w:tblPrEx>
        <w:trPr>
          <w:trHeight w:val="20"/>
        </w:trPr>
        <w:tc>
          <w:tcPr>
            <w:tcW w:w="700" w:type="dxa"/>
            <w:shd w:val="clear" w:color="auto" w:fill="auto"/>
            <w:noWrap/>
            <w:vAlign w:val="center"/>
            <w:hideMark/>
          </w:tcPr>
          <w:p w14:paraId="144EE2F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81200</w:t>
            </w:r>
          </w:p>
        </w:tc>
        <w:tc>
          <w:tcPr>
            <w:tcW w:w="3973" w:type="dxa"/>
            <w:shd w:val="clear" w:color="auto" w:fill="auto"/>
            <w:vAlign w:val="center"/>
            <w:hideMark/>
          </w:tcPr>
          <w:p w14:paraId="3166EDA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Fondo de fomento municipal.</w:t>
            </w:r>
          </w:p>
        </w:tc>
        <w:tc>
          <w:tcPr>
            <w:tcW w:w="1276" w:type="dxa"/>
            <w:shd w:val="clear" w:color="auto" w:fill="auto"/>
            <w:noWrap/>
            <w:vAlign w:val="center"/>
          </w:tcPr>
          <w:p w14:paraId="54B75C0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95191B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378,697,411 </w:t>
            </w:r>
          </w:p>
        </w:tc>
        <w:tc>
          <w:tcPr>
            <w:tcW w:w="1275" w:type="dxa"/>
            <w:shd w:val="clear" w:color="auto" w:fill="auto"/>
            <w:noWrap/>
            <w:vAlign w:val="center"/>
          </w:tcPr>
          <w:p w14:paraId="6950F7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378,697,411 </w:t>
            </w:r>
          </w:p>
        </w:tc>
      </w:tr>
      <w:tr w:rsidR="00D868AB" w:rsidRPr="00D868AB" w14:paraId="256D69D7" w14:textId="77777777" w:rsidTr="00A755A7">
        <w:tblPrEx>
          <w:jc w:val="left"/>
        </w:tblPrEx>
        <w:trPr>
          <w:trHeight w:val="20"/>
        </w:trPr>
        <w:tc>
          <w:tcPr>
            <w:tcW w:w="700" w:type="dxa"/>
            <w:shd w:val="clear" w:color="auto" w:fill="auto"/>
            <w:noWrap/>
            <w:vAlign w:val="center"/>
            <w:hideMark/>
          </w:tcPr>
          <w:p w14:paraId="0481EE3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81300</w:t>
            </w:r>
          </w:p>
        </w:tc>
        <w:tc>
          <w:tcPr>
            <w:tcW w:w="3973" w:type="dxa"/>
            <w:shd w:val="clear" w:color="auto" w:fill="auto"/>
            <w:vAlign w:val="center"/>
            <w:hideMark/>
          </w:tcPr>
          <w:p w14:paraId="079C0D0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Participaciones de las entidades federativas a los municipios.</w:t>
            </w:r>
          </w:p>
        </w:tc>
        <w:tc>
          <w:tcPr>
            <w:tcW w:w="1276" w:type="dxa"/>
            <w:shd w:val="clear" w:color="auto" w:fill="auto"/>
            <w:noWrap/>
            <w:vAlign w:val="center"/>
          </w:tcPr>
          <w:p w14:paraId="08AC414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350E6B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485,110,743 </w:t>
            </w:r>
          </w:p>
        </w:tc>
        <w:tc>
          <w:tcPr>
            <w:tcW w:w="1275" w:type="dxa"/>
            <w:shd w:val="clear" w:color="auto" w:fill="auto"/>
            <w:noWrap/>
            <w:vAlign w:val="center"/>
          </w:tcPr>
          <w:p w14:paraId="61AF842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485,110,743 </w:t>
            </w:r>
          </w:p>
        </w:tc>
      </w:tr>
      <w:tr w:rsidR="00D868AB" w:rsidRPr="00D868AB" w14:paraId="35F5C2E5" w14:textId="77777777" w:rsidTr="00A755A7">
        <w:tblPrEx>
          <w:jc w:val="left"/>
        </w:tblPrEx>
        <w:trPr>
          <w:trHeight w:val="20"/>
        </w:trPr>
        <w:tc>
          <w:tcPr>
            <w:tcW w:w="700" w:type="dxa"/>
            <w:shd w:val="clear" w:color="auto" w:fill="auto"/>
            <w:noWrap/>
            <w:vAlign w:val="center"/>
            <w:hideMark/>
          </w:tcPr>
          <w:p w14:paraId="7182343F"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81400</w:t>
            </w:r>
          </w:p>
        </w:tc>
        <w:tc>
          <w:tcPr>
            <w:tcW w:w="3973" w:type="dxa"/>
            <w:shd w:val="clear" w:color="auto" w:fill="auto"/>
            <w:vAlign w:val="center"/>
            <w:hideMark/>
          </w:tcPr>
          <w:p w14:paraId="2B1B383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conceptos participables de la Federación a entidades federativas.</w:t>
            </w:r>
          </w:p>
        </w:tc>
        <w:tc>
          <w:tcPr>
            <w:tcW w:w="1276" w:type="dxa"/>
            <w:shd w:val="clear" w:color="auto" w:fill="auto"/>
            <w:noWrap/>
            <w:vAlign w:val="center"/>
          </w:tcPr>
          <w:p w14:paraId="4E4976F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365D6C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4ED12C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1D98403" w14:textId="77777777" w:rsidTr="00A755A7">
        <w:tblPrEx>
          <w:jc w:val="left"/>
        </w:tblPrEx>
        <w:trPr>
          <w:trHeight w:val="20"/>
        </w:trPr>
        <w:tc>
          <w:tcPr>
            <w:tcW w:w="700" w:type="dxa"/>
            <w:shd w:val="clear" w:color="auto" w:fill="auto"/>
            <w:noWrap/>
            <w:vAlign w:val="center"/>
            <w:hideMark/>
          </w:tcPr>
          <w:p w14:paraId="30428EE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81500</w:t>
            </w:r>
          </w:p>
        </w:tc>
        <w:tc>
          <w:tcPr>
            <w:tcW w:w="3973" w:type="dxa"/>
            <w:shd w:val="clear" w:color="auto" w:fill="auto"/>
            <w:vAlign w:val="center"/>
            <w:hideMark/>
          </w:tcPr>
          <w:p w14:paraId="0471FBB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conceptos participables de la Federación a municipios.</w:t>
            </w:r>
          </w:p>
        </w:tc>
        <w:tc>
          <w:tcPr>
            <w:tcW w:w="1276" w:type="dxa"/>
            <w:shd w:val="clear" w:color="auto" w:fill="auto"/>
            <w:noWrap/>
            <w:vAlign w:val="center"/>
          </w:tcPr>
          <w:p w14:paraId="23D3026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11048F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8CB146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D4950EA" w14:textId="77777777" w:rsidTr="00A755A7">
        <w:tblPrEx>
          <w:jc w:val="left"/>
        </w:tblPrEx>
        <w:trPr>
          <w:trHeight w:val="20"/>
        </w:trPr>
        <w:tc>
          <w:tcPr>
            <w:tcW w:w="700" w:type="dxa"/>
            <w:shd w:val="clear" w:color="auto" w:fill="auto"/>
            <w:noWrap/>
            <w:vAlign w:val="center"/>
            <w:hideMark/>
          </w:tcPr>
          <w:p w14:paraId="50AA387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81600</w:t>
            </w:r>
          </w:p>
        </w:tc>
        <w:tc>
          <w:tcPr>
            <w:tcW w:w="3973" w:type="dxa"/>
            <w:shd w:val="clear" w:color="auto" w:fill="auto"/>
            <w:vAlign w:val="center"/>
            <w:hideMark/>
          </w:tcPr>
          <w:p w14:paraId="2D44EAC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Convenios de colaboración administrativa.</w:t>
            </w:r>
          </w:p>
        </w:tc>
        <w:tc>
          <w:tcPr>
            <w:tcW w:w="1276" w:type="dxa"/>
            <w:shd w:val="clear" w:color="auto" w:fill="auto"/>
            <w:noWrap/>
            <w:vAlign w:val="center"/>
          </w:tcPr>
          <w:p w14:paraId="47EE801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3B5095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334024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93487B2" w14:textId="77777777" w:rsidTr="00A755A7">
        <w:tblPrEx>
          <w:jc w:val="left"/>
        </w:tblPrEx>
        <w:trPr>
          <w:trHeight w:val="20"/>
        </w:trPr>
        <w:tc>
          <w:tcPr>
            <w:tcW w:w="700" w:type="dxa"/>
            <w:shd w:val="clear" w:color="auto" w:fill="auto"/>
            <w:noWrap/>
            <w:vAlign w:val="center"/>
            <w:hideMark/>
          </w:tcPr>
          <w:p w14:paraId="70B1EE1B"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83000</w:t>
            </w:r>
          </w:p>
        </w:tc>
        <w:tc>
          <w:tcPr>
            <w:tcW w:w="3973" w:type="dxa"/>
            <w:shd w:val="clear" w:color="auto" w:fill="auto"/>
            <w:vAlign w:val="center"/>
            <w:hideMark/>
          </w:tcPr>
          <w:p w14:paraId="75087E7D"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APORTACIONES.</w:t>
            </w:r>
          </w:p>
        </w:tc>
        <w:tc>
          <w:tcPr>
            <w:tcW w:w="1276" w:type="dxa"/>
            <w:shd w:val="clear" w:color="auto" w:fill="auto"/>
            <w:noWrap/>
            <w:vAlign w:val="center"/>
          </w:tcPr>
          <w:p w14:paraId="61E964D7"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51CE677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1,249,175,259 </w:t>
            </w:r>
          </w:p>
        </w:tc>
        <w:tc>
          <w:tcPr>
            <w:tcW w:w="1275" w:type="dxa"/>
            <w:shd w:val="clear" w:color="auto" w:fill="auto"/>
            <w:noWrap/>
            <w:vAlign w:val="center"/>
          </w:tcPr>
          <w:p w14:paraId="766343F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1,249,175,259 </w:t>
            </w:r>
          </w:p>
        </w:tc>
      </w:tr>
      <w:tr w:rsidR="00D868AB" w:rsidRPr="00D868AB" w14:paraId="75AD0839" w14:textId="77777777" w:rsidTr="00A755A7">
        <w:tblPrEx>
          <w:jc w:val="left"/>
        </w:tblPrEx>
        <w:trPr>
          <w:trHeight w:val="20"/>
        </w:trPr>
        <w:tc>
          <w:tcPr>
            <w:tcW w:w="700" w:type="dxa"/>
            <w:shd w:val="clear" w:color="auto" w:fill="auto"/>
            <w:noWrap/>
            <w:vAlign w:val="center"/>
            <w:hideMark/>
          </w:tcPr>
          <w:p w14:paraId="4F468D75"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83100</w:t>
            </w:r>
          </w:p>
        </w:tc>
        <w:tc>
          <w:tcPr>
            <w:tcW w:w="3973" w:type="dxa"/>
            <w:shd w:val="clear" w:color="auto" w:fill="auto"/>
            <w:vAlign w:val="center"/>
            <w:hideMark/>
          </w:tcPr>
          <w:p w14:paraId="60AD9A8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de la Federación a las entidades federativas.</w:t>
            </w:r>
          </w:p>
        </w:tc>
        <w:tc>
          <w:tcPr>
            <w:tcW w:w="1276" w:type="dxa"/>
            <w:shd w:val="clear" w:color="auto" w:fill="auto"/>
            <w:noWrap/>
            <w:vAlign w:val="center"/>
          </w:tcPr>
          <w:p w14:paraId="7F0DB20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B74F02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602E923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01AC7F2" w14:textId="77777777" w:rsidTr="00A755A7">
        <w:tblPrEx>
          <w:jc w:val="left"/>
        </w:tblPrEx>
        <w:trPr>
          <w:trHeight w:val="20"/>
        </w:trPr>
        <w:tc>
          <w:tcPr>
            <w:tcW w:w="700" w:type="dxa"/>
            <w:shd w:val="clear" w:color="auto" w:fill="auto"/>
            <w:noWrap/>
            <w:vAlign w:val="center"/>
            <w:hideMark/>
          </w:tcPr>
          <w:p w14:paraId="0A21594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83200</w:t>
            </w:r>
          </w:p>
        </w:tc>
        <w:tc>
          <w:tcPr>
            <w:tcW w:w="3973" w:type="dxa"/>
            <w:shd w:val="clear" w:color="auto" w:fill="auto"/>
            <w:vAlign w:val="center"/>
            <w:hideMark/>
          </w:tcPr>
          <w:p w14:paraId="3C6B129F"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de la Federación a municipios.</w:t>
            </w:r>
          </w:p>
        </w:tc>
        <w:tc>
          <w:tcPr>
            <w:tcW w:w="1276" w:type="dxa"/>
            <w:shd w:val="clear" w:color="auto" w:fill="auto"/>
            <w:noWrap/>
            <w:vAlign w:val="center"/>
          </w:tcPr>
          <w:p w14:paraId="72B6341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2F8C6B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1,249,175,259 </w:t>
            </w:r>
          </w:p>
        </w:tc>
        <w:tc>
          <w:tcPr>
            <w:tcW w:w="1275" w:type="dxa"/>
            <w:shd w:val="clear" w:color="auto" w:fill="auto"/>
            <w:noWrap/>
            <w:vAlign w:val="center"/>
          </w:tcPr>
          <w:p w14:paraId="2CEB760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1,249,175,259 </w:t>
            </w:r>
          </w:p>
        </w:tc>
      </w:tr>
      <w:tr w:rsidR="00D868AB" w:rsidRPr="00D868AB" w14:paraId="67375749" w14:textId="77777777" w:rsidTr="00A755A7">
        <w:tblPrEx>
          <w:jc w:val="left"/>
        </w:tblPrEx>
        <w:trPr>
          <w:trHeight w:val="20"/>
        </w:trPr>
        <w:tc>
          <w:tcPr>
            <w:tcW w:w="700" w:type="dxa"/>
            <w:shd w:val="clear" w:color="auto" w:fill="auto"/>
            <w:noWrap/>
            <w:vAlign w:val="center"/>
            <w:hideMark/>
          </w:tcPr>
          <w:p w14:paraId="7E7588F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83300</w:t>
            </w:r>
          </w:p>
        </w:tc>
        <w:tc>
          <w:tcPr>
            <w:tcW w:w="3973" w:type="dxa"/>
            <w:shd w:val="clear" w:color="auto" w:fill="auto"/>
            <w:vAlign w:val="center"/>
            <w:hideMark/>
          </w:tcPr>
          <w:p w14:paraId="7E148E2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de las entidades federativas a los municipios.</w:t>
            </w:r>
          </w:p>
        </w:tc>
        <w:tc>
          <w:tcPr>
            <w:tcW w:w="1276" w:type="dxa"/>
            <w:shd w:val="clear" w:color="auto" w:fill="auto"/>
            <w:noWrap/>
            <w:vAlign w:val="center"/>
          </w:tcPr>
          <w:p w14:paraId="759F266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590C6A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E211BE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D8AA38C" w14:textId="77777777" w:rsidTr="00A755A7">
        <w:tblPrEx>
          <w:jc w:val="left"/>
        </w:tblPrEx>
        <w:trPr>
          <w:trHeight w:val="20"/>
        </w:trPr>
        <w:tc>
          <w:tcPr>
            <w:tcW w:w="700" w:type="dxa"/>
            <w:shd w:val="clear" w:color="auto" w:fill="auto"/>
            <w:noWrap/>
            <w:vAlign w:val="center"/>
            <w:hideMark/>
          </w:tcPr>
          <w:p w14:paraId="511C6F7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83400</w:t>
            </w:r>
          </w:p>
        </w:tc>
        <w:tc>
          <w:tcPr>
            <w:tcW w:w="3973" w:type="dxa"/>
            <w:shd w:val="clear" w:color="auto" w:fill="auto"/>
            <w:vAlign w:val="center"/>
            <w:hideMark/>
          </w:tcPr>
          <w:p w14:paraId="4AED5AA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previstas en leyes y decretos al sistema de protección social.</w:t>
            </w:r>
          </w:p>
        </w:tc>
        <w:tc>
          <w:tcPr>
            <w:tcW w:w="1276" w:type="dxa"/>
            <w:shd w:val="clear" w:color="auto" w:fill="auto"/>
            <w:noWrap/>
            <w:vAlign w:val="center"/>
          </w:tcPr>
          <w:p w14:paraId="0EBAE55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2FD61C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D9CA59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8952F7B" w14:textId="77777777" w:rsidTr="00A755A7">
        <w:tblPrEx>
          <w:jc w:val="left"/>
        </w:tblPrEx>
        <w:trPr>
          <w:trHeight w:val="20"/>
        </w:trPr>
        <w:tc>
          <w:tcPr>
            <w:tcW w:w="700" w:type="dxa"/>
            <w:shd w:val="clear" w:color="auto" w:fill="auto"/>
            <w:noWrap/>
            <w:vAlign w:val="center"/>
            <w:hideMark/>
          </w:tcPr>
          <w:p w14:paraId="0AB1031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83500</w:t>
            </w:r>
          </w:p>
        </w:tc>
        <w:tc>
          <w:tcPr>
            <w:tcW w:w="3973" w:type="dxa"/>
            <w:shd w:val="clear" w:color="auto" w:fill="auto"/>
            <w:vAlign w:val="center"/>
            <w:hideMark/>
          </w:tcPr>
          <w:p w14:paraId="43D0129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Aportaciones previstas en leyes y decretos compensatorias a entidades federativas y municipios.</w:t>
            </w:r>
          </w:p>
        </w:tc>
        <w:tc>
          <w:tcPr>
            <w:tcW w:w="1276" w:type="dxa"/>
            <w:shd w:val="clear" w:color="auto" w:fill="auto"/>
            <w:noWrap/>
            <w:vAlign w:val="center"/>
          </w:tcPr>
          <w:p w14:paraId="206551F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A0746C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433216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E6EA5F0" w14:textId="77777777" w:rsidTr="00A755A7">
        <w:tblPrEx>
          <w:jc w:val="left"/>
        </w:tblPrEx>
        <w:trPr>
          <w:trHeight w:val="20"/>
        </w:trPr>
        <w:tc>
          <w:tcPr>
            <w:tcW w:w="700" w:type="dxa"/>
            <w:shd w:val="clear" w:color="auto" w:fill="auto"/>
            <w:noWrap/>
            <w:vAlign w:val="center"/>
            <w:hideMark/>
          </w:tcPr>
          <w:p w14:paraId="7E4B4AF6"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85000</w:t>
            </w:r>
          </w:p>
        </w:tc>
        <w:tc>
          <w:tcPr>
            <w:tcW w:w="3973" w:type="dxa"/>
            <w:shd w:val="clear" w:color="auto" w:fill="auto"/>
            <w:vAlign w:val="center"/>
            <w:hideMark/>
          </w:tcPr>
          <w:p w14:paraId="2987B1EF"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CONVENIOS.</w:t>
            </w:r>
          </w:p>
        </w:tc>
        <w:tc>
          <w:tcPr>
            <w:tcW w:w="1276" w:type="dxa"/>
            <w:shd w:val="clear" w:color="auto" w:fill="auto"/>
            <w:noWrap/>
            <w:vAlign w:val="center"/>
          </w:tcPr>
          <w:p w14:paraId="55C1ED5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0BBA584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06D96E7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2238B8D2" w14:textId="77777777" w:rsidTr="00A755A7">
        <w:tblPrEx>
          <w:jc w:val="left"/>
        </w:tblPrEx>
        <w:trPr>
          <w:trHeight w:val="20"/>
        </w:trPr>
        <w:tc>
          <w:tcPr>
            <w:tcW w:w="700" w:type="dxa"/>
            <w:shd w:val="clear" w:color="auto" w:fill="auto"/>
            <w:noWrap/>
            <w:vAlign w:val="center"/>
            <w:hideMark/>
          </w:tcPr>
          <w:p w14:paraId="55E0CD9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85100</w:t>
            </w:r>
          </w:p>
        </w:tc>
        <w:tc>
          <w:tcPr>
            <w:tcW w:w="3973" w:type="dxa"/>
            <w:shd w:val="clear" w:color="auto" w:fill="auto"/>
            <w:vAlign w:val="center"/>
            <w:hideMark/>
          </w:tcPr>
          <w:p w14:paraId="2C3B044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Convenios de reasignación.</w:t>
            </w:r>
          </w:p>
        </w:tc>
        <w:tc>
          <w:tcPr>
            <w:tcW w:w="1276" w:type="dxa"/>
            <w:shd w:val="clear" w:color="auto" w:fill="auto"/>
            <w:noWrap/>
            <w:vAlign w:val="center"/>
          </w:tcPr>
          <w:p w14:paraId="6F20C28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6D3BCF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405166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183B812" w14:textId="77777777" w:rsidTr="00A755A7">
        <w:tblPrEx>
          <w:jc w:val="left"/>
        </w:tblPrEx>
        <w:trPr>
          <w:trHeight w:val="20"/>
        </w:trPr>
        <w:tc>
          <w:tcPr>
            <w:tcW w:w="700" w:type="dxa"/>
            <w:shd w:val="clear" w:color="auto" w:fill="auto"/>
            <w:noWrap/>
            <w:vAlign w:val="center"/>
            <w:hideMark/>
          </w:tcPr>
          <w:p w14:paraId="7517167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85200</w:t>
            </w:r>
          </w:p>
        </w:tc>
        <w:tc>
          <w:tcPr>
            <w:tcW w:w="3973" w:type="dxa"/>
            <w:shd w:val="clear" w:color="auto" w:fill="auto"/>
            <w:vAlign w:val="center"/>
            <w:hideMark/>
          </w:tcPr>
          <w:p w14:paraId="11C6E78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Convenios de descentralización.</w:t>
            </w:r>
          </w:p>
        </w:tc>
        <w:tc>
          <w:tcPr>
            <w:tcW w:w="1276" w:type="dxa"/>
            <w:shd w:val="clear" w:color="auto" w:fill="auto"/>
            <w:noWrap/>
            <w:vAlign w:val="center"/>
          </w:tcPr>
          <w:p w14:paraId="16AD9E6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DA3C11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E348FF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7819400" w14:textId="77777777" w:rsidTr="00A755A7">
        <w:tblPrEx>
          <w:jc w:val="left"/>
        </w:tblPrEx>
        <w:trPr>
          <w:trHeight w:val="20"/>
        </w:trPr>
        <w:tc>
          <w:tcPr>
            <w:tcW w:w="700" w:type="dxa"/>
            <w:shd w:val="clear" w:color="auto" w:fill="auto"/>
            <w:noWrap/>
            <w:vAlign w:val="center"/>
            <w:hideMark/>
          </w:tcPr>
          <w:p w14:paraId="25394D0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85300</w:t>
            </w:r>
          </w:p>
        </w:tc>
        <w:tc>
          <w:tcPr>
            <w:tcW w:w="3973" w:type="dxa"/>
            <w:shd w:val="clear" w:color="auto" w:fill="auto"/>
            <w:vAlign w:val="center"/>
            <w:hideMark/>
          </w:tcPr>
          <w:p w14:paraId="224BD74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Otros convenios.</w:t>
            </w:r>
          </w:p>
        </w:tc>
        <w:tc>
          <w:tcPr>
            <w:tcW w:w="1276" w:type="dxa"/>
            <w:shd w:val="clear" w:color="auto" w:fill="auto"/>
            <w:noWrap/>
            <w:vAlign w:val="center"/>
          </w:tcPr>
          <w:p w14:paraId="528DEC2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9A93A3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C2BCDC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05C5D75" w14:textId="77777777" w:rsidTr="00A755A7">
        <w:tblPrEx>
          <w:jc w:val="left"/>
        </w:tblPrEx>
        <w:trPr>
          <w:trHeight w:val="20"/>
        </w:trPr>
        <w:tc>
          <w:tcPr>
            <w:tcW w:w="700" w:type="dxa"/>
            <w:shd w:val="clear" w:color="auto" w:fill="auto"/>
            <w:noWrap/>
            <w:vAlign w:val="center"/>
            <w:hideMark/>
          </w:tcPr>
          <w:p w14:paraId="61177587"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90000</w:t>
            </w:r>
          </w:p>
        </w:tc>
        <w:tc>
          <w:tcPr>
            <w:tcW w:w="3973" w:type="dxa"/>
            <w:shd w:val="clear" w:color="auto" w:fill="auto"/>
            <w:vAlign w:val="center"/>
            <w:hideMark/>
          </w:tcPr>
          <w:p w14:paraId="5C04985A"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DEUDA PÚBLICA.</w:t>
            </w:r>
          </w:p>
        </w:tc>
        <w:tc>
          <w:tcPr>
            <w:tcW w:w="1276" w:type="dxa"/>
            <w:shd w:val="clear" w:color="auto" w:fill="auto"/>
            <w:noWrap/>
            <w:vAlign w:val="center"/>
          </w:tcPr>
          <w:p w14:paraId="3755AC8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346,932,234 </w:t>
            </w:r>
          </w:p>
        </w:tc>
        <w:tc>
          <w:tcPr>
            <w:tcW w:w="1276" w:type="dxa"/>
            <w:shd w:val="clear" w:color="auto" w:fill="auto"/>
            <w:noWrap/>
            <w:vAlign w:val="center"/>
          </w:tcPr>
          <w:p w14:paraId="6CC7BBB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540,315,199 </w:t>
            </w:r>
          </w:p>
        </w:tc>
        <w:tc>
          <w:tcPr>
            <w:tcW w:w="1275" w:type="dxa"/>
            <w:shd w:val="clear" w:color="auto" w:fill="auto"/>
            <w:noWrap/>
            <w:vAlign w:val="center"/>
          </w:tcPr>
          <w:p w14:paraId="45790FB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887,247,433 </w:t>
            </w:r>
          </w:p>
        </w:tc>
      </w:tr>
      <w:tr w:rsidR="00D868AB" w:rsidRPr="00D868AB" w14:paraId="481E8053" w14:textId="77777777" w:rsidTr="00A755A7">
        <w:tblPrEx>
          <w:jc w:val="left"/>
        </w:tblPrEx>
        <w:trPr>
          <w:trHeight w:val="20"/>
        </w:trPr>
        <w:tc>
          <w:tcPr>
            <w:tcW w:w="700" w:type="dxa"/>
            <w:shd w:val="clear" w:color="auto" w:fill="auto"/>
            <w:noWrap/>
            <w:vAlign w:val="center"/>
            <w:hideMark/>
          </w:tcPr>
          <w:p w14:paraId="027A2F05"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91000</w:t>
            </w:r>
          </w:p>
        </w:tc>
        <w:tc>
          <w:tcPr>
            <w:tcW w:w="3973" w:type="dxa"/>
            <w:shd w:val="clear" w:color="auto" w:fill="auto"/>
            <w:vAlign w:val="center"/>
            <w:hideMark/>
          </w:tcPr>
          <w:p w14:paraId="246A7A4E"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AMORTIZACION DE LA DEUDA PÚBLICA.</w:t>
            </w:r>
          </w:p>
        </w:tc>
        <w:tc>
          <w:tcPr>
            <w:tcW w:w="1276" w:type="dxa"/>
            <w:shd w:val="clear" w:color="auto" w:fill="auto"/>
            <w:noWrap/>
            <w:vAlign w:val="center"/>
          </w:tcPr>
          <w:p w14:paraId="23E2D19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104,892,142 </w:t>
            </w:r>
          </w:p>
        </w:tc>
        <w:tc>
          <w:tcPr>
            <w:tcW w:w="1276" w:type="dxa"/>
            <w:shd w:val="clear" w:color="auto" w:fill="auto"/>
            <w:noWrap/>
            <w:vAlign w:val="center"/>
          </w:tcPr>
          <w:p w14:paraId="4F90454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199,174,775 </w:t>
            </w:r>
          </w:p>
        </w:tc>
        <w:tc>
          <w:tcPr>
            <w:tcW w:w="1275" w:type="dxa"/>
            <w:shd w:val="clear" w:color="auto" w:fill="auto"/>
            <w:noWrap/>
            <w:vAlign w:val="center"/>
          </w:tcPr>
          <w:p w14:paraId="6CBDCAE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304,066,917 </w:t>
            </w:r>
          </w:p>
        </w:tc>
      </w:tr>
      <w:tr w:rsidR="00D868AB" w:rsidRPr="00D868AB" w14:paraId="0B72095E" w14:textId="77777777" w:rsidTr="00A755A7">
        <w:tblPrEx>
          <w:jc w:val="left"/>
        </w:tblPrEx>
        <w:trPr>
          <w:trHeight w:val="20"/>
        </w:trPr>
        <w:tc>
          <w:tcPr>
            <w:tcW w:w="700" w:type="dxa"/>
            <w:shd w:val="clear" w:color="auto" w:fill="auto"/>
            <w:noWrap/>
            <w:vAlign w:val="center"/>
            <w:hideMark/>
          </w:tcPr>
          <w:p w14:paraId="552DB9CE"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91100</w:t>
            </w:r>
          </w:p>
        </w:tc>
        <w:tc>
          <w:tcPr>
            <w:tcW w:w="3973" w:type="dxa"/>
            <w:shd w:val="clear" w:color="auto" w:fill="auto"/>
            <w:vAlign w:val="center"/>
            <w:hideMark/>
          </w:tcPr>
          <w:p w14:paraId="563E02E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Amortización de la deuda interna con instituciones de crédito.</w:t>
            </w:r>
          </w:p>
        </w:tc>
        <w:tc>
          <w:tcPr>
            <w:tcW w:w="1276" w:type="dxa"/>
            <w:shd w:val="clear" w:color="auto" w:fill="auto"/>
            <w:noWrap/>
            <w:vAlign w:val="center"/>
          </w:tcPr>
          <w:p w14:paraId="240152E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104,892,142 </w:t>
            </w:r>
          </w:p>
        </w:tc>
        <w:tc>
          <w:tcPr>
            <w:tcW w:w="1276" w:type="dxa"/>
            <w:shd w:val="clear" w:color="auto" w:fill="auto"/>
            <w:noWrap/>
            <w:vAlign w:val="center"/>
          </w:tcPr>
          <w:p w14:paraId="61D6F1C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199,174,775 </w:t>
            </w:r>
          </w:p>
        </w:tc>
        <w:tc>
          <w:tcPr>
            <w:tcW w:w="1275" w:type="dxa"/>
            <w:shd w:val="clear" w:color="auto" w:fill="auto"/>
            <w:noWrap/>
            <w:vAlign w:val="center"/>
          </w:tcPr>
          <w:p w14:paraId="0E05B15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304,066,917 </w:t>
            </w:r>
          </w:p>
        </w:tc>
      </w:tr>
      <w:tr w:rsidR="00D868AB" w:rsidRPr="00D868AB" w14:paraId="2420629C" w14:textId="77777777" w:rsidTr="00A755A7">
        <w:tblPrEx>
          <w:jc w:val="left"/>
        </w:tblPrEx>
        <w:trPr>
          <w:trHeight w:val="20"/>
        </w:trPr>
        <w:tc>
          <w:tcPr>
            <w:tcW w:w="700" w:type="dxa"/>
            <w:shd w:val="clear" w:color="auto" w:fill="auto"/>
            <w:noWrap/>
            <w:vAlign w:val="center"/>
            <w:hideMark/>
          </w:tcPr>
          <w:p w14:paraId="30DE00B0"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91200</w:t>
            </w:r>
          </w:p>
        </w:tc>
        <w:tc>
          <w:tcPr>
            <w:tcW w:w="3973" w:type="dxa"/>
            <w:shd w:val="clear" w:color="auto" w:fill="auto"/>
            <w:vAlign w:val="center"/>
            <w:hideMark/>
          </w:tcPr>
          <w:p w14:paraId="4FCD39D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Amortización de la deuda interna por emisión de títulos y valores.</w:t>
            </w:r>
          </w:p>
        </w:tc>
        <w:tc>
          <w:tcPr>
            <w:tcW w:w="1276" w:type="dxa"/>
            <w:shd w:val="clear" w:color="auto" w:fill="auto"/>
            <w:noWrap/>
            <w:vAlign w:val="center"/>
          </w:tcPr>
          <w:p w14:paraId="0F3138D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E5E3F02"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0A424B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717FB9F" w14:textId="77777777" w:rsidTr="00A755A7">
        <w:tblPrEx>
          <w:jc w:val="left"/>
        </w:tblPrEx>
        <w:trPr>
          <w:trHeight w:val="20"/>
        </w:trPr>
        <w:tc>
          <w:tcPr>
            <w:tcW w:w="700" w:type="dxa"/>
            <w:shd w:val="clear" w:color="auto" w:fill="auto"/>
            <w:noWrap/>
            <w:vAlign w:val="center"/>
            <w:hideMark/>
          </w:tcPr>
          <w:p w14:paraId="0973B90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91300</w:t>
            </w:r>
          </w:p>
        </w:tc>
        <w:tc>
          <w:tcPr>
            <w:tcW w:w="3973" w:type="dxa"/>
            <w:shd w:val="clear" w:color="auto" w:fill="auto"/>
            <w:vAlign w:val="center"/>
            <w:hideMark/>
          </w:tcPr>
          <w:p w14:paraId="378D86BA"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Amortización de arrendamientos financieros nacionales.</w:t>
            </w:r>
          </w:p>
        </w:tc>
        <w:tc>
          <w:tcPr>
            <w:tcW w:w="1276" w:type="dxa"/>
            <w:shd w:val="clear" w:color="auto" w:fill="auto"/>
            <w:noWrap/>
            <w:vAlign w:val="center"/>
          </w:tcPr>
          <w:p w14:paraId="4B7650D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508BFB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BB0C23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E36C82F" w14:textId="77777777" w:rsidTr="00A755A7">
        <w:tblPrEx>
          <w:jc w:val="left"/>
        </w:tblPrEx>
        <w:trPr>
          <w:trHeight w:val="20"/>
        </w:trPr>
        <w:tc>
          <w:tcPr>
            <w:tcW w:w="700" w:type="dxa"/>
            <w:shd w:val="clear" w:color="auto" w:fill="auto"/>
            <w:noWrap/>
            <w:vAlign w:val="center"/>
            <w:hideMark/>
          </w:tcPr>
          <w:p w14:paraId="0E1CC05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91400</w:t>
            </w:r>
          </w:p>
        </w:tc>
        <w:tc>
          <w:tcPr>
            <w:tcW w:w="3973" w:type="dxa"/>
            <w:shd w:val="clear" w:color="auto" w:fill="auto"/>
            <w:vAlign w:val="center"/>
            <w:hideMark/>
          </w:tcPr>
          <w:p w14:paraId="000C2261"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Amortización de la deuda externa con instituciones de crédito.</w:t>
            </w:r>
          </w:p>
        </w:tc>
        <w:tc>
          <w:tcPr>
            <w:tcW w:w="1276" w:type="dxa"/>
            <w:shd w:val="clear" w:color="auto" w:fill="auto"/>
            <w:noWrap/>
            <w:vAlign w:val="center"/>
          </w:tcPr>
          <w:p w14:paraId="6C8F830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8A1BE2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009420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53A1FEE" w14:textId="77777777" w:rsidTr="00A755A7">
        <w:tblPrEx>
          <w:jc w:val="left"/>
        </w:tblPrEx>
        <w:trPr>
          <w:trHeight w:val="20"/>
        </w:trPr>
        <w:tc>
          <w:tcPr>
            <w:tcW w:w="700" w:type="dxa"/>
            <w:shd w:val="clear" w:color="auto" w:fill="auto"/>
            <w:noWrap/>
            <w:vAlign w:val="center"/>
            <w:hideMark/>
          </w:tcPr>
          <w:p w14:paraId="66AA6B0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91500</w:t>
            </w:r>
          </w:p>
        </w:tc>
        <w:tc>
          <w:tcPr>
            <w:tcW w:w="3973" w:type="dxa"/>
            <w:shd w:val="clear" w:color="auto" w:fill="auto"/>
            <w:vAlign w:val="center"/>
            <w:hideMark/>
          </w:tcPr>
          <w:p w14:paraId="32D9792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Amortización de deuda externa con organismos financieros internacionales.</w:t>
            </w:r>
          </w:p>
        </w:tc>
        <w:tc>
          <w:tcPr>
            <w:tcW w:w="1276" w:type="dxa"/>
            <w:shd w:val="clear" w:color="auto" w:fill="auto"/>
            <w:noWrap/>
            <w:vAlign w:val="center"/>
          </w:tcPr>
          <w:p w14:paraId="5C08FC0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5FB9308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E873CF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5475BC5" w14:textId="77777777" w:rsidTr="00A755A7">
        <w:tblPrEx>
          <w:jc w:val="left"/>
        </w:tblPrEx>
        <w:trPr>
          <w:trHeight w:val="20"/>
        </w:trPr>
        <w:tc>
          <w:tcPr>
            <w:tcW w:w="700" w:type="dxa"/>
            <w:shd w:val="clear" w:color="auto" w:fill="auto"/>
            <w:noWrap/>
            <w:vAlign w:val="center"/>
            <w:hideMark/>
          </w:tcPr>
          <w:p w14:paraId="21E7A549"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91600</w:t>
            </w:r>
          </w:p>
        </w:tc>
        <w:tc>
          <w:tcPr>
            <w:tcW w:w="3973" w:type="dxa"/>
            <w:shd w:val="clear" w:color="auto" w:fill="auto"/>
            <w:vAlign w:val="center"/>
            <w:hideMark/>
          </w:tcPr>
          <w:p w14:paraId="4EBCA15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Amortización de la deuda bilateral.</w:t>
            </w:r>
          </w:p>
        </w:tc>
        <w:tc>
          <w:tcPr>
            <w:tcW w:w="1276" w:type="dxa"/>
            <w:shd w:val="clear" w:color="auto" w:fill="auto"/>
            <w:noWrap/>
            <w:vAlign w:val="center"/>
          </w:tcPr>
          <w:p w14:paraId="358716F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A890C0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16A00E0A"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48372EC" w14:textId="77777777" w:rsidTr="00A755A7">
        <w:tblPrEx>
          <w:jc w:val="left"/>
        </w:tblPrEx>
        <w:trPr>
          <w:trHeight w:val="20"/>
        </w:trPr>
        <w:tc>
          <w:tcPr>
            <w:tcW w:w="700" w:type="dxa"/>
            <w:shd w:val="clear" w:color="auto" w:fill="auto"/>
            <w:noWrap/>
            <w:vAlign w:val="center"/>
            <w:hideMark/>
          </w:tcPr>
          <w:p w14:paraId="6D9848A4"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91700</w:t>
            </w:r>
          </w:p>
        </w:tc>
        <w:tc>
          <w:tcPr>
            <w:tcW w:w="3973" w:type="dxa"/>
            <w:shd w:val="clear" w:color="auto" w:fill="auto"/>
            <w:vAlign w:val="center"/>
            <w:hideMark/>
          </w:tcPr>
          <w:p w14:paraId="06279EA3"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Amortización de la deuda externa por emisión de títulos y valores.</w:t>
            </w:r>
          </w:p>
        </w:tc>
        <w:tc>
          <w:tcPr>
            <w:tcW w:w="1276" w:type="dxa"/>
            <w:shd w:val="clear" w:color="auto" w:fill="auto"/>
            <w:noWrap/>
            <w:vAlign w:val="center"/>
          </w:tcPr>
          <w:p w14:paraId="38FD8BC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1E87D2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7F171B6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7960EE87" w14:textId="77777777" w:rsidTr="00A755A7">
        <w:tblPrEx>
          <w:jc w:val="left"/>
        </w:tblPrEx>
        <w:trPr>
          <w:trHeight w:val="20"/>
        </w:trPr>
        <w:tc>
          <w:tcPr>
            <w:tcW w:w="700" w:type="dxa"/>
            <w:shd w:val="clear" w:color="auto" w:fill="auto"/>
            <w:noWrap/>
            <w:vAlign w:val="center"/>
            <w:hideMark/>
          </w:tcPr>
          <w:p w14:paraId="31DC913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91800</w:t>
            </w:r>
          </w:p>
        </w:tc>
        <w:tc>
          <w:tcPr>
            <w:tcW w:w="3973" w:type="dxa"/>
            <w:shd w:val="clear" w:color="auto" w:fill="auto"/>
            <w:vAlign w:val="center"/>
            <w:hideMark/>
          </w:tcPr>
          <w:p w14:paraId="6501B653" w14:textId="77777777" w:rsidR="00C10649" w:rsidRDefault="00D868AB" w:rsidP="00D868AB">
            <w:pPr>
              <w:rPr>
                <w:rFonts w:eastAsia="Times New Roman" w:cs="Arial"/>
                <w:color w:val="000000"/>
                <w:sz w:val="16"/>
                <w:szCs w:val="16"/>
              </w:rPr>
            </w:pPr>
            <w:r w:rsidRPr="00D868AB">
              <w:rPr>
                <w:rFonts w:eastAsia="Times New Roman" w:cs="Arial"/>
                <w:color w:val="000000"/>
                <w:sz w:val="16"/>
                <w:szCs w:val="16"/>
              </w:rPr>
              <w:t xml:space="preserve">Amortización </w:t>
            </w:r>
          </w:p>
          <w:p w14:paraId="76ED40AA" w14:textId="77777777" w:rsidR="00C10649" w:rsidRDefault="00C10649" w:rsidP="00D868AB">
            <w:pPr>
              <w:rPr>
                <w:rFonts w:eastAsia="Times New Roman" w:cs="Arial"/>
                <w:color w:val="000000"/>
                <w:sz w:val="16"/>
                <w:szCs w:val="16"/>
              </w:rPr>
            </w:pPr>
          </w:p>
          <w:p w14:paraId="75BCB244" w14:textId="15BFB772"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de arrendamientos financieros internacionales.</w:t>
            </w:r>
          </w:p>
        </w:tc>
        <w:tc>
          <w:tcPr>
            <w:tcW w:w="1276" w:type="dxa"/>
            <w:shd w:val="clear" w:color="auto" w:fill="auto"/>
            <w:noWrap/>
            <w:vAlign w:val="center"/>
          </w:tcPr>
          <w:p w14:paraId="630FC42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EE3EF5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961D62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B961C26" w14:textId="77777777" w:rsidTr="00A755A7">
        <w:tblPrEx>
          <w:jc w:val="left"/>
        </w:tblPrEx>
        <w:trPr>
          <w:trHeight w:val="20"/>
        </w:trPr>
        <w:tc>
          <w:tcPr>
            <w:tcW w:w="700" w:type="dxa"/>
            <w:shd w:val="clear" w:color="auto" w:fill="auto"/>
            <w:noWrap/>
            <w:vAlign w:val="center"/>
            <w:hideMark/>
          </w:tcPr>
          <w:p w14:paraId="16ABADE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92000</w:t>
            </w:r>
          </w:p>
        </w:tc>
        <w:tc>
          <w:tcPr>
            <w:tcW w:w="3973" w:type="dxa"/>
            <w:shd w:val="clear" w:color="auto" w:fill="auto"/>
            <w:vAlign w:val="center"/>
            <w:hideMark/>
          </w:tcPr>
          <w:p w14:paraId="533A3587"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INTERESES DE LA DEUDA PÚBLICA.</w:t>
            </w:r>
          </w:p>
        </w:tc>
        <w:tc>
          <w:tcPr>
            <w:tcW w:w="1276" w:type="dxa"/>
            <w:shd w:val="clear" w:color="auto" w:fill="auto"/>
            <w:noWrap/>
            <w:vAlign w:val="center"/>
          </w:tcPr>
          <w:p w14:paraId="7B245CF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242,040,092 </w:t>
            </w:r>
          </w:p>
        </w:tc>
        <w:tc>
          <w:tcPr>
            <w:tcW w:w="1276" w:type="dxa"/>
            <w:shd w:val="clear" w:color="auto" w:fill="auto"/>
            <w:noWrap/>
            <w:vAlign w:val="center"/>
          </w:tcPr>
          <w:p w14:paraId="3D10A47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180,315,769 </w:t>
            </w:r>
          </w:p>
        </w:tc>
        <w:tc>
          <w:tcPr>
            <w:tcW w:w="1275" w:type="dxa"/>
            <w:shd w:val="clear" w:color="auto" w:fill="auto"/>
            <w:noWrap/>
            <w:vAlign w:val="center"/>
          </w:tcPr>
          <w:p w14:paraId="42832102"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422,355,861 </w:t>
            </w:r>
          </w:p>
        </w:tc>
      </w:tr>
      <w:tr w:rsidR="00D868AB" w:rsidRPr="00D868AB" w14:paraId="67B10230" w14:textId="77777777" w:rsidTr="00A755A7">
        <w:tblPrEx>
          <w:jc w:val="left"/>
        </w:tblPrEx>
        <w:trPr>
          <w:trHeight w:val="20"/>
        </w:trPr>
        <w:tc>
          <w:tcPr>
            <w:tcW w:w="700" w:type="dxa"/>
            <w:shd w:val="clear" w:color="auto" w:fill="auto"/>
            <w:noWrap/>
            <w:vAlign w:val="center"/>
            <w:hideMark/>
          </w:tcPr>
          <w:p w14:paraId="08C2B02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92100</w:t>
            </w:r>
          </w:p>
        </w:tc>
        <w:tc>
          <w:tcPr>
            <w:tcW w:w="3973" w:type="dxa"/>
            <w:shd w:val="clear" w:color="auto" w:fill="auto"/>
            <w:vAlign w:val="center"/>
            <w:hideMark/>
          </w:tcPr>
          <w:p w14:paraId="2FEC938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Intereses de la deuda interna con instituciones de crédito.</w:t>
            </w:r>
          </w:p>
        </w:tc>
        <w:tc>
          <w:tcPr>
            <w:tcW w:w="1276" w:type="dxa"/>
            <w:shd w:val="clear" w:color="auto" w:fill="auto"/>
            <w:noWrap/>
            <w:vAlign w:val="center"/>
          </w:tcPr>
          <w:p w14:paraId="21E5315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242,040,092 </w:t>
            </w:r>
          </w:p>
        </w:tc>
        <w:tc>
          <w:tcPr>
            <w:tcW w:w="1276" w:type="dxa"/>
            <w:shd w:val="clear" w:color="auto" w:fill="auto"/>
            <w:noWrap/>
            <w:vAlign w:val="center"/>
          </w:tcPr>
          <w:p w14:paraId="70A3658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180,315,769 </w:t>
            </w:r>
          </w:p>
        </w:tc>
        <w:tc>
          <w:tcPr>
            <w:tcW w:w="1275" w:type="dxa"/>
            <w:shd w:val="clear" w:color="auto" w:fill="auto"/>
            <w:noWrap/>
            <w:vAlign w:val="center"/>
          </w:tcPr>
          <w:p w14:paraId="477B7E8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422,355,861 </w:t>
            </w:r>
          </w:p>
        </w:tc>
      </w:tr>
      <w:tr w:rsidR="00D868AB" w:rsidRPr="00D868AB" w14:paraId="2F0849C7" w14:textId="77777777" w:rsidTr="00A755A7">
        <w:tblPrEx>
          <w:jc w:val="left"/>
        </w:tblPrEx>
        <w:trPr>
          <w:trHeight w:val="20"/>
        </w:trPr>
        <w:tc>
          <w:tcPr>
            <w:tcW w:w="700" w:type="dxa"/>
            <w:shd w:val="clear" w:color="auto" w:fill="auto"/>
            <w:noWrap/>
            <w:vAlign w:val="center"/>
            <w:hideMark/>
          </w:tcPr>
          <w:p w14:paraId="0CADD7C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92200</w:t>
            </w:r>
          </w:p>
        </w:tc>
        <w:tc>
          <w:tcPr>
            <w:tcW w:w="3973" w:type="dxa"/>
            <w:shd w:val="clear" w:color="auto" w:fill="auto"/>
            <w:vAlign w:val="center"/>
            <w:hideMark/>
          </w:tcPr>
          <w:p w14:paraId="043C0686"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Intereses derivados de la colocación de títulos y valores.</w:t>
            </w:r>
          </w:p>
        </w:tc>
        <w:tc>
          <w:tcPr>
            <w:tcW w:w="1276" w:type="dxa"/>
            <w:shd w:val="clear" w:color="auto" w:fill="auto"/>
            <w:noWrap/>
            <w:vAlign w:val="center"/>
          </w:tcPr>
          <w:p w14:paraId="0DD3079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3D7F01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E21BAC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6833190" w14:textId="77777777" w:rsidTr="00A755A7">
        <w:tblPrEx>
          <w:jc w:val="left"/>
        </w:tblPrEx>
        <w:trPr>
          <w:trHeight w:val="20"/>
        </w:trPr>
        <w:tc>
          <w:tcPr>
            <w:tcW w:w="700" w:type="dxa"/>
            <w:shd w:val="clear" w:color="auto" w:fill="auto"/>
            <w:noWrap/>
            <w:vAlign w:val="center"/>
            <w:hideMark/>
          </w:tcPr>
          <w:p w14:paraId="6C03221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92300</w:t>
            </w:r>
          </w:p>
        </w:tc>
        <w:tc>
          <w:tcPr>
            <w:tcW w:w="3973" w:type="dxa"/>
            <w:shd w:val="clear" w:color="auto" w:fill="auto"/>
            <w:vAlign w:val="center"/>
            <w:hideMark/>
          </w:tcPr>
          <w:p w14:paraId="4F3EF104"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Intereses por arrendamientos financieros nacionales.</w:t>
            </w:r>
          </w:p>
        </w:tc>
        <w:tc>
          <w:tcPr>
            <w:tcW w:w="1276" w:type="dxa"/>
            <w:shd w:val="clear" w:color="auto" w:fill="auto"/>
            <w:noWrap/>
            <w:vAlign w:val="center"/>
          </w:tcPr>
          <w:p w14:paraId="3CB1169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0BDA86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6F16A2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021C721" w14:textId="77777777" w:rsidTr="00A755A7">
        <w:tblPrEx>
          <w:jc w:val="left"/>
        </w:tblPrEx>
        <w:trPr>
          <w:trHeight w:val="20"/>
        </w:trPr>
        <w:tc>
          <w:tcPr>
            <w:tcW w:w="700" w:type="dxa"/>
            <w:shd w:val="clear" w:color="auto" w:fill="auto"/>
            <w:noWrap/>
            <w:vAlign w:val="center"/>
            <w:hideMark/>
          </w:tcPr>
          <w:p w14:paraId="52114CC2"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92400</w:t>
            </w:r>
          </w:p>
        </w:tc>
        <w:tc>
          <w:tcPr>
            <w:tcW w:w="3973" w:type="dxa"/>
            <w:shd w:val="clear" w:color="auto" w:fill="auto"/>
            <w:vAlign w:val="center"/>
            <w:hideMark/>
          </w:tcPr>
          <w:p w14:paraId="7CBA9A7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Intereses de la deuda externa con instituciones de crédito.</w:t>
            </w:r>
          </w:p>
        </w:tc>
        <w:tc>
          <w:tcPr>
            <w:tcW w:w="1276" w:type="dxa"/>
            <w:shd w:val="clear" w:color="auto" w:fill="auto"/>
            <w:noWrap/>
            <w:vAlign w:val="center"/>
          </w:tcPr>
          <w:p w14:paraId="1DC3FDC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2EC7B0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537FE4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36CD70B" w14:textId="77777777" w:rsidTr="00A755A7">
        <w:tblPrEx>
          <w:jc w:val="left"/>
        </w:tblPrEx>
        <w:trPr>
          <w:trHeight w:val="20"/>
        </w:trPr>
        <w:tc>
          <w:tcPr>
            <w:tcW w:w="700" w:type="dxa"/>
            <w:shd w:val="clear" w:color="auto" w:fill="auto"/>
            <w:noWrap/>
            <w:vAlign w:val="center"/>
            <w:hideMark/>
          </w:tcPr>
          <w:p w14:paraId="7AE0FA5A"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92500</w:t>
            </w:r>
          </w:p>
        </w:tc>
        <w:tc>
          <w:tcPr>
            <w:tcW w:w="3973" w:type="dxa"/>
            <w:shd w:val="clear" w:color="auto" w:fill="auto"/>
            <w:vAlign w:val="center"/>
            <w:hideMark/>
          </w:tcPr>
          <w:p w14:paraId="23F145D5"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Intereses de la deuda con organismos financieros Internacionales.</w:t>
            </w:r>
          </w:p>
        </w:tc>
        <w:tc>
          <w:tcPr>
            <w:tcW w:w="1276" w:type="dxa"/>
            <w:shd w:val="clear" w:color="auto" w:fill="auto"/>
            <w:noWrap/>
            <w:vAlign w:val="center"/>
          </w:tcPr>
          <w:p w14:paraId="7A10CF0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1E3006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C94617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3CB79A62" w14:textId="77777777" w:rsidTr="00A755A7">
        <w:tblPrEx>
          <w:jc w:val="left"/>
        </w:tblPrEx>
        <w:trPr>
          <w:trHeight w:val="20"/>
        </w:trPr>
        <w:tc>
          <w:tcPr>
            <w:tcW w:w="700" w:type="dxa"/>
            <w:shd w:val="clear" w:color="auto" w:fill="auto"/>
            <w:noWrap/>
            <w:vAlign w:val="center"/>
            <w:hideMark/>
          </w:tcPr>
          <w:p w14:paraId="1182AAA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92600</w:t>
            </w:r>
          </w:p>
        </w:tc>
        <w:tc>
          <w:tcPr>
            <w:tcW w:w="3973" w:type="dxa"/>
            <w:shd w:val="clear" w:color="auto" w:fill="auto"/>
            <w:vAlign w:val="center"/>
            <w:hideMark/>
          </w:tcPr>
          <w:p w14:paraId="5CD95A2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Intereses de la deuda bilateral.</w:t>
            </w:r>
          </w:p>
        </w:tc>
        <w:tc>
          <w:tcPr>
            <w:tcW w:w="1276" w:type="dxa"/>
            <w:shd w:val="clear" w:color="auto" w:fill="auto"/>
            <w:noWrap/>
            <w:vAlign w:val="center"/>
          </w:tcPr>
          <w:p w14:paraId="196363D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4F98C9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492544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6995C19" w14:textId="77777777" w:rsidTr="00A755A7">
        <w:tblPrEx>
          <w:jc w:val="left"/>
        </w:tblPrEx>
        <w:trPr>
          <w:trHeight w:val="20"/>
        </w:trPr>
        <w:tc>
          <w:tcPr>
            <w:tcW w:w="700" w:type="dxa"/>
            <w:shd w:val="clear" w:color="auto" w:fill="auto"/>
            <w:noWrap/>
            <w:vAlign w:val="center"/>
            <w:hideMark/>
          </w:tcPr>
          <w:p w14:paraId="6AAA67B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92700</w:t>
            </w:r>
          </w:p>
        </w:tc>
        <w:tc>
          <w:tcPr>
            <w:tcW w:w="3973" w:type="dxa"/>
            <w:shd w:val="clear" w:color="auto" w:fill="auto"/>
            <w:vAlign w:val="center"/>
            <w:hideMark/>
          </w:tcPr>
          <w:p w14:paraId="265A71B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Intereses derivados de la colocación de títulos y valores en el exterior.</w:t>
            </w:r>
          </w:p>
        </w:tc>
        <w:tc>
          <w:tcPr>
            <w:tcW w:w="1276" w:type="dxa"/>
            <w:shd w:val="clear" w:color="auto" w:fill="auto"/>
            <w:noWrap/>
            <w:vAlign w:val="center"/>
          </w:tcPr>
          <w:p w14:paraId="76CA1C5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42AE877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C904AF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15DBAA01" w14:textId="77777777" w:rsidTr="00A755A7">
        <w:tblPrEx>
          <w:jc w:val="left"/>
        </w:tblPrEx>
        <w:trPr>
          <w:trHeight w:val="20"/>
        </w:trPr>
        <w:tc>
          <w:tcPr>
            <w:tcW w:w="700" w:type="dxa"/>
            <w:shd w:val="clear" w:color="auto" w:fill="auto"/>
            <w:noWrap/>
            <w:vAlign w:val="center"/>
            <w:hideMark/>
          </w:tcPr>
          <w:p w14:paraId="446EE78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lastRenderedPageBreak/>
              <w:t>92800</w:t>
            </w:r>
          </w:p>
        </w:tc>
        <w:tc>
          <w:tcPr>
            <w:tcW w:w="3973" w:type="dxa"/>
            <w:shd w:val="clear" w:color="auto" w:fill="auto"/>
            <w:vAlign w:val="center"/>
            <w:hideMark/>
          </w:tcPr>
          <w:p w14:paraId="6DB5D619"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Intereses por arrendamientos financieros internacionales.</w:t>
            </w:r>
          </w:p>
        </w:tc>
        <w:tc>
          <w:tcPr>
            <w:tcW w:w="1276" w:type="dxa"/>
            <w:shd w:val="clear" w:color="auto" w:fill="auto"/>
            <w:noWrap/>
            <w:vAlign w:val="center"/>
          </w:tcPr>
          <w:p w14:paraId="73E3810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9D9E4CC"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72B5EA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4FEAFBD6" w14:textId="77777777" w:rsidTr="00A755A7">
        <w:tblPrEx>
          <w:jc w:val="left"/>
        </w:tblPrEx>
        <w:trPr>
          <w:trHeight w:val="20"/>
        </w:trPr>
        <w:tc>
          <w:tcPr>
            <w:tcW w:w="700" w:type="dxa"/>
            <w:shd w:val="clear" w:color="auto" w:fill="auto"/>
            <w:noWrap/>
            <w:vAlign w:val="center"/>
            <w:hideMark/>
          </w:tcPr>
          <w:p w14:paraId="2715A0B6"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93000</w:t>
            </w:r>
          </w:p>
        </w:tc>
        <w:tc>
          <w:tcPr>
            <w:tcW w:w="3973" w:type="dxa"/>
            <w:shd w:val="clear" w:color="auto" w:fill="auto"/>
            <w:vAlign w:val="center"/>
            <w:hideMark/>
          </w:tcPr>
          <w:p w14:paraId="03C33060"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COMISIONES DE LA DEUDA PÚBLICA.</w:t>
            </w:r>
          </w:p>
        </w:tc>
        <w:tc>
          <w:tcPr>
            <w:tcW w:w="1276" w:type="dxa"/>
            <w:shd w:val="clear" w:color="auto" w:fill="auto"/>
            <w:noWrap/>
            <w:vAlign w:val="center"/>
          </w:tcPr>
          <w:p w14:paraId="72238693"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57EE9BFA"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77E2B94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4B3D710C" w14:textId="77777777" w:rsidTr="00A755A7">
        <w:tblPrEx>
          <w:jc w:val="left"/>
        </w:tblPrEx>
        <w:trPr>
          <w:trHeight w:val="20"/>
        </w:trPr>
        <w:tc>
          <w:tcPr>
            <w:tcW w:w="700" w:type="dxa"/>
            <w:shd w:val="clear" w:color="auto" w:fill="auto"/>
            <w:noWrap/>
            <w:vAlign w:val="center"/>
            <w:hideMark/>
          </w:tcPr>
          <w:p w14:paraId="04CC242D"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93100</w:t>
            </w:r>
          </w:p>
        </w:tc>
        <w:tc>
          <w:tcPr>
            <w:tcW w:w="3973" w:type="dxa"/>
            <w:shd w:val="clear" w:color="auto" w:fill="auto"/>
            <w:vAlign w:val="center"/>
            <w:hideMark/>
          </w:tcPr>
          <w:p w14:paraId="2694874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Comisiones de la deuda pública interna.</w:t>
            </w:r>
          </w:p>
        </w:tc>
        <w:tc>
          <w:tcPr>
            <w:tcW w:w="1276" w:type="dxa"/>
            <w:shd w:val="clear" w:color="auto" w:fill="auto"/>
            <w:noWrap/>
            <w:vAlign w:val="center"/>
          </w:tcPr>
          <w:p w14:paraId="2B155ED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DE5427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F33A49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8C1D2CD" w14:textId="77777777" w:rsidTr="00A755A7">
        <w:tblPrEx>
          <w:jc w:val="left"/>
        </w:tblPrEx>
        <w:trPr>
          <w:trHeight w:val="20"/>
        </w:trPr>
        <w:tc>
          <w:tcPr>
            <w:tcW w:w="700" w:type="dxa"/>
            <w:shd w:val="clear" w:color="auto" w:fill="auto"/>
            <w:noWrap/>
            <w:vAlign w:val="center"/>
            <w:hideMark/>
          </w:tcPr>
          <w:p w14:paraId="0F26A47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93200</w:t>
            </w:r>
          </w:p>
        </w:tc>
        <w:tc>
          <w:tcPr>
            <w:tcW w:w="3973" w:type="dxa"/>
            <w:shd w:val="clear" w:color="auto" w:fill="auto"/>
            <w:vAlign w:val="center"/>
            <w:hideMark/>
          </w:tcPr>
          <w:p w14:paraId="587F36A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Comisiones de la deuda pública externa.</w:t>
            </w:r>
          </w:p>
        </w:tc>
        <w:tc>
          <w:tcPr>
            <w:tcW w:w="1276" w:type="dxa"/>
            <w:shd w:val="clear" w:color="auto" w:fill="auto"/>
            <w:noWrap/>
            <w:vAlign w:val="center"/>
          </w:tcPr>
          <w:p w14:paraId="23616A7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6B3DDBA6"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3F2064A5"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0F4AFFAF" w14:textId="77777777" w:rsidTr="00A755A7">
        <w:tblPrEx>
          <w:jc w:val="left"/>
        </w:tblPrEx>
        <w:trPr>
          <w:trHeight w:val="20"/>
        </w:trPr>
        <w:tc>
          <w:tcPr>
            <w:tcW w:w="700" w:type="dxa"/>
            <w:shd w:val="clear" w:color="auto" w:fill="auto"/>
            <w:noWrap/>
            <w:vAlign w:val="center"/>
            <w:hideMark/>
          </w:tcPr>
          <w:p w14:paraId="1EC0D98B"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94000</w:t>
            </w:r>
          </w:p>
        </w:tc>
        <w:tc>
          <w:tcPr>
            <w:tcW w:w="3973" w:type="dxa"/>
            <w:shd w:val="clear" w:color="auto" w:fill="auto"/>
            <w:vAlign w:val="center"/>
            <w:hideMark/>
          </w:tcPr>
          <w:p w14:paraId="67665F84"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GASTOS DE LA DEUDA PÚBLICA.</w:t>
            </w:r>
          </w:p>
        </w:tc>
        <w:tc>
          <w:tcPr>
            <w:tcW w:w="1276" w:type="dxa"/>
            <w:shd w:val="clear" w:color="auto" w:fill="auto"/>
            <w:noWrap/>
            <w:vAlign w:val="center"/>
          </w:tcPr>
          <w:p w14:paraId="5D6B49B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77F871A8"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3,463,512 </w:t>
            </w:r>
          </w:p>
        </w:tc>
        <w:tc>
          <w:tcPr>
            <w:tcW w:w="1275" w:type="dxa"/>
            <w:shd w:val="clear" w:color="auto" w:fill="auto"/>
            <w:noWrap/>
            <w:vAlign w:val="center"/>
          </w:tcPr>
          <w:p w14:paraId="112D3B5C"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3,463,512 </w:t>
            </w:r>
          </w:p>
        </w:tc>
      </w:tr>
      <w:tr w:rsidR="00D868AB" w:rsidRPr="00D868AB" w14:paraId="4DB31A7C" w14:textId="77777777" w:rsidTr="00A755A7">
        <w:tblPrEx>
          <w:jc w:val="left"/>
        </w:tblPrEx>
        <w:trPr>
          <w:trHeight w:val="20"/>
        </w:trPr>
        <w:tc>
          <w:tcPr>
            <w:tcW w:w="700" w:type="dxa"/>
            <w:shd w:val="clear" w:color="auto" w:fill="auto"/>
            <w:noWrap/>
            <w:vAlign w:val="center"/>
            <w:hideMark/>
          </w:tcPr>
          <w:p w14:paraId="4B3F861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94100</w:t>
            </w:r>
          </w:p>
        </w:tc>
        <w:tc>
          <w:tcPr>
            <w:tcW w:w="3973" w:type="dxa"/>
            <w:shd w:val="clear" w:color="auto" w:fill="auto"/>
            <w:vAlign w:val="center"/>
            <w:hideMark/>
          </w:tcPr>
          <w:p w14:paraId="5F07C598"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Gastos de la deuda pública interna.</w:t>
            </w:r>
          </w:p>
        </w:tc>
        <w:tc>
          <w:tcPr>
            <w:tcW w:w="1276" w:type="dxa"/>
            <w:shd w:val="clear" w:color="auto" w:fill="auto"/>
            <w:noWrap/>
            <w:vAlign w:val="center"/>
          </w:tcPr>
          <w:p w14:paraId="48343C9F"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170688E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3,463,512 </w:t>
            </w:r>
          </w:p>
        </w:tc>
        <w:tc>
          <w:tcPr>
            <w:tcW w:w="1275" w:type="dxa"/>
            <w:shd w:val="clear" w:color="auto" w:fill="auto"/>
            <w:noWrap/>
            <w:vAlign w:val="center"/>
          </w:tcPr>
          <w:p w14:paraId="70BE403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3,463,512 </w:t>
            </w:r>
          </w:p>
        </w:tc>
      </w:tr>
      <w:tr w:rsidR="00D868AB" w:rsidRPr="00D868AB" w14:paraId="7EAE8FF0" w14:textId="77777777" w:rsidTr="00A755A7">
        <w:tblPrEx>
          <w:jc w:val="left"/>
        </w:tblPrEx>
        <w:trPr>
          <w:trHeight w:val="20"/>
        </w:trPr>
        <w:tc>
          <w:tcPr>
            <w:tcW w:w="700" w:type="dxa"/>
            <w:shd w:val="clear" w:color="auto" w:fill="auto"/>
            <w:noWrap/>
            <w:vAlign w:val="center"/>
            <w:hideMark/>
          </w:tcPr>
          <w:p w14:paraId="6B0BD50C"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94200</w:t>
            </w:r>
          </w:p>
        </w:tc>
        <w:tc>
          <w:tcPr>
            <w:tcW w:w="3973" w:type="dxa"/>
            <w:shd w:val="clear" w:color="auto" w:fill="auto"/>
            <w:vAlign w:val="center"/>
            <w:hideMark/>
          </w:tcPr>
          <w:p w14:paraId="3FF90A92"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Gastos de la deuda pública externa.</w:t>
            </w:r>
          </w:p>
        </w:tc>
        <w:tc>
          <w:tcPr>
            <w:tcW w:w="1276" w:type="dxa"/>
            <w:shd w:val="clear" w:color="auto" w:fill="auto"/>
            <w:noWrap/>
            <w:vAlign w:val="center"/>
          </w:tcPr>
          <w:p w14:paraId="50175B6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B197800"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0B1D50B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218C2467" w14:textId="77777777" w:rsidTr="00A755A7">
        <w:tblPrEx>
          <w:jc w:val="left"/>
        </w:tblPrEx>
        <w:trPr>
          <w:trHeight w:val="20"/>
        </w:trPr>
        <w:tc>
          <w:tcPr>
            <w:tcW w:w="700" w:type="dxa"/>
            <w:shd w:val="clear" w:color="auto" w:fill="auto"/>
            <w:noWrap/>
            <w:vAlign w:val="center"/>
            <w:hideMark/>
          </w:tcPr>
          <w:p w14:paraId="09D4D603"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95000</w:t>
            </w:r>
          </w:p>
        </w:tc>
        <w:tc>
          <w:tcPr>
            <w:tcW w:w="3973" w:type="dxa"/>
            <w:shd w:val="clear" w:color="auto" w:fill="auto"/>
            <w:vAlign w:val="center"/>
            <w:hideMark/>
          </w:tcPr>
          <w:p w14:paraId="4522F340"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COSTO POR COBERTURAS.</w:t>
            </w:r>
          </w:p>
        </w:tc>
        <w:tc>
          <w:tcPr>
            <w:tcW w:w="1276" w:type="dxa"/>
            <w:shd w:val="clear" w:color="auto" w:fill="auto"/>
            <w:noWrap/>
            <w:vAlign w:val="center"/>
          </w:tcPr>
          <w:p w14:paraId="68DAC6FF"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2C11224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285D622D"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3750D284" w14:textId="77777777" w:rsidTr="00A755A7">
        <w:tblPrEx>
          <w:jc w:val="left"/>
        </w:tblPrEx>
        <w:trPr>
          <w:trHeight w:val="20"/>
        </w:trPr>
        <w:tc>
          <w:tcPr>
            <w:tcW w:w="700" w:type="dxa"/>
            <w:shd w:val="clear" w:color="auto" w:fill="auto"/>
            <w:noWrap/>
            <w:vAlign w:val="center"/>
            <w:hideMark/>
          </w:tcPr>
          <w:p w14:paraId="185D44E8"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95100</w:t>
            </w:r>
          </w:p>
        </w:tc>
        <w:tc>
          <w:tcPr>
            <w:tcW w:w="3973" w:type="dxa"/>
            <w:shd w:val="clear" w:color="auto" w:fill="auto"/>
            <w:vAlign w:val="center"/>
            <w:hideMark/>
          </w:tcPr>
          <w:p w14:paraId="4D2948AE"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Costos por coberturas.</w:t>
            </w:r>
          </w:p>
        </w:tc>
        <w:tc>
          <w:tcPr>
            <w:tcW w:w="1276" w:type="dxa"/>
            <w:shd w:val="clear" w:color="auto" w:fill="auto"/>
            <w:noWrap/>
            <w:vAlign w:val="center"/>
          </w:tcPr>
          <w:p w14:paraId="43D6113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065FCBF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242194A9"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BAB97C7" w14:textId="77777777" w:rsidTr="00A755A7">
        <w:tblPrEx>
          <w:jc w:val="left"/>
        </w:tblPrEx>
        <w:trPr>
          <w:trHeight w:val="20"/>
        </w:trPr>
        <w:tc>
          <w:tcPr>
            <w:tcW w:w="700" w:type="dxa"/>
            <w:shd w:val="clear" w:color="auto" w:fill="auto"/>
            <w:noWrap/>
            <w:vAlign w:val="center"/>
            <w:hideMark/>
          </w:tcPr>
          <w:p w14:paraId="32A8D17E"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96000</w:t>
            </w:r>
          </w:p>
        </w:tc>
        <w:tc>
          <w:tcPr>
            <w:tcW w:w="3973" w:type="dxa"/>
            <w:shd w:val="clear" w:color="auto" w:fill="auto"/>
            <w:vAlign w:val="center"/>
            <w:hideMark/>
          </w:tcPr>
          <w:p w14:paraId="1179A9D1"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APOYOS FINANCIEROS.</w:t>
            </w:r>
          </w:p>
        </w:tc>
        <w:tc>
          <w:tcPr>
            <w:tcW w:w="1276" w:type="dxa"/>
            <w:shd w:val="clear" w:color="auto" w:fill="auto"/>
            <w:noWrap/>
            <w:vAlign w:val="center"/>
          </w:tcPr>
          <w:p w14:paraId="03745EA4"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225F7765"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5" w:type="dxa"/>
            <w:shd w:val="clear" w:color="auto" w:fill="auto"/>
            <w:noWrap/>
            <w:vAlign w:val="center"/>
          </w:tcPr>
          <w:p w14:paraId="437431E9"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r>
      <w:tr w:rsidR="00D868AB" w:rsidRPr="00D868AB" w14:paraId="4E06EA33" w14:textId="77777777" w:rsidTr="00A755A7">
        <w:tblPrEx>
          <w:jc w:val="left"/>
        </w:tblPrEx>
        <w:trPr>
          <w:trHeight w:val="20"/>
        </w:trPr>
        <w:tc>
          <w:tcPr>
            <w:tcW w:w="700" w:type="dxa"/>
            <w:shd w:val="clear" w:color="auto" w:fill="auto"/>
            <w:noWrap/>
            <w:vAlign w:val="center"/>
            <w:hideMark/>
          </w:tcPr>
          <w:p w14:paraId="60EA88DB"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96100</w:t>
            </w:r>
          </w:p>
        </w:tc>
        <w:tc>
          <w:tcPr>
            <w:tcW w:w="3973" w:type="dxa"/>
            <w:shd w:val="clear" w:color="auto" w:fill="auto"/>
            <w:vAlign w:val="center"/>
            <w:hideMark/>
          </w:tcPr>
          <w:p w14:paraId="2091120D"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Apoyos a intermediarios financieros.</w:t>
            </w:r>
          </w:p>
        </w:tc>
        <w:tc>
          <w:tcPr>
            <w:tcW w:w="1276" w:type="dxa"/>
            <w:shd w:val="clear" w:color="auto" w:fill="auto"/>
            <w:noWrap/>
            <w:vAlign w:val="center"/>
          </w:tcPr>
          <w:p w14:paraId="786E440D"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3935A3EE"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59DEA904"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53D7E686" w14:textId="77777777" w:rsidTr="00A755A7">
        <w:tblPrEx>
          <w:jc w:val="left"/>
        </w:tblPrEx>
        <w:trPr>
          <w:trHeight w:val="20"/>
        </w:trPr>
        <w:tc>
          <w:tcPr>
            <w:tcW w:w="700" w:type="dxa"/>
            <w:shd w:val="clear" w:color="auto" w:fill="auto"/>
            <w:noWrap/>
            <w:vAlign w:val="center"/>
            <w:hideMark/>
          </w:tcPr>
          <w:p w14:paraId="7A538801"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96200</w:t>
            </w:r>
          </w:p>
        </w:tc>
        <w:tc>
          <w:tcPr>
            <w:tcW w:w="3973" w:type="dxa"/>
            <w:shd w:val="clear" w:color="auto" w:fill="auto"/>
            <w:vAlign w:val="center"/>
            <w:hideMark/>
          </w:tcPr>
          <w:p w14:paraId="71959AA0"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Apoyos a ahorradores y deudores del Sistema Financiero Nacional.</w:t>
            </w:r>
          </w:p>
        </w:tc>
        <w:tc>
          <w:tcPr>
            <w:tcW w:w="1276" w:type="dxa"/>
            <w:shd w:val="clear" w:color="auto" w:fill="auto"/>
            <w:noWrap/>
            <w:vAlign w:val="center"/>
          </w:tcPr>
          <w:p w14:paraId="1359ED8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7BFA2231"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5" w:type="dxa"/>
            <w:shd w:val="clear" w:color="auto" w:fill="auto"/>
            <w:noWrap/>
            <w:vAlign w:val="center"/>
          </w:tcPr>
          <w:p w14:paraId="45FE9CF3"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r>
      <w:tr w:rsidR="00D868AB" w:rsidRPr="00D868AB" w14:paraId="6C37C767" w14:textId="77777777" w:rsidTr="00A755A7">
        <w:tblPrEx>
          <w:jc w:val="left"/>
        </w:tblPrEx>
        <w:trPr>
          <w:trHeight w:val="20"/>
        </w:trPr>
        <w:tc>
          <w:tcPr>
            <w:tcW w:w="700" w:type="dxa"/>
            <w:shd w:val="clear" w:color="auto" w:fill="auto"/>
            <w:noWrap/>
            <w:vAlign w:val="center"/>
            <w:hideMark/>
          </w:tcPr>
          <w:p w14:paraId="1CB39120"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99000</w:t>
            </w:r>
          </w:p>
        </w:tc>
        <w:tc>
          <w:tcPr>
            <w:tcW w:w="3973" w:type="dxa"/>
            <w:shd w:val="clear" w:color="auto" w:fill="auto"/>
            <w:vAlign w:val="center"/>
            <w:hideMark/>
          </w:tcPr>
          <w:p w14:paraId="2FD3486D" w14:textId="77777777" w:rsidR="00D868AB" w:rsidRPr="00D868AB" w:rsidRDefault="00D868AB" w:rsidP="00D868AB">
            <w:pPr>
              <w:rPr>
                <w:rFonts w:eastAsia="Times New Roman" w:cs="Arial"/>
                <w:b/>
                <w:bCs/>
                <w:color w:val="000000"/>
                <w:sz w:val="16"/>
                <w:szCs w:val="16"/>
              </w:rPr>
            </w:pPr>
            <w:r w:rsidRPr="00D868AB">
              <w:rPr>
                <w:rFonts w:eastAsia="Times New Roman" w:cs="Arial"/>
                <w:b/>
                <w:bCs/>
                <w:color w:val="000000"/>
                <w:sz w:val="16"/>
                <w:szCs w:val="16"/>
              </w:rPr>
              <w:t xml:space="preserve"> ADEUDOS DE EJERCICIOS FISCALES ANTERIORES (ADEFAS).</w:t>
            </w:r>
          </w:p>
        </w:tc>
        <w:tc>
          <w:tcPr>
            <w:tcW w:w="1276" w:type="dxa"/>
            <w:shd w:val="clear" w:color="auto" w:fill="auto"/>
            <w:noWrap/>
            <w:vAlign w:val="center"/>
          </w:tcPr>
          <w:p w14:paraId="578E423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0 </w:t>
            </w:r>
          </w:p>
        </w:tc>
        <w:tc>
          <w:tcPr>
            <w:tcW w:w="1276" w:type="dxa"/>
            <w:shd w:val="clear" w:color="auto" w:fill="auto"/>
            <w:noWrap/>
            <w:vAlign w:val="center"/>
          </w:tcPr>
          <w:p w14:paraId="078FB9F6"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157,361,143 </w:t>
            </w:r>
          </w:p>
        </w:tc>
        <w:tc>
          <w:tcPr>
            <w:tcW w:w="1275" w:type="dxa"/>
            <w:shd w:val="clear" w:color="auto" w:fill="auto"/>
            <w:noWrap/>
            <w:vAlign w:val="center"/>
          </w:tcPr>
          <w:p w14:paraId="2FDDD4C1"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157,361,143 </w:t>
            </w:r>
          </w:p>
        </w:tc>
      </w:tr>
      <w:tr w:rsidR="00D868AB" w:rsidRPr="00D868AB" w14:paraId="14615BB2" w14:textId="77777777" w:rsidTr="00A755A7">
        <w:tblPrEx>
          <w:jc w:val="left"/>
        </w:tblPrEx>
        <w:trPr>
          <w:trHeight w:val="20"/>
        </w:trPr>
        <w:tc>
          <w:tcPr>
            <w:tcW w:w="700" w:type="dxa"/>
            <w:shd w:val="clear" w:color="auto" w:fill="auto"/>
            <w:noWrap/>
            <w:vAlign w:val="center"/>
            <w:hideMark/>
          </w:tcPr>
          <w:p w14:paraId="32E9ABB6" w14:textId="77777777" w:rsidR="00D868AB" w:rsidRPr="00D868AB" w:rsidRDefault="00D868AB" w:rsidP="00D868AB">
            <w:pPr>
              <w:jc w:val="center"/>
              <w:rPr>
                <w:rFonts w:eastAsia="Times New Roman" w:cs="Arial"/>
                <w:color w:val="000000"/>
                <w:sz w:val="16"/>
                <w:szCs w:val="16"/>
              </w:rPr>
            </w:pPr>
            <w:r w:rsidRPr="00D868AB">
              <w:rPr>
                <w:rFonts w:eastAsia="Times New Roman" w:cs="Arial"/>
                <w:color w:val="000000"/>
                <w:sz w:val="16"/>
                <w:szCs w:val="16"/>
              </w:rPr>
              <w:t>99100</w:t>
            </w:r>
          </w:p>
        </w:tc>
        <w:tc>
          <w:tcPr>
            <w:tcW w:w="3973" w:type="dxa"/>
            <w:shd w:val="clear" w:color="auto" w:fill="auto"/>
            <w:vAlign w:val="center"/>
            <w:hideMark/>
          </w:tcPr>
          <w:p w14:paraId="496D312B"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ADEFAS.</w:t>
            </w:r>
          </w:p>
        </w:tc>
        <w:tc>
          <w:tcPr>
            <w:tcW w:w="1276" w:type="dxa"/>
            <w:shd w:val="clear" w:color="auto" w:fill="auto"/>
            <w:noWrap/>
            <w:vAlign w:val="center"/>
          </w:tcPr>
          <w:p w14:paraId="7D042678"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0 </w:t>
            </w:r>
          </w:p>
        </w:tc>
        <w:tc>
          <w:tcPr>
            <w:tcW w:w="1276" w:type="dxa"/>
            <w:shd w:val="clear" w:color="auto" w:fill="auto"/>
            <w:noWrap/>
            <w:vAlign w:val="center"/>
          </w:tcPr>
          <w:p w14:paraId="2344C05B"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157,361,143 </w:t>
            </w:r>
          </w:p>
        </w:tc>
        <w:tc>
          <w:tcPr>
            <w:tcW w:w="1275" w:type="dxa"/>
            <w:shd w:val="clear" w:color="auto" w:fill="auto"/>
            <w:noWrap/>
            <w:vAlign w:val="center"/>
          </w:tcPr>
          <w:p w14:paraId="1F943927" w14:textId="77777777" w:rsidR="00D868AB" w:rsidRPr="00D868AB" w:rsidRDefault="00D868AB" w:rsidP="00D868AB">
            <w:pPr>
              <w:jc w:val="right"/>
              <w:rPr>
                <w:rFonts w:eastAsia="Times New Roman" w:cs="Arial"/>
                <w:color w:val="000000"/>
                <w:sz w:val="16"/>
                <w:szCs w:val="16"/>
              </w:rPr>
            </w:pPr>
            <w:r w:rsidRPr="00D868AB">
              <w:rPr>
                <w:rFonts w:cs="Arial"/>
                <w:color w:val="000000"/>
                <w:sz w:val="16"/>
                <w:szCs w:val="16"/>
              </w:rPr>
              <w:t xml:space="preserve">157,361,143 </w:t>
            </w:r>
          </w:p>
        </w:tc>
      </w:tr>
      <w:tr w:rsidR="00D868AB" w:rsidRPr="00D868AB" w14:paraId="566D0086" w14:textId="77777777" w:rsidTr="00A755A7">
        <w:tblPrEx>
          <w:jc w:val="left"/>
        </w:tblPrEx>
        <w:trPr>
          <w:trHeight w:val="20"/>
        </w:trPr>
        <w:tc>
          <w:tcPr>
            <w:tcW w:w="700" w:type="dxa"/>
            <w:shd w:val="clear" w:color="auto" w:fill="auto"/>
            <w:noWrap/>
            <w:vAlign w:val="center"/>
            <w:hideMark/>
          </w:tcPr>
          <w:p w14:paraId="76077CEC" w14:textId="77777777" w:rsidR="00D868AB" w:rsidRPr="00D868AB" w:rsidRDefault="00D868AB" w:rsidP="00D868AB">
            <w:pPr>
              <w:rPr>
                <w:rFonts w:eastAsia="Times New Roman" w:cs="Arial"/>
                <w:color w:val="000000"/>
                <w:sz w:val="16"/>
                <w:szCs w:val="16"/>
              </w:rPr>
            </w:pPr>
            <w:r w:rsidRPr="00D868AB">
              <w:rPr>
                <w:rFonts w:eastAsia="Times New Roman" w:cs="Arial"/>
                <w:color w:val="000000"/>
                <w:sz w:val="16"/>
                <w:szCs w:val="16"/>
              </w:rPr>
              <w:t> </w:t>
            </w:r>
          </w:p>
        </w:tc>
        <w:tc>
          <w:tcPr>
            <w:tcW w:w="3973" w:type="dxa"/>
            <w:shd w:val="clear" w:color="auto" w:fill="auto"/>
            <w:noWrap/>
            <w:vAlign w:val="center"/>
            <w:hideMark/>
          </w:tcPr>
          <w:p w14:paraId="185071F5" w14:textId="77777777" w:rsidR="00D868AB" w:rsidRPr="00D868AB" w:rsidRDefault="00D868AB" w:rsidP="00D868AB">
            <w:pPr>
              <w:jc w:val="center"/>
              <w:rPr>
                <w:rFonts w:eastAsia="Times New Roman" w:cs="Arial"/>
                <w:b/>
                <w:bCs/>
                <w:color w:val="000000"/>
                <w:sz w:val="16"/>
                <w:szCs w:val="16"/>
              </w:rPr>
            </w:pPr>
            <w:r w:rsidRPr="00D868AB">
              <w:rPr>
                <w:rFonts w:eastAsia="Times New Roman" w:cs="Arial"/>
                <w:b/>
                <w:bCs/>
                <w:color w:val="000000"/>
                <w:sz w:val="16"/>
                <w:szCs w:val="16"/>
              </w:rPr>
              <w:t>Total</w:t>
            </w:r>
          </w:p>
        </w:tc>
        <w:tc>
          <w:tcPr>
            <w:tcW w:w="1276" w:type="dxa"/>
            <w:shd w:val="clear" w:color="auto" w:fill="auto"/>
            <w:noWrap/>
            <w:vAlign w:val="center"/>
          </w:tcPr>
          <w:p w14:paraId="6130802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14,632,127,707 </w:t>
            </w:r>
          </w:p>
        </w:tc>
        <w:tc>
          <w:tcPr>
            <w:tcW w:w="1276" w:type="dxa"/>
            <w:shd w:val="clear" w:color="auto" w:fill="auto"/>
            <w:noWrap/>
            <w:vAlign w:val="center"/>
          </w:tcPr>
          <w:p w14:paraId="1CB1EC5B"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5,923,172,293 </w:t>
            </w:r>
          </w:p>
        </w:tc>
        <w:tc>
          <w:tcPr>
            <w:tcW w:w="1275" w:type="dxa"/>
            <w:shd w:val="clear" w:color="auto" w:fill="auto"/>
            <w:noWrap/>
            <w:vAlign w:val="center"/>
          </w:tcPr>
          <w:p w14:paraId="70C526C3" w14:textId="77777777" w:rsidR="00D868AB" w:rsidRPr="00D868AB" w:rsidRDefault="00D868AB" w:rsidP="00D868AB">
            <w:pPr>
              <w:jc w:val="right"/>
              <w:rPr>
                <w:rFonts w:eastAsia="Times New Roman" w:cs="Arial"/>
                <w:b/>
                <w:bCs/>
                <w:color w:val="000000"/>
                <w:sz w:val="16"/>
                <w:szCs w:val="16"/>
              </w:rPr>
            </w:pPr>
            <w:r w:rsidRPr="00D868AB">
              <w:rPr>
                <w:rFonts w:cs="Arial"/>
                <w:b/>
                <w:bCs/>
                <w:color w:val="000000"/>
                <w:sz w:val="16"/>
                <w:szCs w:val="16"/>
              </w:rPr>
              <w:t xml:space="preserve">20,555,300,000 </w:t>
            </w:r>
          </w:p>
        </w:tc>
      </w:tr>
    </w:tbl>
    <w:p w14:paraId="2EB9EDEC" w14:textId="77777777" w:rsidR="00D868AB" w:rsidRPr="00D868AB" w:rsidRDefault="00D868AB" w:rsidP="00D868AB">
      <w:pPr>
        <w:rPr>
          <w:rFonts w:cs="Arial"/>
          <w:lang w:val="es-ES"/>
        </w:rPr>
      </w:pPr>
    </w:p>
    <w:p w14:paraId="2DE93706" w14:textId="77777777" w:rsidR="00D868AB" w:rsidRPr="00D868AB" w:rsidRDefault="00D868AB" w:rsidP="00D868AB">
      <w:pPr>
        <w:rPr>
          <w:rFonts w:cs="Arial"/>
          <w:lang w:val="es-ES"/>
        </w:rPr>
      </w:pPr>
      <w:r w:rsidRPr="00D868AB">
        <w:rPr>
          <w:rFonts w:cs="Arial"/>
          <w:lang w:val="es-ES"/>
        </w:rPr>
        <w:t xml:space="preserve">II. La </w:t>
      </w:r>
      <w:r w:rsidRPr="00D868AB">
        <w:rPr>
          <w:rFonts w:cs="Arial"/>
          <w:b/>
          <w:lang w:val="es-ES"/>
        </w:rPr>
        <w:t>Clasificación Administrativa</w:t>
      </w:r>
      <w:r w:rsidRPr="00D868AB">
        <w:rPr>
          <w:rFonts w:cs="Arial"/>
          <w:lang w:val="es-ES"/>
        </w:rPr>
        <w:t>, desglosando únicamente la estructura del sector público de la Entidad Federativa y a nivel del Quinto Dígito, es la siguiente:</w:t>
      </w:r>
    </w:p>
    <w:p w14:paraId="66F0B52C" w14:textId="77777777" w:rsidR="00D868AB" w:rsidRPr="00D868AB" w:rsidRDefault="00D868AB" w:rsidP="00D868AB">
      <w:pPr>
        <w:jc w:val="center"/>
        <w:rPr>
          <w:rFonts w:eastAsia="Times New Roman" w:cs="Arial"/>
          <w:b/>
          <w:lang w:val="es-ES"/>
        </w:rPr>
      </w:pPr>
    </w:p>
    <w:tbl>
      <w:tblP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4"/>
        <w:gridCol w:w="3681"/>
        <w:gridCol w:w="1523"/>
        <w:gridCol w:w="1416"/>
        <w:gridCol w:w="1392"/>
      </w:tblGrid>
      <w:tr w:rsidR="00D868AB" w:rsidRPr="00D868AB" w14:paraId="4ADB5AE2" w14:textId="77777777" w:rsidTr="00A755A7">
        <w:trPr>
          <w:trHeight w:val="20"/>
          <w:tblHeader/>
          <w:jc w:val="center"/>
        </w:trPr>
        <w:tc>
          <w:tcPr>
            <w:tcW w:w="8716" w:type="dxa"/>
            <w:gridSpan w:val="5"/>
            <w:tcBorders>
              <w:top w:val="nil"/>
              <w:left w:val="nil"/>
              <w:bottom w:val="single" w:sz="4" w:space="0" w:color="auto"/>
              <w:right w:val="nil"/>
            </w:tcBorders>
            <w:shd w:val="clear" w:color="auto" w:fill="auto"/>
            <w:vAlign w:val="center"/>
          </w:tcPr>
          <w:p w14:paraId="3B634A94" w14:textId="77777777" w:rsidR="00D868AB" w:rsidRPr="00D868AB" w:rsidRDefault="00D868AB" w:rsidP="00D868AB">
            <w:pPr>
              <w:keepNext/>
              <w:keepLines/>
              <w:jc w:val="center"/>
              <w:outlineLvl w:val="1"/>
              <w:rPr>
                <w:rFonts w:eastAsia="Times New Roman" w:cs="Arial"/>
                <w:b/>
                <w:sz w:val="20"/>
                <w:szCs w:val="16"/>
                <w:lang w:val="es-ES"/>
              </w:rPr>
            </w:pPr>
            <w:bookmarkStart w:id="318" w:name="_Toc22022023"/>
            <w:bookmarkStart w:id="319" w:name="_Toc22983258"/>
            <w:r w:rsidRPr="00D868AB">
              <w:rPr>
                <w:rFonts w:eastAsia="Times New Roman" w:cs="Arial"/>
                <w:b/>
                <w:sz w:val="20"/>
                <w:szCs w:val="16"/>
                <w:lang w:val="es-ES"/>
              </w:rPr>
              <w:t>Tabla 68. Clasificación Administrativa</w:t>
            </w:r>
            <w:bookmarkEnd w:id="318"/>
            <w:bookmarkEnd w:id="319"/>
          </w:p>
          <w:p w14:paraId="6B30D153" w14:textId="77777777" w:rsidR="00D868AB" w:rsidRPr="00D868AB" w:rsidRDefault="00D868AB" w:rsidP="00D868AB">
            <w:pPr>
              <w:jc w:val="center"/>
              <w:rPr>
                <w:rFonts w:eastAsia="Times New Roman" w:cs="Arial"/>
                <w:b/>
                <w:bCs/>
                <w:sz w:val="16"/>
                <w:szCs w:val="16"/>
              </w:rPr>
            </w:pPr>
            <w:r w:rsidRPr="00D868AB">
              <w:rPr>
                <w:rFonts w:eastAsia="Times New Roman" w:cs="Arial"/>
                <w:b/>
                <w:sz w:val="18"/>
                <w:szCs w:val="16"/>
                <w:lang w:val="es-ES"/>
              </w:rPr>
              <w:t>(Quinto Digito)</w:t>
            </w:r>
          </w:p>
        </w:tc>
      </w:tr>
      <w:tr w:rsidR="00D868AB" w:rsidRPr="00D868AB" w14:paraId="6E7FD6D8" w14:textId="77777777" w:rsidTr="00A755A7">
        <w:trPr>
          <w:trHeight w:val="20"/>
          <w:tblHeader/>
          <w:jc w:val="center"/>
        </w:trPr>
        <w:tc>
          <w:tcPr>
            <w:tcW w:w="704" w:type="dxa"/>
            <w:tcBorders>
              <w:top w:val="single" w:sz="4" w:space="0" w:color="auto"/>
            </w:tcBorders>
            <w:shd w:val="clear" w:color="auto" w:fill="auto"/>
            <w:vAlign w:val="center"/>
            <w:hideMark/>
          </w:tcPr>
          <w:p w14:paraId="5C3A6226"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Clave</w:t>
            </w:r>
          </w:p>
        </w:tc>
        <w:tc>
          <w:tcPr>
            <w:tcW w:w="3681" w:type="dxa"/>
            <w:tcBorders>
              <w:top w:val="single" w:sz="4" w:space="0" w:color="auto"/>
            </w:tcBorders>
            <w:shd w:val="clear" w:color="auto" w:fill="auto"/>
            <w:vAlign w:val="center"/>
            <w:hideMark/>
          </w:tcPr>
          <w:p w14:paraId="46D421AC"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Concepto</w:t>
            </w:r>
          </w:p>
        </w:tc>
        <w:tc>
          <w:tcPr>
            <w:tcW w:w="1523" w:type="dxa"/>
            <w:tcBorders>
              <w:top w:val="single" w:sz="4" w:space="0" w:color="auto"/>
            </w:tcBorders>
            <w:vAlign w:val="center"/>
          </w:tcPr>
          <w:p w14:paraId="531CA377" w14:textId="77777777" w:rsidR="00D868AB" w:rsidRPr="00D868AB" w:rsidRDefault="00D868AB" w:rsidP="00D868AB">
            <w:pPr>
              <w:jc w:val="center"/>
              <w:rPr>
                <w:rFonts w:eastAsia="Times New Roman" w:cs="Arial"/>
                <w:b/>
                <w:bCs/>
                <w:sz w:val="16"/>
                <w:szCs w:val="16"/>
              </w:rPr>
            </w:pPr>
            <w:r w:rsidRPr="00D868AB">
              <w:rPr>
                <w:rFonts w:cs="Arial"/>
                <w:b/>
                <w:sz w:val="16"/>
                <w:szCs w:val="16"/>
              </w:rPr>
              <w:t>Gasto Programable</w:t>
            </w:r>
          </w:p>
        </w:tc>
        <w:tc>
          <w:tcPr>
            <w:tcW w:w="1416" w:type="dxa"/>
            <w:tcBorders>
              <w:top w:val="single" w:sz="4" w:space="0" w:color="auto"/>
            </w:tcBorders>
            <w:vAlign w:val="center"/>
          </w:tcPr>
          <w:p w14:paraId="0CB80039" w14:textId="77777777" w:rsidR="00D868AB" w:rsidRPr="00D868AB" w:rsidRDefault="00D868AB" w:rsidP="00D868AB">
            <w:pPr>
              <w:jc w:val="center"/>
              <w:rPr>
                <w:rFonts w:eastAsia="Times New Roman" w:cs="Arial"/>
                <w:b/>
                <w:bCs/>
                <w:sz w:val="16"/>
                <w:szCs w:val="16"/>
              </w:rPr>
            </w:pPr>
            <w:r w:rsidRPr="00D868AB">
              <w:rPr>
                <w:rFonts w:cs="Arial"/>
                <w:b/>
                <w:sz w:val="16"/>
                <w:szCs w:val="16"/>
              </w:rPr>
              <w:t>Gasto No Programable</w:t>
            </w:r>
          </w:p>
        </w:tc>
        <w:tc>
          <w:tcPr>
            <w:tcW w:w="1392" w:type="dxa"/>
            <w:tcBorders>
              <w:top w:val="single" w:sz="4" w:space="0" w:color="auto"/>
            </w:tcBorders>
            <w:shd w:val="clear" w:color="auto" w:fill="auto"/>
            <w:vAlign w:val="center"/>
            <w:hideMark/>
          </w:tcPr>
          <w:p w14:paraId="09ED4514"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Asignación Presupuestal</w:t>
            </w:r>
          </w:p>
        </w:tc>
      </w:tr>
      <w:tr w:rsidR="00D868AB" w:rsidRPr="00D868AB" w14:paraId="7F59C4B4" w14:textId="77777777" w:rsidTr="00A755A7">
        <w:trPr>
          <w:trHeight w:val="20"/>
          <w:jc w:val="center"/>
        </w:trPr>
        <w:tc>
          <w:tcPr>
            <w:tcW w:w="704" w:type="dxa"/>
            <w:shd w:val="clear" w:color="auto" w:fill="auto"/>
            <w:noWrap/>
            <w:vAlign w:val="center"/>
            <w:hideMark/>
          </w:tcPr>
          <w:p w14:paraId="396220B8"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20000</w:t>
            </w:r>
          </w:p>
        </w:tc>
        <w:tc>
          <w:tcPr>
            <w:tcW w:w="3681" w:type="dxa"/>
            <w:shd w:val="clear" w:color="auto" w:fill="auto"/>
            <w:vAlign w:val="center"/>
            <w:hideMark/>
          </w:tcPr>
          <w:p w14:paraId="048DFD40" w14:textId="77777777" w:rsidR="00D868AB" w:rsidRPr="00D868AB" w:rsidRDefault="00D868AB" w:rsidP="00D868AB">
            <w:pPr>
              <w:rPr>
                <w:rFonts w:eastAsia="Times New Roman" w:cs="Arial"/>
                <w:b/>
                <w:bCs/>
                <w:sz w:val="16"/>
                <w:szCs w:val="16"/>
              </w:rPr>
            </w:pPr>
            <w:r w:rsidRPr="00D868AB">
              <w:rPr>
                <w:rFonts w:eastAsia="Times New Roman" w:cs="Arial"/>
                <w:b/>
                <w:bCs/>
                <w:sz w:val="16"/>
                <w:szCs w:val="16"/>
              </w:rPr>
              <w:t>Sector Público de las Entidades Federativas.</w:t>
            </w:r>
          </w:p>
        </w:tc>
        <w:tc>
          <w:tcPr>
            <w:tcW w:w="1523" w:type="dxa"/>
            <w:vAlign w:val="center"/>
          </w:tcPr>
          <w:p w14:paraId="563941E3" w14:textId="77777777" w:rsidR="00D868AB" w:rsidRPr="00D868AB" w:rsidRDefault="00D868AB" w:rsidP="00D868AB">
            <w:pPr>
              <w:jc w:val="right"/>
              <w:rPr>
                <w:rFonts w:cs="Arial"/>
                <w:b/>
                <w:bCs/>
                <w:sz w:val="16"/>
                <w:szCs w:val="16"/>
              </w:rPr>
            </w:pPr>
            <w:r w:rsidRPr="00D868AB">
              <w:rPr>
                <w:rFonts w:cs="Arial"/>
                <w:b/>
                <w:bCs/>
                <w:color w:val="000000"/>
                <w:sz w:val="16"/>
                <w:szCs w:val="16"/>
              </w:rPr>
              <w:t>14,632,127,707</w:t>
            </w:r>
          </w:p>
        </w:tc>
        <w:tc>
          <w:tcPr>
            <w:tcW w:w="1416" w:type="dxa"/>
            <w:vAlign w:val="center"/>
          </w:tcPr>
          <w:p w14:paraId="6DA17FCC" w14:textId="77777777" w:rsidR="00D868AB" w:rsidRPr="00D868AB" w:rsidRDefault="00D868AB" w:rsidP="00D868AB">
            <w:pPr>
              <w:jc w:val="right"/>
              <w:rPr>
                <w:rFonts w:cs="Arial"/>
                <w:b/>
                <w:bCs/>
                <w:sz w:val="16"/>
                <w:szCs w:val="16"/>
              </w:rPr>
            </w:pPr>
            <w:r w:rsidRPr="00D868AB">
              <w:rPr>
                <w:rFonts w:cs="Arial"/>
                <w:b/>
                <w:bCs/>
                <w:color w:val="000000"/>
                <w:sz w:val="16"/>
                <w:szCs w:val="16"/>
              </w:rPr>
              <w:t>5,923,172,293</w:t>
            </w:r>
          </w:p>
        </w:tc>
        <w:tc>
          <w:tcPr>
            <w:tcW w:w="1392" w:type="dxa"/>
            <w:shd w:val="clear" w:color="auto" w:fill="auto"/>
            <w:noWrap/>
            <w:vAlign w:val="center"/>
          </w:tcPr>
          <w:p w14:paraId="67B0A93F" w14:textId="77777777" w:rsidR="00D868AB" w:rsidRPr="00D868AB" w:rsidRDefault="00D868AB" w:rsidP="00D868AB">
            <w:pPr>
              <w:jc w:val="right"/>
              <w:rPr>
                <w:rFonts w:cs="Arial"/>
                <w:b/>
                <w:bCs/>
                <w:sz w:val="16"/>
                <w:szCs w:val="16"/>
              </w:rPr>
            </w:pPr>
            <w:r w:rsidRPr="00D868AB">
              <w:rPr>
                <w:rFonts w:cs="Arial"/>
                <w:b/>
                <w:bCs/>
                <w:color w:val="000000"/>
                <w:sz w:val="16"/>
                <w:szCs w:val="16"/>
              </w:rPr>
              <w:t>20,555,300,000</w:t>
            </w:r>
          </w:p>
        </w:tc>
      </w:tr>
      <w:tr w:rsidR="00D868AB" w:rsidRPr="00D868AB" w14:paraId="29F22B66" w14:textId="77777777" w:rsidTr="00A755A7">
        <w:trPr>
          <w:trHeight w:val="20"/>
          <w:jc w:val="center"/>
        </w:trPr>
        <w:tc>
          <w:tcPr>
            <w:tcW w:w="704" w:type="dxa"/>
            <w:shd w:val="clear" w:color="auto" w:fill="auto"/>
            <w:noWrap/>
            <w:vAlign w:val="center"/>
            <w:hideMark/>
          </w:tcPr>
          <w:p w14:paraId="31DC2008"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21000</w:t>
            </w:r>
          </w:p>
        </w:tc>
        <w:tc>
          <w:tcPr>
            <w:tcW w:w="3681" w:type="dxa"/>
            <w:shd w:val="clear" w:color="auto" w:fill="auto"/>
            <w:vAlign w:val="center"/>
            <w:hideMark/>
          </w:tcPr>
          <w:p w14:paraId="64C5A972" w14:textId="77777777" w:rsidR="00D868AB" w:rsidRPr="00D868AB" w:rsidRDefault="00D868AB" w:rsidP="00D868AB">
            <w:pPr>
              <w:rPr>
                <w:rFonts w:eastAsia="Times New Roman" w:cs="Arial"/>
                <w:b/>
                <w:bCs/>
                <w:sz w:val="16"/>
                <w:szCs w:val="16"/>
              </w:rPr>
            </w:pPr>
            <w:r w:rsidRPr="00D868AB">
              <w:rPr>
                <w:rFonts w:eastAsia="Times New Roman" w:cs="Arial"/>
                <w:b/>
                <w:bCs/>
                <w:sz w:val="16"/>
                <w:szCs w:val="16"/>
              </w:rPr>
              <w:t>Sector Público No Financiero.</w:t>
            </w:r>
          </w:p>
        </w:tc>
        <w:tc>
          <w:tcPr>
            <w:tcW w:w="1523" w:type="dxa"/>
            <w:vAlign w:val="center"/>
          </w:tcPr>
          <w:p w14:paraId="0E0272C1" w14:textId="77777777" w:rsidR="00D868AB" w:rsidRPr="00D868AB" w:rsidRDefault="00D868AB" w:rsidP="00D868AB">
            <w:pPr>
              <w:jc w:val="right"/>
              <w:rPr>
                <w:rFonts w:cs="Arial"/>
                <w:b/>
                <w:bCs/>
                <w:sz w:val="16"/>
                <w:szCs w:val="16"/>
              </w:rPr>
            </w:pPr>
            <w:r w:rsidRPr="00D868AB">
              <w:rPr>
                <w:rFonts w:cs="Arial"/>
                <w:b/>
                <w:bCs/>
                <w:color w:val="000000"/>
                <w:sz w:val="16"/>
                <w:szCs w:val="16"/>
              </w:rPr>
              <w:t>14,632,127,707</w:t>
            </w:r>
          </w:p>
        </w:tc>
        <w:tc>
          <w:tcPr>
            <w:tcW w:w="1416" w:type="dxa"/>
            <w:vAlign w:val="center"/>
          </w:tcPr>
          <w:p w14:paraId="0EF8FEA7" w14:textId="77777777" w:rsidR="00D868AB" w:rsidRPr="00D868AB" w:rsidRDefault="00D868AB" w:rsidP="00D868AB">
            <w:pPr>
              <w:jc w:val="right"/>
              <w:rPr>
                <w:rFonts w:cs="Arial"/>
                <w:b/>
                <w:bCs/>
                <w:sz w:val="16"/>
                <w:szCs w:val="16"/>
              </w:rPr>
            </w:pPr>
            <w:r w:rsidRPr="00D868AB">
              <w:rPr>
                <w:rFonts w:cs="Arial"/>
                <w:b/>
                <w:bCs/>
                <w:color w:val="000000"/>
                <w:sz w:val="16"/>
                <w:szCs w:val="16"/>
              </w:rPr>
              <w:t>5,923,172,293</w:t>
            </w:r>
          </w:p>
        </w:tc>
        <w:tc>
          <w:tcPr>
            <w:tcW w:w="1392" w:type="dxa"/>
            <w:shd w:val="clear" w:color="auto" w:fill="auto"/>
            <w:noWrap/>
            <w:vAlign w:val="center"/>
          </w:tcPr>
          <w:p w14:paraId="014E0A6A" w14:textId="77777777" w:rsidR="00D868AB" w:rsidRPr="00D868AB" w:rsidRDefault="00D868AB" w:rsidP="00D868AB">
            <w:pPr>
              <w:jc w:val="right"/>
              <w:rPr>
                <w:rFonts w:cs="Arial"/>
                <w:b/>
                <w:bCs/>
                <w:sz w:val="16"/>
                <w:szCs w:val="16"/>
              </w:rPr>
            </w:pPr>
            <w:r w:rsidRPr="00D868AB">
              <w:rPr>
                <w:rFonts w:cs="Arial"/>
                <w:b/>
                <w:bCs/>
                <w:color w:val="000000"/>
                <w:sz w:val="16"/>
                <w:szCs w:val="16"/>
              </w:rPr>
              <w:t>20,555,300,000</w:t>
            </w:r>
          </w:p>
        </w:tc>
      </w:tr>
      <w:tr w:rsidR="00D868AB" w:rsidRPr="00D868AB" w14:paraId="6D5C7125" w14:textId="77777777" w:rsidTr="00A755A7">
        <w:trPr>
          <w:trHeight w:val="20"/>
          <w:jc w:val="center"/>
        </w:trPr>
        <w:tc>
          <w:tcPr>
            <w:tcW w:w="704" w:type="dxa"/>
            <w:shd w:val="clear" w:color="auto" w:fill="auto"/>
            <w:noWrap/>
            <w:vAlign w:val="center"/>
            <w:hideMark/>
          </w:tcPr>
          <w:p w14:paraId="4A77A5F2"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21100</w:t>
            </w:r>
          </w:p>
        </w:tc>
        <w:tc>
          <w:tcPr>
            <w:tcW w:w="3681" w:type="dxa"/>
            <w:shd w:val="clear" w:color="auto" w:fill="auto"/>
            <w:vAlign w:val="center"/>
            <w:hideMark/>
          </w:tcPr>
          <w:p w14:paraId="6B261B9A" w14:textId="77777777" w:rsidR="00D868AB" w:rsidRPr="00D868AB" w:rsidRDefault="00D868AB" w:rsidP="00D868AB">
            <w:pPr>
              <w:rPr>
                <w:rFonts w:eastAsia="Times New Roman" w:cs="Arial"/>
                <w:b/>
                <w:bCs/>
                <w:sz w:val="16"/>
                <w:szCs w:val="16"/>
              </w:rPr>
            </w:pPr>
            <w:r w:rsidRPr="00D868AB">
              <w:rPr>
                <w:rFonts w:eastAsia="Times New Roman" w:cs="Arial"/>
                <w:b/>
                <w:bCs/>
                <w:sz w:val="16"/>
                <w:szCs w:val="16"/>
              </w:rPr>
              <w:t>Gobierno General Estatal o del Distrito Federal.</w:t>
            </w:r>
          </w:p>
        </w:tc>
        <w:tc>
          <w:tcPr>
            <w:tcW w:w="1523" w:type="dxa"/>
            <w:vAlign w:val="center"/>
          </w:tcPr>
          <w:p w14:paraId="2FFDCDA5" w14:textId="77777777" w:rsidR="00D868AB" w:rsidRPr="00D868AB" w:rsidRDefault="00D868AB" w:rsidP="00D868AB">
            <w:pPr>
              <w:jc w:val="right"/>
              <w:rPr>
                <w:rFonts w:cs="Arial"/>
                <w:b/>
                <w:bCs/>
                <w:sz w:val="16"/>
                <w:szCs w:val="16"/>
              </w:rPr>
            </w:pPr>
            <w:r w:rsidRPr="00D868AB">
              <w:rPr>
                <w:rFonts w:cs="Arial"/>
                <w:b/>
                <w:bCs/>
                <w:color w:val="000000"/>
                <w:sz w:val="16"/>
                <w:szCs w:val="16"/>
              </w:rPr>
              <w:t>14,632,127,707</w:t>
            </w:r>
          </w:p>
        </w:tc>
        <w:tc>
          <w:tcPr>
            <w:tcW w:w="1416" w:type="dxa"/>
            <w:vAlign w:val="center"/>
          </w:tcPr>
          <w:p w14:paraId="36C6FF98" w14:textId="77777777" w:rsidR="00D868AB" w:rsidRPr="00D868AB" w:rsidRDefault="00D868AB" w:rsidP="00D868AB">
            <w:pPr>
              <w:jc w:val="right"/>
              <w:rPr>
                <w:rFonts w:cs="Arial"/>
                <w:b/>
                <w:bCs/>
                <w:sz w:val="16"/>
                <w:szCs w:val="16"/>
              </w:rPr>
            </w:pPr>
            <w:r w:rsidRPr="00D868AB">
              <w:rPr>
                <w:rFonts w:cs="Arial"/>
                <w:b/>
                <w:bCs/>
                <w:color w:val="000000"/>
                <w:sz w:val="16"/>
                <w:szCs w:val="16"/>
              </w:rPr>
              <w:t>5,923,172,293</w:t>
            </w:r>
          </w:p>
        </w:tc>
        <w:tc>
          <w:tcPr>
            <w:tcW w:w="1392" w:type="dxa"/>
            <w:shd w:val="clear" w:color="auto" w:fill="auto"/>
            <w:noWrap/>
            <w:vAlign w:val="center"/>
          </w:tcPr>
          <w:p w14:paraId="0B483D18" w14:textId="77777777" w:rsidR="00D868AB" w:rsidRPr="00D868AB" w:rsidRDefault="00D868AB" w:rsidP="00D868AB">
            <w:pPr>
              <w:jc w:val="right"/>
              <w:rPr>
                <w:rFonts w:cs="Arial"/>
                <w:b/>
                <w:bCs/>
                <w:sz w:val="16"/>
                <w:szCs w:val="16"/>
              </w:rPr>
            </w:pPr>
            <w:r w:rsidRPr="00D868AB">
              <w:rPr>
                <w:rFonts w:cs="Arial"/>
                <w:b/>
                <w:bCs/>
                <w:color w:val="000000"/>
                <w:sz w:val="16"/>
                <w:szCs w:val="16"/>
              </w:rPr>
              <w:t>20,555,300,000</w:t>
            </w:r>
          </w:p>
        </w:tc>
      </w:tr>
      <w:tr w:rsidR="00D868AB" w:rsidRPr="00D868AB" w14:paraId="3DAF71A9" w14:textId="77777777" w:rsidTr="00A755A7">
        <w:trPr>
          <w:trHeight w:val="20"/>
          <w:jc w:val="center"/>
        </w:trPr>
        <w:tc>
          <w:tcPr>
            <w:tcW w:w="704" w:type="dxa"/>
            <w:shd w:val="clear" w:color="auto" w:fill="auto"/>
            <w:noWrap/>
            <w:vAlign w:val="center"/>
            <w:hideMark/>
          </w:tcPr>
          <w:p w14:paraId="0E6D97D3"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21110</w:t>
            </w:r>
          </w:p>
        </w:tc>
        <w:tc>
          <w:tcPr>
            <w:tcW w:w="3681" w:type="dxa"/>
            <w:shd w:val="clear" w:color="auto" w:fill="auto"/>
            <w:vAlign w:val="center"/>
            <w:hideMark/>
          </w:tcPr>
          <w:p w14:paraId="1D66250A" w14:textId="77777777" w:rsidR="00D868AB" w:rsidRPr="00D868AB" w:rsidRDefault="00D868AB" w:rsidP="00D868AB">
            <w:pPr>
              <w:rPr>
                <w:rFonts w:eastAsia="Times New Roman" w:cs="Arial"/>
                <w:b/>
                <w:bCs/>
                <w:sz w:val="16"/>
                <w:szCs w:val="16"/>
              </w:rPr>
            </w:pPr>
            <w:r w:rsidRPr="00D868AB">
              <w:rPr>
                <w:rFonts w:eastAsia="Times New Roman" w:cs="Arial"/>
                <w:b/>
                <w:bCs/>
                <w:sz w:val="16"/>
                <w:szCs w:val="16"/>
              </w:rPr>
              <w:t>Gobierno del Estado de Colima.</w:t>
            </w:r>
          </w:p>
        </w:tc>
        <w:tc>
          <w:tcPr>
            <w:tcW w:w="1523" w:type="dxa"/>
            <w:vAlign w:val="center"/>
          </w:tcPr>
          <w:p w14:paraId="72A7AAA0" w14:textId="77777777" w:rsidR="00D868AB" w:rsidRPr="00D868AB" w:rsidRDefault="00D868AB" w:rsidP="00D868AB">
            <w:pPr>
              <w:jc w:val="right"/>
              <w:rPr>
                <w:rFonts w:cs="Arial"/>
                <w:b/>
                <w:bCs/>
                <w:sz w:val="16"/>
                <w:szCs w:val="16"/>
              </w:rPr>
            </w:pPr>
            <w:r w:rsidRPr="00D868AB">
              <w:rPr>
                <w:rFonts w:cs="Arial"/>
                <w:b/>
                <w:bCs/>
                <w:color w:val="000000"/>
                <w:sz w:val="16"/>
                <w:szCs w:val="16"/>
              </w:rPr>
              <w:t>11,424,393,894</w:t>
            </w:r>
          </w:p>
        </w:tc>
        <w:tc>
          <w:tcPr>
            <w:tcW w:w="1416" w:type="dxa"/>
            <w:vAlign w:val="center"/>
          </w:tcPr>
          <w:p w14:paraId="2549AC98" w14:textId="77777777" w:rsidR="00D868AB" w:rsidRPr="00D868AB" w:rsidRDefault="00D868AB" w:rsidP="00D868AB">
            <w:pPr>
              <w:jc w:val="right"/>
              <w:rPr>
                <w:rFonts w:cs="Arial"/>
                <w:b/>
                <w:bCs/>
                <w:sz w:val="16"/>
                <w:szCs w:val="16"/>
              </w:rPr>
            </w:pPr>
            <w:r w:rsidRPr="00D868AB">
              <w:rPr>
                <w:rFonts w:cs="Arial"/>
                <w:b/>
                <w:bCs/>
                <w:color w:val="000000"/>
                <w:sz w:val="16"/>
                <w:szCs w:val="16"/>
              </w:rPr>
              <w:t>5,678,120,583</w:t>
            </w:r>
          </w:p>
        </w:tc>
        <w:tc>
          <w:tcPr>
            <w:tcW w:w="1392" w:type="dxa"/>
            <w:shd w:val="clear" w:color="auto" w:fill="auto"/>
            <w:noWrap/>
            <w:vAlign w:val="center"/>
          </w:tcPr>
          <w:p w14:paraId="166F0F6C" w14:textId="77777777" w:rsidR="00D868AB" w:rsidRPr="00D868AB" w:rsidRDefault="00D868AB" w:rsidP="00D868AB">
            <w:pPr>
              <w:jc w:val="right"/>
              <w:rPr>
                <w:rFonts w:cs="Arial"/>
                <w:b/>
                <w:bCs/>
                <w:sz w:val="16"/>
                <w:szCs w:val="16"/>
              </w:rPr>
            </w:pPr>
            <w:r w:rsidRPr="00D868AB">
              <w:rPr>
                <w:rFonts w:cs="Arial"/>
                <w:b/>
                <w:bCs/>
                <w:color w:val="000000"/>
                <w:sz w:val="16"/>
                <w:szCs w:val="16"/>
              </w:rPr>
              <w:t>17,102,514,477</w:t>
            </w:r>
          </w:p>
        </w:tc>
      </w:tr>
      <w:tr w:rsidR="00D868AB" w:rsidRPr="00D868AB" w14:paraId="0C604C19" w14:textId="77777777" w:rsidTr="00A755A7">
        <w:trPr>
          <w:trHeight w:val="20"/>
          <w:jc w:val="center"/>
        </w:trPr>
        <w:tc>
          <w:tcPr>
            <w:tcW w:w="704" w:type="dxa"/>
            <w:shd w:val="clear" w:color="auto" w:fill="auto"/>
            <w:noWrap/>
            <w:vAlign w:val="center"/>
            <w:hideMark/>
          </w:tcPr>
          <w:p w14:paraId="0EA8288E"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21111</w:t>
            </w:r>
          </w:p>
        </w:tc>
        <w:tc>
          <w:tcPr>
            <w:tcW w:w="3681" w:type="dxa"/>
            <w:shd w:val="clear" w:color="auto" w:fill="auto"/>
            <w:vAlign w:val="center"/>
            <w:hideMark/>
          </w:tcPr>
          <w:p w14:paraId="64287FFD" w14:textId="77777777" w:rsidR="00D868AB" w:rsidRPr="00D868AB" w:rsidRDefault="00D868AB" w:rsidP="00D868AB">
            <w:pPr>
              <w:rPr>
                <w:rFonts w:eastAsia="Times New Roman" w:cs="Arial"/>
                <w:sz w:val="16"/>
                <w:szCs w:val="16"/>
              </w:rPr>
            </w:pPr>
            <w:r w:rsidRPr="00D868AB">
              <w:rPr>
                <w:rFonts w:eastAsia="Times New Roman" w:cs="Arial"/>
                <w:sz w:val="16"/>
                <w:szCs w:val="16"/>
              </w:rPr>
              <w:t>Poder Ejecutivo.</w:t>
            </w:r>
          </w:p>
        </w:tc>
        <w:tc>
          <w:tcPr>
            <w:tcW w:w="1523" w:type="dxa"/>
            <w:vAlign w:val="center"/>
          </w:tcPr>
          <w:p w14:paraId="00C2F3CA" w14:textId="77777777" w:rsidR="00D868AB" w:rsidRPr="00D868AB" w:rsidRDefault="00D868AB" w:rsidP="00D868AB">
            <w:pPr>
              <w:jc w:val="right"/>
              <w:rPr>
                <w:rFonts w:cs="Arial"/>
                <w:sz w:val="16"/>
                <w:szCs w:val="16"/>
              </w:rPr>
            </w:pPr>
            <w:r w:rsidRPr="00D868AB">
              <w:rPr>
                <w:rFonts w:cs="Arial"/>
                <w:color w:val="000000"/>
                <w:sz w:val="16"/>
                <w:szCs w:val="16"/>
              </w:rPr>
              <w:t>10,663,775,743</w:t>
            </w:r>
          </w:p>
        </w:tc>
        <w:tc>
          <w:tcPr>
            <w:tcW w:w="1416" w:type="dxa"/>
            <w:vAlign w:val="center"/>
          </w:tcPr>
          <w:p w14:paraId="520F4EEB" w14:textId="77777777" w:rsidR="00D868AB" w:rsidRPr="00D868AB" w:rsidRDefault="00D868AB" w:rsidP="00D868AB">
            <w:pPr>
              <w:jc w:val="right"/>
              <w:rPr>
                <w:rFonts w:cs="Arial"/>
                <w:sz w:val="16"/>
                <w:szCs w:val="16"/>
              </w:rPr>
            </w:pPr>
            <w:r w:rsidRPr="00D868AB">
              <w:rPr>
                <w:rFonts w:cs="Arial"/>
                <w:color w:val="000000"/>
                <w:sz w:val="16"/>
                <w:szCs w:val="16"/>
              </w:rPr>
              <w:t>5,390,666,352</w:t>
            </w:r>
          </w:p>
        </w:tc>
        <w:tc>
          <w:tcPr>
            <w:tcW w:w="1392" w:type="dxa"/>
            <w:shd w:val="clear" w:color="auto" w:fill="auto"/>
            <w:vAlign w:val="center"/>
          </w:tcPr>
          <w:p w14:paraId="3053729A" w14:textId="77777777" w:rsidR="00D868AB" w:rsidRPr="00D868AB" w:rsidRDefault="00D868AB" w:rsidP="00D868AB">
            <w:pPr>
              <w:jc w:val="right"/>
              <w:rPr>
                <w:rFonts w:cs="Arial"/>
                <w:sz w:val="16"/>
                <w:szCs w:val="16"/>
              </w:rPr>
            </w:pPr>
            <w:r w:rsidRPr="00D868AB">
              <w:rPr>
                <w:rFonts w:cs="Arial"/>
                <w:color w:val="000000"/>
                <w:sz w:val="16"/>
                <w:szCs w:val="16"/>
              </w:rPr>
              <w:t>16,054,442,095</w:t>
            </w:r>
          </w:p>
        </w:tc>
      </w:tr>
      <w:tr w:rsidR="00D868AB" w:rsidRPr="00D868AB" w14:paraId="6F56D2C7" w14:textId="77777777" w:rsidTr="00A755A7">
        <w:trPr>
          <w:trHeight w:val="20"/>
          <w:jc w:val="center"/>
        </w:trPr>
        <w:tc>
          <w:tcPr>
            <w:tcW w:w="704" w:type="dxa"/>
            <w:shd w:val="clear" w:color="auto" w:fill="auto"/>
            <w:noWrap/>
            <w:vAlign w:val="center"/>
            <w:hideMark/>
          </w:tcPr>
          <w:p w14:paraId="65541FDD"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21112</w:t>
            </w:r>
          </w:p>
        </w:tc>
        <w:tc>
          <w:tcPr>
            <w:tcW w:w="3681" w:type="dxa"/>
            <w:shd w:val="clear" w:color="auto" w:fill="auto"/>
            <w:vAlign w:val="center"/>
            <w:hideMark/>
          </w:tcPr>
          <w:p w14:paraId="675757BF" w14:textId="77777777" w:rsidR="00D868AB" w:rsidRPr="00D868AB" w:rsidRDefault="00D868AB" w:rsidP="00D868AB">
            <w:pPr>
              <w:rPr>
                <w:rFonts w:eastAsia="Times New Roman" w:cs="Arial"/>
                <w:sz w:val="16"/>
                <w:szCs w:val="16"/>
              </w:rPr>
            </w:pPr>
            <w:r w:rsidRPr="00D868AB">
              <w:rPr>
                <w:rFonts w:eastAsia="Times New Roman" w:cs="Arial"/>
                <w:sz w:val="16"/>
                <w:szCs w:val="16"/>
              </w:rPr>
              <w:t>Poder Legislativo.</w:t>
            </w:r>
          </w:p>
        </w:tc>
        <w:tc>
          <w:tcPr>
            <w:tcW w:w="1523" w:type="dxa"/>
            <w:vAlign w:val="center"/>
          </w:tcPr>
          <w:p w14:paraId="1CCE1AE6" w14:textId="77777777" w:rsidR="00D868AB" w:rsidRPr="00D868AB" w:rsidRDefault="00D868AB" w:rsidP="00D868AB">
            <w:pPr>
              <w:jc w:val="right"/>
              <w:rPr>
                <w:rFonts w:cs="Arial"/>
                <w:sz w:val="16"/>
                <w:szCs w:val="16"/>
              </w:rPr>
            </w:pPr>
            <w:r w:rsidRPr="00D868AB">
              <w:rPr>
                <w:rFonts w:cs="Arial"/>
                <w:color w:val="000000"/>
                <w:sz w:val="16"/>
                <w:szCs w:val="16"/>
              </w:rPr>
              <w:t>0</w:t>
            </w:r>
          </w:p>
        </w:tc>
        <w:tc>
          <w:tcPr>
            <w:tcW w:w="1416" w:type="dxa"/>
            <w:vAlign w:val="center"/>
          </w:tcPr>
          <w:p w14:paraId="29EA9B3C" w14:textId="77777777" w:rsidR="00D868AB" w:rsidRPr="00D868AB" w:rsidRDefault="00D868AB" w:rsidP="00D868AB">
            <w:pPr>
              <w:jc w:val="right"/>
              <w:rPr>
                <w:rFonts w:cs="Arial"/>
                <w:sz w:val="16"/>
                <w:szCs w:val="16"/>
              </w:rPr>
            </w:pPr>
            <w:r w:rsidRPr="00D868AB">
              <w:rPr>
                <w:rFonts w:cs="Arial"/>
                <w:color w:val="000000"/>
                <w:sz w:val="16"/>
                <w:szCs w:val="16"/>
              </w:rPr>
              <w:t>115,000,000</w:t>
            </w:r>
          </w:p>
        </w:tc>
        <w:tc>
          <w:tcPr>
            <w:tcW w:w="1392" w:type="dxa"/>
            <w:shd w:val="clear" w:color="auto" w:fill="auto"/>
            <w:vAlign w:val="center"/>
          </w:tcPr>
          <w:p w14:paraId="285210AF" w14:textId="77777777" w:rsidR="00D868AB" w:rsidRPr="00D868AB" w:rsidRDefault="00D868AB" w:rsidP="00D868AB">
            <w:pPr>
              <w:jc w:val="right"/>
              <w:rPr>
                <w:rFonts w:cs="Arial"/>
                <w:sz w:val="16"/>
                <w:szCs w:val="16"/>
              </w:rPr>
            </w:pPr>
            <w:r w:rsidRPr="00D868AB">
              <w:rPr>
                <w:rFonts w:cs="Arial"/>
                <w:color w:val="000000"/>
                <w:sz w:val="16"/>
                <w:szCs w:val="16"/>
              </w:rPr>
              <w:t>115,000,000</w:t>
            </w:r>
          </w:p>
        </w:tc>
      </w:tr>
      <w:tr w:rsidR="00D868AB" w:rsidRPr="00D868AB" w14:paraId="097ACB41" w14:textId="77777777" w:rsidTr="00A755A7">
        <w:trPr>
          <w:trHeight w:val="20"/>
          <w:jc w:val="center"/>
        </w:trPr>
        <w:tc>
          <w:tcPr>
            <w:tcW w:w="704" w:type="dxa"/>
            <w:shd w:val="clear" w:color="auto" w:fill="auto"/>
            <w:noWrap/>
            <w:vAlign w:val="center"/>
            <w:hideMark/>
          </w:tcPr>
          <w:p w14:paraId="70E107E3"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21113</w:t>
            </w:r>
          </w:p>
        </w:tc>
        <w:tc>
          <w:tcPr>
            <w:tcW w:w="3681" w:type="dxa"/>
            <w:shd w:val="clear" w:color="auto" w:fill="auto"/>
            <w:vAlign w:val="center"/>
            <w:hideMark/>
          </w:tcPr>
          <w:p w14:paraId="03F88961" w14:textId="77777777" w:rsidR="00D868AB" w:rsidRPr="00D868AB" w:rsidRDefault="00D868AB" w:rsidP="00D868AB">
            <w:pPr>
              <w:rPr>
                <w:rFonts w:eastAsia="Times New Roman" w:cs="Arial"/>
                <w:sz w:val="16"/>
                <w:szCs w:val="16"/>
              </w:rPr>
            </w:pPr>
            <w:r w:rsidRPr="00D868AB">
              <w:rPr>
                <w:rFonts w:eastAsia="Times New Roman" w:cs="Arial"/>
                <w:sz w:val="16"/>
                <w:szCs w:val="16"/>
              </w:rPr>
              <w:t>Poder Judicial.</w:t>
            </w:r>
          </w:p>
        </w:tc>
        <w:tc>
          <w:tcPr>
            <w:tcW w:w="1523" w:type="dxa"/>
            <w:vAlign w:val="center"/>
          </w:tcPr>
          <w:p w14:paraId="70BAEFBB" w14:textId="77777777" w:rsidR="00D868AB" w:rsidRPr="00D868AB" w:rsidRDefault="00D868AB" w:rsidP="00D868AB">
            <w:pPr>
              <w:jc w:val="right"/>
              <w:rPr>
                <w:rFonts w:cs="Arial"/>
                <w:sz w:val="16"/>
                <w:szCs w:val="16"/>
              </w:rPr>
            </w:pPr>
            <w:r w:rsidRPr="00D868AB">
              <w:rPr>
                <w:rFonts w:cs="Arial"/>
                <w:color w:val="000000"/>
                <w:sz w:val="16"/>
                <w:szCs w:val="16"/>
              </w:rPr>
              <w:t>251,000,000</w:t>
            </w:r>
          </w:p>
        </w:tc>
        <w:tc>
          <w:tcPr>
            <w:tcW w:w="1416" w:type="dxa"/>
            <w:vAlign w:val="center"/>
          </w:tcPr>
          <w:p w14:paraId="4E8BBA31" w14:textId="77777777" w:rsidR="00D868AB" w:rsidRPr="00D868AB" w:rsidRDefault="00D868AB" w:rsidP="00D868AB">
            <w:pPr>
              <w:jc w:val="right"/>
              <w:rPr>
                <w:rFonts w:cs="Arial"/>
                <w:sz w:val="16"/>
                <w:szCs w:val="16"/>
              </w:rPr>
            </w:pPr>
            <w:r w:rsidRPr="00D868AB">
              <w:rPr>
                <w:rFonts w:cs="Arial"/>
                <w:color w:val="000000"/>
                <w:sz w:val="16"/>
                <w:szCs w:val="16"/>
              </w:rPr>
              <w:t>0</w:t>
            </w:r>
          </w:p>
        </w:tc>
        <w:tc>
          <w:tcPr>
            <w:tcW w:w="1392" w:type="dxa"/>
            <w:shd w:val="clear" w:color="auto" w:fill="auto"/>
            <w:vAlign w:val="center"/>
          </w:tcPr>
          <w:p w14:paraId="6172BAF2" w14:textId="77777777" w:rsidR="00D868AB" w:rsidRPr="00D868AB" w:rsidRDefault="00D868AB" w:rsidP="00D868AB">
            <w:pPr>
              <w:jc w:val="right"/>
              <w:rPr>
                <w:rFonts w:cs="Arial"/>
                <w:sz w:val="16"/>
                <w:szCs w:val="16"/>
              </w:rPr>
            </w:pPr>
            <w:r w:rsidRPr="00D868AB">
              <w:rPr>
                <w:rFonts w:cs="Arial"/>
                <w:color w:val="000000"/>
                <w:sz w:val="16"/>
                <w:szCs w:val="16"/>
              </w:rPr>
              <w:t>251,000,000</w:t>
            </w:r>
          </w:p>
        </w:tc>
      </w:tr>
      <w:tr w:rsidR="00D868AB" w:rsidRPr="00D868AB" w14:paraId="559F8648" w14:textId="77777777" w:rsidTr="00A755A7">
        <w:trPr>
          <w:trHeight w:val="20"/>
          <w:jc w:val="center"/>
        </w:trPr>
        <w:tc>
          <w:tcPr>
            <w:tcW w:w="704" w:type="dxa"/>
            <w:shd w:val="clear" w:color="auto" w:fill="auto"/>
            <w:noWrap/>
            <w:vAlign w:val="center"/>
            <w:hideMark/>
          </w:tcPr>
          <w:p w14:paraId="46D44153"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21114</w:t>
            </w:r>
          </w:p>
        </w:tc>
        <w:tc>
          <w:tcPr>
            <w:tcW w:w="3681" w:type="dxa"/>
            <w:shd w:val="clear" w:color="auto" w:fill="auto"/>
            <w:vAlign w:val="center"/>
            <w:hideMark/>
          </w:tcPr>
          <w:p w14:paraId="57DAD648" w14:textId="77777777" w:rsidR="00D868AB" w:rsidRPr="00D868AB" w:rsidRDefault="00D868AB" w:rsidP="00D868AB">
            <w:pPr>
              <w:rPr>
                <w:rFonts w:eastAsia="Times New Roman" w:cs="Arial"/>
                <w:sz w:val="16"/>
                <w:szCs w:val="16"/>
              </w:rPr>
            </w:pPr>
            <w:r w:rsidRPr="00D868AB">
              <w:rPr>
                <w:rFonts w:eastAsia="Times New Roman" w:cs="Arial"/>
                <w:sz w:val="16"/>
                <w:szCs w:val="16"/>
              </w:rPr>
              <w:t>Órganos Autónomos del Estado.</w:t>
            </w:r>
          </w:p>
        </w:tc>
        <w:tc>
          <w:tcPr>
            <w:tcW w:w="1523" w:type="dxa"/>
            <w:vAlign w:val="center"/>
          </w:tcPr>
          <w:p w14:paraId="015B6CCA" w14:textId="77777777" w:rsidR="00D868AB" w:rsidRPr="00D868AB" w:rsidRDefault="00D868AB" w:rsidP="00D868AB">
            <w:pPr>
              <w:jc w:val="right"/>
              <w:rPr>
                <w:rFonts w:cs="Arial"/>
                <w:sz w:val="16"/>
                <w:szCs w:val="16"/>
              </w:rPr>
            </w:pPr>
            <w:r w:rsidRPr="00D868AB">
              <w:rPr>
                <w:rFonts w:cs="Arial"/>
                <w:color w:val="000000"/>
                <w:sz w:val="16"/>
                <w:szCs w:val="16"/>
              </w:rPr>
              <w:t>509,618,151</w:t>
            </w:r>
          </w:p>
        </w:tc>
        <w:tc>
          <w:tcPr>
            <w:tcW w:w="1416" w:type="dxa"/>
            <w:vAlign w:val="center"/>
          </w:tcPr>
          <w:p w14:paraId="2B6932B0" w14:textId="77777777" w:rsidR="00D868AB" w:rsidRPr="00D868AB" w:rsidRDefault="00D868AB" w:rsidP="00D868AB">
            <w:pPr>
              <w:jc w:val="right"/>
              <w:rPr>
                <w:rFonts w:cs="Arial"/>
                <w:sz w:val="16"/>
                <w:szCs w:val="16"/>
              </w:rPr>
            </w:pPr>
            <w:r w:rsidRPr="00D868AB">
              <w:rPr>
                <w:rFonts w:cs="Arial"/>
                <w:color w:val="000000"/>
                <w:sz w:val="16"/>
                <w:szCs w:val="16"/>
              </w:rPr>
              <w:t>172,454,231</w:t>
            </w:r>
          </w:p>
        </w:tc>
        <w:tc>
          <w:tcPr>
            <w:tcW w:w="1392" w:type="dxa"/>
            <w:shd w:val="clear" w:color="auto" w:fill="auto"/>
            <w:vAlign w:val="center"/>
          </w:tcPr>
          <w:p w14:paraId="7DCA5158" w14:textId="77777777" w:rsidR="00D868AB" w:rsidRPr="00D868AB" w:rsidRDefault="00D868AB" w:rsidP="00D868AB">
            <w:pPr>
              <w:jc w:val="right"/>
              <w:rPr>
                <w:rFonts w:cs="Arial"/>
                <w:sz w:val="16"/>
                <w:szCs w:val="16"/>
              </w:rPr>
            </w:pPr>
            <w:r w:rsidRPr="00D868AB">
              <w:rPr>
                <w:rFonts w:cs="Arial"/>
                <w:color w:val="000000"/>
                <w:sz w:val="16"/>
                <w:szCs w:val="16"/>
              </w:rPr>
              <w:t>682,072,382</w:t>
            </w:r>
          </w:p>
        </w:tc>
      </w:tr>
      <w:tr w:rsidR="00D868AB" w:rsidRPr="00D868AB" w14:paraId="212F5DB4" w14:textId="77777777" w:rsidTr="00A755A7">
        <w:trPr>
          <w:trHeight w:val="20"/>
          <w:jc w:val="center"/>
        </w:trPr>
        <w:tc>
          <w:tcPr>
            <w:tcW w:w="704" w:type="dxa"/>
            <w:shd w:val="clear" w:color="auto" w:fill="auto"/>
            <w:noWrap/>
            <w:vAlign w:val="center"/>
            <w:hideMark/>
          </w:tcPr>
          <w:p w14:paraId="63EF4A33"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21120</w:t>
            </w:r>
          </w:p>
        </w:tc>
        <w:tc>
          <w:tcPr>
            <w:tcW w:w="3681" w:type="dxa"/>
            <w:shd w:val="clear" w:color="auto" w:fill="auto"/>
            <w:vAlign w:val="center"/>
            <w:hideMark/>
          </w:tcPr>
          <w:p w14:paraId="6DFE82C2" w14:textId="77777777" w:rsidR="00D868AB" w:rsidRPr="00D868AB" w:rsidRDefault="00D868AB" w:rsidP="00D868AB">
            <w:pPr>
              <w:rPr>
                <w:rFonts w:eastAsia="Times New Roman" w:cs="Arial"/>
                <w:b/>
                <w:bCs/>
                <w:sz w:val="16"/>
                <w:szCs w:val="16"/>
              </w:rPr>
            </w:pPr>
            <w:r w:rsidRPr="00D868AB">
              <w:rPr>
                <w:rFonts w:eastAsia="Times New Roman" w:cs="Arial"/>
                <w:b/>
                <w:bCs/>
                <w:sz w:val="16"/>
                <w:szCs w:val="16"/>
              </w:rPr>
              <w:t>Entidades Paraestatales y Fideicomisos No Empresariales y No Financieros.</w:t>
            </w:r>
          </w:p>
        </w:tc>
        <w:tc>
          <w:tcPr>
            <w:tcW w:w="1523" w:type="dxa"/>
            <w:vAlign w:val="center"/>
          </w:tcPr>
          <w:p w14:paraId="57EB2C75" w14:textId="77777777" w:rsidR="00D868AB" w:rsidRPr="00D868AB" w:rsidRDefault="00D868AB" w:rsidP="00D868AB">
            <w:pPr>
              <w:jc w:val="right"/>
              <w:rPr>
                <w:rFonts w:cs="Arial"/>
                <w:b/>
                <w:bCs/>
                <w:sz w:val="16"/>
                <w:szCs w:val="16"/>
              </w:rPr>
            </w:pPr>
            <w:r w:rsidRPr="00D868AB">
              <w:rPr>
                <w:rFonts w:cs="Arial"/>
                <w:b/>
                <w:bCs/>
                <w:color w:val="000000"/>
                <w:sz w:val="16"/>
                <w:szCs w:val="16"/>
              </w:rPr>
              <w:t>3,207,733,813</w:t>
            </w:r>
          </w:p>
        </w:tc>
        <w:tc>
          <w:tcPr>
            <w:tcW w:w="1416" w:type="dxa"/>
            <w:vAlign w:val="center"/>
          </w:tcPr>
          <w:p w14:paraId="74157891" w14:textId="77777777" w:rsidR="00D868AB" w:rsidRPr="00D868AB" w:rsidRDefault="00D868AB" w:rsidP="00D868AB">
            <w:pPr>
              <w:jc w:val="right"/>
              <w:rPr>
                <w:rFonts w:cs="Arial"/>
                <w:b/>
                <w:bCs/>
                <w:sz w:val="16"/>
                <w:szCs w:val="16"/>
              </w:rPr>
            </w:pPr>
            <w:r w:rsidRPr="00D868AB">
              <w:rPr>
                <w:rFonts w:cs="Arial"/>
                <w:b/>
                <w:bCs/>
                <w:color w:val="000000"/>
                <w:sz w:val="16"/>
                <w:szCs w:val="16"/>
              </w:rPr>
              <w:t>2,405,150</w:t>
            </w:r>
          </w:p>
        </w:tc>
        <w:tc>
          <w:tcPr>
            <w:tcW w:w="1392" w:type="dxa"/>
            <w:shd w:val="clear" w:color="auto" w:fill="auto"/>
            <w:noWrap/>
            <w:vAlign w:val="center"/>
          </w:tcPr>
          <w:p w14:paraId="76BF3A60" w14:textId="77777777" w:rsidR="00D868AB" w:rsidRPr="00D868AB" w:rsidRDefault="00D868AB" w:rsidP="00D868AB">
            <w:pPr>
              <w:jc w:val="right"/>
              <w:rPr>
                <w:rFonts w:cs="Arial"/>
                <w:b/>
                <w:bCs/>
                <w:sz w:val="16"/>
                <w:szCs w:val="16"/>
              </w:rPr>
            </w:pPr>
            <w:r w:rsidRPr="00D868AB">
              <w:rPr>
                <w:rFonts w:cs="Arial"/>
                <w:b/>
                <w:bCs/>
                <w:color w:val="000000"/>
                <w:sz w:val="16"/>
                <w:szCs w:val="16"/>
              </w:rPr>
              <w:t>3,210,138,963</w:t>
            </w:r>
          </w:p>
        </w:tc>
      </w:tr>
      <w:tr w:rsidR="00D868AB" w:rsidRPr="00D868AB" w14:paraId="0315C9EB" w14:textId="77777777" w:rsidTr="00A755A7">
        <w:trPr>
          <w:trHeight w:val="20"/>
          <w:jc w:val="center"/>
        </w:trPr>
        <w:tc>
          <w:tcPr>
            <w:tcW w:w="704" w:type="dxa"/>
            <w:shd w:val="clear" w:color="auto" w:fill="auto"/>
            <w:noWrap/>
            <w:vAlign w:val="center"/>
            <w:hideMark/>
          </w:tcPr>
          <w:p w14:paraId="312A7A5D"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21122</w:t>
            </w:r>
          </w:p>
        </w:tc>
        <w:tc>
          <w:tcPr>
            <w:tcW w:w="3681" w:type="dxa"/>
            <w:shd w:val="clear" w:color="auto" w:fill="auto"/>
            <w:vAlign w:val="center"/>
            <w:hideMark/>
          </w:tcPr>
          <w:p w14:paraId="45A50F90" w14:textId="77777777" w:rsidR="00D868AB" w:rsidRPr="00D868AB" w:rsidRDefault="00D868AB" w:rsidP="00D868AB">
            <w:pPr>
              <w:rPr>
                <w:rFonts w:eastAsia="Times New Roman" w:cs="Arial"/>
                <w:sz w:val="16"/>
                <w:szCs w:val="16"/>
              </w:rPr>
            </w:pPr>
            <w:r w:rsidRPr="00D868AB">
              <w:rPr>
                <w:rFonts w:eastAsia="Times New Roman" w:cs="Arial"/>
                <w:sz w:val="16"/>
                <w:szCs w:val="16"/>
              </w:rPr>
              <w:t>Transferencias internas otorgadas a entidades paraestatales no empresariales y no financieras.</w:t>
            </w:r>
          </w:p>
        </w:tc>
        <w:tc>
          <w:tcPr>
            <w:tcW w:w="1523" w:type="dxa"/>
            <w:vAlign w:val="center"/>
          </w:tcPr>
          <w:p w14:paraId="6852CF9E" w14:textId="77777777" w:rsidR="00D868AB" w:rsidRPr="00D868AB" w:rsidRDefault="00D868AB" w:rsidP="00D868AB">
            <w:pPr>
              <w:jc w:val="right"/>
              <w:rPr>
                <w:rFonts w:cs="Arial"/>
                <w:sz w:val="16"/>
                <w:szCs w:val="16"/>
              </w:rPr>
            </w:pPr>
            <w:r w:rsidRPr="00D868AB">
              <w:rPr>
                <w:rFonts w:cs="Arial"/>
                <w:color w:val="000000"/>
                <w:sz w:val="16"/>
                <w:szCs w:val="16"/>
              </w:rPr>
              <w:t>3,147,405,363</w:t>
            </w:r>
          </w:p>
        </w:tc>
        <w:tc>
          <w:tcPr>
            <w:tcW w:w="1416" w:type="dxa"/>
            <w:vAlign w:val="center"/>
          </w:tcPr>
          <w:p w14:paraId="4BF3C51A" w14:textId="77777777" w:rsidR="00D868AB" w:rsidRPr="00D868AB" w:rsidRDefault="00D868AB" w:rsidP="00D868AB">
            <w:pPr>
              <w:jc w:val="right"/>
              <w:rPr>
                <w:rFonts w:cs="Arial"/>
                <w:sz w:val="16"/>
                <w:szCs w:val="16"/>
              </w:rPr>
            </w:pPr>
            <w:r w:rsidRPr="00D868AB">
              <w:rPr>
                <w:rFonts w:cs="Arial"/>
                <w:color w:val="000000"/>
                <w:sz w:val="16"/>
                <w:szCs w:val="16"/>
              </w:rPr>
              <w:t>0</w:t>
            </w:r>
          </w:p>
        </w:tc>
        <w:tc>
          <w:tcPr>
            <w:tcW w:w="1392" w:type="dxa"/>
            <w:shd w:val="clear" w:color="auto" w:fill="auto"/>
            <w:noWrap/>
            <w:vAlign w:val="center"/>
          </w:tcPr>
          <w:p w14:paraId="61DD5514" w14:textId="77777777" w:rsidR="00D868AB" w:rsidRPr="00D868AB" w:rsidRDefault="00D868AB" w:rsidP="00D868AB">
            <w:pPr>
              <w:jc w:val="right"/>
              <w:rPr>
                <w:rFonts w:cs="Arial"/>
                <w:sz w:val="16"/>
                <w:szCs w:val="16"/>
              </w:rPr>
            </w:pPr>
            <w:r w:rsidRPr="00D868AB">
              <w:rPr>
                <w:rFonts w:cs="Arial"/>
                <w:color w:val="000000"/>
                <w:sz w:val="16"/>
                <w:szCs w:val="16"/>
              </w:rPr>
              <w:t>3,147,405,363</w:t>
            </w:r>
          </w:p>
        </w:tc>
      </w:tr>
      <w:tr w:rsidR="00D868AB" w:rsidRPr="00D868AB" w14:paraId="3E1A03ED" w14:textId="77777777" w:rsidTr="00A755A7">
        <w:trPr>
          <w:trHeight w:val="20"/>
          <w:jc w:val="center"/>
        </w:trPr>
        <w:tc>
          <w:tcPr>
            <w:tcW w:w="704" w:type="dxa"/>
            <w:shd w:val="clear" w:color="auto" w:fill="auto"/>
            <w:noWrap/>
            <w:vAlign w:val="center"/>
            <w:hideMark/>
          </w:tcPr>
          <w:p w14:paraId="75EFF431"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21123</w:t>
            </w:r>
          </w:p>
        </w:tc>
        <w:tc>
          <w:tcPr>
            <w:tcW w:w="3681" w:type="dxa"/>
            <w:shd w:val="clear" w:color="auto" w:fill="auto"/>
            <w:vAlign w:val="center"/>
            <w:hideMark/>
          </w:tcPr>
          <w:p w14:paraId="1177E202" w14:textId="77777777" w:rsidR="00D868AB" w:rsidRPr="00D868AB" w:rsidRDefault="00D868AB" w:rsidP="00D868AB">
            <w:pPr>
              <w:rPr>
                <w:rFonts w:eastAsia="Times New Roman" w:cs="Arial"/>
                <w:sz w:val="16"/>
                <w:szCs w:val="16"/>
              </w:rPr>
            </w:pPr>
            <w:r w:rsidRPr="00D868AB">
              <w:rPr>
                <w:rFonts w:eastAsia="Times New Roman" w:cs="Arial"/>
                <w:sz w:val="16"/>
                <w:szCs w:val="16"/>
              </w:rPr>
              <w:t>Transferencias internas otorgadas a fideicomisos públicos financieros.</w:t>
            </w:r>
          </w:p>
        </w:tc>
        <w:tc>
          <w:tcPr>
            <w:tcW w:w="1523" w:type="dxa"/>
            <w:vAlign w:val="center"/>
          </w:tcPr>
          <w:p w14:paraId="3F2627FD" w14:textId="77777777" w:rsidR="00D868AB" w:rsidRPr="00D868AB" w:rsidRDefault="00D868AB" w:rsidP="00D868AB">
            <w:pPr>
              <w:jc w:val="right"/>
              <w:rPr>
                <w:rFonts w:cs="Arial"/>
                <w:sz w:val="16"/>
                <w:szCs w:val="16"/>
              </w:rPr>
            </w:pPr>
            <w:r w:rsidRPr="00D868AB">
              <w:rPr>
                <w:rFonts w:cs="Arial"/>
                <w:color w:val="000000"/>
                <w:sz w:val="16"/>
                <w:szCs w:val="16"/>
              </w:rPr>
              <w:t>60,328,450</w:t>
            </w:r>
          </w:p>
        </w:tc>
        <w:tc>
          <w:tcPr>
            <w:tcW w:w="1416" w:type="dxa"/>
            <w:vAlign w:val="center"/>
          </w:tcPr>
          <w:p w14:paraId="35D8F6C4" w14:textId="77777777" w:rsidR="00D868AB" w:rsidRPr="00D868AB" w:rsidRDefault="00D868AB" w:rsidP="00D868AB">
            <w:pPr>
              <w:jc w:val="right"/>
              <w:rPr>
                <w:rFonts w:cs="Arial"/>
                <w:sz w:val="16"/>
                <w:szCs w:val="16"/>
              </w:rPr>
            </w:pPr>
            <w:r w:rsidRPr="00D868AB">
              <w:rPr>
                <w:rFonts w:cs="Arial"/>
                <w:color w:val="000000"/>
                <w:sz w:val="16"/>
                <w:szCs w:val="16"/>
              </w:rPr>
              <w:t>2,405,150</w:t>
            </w:r>
          </w:p>
        </w:tc>
        <w:tc>
          <w:tcPr>
            <w:tcW w:w="1392" w:type="dxa"/>
            <w:shd w:val="clear" w:color="auto" w:fill="auto"/>
            <w:noWrap/>
            <w:vAlign w:val="center"/>
          </w:tcPr>
          <w:p w14:paraId="5F7F9F95" w14:textId="77777777" w:rsidR="00D868AB" w:rsidRPr="00D868AB" w:rsidRDefault="00D868AB" w:rsidP="00D868AB">
            <w:pPr>
              <w:jc w:val="right"/>
              <w:rPr>
                <w:rFonts w:cs="Arial"/>
                <w:sz w:val="16"/>
                <w:szCs w:val="16"/>
              </w:rPr>
            </w:pPr>
            <w:r w:rsidRPr="00D868AB">
              <w:rPr>
                <w:rFonts w:cs="Arial"/>
                <w:color w:val="000000"/>
                <w:sz w:val="16"/>
                <w:szCs w:val="16"/>
              </w:rPr>
              <w:t>62,733,600</w:t>
            </w:r>
          </w:p>
        </w:tc>
      </w:tr>
      <w:tr w:rsidR="00D868AB" w:rsidRPr="00D868AB" w14:paraId="447EF78B" w14:textId="77777777" w:rsidTr="00A755A7">
        <w:trPr>
          <w:trHeight w:val="20"/>
          <w:jc w:val="center"/>
        </w:trPr>
        <w:tc>
          <w:tcPr>
            <w:tcW w:w="704" w:type="dxa"/>
            <w:shd w:val="clear" w:color="auto" w:fill="auto"/>
            <w:noWrap/>
            <w:vAlign w:val="center"/>
            <w:hideMark/>
          </w:tcPr>
          <w:p w14:paraId="07156B0D" w14:textId="77777777" w:rsidR="00D868AB" w:rsidRPr="00D868AB" w:rsidRDefault="00D868AB" w:rsidP="00D868AB">
            <w:pPr>
              <w:jc w:val="center"/>
              <w:rPr>
                <w:rFonts w:eastAsia="Times New Roman" w:cs="Arial"/>
                <w:b/>
                <w:bCs/>
                <w:sz w:val="16"/>
                <w:szCs w:val="16"/>
              </w:rPr>
            </w:pPr>
            <w:r w:rsidRPr="00D868AB">
              <w:rPr>
                <w:rFonts w:eastAsia="Times New Roman" w:cs="Arial"/>
                <w:b/>
                <w:bCs/>
                <w:sz w:val="16"/>
                <w:szCs w:val="16"/>
              </w:rPr>
              <w:t>21130</w:t>
            </w:r>
          </w:p>
        </w:tc>
        <w:tc>
          <w:tcPr>
            <w:tcW w:w="3681" w:type="dxa"/>
            <w:shd w:val="clear" w:color="auto" w:fill="auto"/>
            <w:vAlign w:val="center"/>
            <w:hideMark/>
          </w:tcPr>
          <w:p w14:paraId="5BB87DEE" w14:textId="77777777" w:rsidR="00D868AB" w:rsidRPr="00D868AB" w:rsidRDefault="00D868AB" w:rsidP="00D868AB">
            <w:pPr>
              <w:rPr>
                <w:rFonts w:eastAsia="Times New Roman" w:cs="Arial"/>
                <w:b/>
                <w:bCs/>
                <w:sz w:val="16"/>
                <w:szCs w:val="16"/>
              </w:rPr>
            </w:pPr>
            <w:r w:rsidRPr="00D868AB">
              <w:rPr>
                <w:rFonts w:eastAsia="Times New Roman" w:cs="Arial"/>
                <w:b/>
                <w:bCs/>
                <w:sz w:val="16"/>
                <w:szCs w:val="16"/>
              </w:rPr>
              <w:t>Instituciones Públicas de Seguridad Social.</w:t>
            </w:r>
          </w:p>
        </w:tc>
        <w:tc>
          <w:tcPr>
            <w:tcW w:w="1523" w:type="dxa"/>
            <w:vAlign w:val="center"/>
          </w:tcPr>
          <w:p w14:paraId="4FC3F3BE" w14:textId="77777777" w:rsidR="00D868AB" w:rsidRPr="00D868AB" w:rsidRDefault="00D868AB" w:rsidP="00D868AB">
            <w:pPr>
              <w:jc w:val="right"/>
              <w:rPr>
                <w:rFonts w:cs="Arial"/>
                <w:b/>
                <w:bCs/>
                <w:sz w:val="16"/>
                <w:szCs w:val="16"/>
              </w:rPr>
            </w:pPr>
            <w:r w:rsidRPr="00D868AB">
              <w:rPr>
                <w:rFonts w:cs="Arial"/>
                <w:b/>
                <w:bCs/>
                <w:color w:val="000000"/>
                <w:sz w:val="16"/>
                <w:szCs w:val="16"/>
              </w:rPr>
              <w:t>0</w:t>
            </w:r>
          </w:p>
        </w:tc>
        <w:tc>
          <w:tcPr>
            <w:tcW w:w="1416" w:type="dxa"/>
            <w:vAlign w:val="center"/>
          </w:tcPr>
          <w:p w14:paraId="2B6AA986" w14:textId="77777777" w:rsidR="00D868AB" w:rsidRPr="00D868AB" w:rsidRDefault="00D868AB" w:rsidP="00D868AB">
            <w:pPr>
              <w:jc w:val="right"/>
              <w:rPr>
                <w:rFonts w:cs="Arial"/>
                <w:b/>
                <w:bCs/>
                <w:sz w:val="16"/>
                <w:szCs w:val="16"/>
              </w:rPr>
            </w:pPr>
            <w:r w:rsidRPr="00D868AB">
              <w:rPr>
                <w:rFonts w:cs="Arial"/>
                <w:b/>
                <w:bCs/>
                <w:color w:val="000000"/>
                <w:sz w:val="16"/>
                <w:szCs w:val="16"/>
              </w:rPr>
              <w:t>242,646,560</w:t>
            </w:r>
          </w:p>
        </w:tc>
        <w:tc>
          <w:tcPr>
            <w:tcW w:w="1392" w:type="dxa"/>
            <w:shd w:val="clear" w:color="auto" w:fill="auto"/>
            <w:noWrap/>
            <w:vAlign w:val="center"/>
          </w:tcPr>
          <w:p w14:paraId="35F649EE" w14:textId="77777777" w:rsidR="00D868AB" w:rsidRPr="00D868AB" w:rsidRDefault="00D868AB" w:rsidP="00D868AB">
            <w:pPr>
              <w:jc w:val="right"/>
              <w:rPr>
                <w:rFonts w:cs="Arial"/>
                <w:b/>
                <w:bCs/>
                <w:sz w:val="16"/>
                <w:szCs w:val="16"/>
              </w:rPr>
            </w:pPr>
            <w:r w:rsidRPr="00D868AB">
              <w:rPr>
                <w:rFonts w:cs="Arial"/>
                <w:b/>
                <w:bCs/>
                <w:color w:val="000000"/>
                <w:sz w:val="16"/>
                <w:szCs w:val="16"/>
              </w:rPr>
              <w:t>242,646,560</w:t>
            </w:r>
          </w:p>
        </w:tc>
      </w:tr>
      <w:tr w:rsidR="00D868AB" w:rsidRPr="00D868AB" w14:paraId="52949C28" w14:textId="77777777" w:rsidTr="00A755A7">
        <w:trPr>
          <w:trHeight w:val="20"/>
          <w:jc w:val="center"/>
        </w:trPr>
        <w:tc>
          <w:tcPr>
            <w:tcW w:w="704" w:type="dxa"/>
            <w:shd w:val="clear" w:color="auto" w:fill="auto"/>
            <w:noWrap/>
            <w:vAlign w:val="center"/>
            <w:hideMark/>
          </w:tcPr>
          <w:p w14:paraId="55EB5F4B" w14:textId="77777777" w:rsidR="00D868AB" w:rsidRPr="00D868AB" w:rsidRDefault="00D868AB" w:rsidP="00D868AB">
            <w:pPr>
              <w:jc w:val="center"/>
              <w:rPr>
                <w:rFonts w:eastAsia="Times New Roman" w:cs="Arial"/>
                <w:sz w:val="16"/>
                <w:szCs w:val="16"/>
              </w:rPr>
            </w:pPr>
            <w:r w:rsidRPr="00D868AB">
              <w:rPr>
                <w:rFonts w:eastAsia="Times New Roman" w:cs="Arial"/>
                <w:sz w:val="16"/>
                <w:szCs w:val="16"/>
              </w:rPr>
              <w:t>21130</w:t>
            </w:r>
          </w:p>
        </w:tc>
        <w:tc>
          <w:tcPr>
            <w:tcW w:w="3681" w:type="dxa"/>
            <w:shd w:val="clear" w:color="auto" w:fill="auto"/>
            <w:vAlign w:val="center"/>
            <w:hideMark/>
          </w:tcPr>
          <w:p w14:paraId="41B3AB3E" w14:textId="77777777" w:rsidR="00D868AB" w:rsidRPr="00D868AB" w:rsidRDefault="00D868AB" w:rsidP="00D868AB">
            <w:pPr>
              <w:rPr>
                <w:rFonts w:eastAsia="Times New Roman" w:cs="Arial"/>
                <w:sz w:val="16"/>
                <w:szCs w:val="16"/>
              </w:rPr>
            </w:pPr>
            <w:r w:rsidRPr="00D868AB">
              <w:rPr>
                <w:rFonts w:eastAsia="Times New Roman" w:cs="Arial"/>
                <w:sz w:val="16"/>
                <w:szCs w:val="16"/>
              </w:rPr>
              <w:t>Instituciones Públicas de Seguridad Social.</w:t>
            </w:r>
          </w:p>
        </w:tc>
        <w:tc>
          <w:tcPr>
            <w:tcW w:w="1523" w:type="dxa"/>
            <w:vAlign w:val="center"/>
          </w:tcPr>
          <w:p w14:paraId="24BD520D" w14:textId="77777777" w:rsidR="00D868AB" w:rsidRPr="00D868AB" w:rsidRDefault="00D868AB" w:rsidP="00D868AB">
            <w:pPr>
              <w:jc w:val="right"/>
              <w:rPr>
                <w:rFonts w:cs="Arial"/>
                <w:sz w:val="16"/>
                <w:szCs w:val="16"/>
              </w:rPr>
            </w:pPr>
            <w:r w:rsidRPr="00D868AB">
              <w:rPr>
                <w:rFonts w:cs="Arial"/>
                <w:color w:val="000000"/>
                <w:sz w:val="16"/>
                <w:szCs w:val="16"/>
              </w:rPr>
              <w:t>0</w:t>
            </w:r>
          </w:p>
        </w:tc>
        <w:tc>
          <w:tcPr>
            <w:tcW w:w="1416" w:type="dxa"/>
            <w:vAlign w:val="center"/>
          </w:tcPr>
          <w:p w14:paraId="0E017F1D" w14:textId="77777777" w:rsidR="00D868AB" w:rsidRPr="00D868AB" w:rsidRDefault="00D868AB" w:rsidP="00D868AB">
            <w:pPr>
              <w:jc w:val="right"/>
              <w:rPr>
                <w:rFonts w:cs="Arial"/>
                <w:sz w:val="16"/>
                <w:szCs w:val="16"/>
              </w:rPr>
            </w:pPr>
            <w:r w:rsidRPr="00D868AB">
              <w:rPr>
                <w:rFonts w:cs="Arial"/>
                <w:color w:val="000000"/>
                <w:sz w:val="16"/>
                <w:szCs w:val="16"/>
              </w:rPr>
              <w:t>242,646,560</w:t>
            </w:r>
          </w:p>
        </w:tc>
        <w:tc>
          <w:tcPr>
            <w:tcW w:w="1392" w:type="dxa"/>
            <w:shd w:val="clear" w:color="auto" w:fill="auto"/>
            <w:noWrap/>
            <w:vAlign w:val="center"/>
          </w:tcPr>
          <w:p w14:paraId="6A762C76" w14:textId="77777777" w:rsidR="00D868AB" w:rsidRPr="00D868AB" w:rsidRDefault="00D868AB" w:rsidP="00D868AB">
            <w:pPr>
              <w:jc w:val="right"/>
              <w:rPr>
                <w:rFonts w:cs="Arial"/>
                <w:sz w:val="16"/>
                <w:szCs w:val="16"/>
              </w:rPr>
            </w:pPr>
            <w:r w:rsidRPr="00D868AB">
              <w:rPr>
                <w:rFonts w:cs="Arial"/>
                <w:color w:val="000000"/>
                <w:sz w:val="16"/>
                <w:szCs w:val="16"/>
              </w:rPr>
              <w:t>242,646,560</w:t>
            </w:r>
          </w:p>
        </w:tc>
      </w:tr>
    </w:tbl>
    <w:p w14:paraId="2A379CF3" w14:textId="77777777" w:rsidR="00D868AB" w:rsidRPr="00D868AB" w:rsidRDefault="00D868AB" w:rsidP="00D868AB">
      <w:pPr>
        <w:rPr>
          <w:rFonts w:cs="Arial"/>
          <w:lang w:val="es-ES"/>
        </w:rPr>
      </w:pPr>
    </w:p>
    <w:p w14:paraId="63AA78F9" w14:textId="77777777" w:rsidR="00CD2E90" w:rsidRDefault="00CD2E90" w:rsidP="00D868AB">
      <w:pPr>
        <w:rPr>
          <w:rFonts w:cs="Arial"/>
          <w:lang w:val="es-ES"/>
        </w:rPr>
      </w:pPr>
    </w:p>
    <w:p w14:paraId="5BBDD0D6" w14:textId="77777777" w:rsidR="00CD2E90" w:rsidRDefault="00CD2E90" w:rsidP="00D868AB">
      <w:pPr>
        <w:rPr>
          <w:rFonts w:cs="Arial"/>
          <w:lang w:val="es-ES"/>
        </w:rPr>
      </w:pPr>
    </w:p>
    <w:p w14:paraId="56649F6C" w14:textId="77777777" w:rsidR="00CD2E90" w:rsidRDefault="00CD2E90" w:rsidP="00D868AB">
      <w:pPr>
        <w:rPr>
          <w:rFonts w:cs="Arial"/>
          <w:lang w:val="es-ES"/>
        </w:rPr>
      </w:pPr>
    </w:p>
    <w:p w14:paraId="6BA25C01" w14:textId="77777777" w:rsidR="00CD2E90" w:rsidRDefault="00CD2E90" w:rsidP="00D868AB">
      <w:pPr>
        <w:rPr>
          <w:rFonts w:cs="Arial"/>
          <w:lang w:val="es-ES"/>
        </w:rPr>
      </w:pPr>
    </w:p>
    <w:p w14:paraId="328CD7C4" w14:textId="76E5DED4" w:rsidR="00D868AB" w:rsidRPr="00D868AB" w:rsidRDefault="00D868AB" w:rsidP="00D868AB">
      <w:pPr>
        <w:rPr>
          <w:rFonts w:cs="Arial"/>
          <w:lang w:val="es-ES"/>
        </w:rPr>
      </w:pPr>
      <w:r w:rsidRPr="00D868AB">
        <w:rPr>
          <w:rFonts w:cs="Arial"/>
          <w:lang w:val="es-ES"/>
        </w:rPr>
        <w:t xml:space="preserve">III. La </w:t>
      </w:r>
      <w:r w:rsidRPr="00D868AB">
        <w:rPr>
          <w:rFonts w:cs="Arial"/>
          <w:b/>
          <w:lang w:val="es-ES"/>
        </w:rPr>
        <w:t>Clasificación Funcional del Gasto</w:t>
      </w:r>
      <w:r w:rsidRPr="00D868AB">
        <w:rPr>
          <w:rFonts w:cs="Arial"/>
          <w:lang w:val="es-ES"/>
        </w:rPr>
        <w:t>, desglosada a Tercer Nivel, es la siguiente:</w:t>
      </w:r>
    </w:p>
    <w:p w14:paraId="603E4A99" w14:textId="77777777" w:rsidR="00D868AB" w:rsidRPr="00D868AB" w:rsidRDefault="00D868AB" w:rsidP="00D868AB">
      <w:pPr>
        <w:keepNext/>
        <w:keepLines/>
        <w:jc w:val="center"/>
        <w:outlineLvl w:val="1"/>
        <w:rPr>
          <w:rFonts w:eastAsia="Times New Roman" w:cs="Arial"/>
          <w:b/>
          <w:lang w:val="es-ES"/>
        </w:rPr>
      </w:pPr>
    </w:p>
    <w:tbl>
      <w:tblPr>
        <w:tblW w:w="8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3"/>
        <w:gridCol w:w="1413"/>
        <w:gridCol w:w="1276"/>
        <w:gridCol w:w="1417"/>
      </w:tblGrid>
      <w:tr w:rsidR="00D868AB" w:rsidRPr="00D868AB" w14:paraId="0F5D8A4A" w14:textId="77777777" w:rsidTr="00A755A7">
        <w:trPr>
          <w:trHeight w:val="20"/>
          <w:tblHeader/>
          <w:jc w:val="center"/>
        </w:trPr>
        <w:tc>
          <w:tcPr>
            <w:tcW w:w="8079" w:type="dxa"/>
            <w:gridSpan w:val="4"/>
            <w:tcBorders>
              <w:top w:val="nil"/>
              <w:left w:val="nil"/>
              <w:bottom w:val="single" w:sz="4" w:space="0" w:color="auto"/>
              <w:right w:val="nil"/>
            </w:tcBorders>
            <w:shd w:val="clear" w:color="auto" w:fill="auto"/>
            <w:vAlign w:val="center"/>
          </w:tcPr>
          <w:p w14:paraId="50C0CBF6" w14:textId="77777777" w:rsidR="00D868AB" w:rsidRPr="00D868AB" w:rsidRDefault="00D868AB" w:rsidP="00D868AB">
            <w:pPr>
              <w:keepNext/>
              <w:keepLines/>
              <w:jc w:val="center"/>
              <w:outlineLvl w:val="1"/>
              <w:rPr>
                <w:rFonts w:eastAsia="Times New Roman" w:cs="Arial"/>
                <w:b/>
                <w:bCs/>
                <w:sz w:val="20"/>
                <w:szCs w:val="16"/>
                <w:lang w:val="es-ES"/>
              </w:rPr>
            </w:pPr>
            <w:bookmarkStart w:id="320" w:name="_Toc22022025"/>
            <w:bookmarkStart w:id="321" w:name="_Toc22983259"/>
            <w:r w:rsidRPr="00D868AB">
              <w:rPr>
                <w:rFonts w:eastAsia="Times New Roman" w:cs="Arial"/>
                <w:b/>
                <w:sz w:val="20"/>
                <w:szCs w:val="16"/>
                <w:lang w:val="es-ES"/>
              </w:rPr>
              <w:t xml:space="preserve">Tabla 69. Clasificación Funcional del Gasto </w:t>
            </w:r>
            <w:r w:rsidRPr="00D868AB">
              <w:rPr>
                <w:rFonts w:eastAsia="Times New Roman" w:cs="Arial"/>
                <w:b/>
                <w:sz w:val="20"/>
                <w:szCs w:val="16"/>
                <w:lang w:val="es-ES"/>
              </w:rPr>
              <w:br/>
              <w:t>(Tercer Nivel)</w:t>
            </w:r>
            <w:bookmarkEnd w:id="320"/>
            <w:bookmarkEnd w:id="321"/>
          </w:p>
        </w:tc>
      </w:tr>
      <w:tr w:rsidR="00D868AB" w:rsidRPr="00D868AB" w14:paraId="51C55AFF" w14:textId="77777777" w:rsidTr="00A755A7">
        <w:trPr>
          <w:trHeight w:val="20"/>
          <w:tblHeader/>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tcPr>
          <w:p w14:paraId="128EFE45" w14:textId="77777777" w:rsidR="00D868AB" w:rsidRPr="00D868AB" w:rsidRDefault="00D868AB" w:rsidP="00D868AB">
            <w:pPr>
              <w:jc w:val="center"/>
              <w:rPr>
                <w:rFonts w:cs="Arial"/>
                <w:b/>
                <w:sz w:val="16"/>
                <w:szCs w:val="16"/>
                <w:lang w:val="es-ES"/>
              </w:rPr>
            </w:pPr>
            <w:r w:rsidRPr="00D868AB">
              <w:rPr>
                <w:rFonts w:cs="Arial"/>
                <w:b/>
                <w:sz w:val="16"/>
                <w:szCs w:val="16"/>
                <w:lang w:val="es-ES"/>
              </w:rPr>
              <w:t>Concepto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2BD5830" w14:textId="77777777" w:rsidR="00D868AB" w:rsidRPr="00D868AB" w:rsidRDefault="00D868AB" w:rsidP="00D868AB">
            <w:pPr>
              <w:jc w:val="center"/>
              <w:rPr>
                <w:rFonts w:cs="Arial"/>
                <w:b/>
                <w:sz w:val="16"/>
                <w:szCs w:val="16"/>
                <w:lang w:val="es-ES"/>
              </w:rPr>
            </w:pPr>
            <w:r w:rsidRPr="00D868AB">
              <w:rPr>
                <w:rFonts w:cs="Arial"/>
                <w:b/>
                <w:sz w:val="16"/>
                <w:szCs w:val="16"/>
                <w:lang w:val="es-ES"/>
              </w:rPr>
              <w:t>Gasto Programable</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ECE8FB" w14:textId="77777777" w:rsidR="00D868AB" w:rsidRPr="00D868AB" w:rsidRDefault="00D868AB" w:rsidP="00D868AB">
            <w:pPr>
              <w:jc w:val="center"/>
              <w:rPr>
                <w:rFonts w:cs="Arial"/>
                <w:b/>
                <w:sz w:val="16"/>
                <w:szCs w:val="16"/>
                <w:lang w:val="es-ES"/>
              </w:rPr>
            </w:pPr>
            <w:r w:rsidRPr="00D868AB">
              <w:rPr>
                <w:rFonts w:cs="Arial"/>
                <w:b/>
                <w:sz w:val="16"/>
                <w:szCs w:val="16"/>
                <w:lang w:val="es-ES"/>
              </w:rPr>
              <w:t>Gasto No Programable</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B299DD" w14:textId="77777777" w:rsidR="00D868AB" w:rsidRPr="00D868AB" w:rsidRDefault="00D868AB" w:rsidP="00D868AB">
            <w:pPr>
              <w:jc w:val="center"/>
              <w:rPr>
                <w:rFonts w:cs="Arial"/>
                <w:b/>
                <w:sz w:val="16"/>
                <w:szCs w:val="16"/>
                <w:lang w:val="es-ES"/>
              </w:rPr>
            </w:pPr>
            <w:r w:rsidRPr="00D868AB">
              <w:rPr>
                <w:rFonts w:eastAsia="Times New Roman" w:cs="Arial"/>
                <w:b/>
                <w:bCs/>
                <w:sz w:val="16"/>
                <w:szCs w:val="16"/>
                <w:lang w:val="es-ES"/>
              </w:rPr>
              <w:t>Asignación Presupuestal</w:t>
            </w:r>
          </w:p>
        </w:tc>
      </w:tr>
      <w:tr w:rsidR="00D868AB" w:rsidRPr="00D868AB" w14:paraId="7D66435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0CCD2" w14:textId="77777777" w:rsidR="00D868AB" w:rsidRPr="00D868AB" w:rsidRDefault="00D868AB" w:rsidP="00D868AB">
            <w:pPr>
              <w:rPr>
                <w:rFonts w:cs="Arial"/>
                <w:b/>
                <w:sz w:val="16"/>
                <w:szCs w:val="16"/>
                <w:lang w:val="es-ES"/>
              </w:rPr>
            </w:pPr>
            <w:r w:rsidRPr="00D868AB">
              <w:rPr>
                <w:rFonts w:cs="Arial"/>
                <w:b/>
                <w:sz w:val="16"/>
                <w:szCs w:val="16"/>
                <w:lang w:val="es-ES"/>
              </w:rPr>
              <w:t>1.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FE422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2,576,641,185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83C6592"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289,254,231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1193F7"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2,865,895,416 </w:t>
            </w:r>
          </w:p>
        </w:tc>
      </w:tr>
      <w:tr w:rsidR="00D868AB" w:rsidRPr="00D868AB" w14:paraId="3CD51A1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368C7" w14:textId="77777777" w:rsidR="00D868AB" w:rsidRPr="00D868AB" w:rsidRDefault="00D868AB" w:rsidP="00D868AB">
            <w:pPr>
              <w:rPr>
                <w:rFonts w:cs="Arial"/>
                <w:b/>
                <w:sz w:val="16"/>
                <w:szCs w:val="16"/>
                <w:lang w:val="es-ES"/>
              </w:rPr>
            </w:pPr>
            <w:r w:rsidRPr="00D868AB">
              <w:rPr>
                <w:rFonts w:cs="Arial"/>
                <w:b/>
                <w:sz w:val="16"/>
                <w:szCs w:val="16"/>
                <w:lang w:val="es-ES"/>
              </w:rPr>
              <w:t>1.1 LEGISLACIÓN.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A478F67"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555EF3"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155,600,412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42865C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155,600,412 </w:t>
            </w:r>
          </w:p>
        </w:tc>
      </w:tr>
      <w:tr w:rsidR="00D868AB" w:rsidRPr="00D868AB" w14:paraId="30E03C3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5606C5" w14:textId="77777777" w:rsidR="00D868AB" w:rsidRPr="00D868AB" w:rsidRDefault="00D868AB" w:rsidP="00D868AB">
            <w:pPr>
              <w:rPr>
                <w:rFonts w:cs="Arial"/>
                <w:sz w:val="16"/>
                <w:szCs w:val="16"/>
                <w:lang w:val="es-ES"/>
              </w:rPr>
            </w:pPr>
            <w:r w:rsidRPr="00D868AB">
              <w:rPr>
                <w:rFonts w:cs="Arial"/>
                <w:sz w:val="16"/>
                <w:szCs w:val="16"/>
                <w:lang w:val="es-ES"/>
              </w:rPr>
              <w:t>1.1.1 Legislación.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D4E926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5437C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115,000,000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D123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115,000,000 </w:t>
            </w:r>
          </w:p>
        </w:tc>
      </w:tr>
      <w:tr w:rsidR="00D868AB" w:rsidRPr="00D868AB" w14:paraId="6539974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2F654" w14:textId="77777777" w:rsidR="00D868AB" w:rsidRPr="00D868AB" w:rsidRDefault="00D868AB" w:rsidP="00D868AB">
            <w:pPr>
              <w:rPr>
                <w:rFonts w:cs="Arial"/>
                <w:sz w:val="16"/>
                <w:szCs w:val="16"/>
                <w:lang w:val="es-ES"/>
              </w:rPr>
            </w:pPr>
            <w:r w:rsidRPr="00D868AB">
              <w:rPr>
                <w:rFonts w:cs="Arial"/>
                <w:sz w:val="16"/>
                <w:szCs w:val="16"/>
                <w:lang w:val="es-ES"/>
              </w:rPr>
              <w:t>1.1.2 Fiscalización.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660C10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D9A1C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40,600,412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1F20C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40,600,412 </w:t>
            </w:r>
          </w:p>
        </w:tc>
      </w:tr>
      <w:tr w:rsidR="00D868AB" w:rsidRPr="00D868AB" w14:paraId="31148BA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6DA44F" w14:textId="77777777" w:rsidR="00D868AB" w:rsidRPr="00D868AB" w:rsidRDefault="00D868AB" w:rsidP="00D868AB">
            <w:pPr>
              <w:rPr>
                <w:rFonts w:cs="Arial"/>
                <w:b/>
                <w:sz w:val="16"/>
                <w:szCs w:val="16"/>
                <w:lang w:val="es-ES"/>
              </w:rPr>
            </w:pPr>
            <w:r w:rsidRPr="00D868AB">
              <w:rPr>
                <w:rFonts w:cs="Arial"/>
                <w:b/>
                <w:sz w:val="16"/>
                <w:szCs w:val="16"/>
                <w:lang w:val="es-ES"/>
              </w:rPr>
              <w:t>1.2 JUSTICIA.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2454DE8"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966,843,653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CA83A3"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12,286,967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28F390"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979,130,620 </w:t>
            </w:r>
          </w:p>
        </w:tc>
      </w:tr>
      <w:tr w:rsidR="00D868AB" w:rsidRPr="00D868AB" w14:paraId="4B0ECDC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3DF27C" w14:textId="77777777" w:rsidR="00D868AB" w:rsidRPr="00D868AB" w:rsidRDefault="00D868AB" w:rsidP="00D868AB">
            <w:pPr>
              <w:rPr>
                <w:rFonts w:cs="Arial"/>
                <w:sz w:val="16"/>
                <w:szCs w:val="16"/>
                <w:lang w:val="es-ES"/>
              </w:rPr>
            </w:pPr>
            <w:r w:rsidRPr="00D868AB">
              <w:rPr>
                <w:rFonts w:cs="Arial"/>
                <w:sz w:val="16"/>
                <w:szCs w:val="16"/>
                <w:lang w:val="es-ES"/>
              </w:rPr>
              <w:t>1.2.1 Impartición de Justicia.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F8C6C1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284,060,216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1AAD1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12,286,967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F6FB21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296,347,183 </w:t>
            </w:r>
          </w:p>
        </w:tc>
      </w:tr>
      <w:tr w:rsidR="00D868AB" w:rsidRPr="00D868AB" w14:paraId="4FA9AF6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F92D74" w14:textId="77777777" w:rsidR="00D868AB" w:rsidRPr="00D868AB" w:rsidRDefault="00D868AB" w:rsidP="00D868AB">
            <w:pPr>
              <w:rPr>
                <w:rFonts w:cs="Arial"/>
                <w:sz w:val="16"/>
                <w:szCs w:val="16"/>
                <w:lang w:val="es-ES"/>
              </w:rPr>
            </w:pPr>
            <w:r w:rsidRPr="00D868AB">
              <w:rPr>
                <w:rFonts w:cs="Arial"/>
                <w:sz w:val="16"/>
                <w:szCs w:val="16"/>
                <w:lang w:val="es-ES"/>
              </w:rPr>
              <w:t>1.2.2 Procuración de Justicia.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516CA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462,668,320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C2B87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2A4BC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462,668,320 </w:t>
            </w:r>
          </w:p>
        </w:tc>
      </w:tr>
      <w:tr w:rsidR="00D868AB" w:rsidRPr="00D868AB" w14:paraId="0056FDC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BB503F" w14:textId="77777777" w:rsidR="00D868AB" w:rsidRPr="00D868AB" w:rsidRDefault="00D868AB" w:rsidP="00D868AB">
            <w:pPr>
              <w:rPr>
                <w:rFonts w:cs="Arial"/>
                <w:sz w:val="16"/>
                <w:szCs w:val="16"/>
                <w:lang w:val="es-ES"/>
              </w:rPr>
            </w:pPr>
            <w:r w:rsidRPr="00D868AB">
              <w:rPr>
                <w:rFonts w:cs="Arial"/>
                <w:sz w:val="16"/>
                <w:szCs w:val="16"/>
                <w:lang w:val="es-ES"/>
              </w:rPr>
              <w:t>1.2.3 Reclusión y Readaptación Social.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C02597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206,225,502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2E857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212C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206,225,502 </w:t>
            </w:r>
          </w:p>
        </w:tc>
      </w:tr>
      <w:tr w:rsidR="00D868AB" w:rsidRPr="00D868AB" w14:paraId="2F60EBD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E947" w14:textId="77777777" w:rsidR="00D868AB" w:rsidRPr="00D868AB" w:rsidRDefault="00D868AB" w:rsidP="00D868AB">
            <w:pPr>
              <w:rPr>
                <w:rFonts w:cs="Arial"/>
                <w:sz w:val="16"/>
                <w:szCs w:val="16"/>
                <w:lang w:val="es-ES"/>
              </w:rPr>
            </w:pPr>
            <w:r w:rsidRPr="00D868AB">
              <w:rPr>
                <w:rFonts w:cs="Arial"/>
                <w:sz w:val="16"/>
                <w:szCs w:val="16"/>
                <w:lang w:val="es-ES"/>
              </w:rPr>
              <w:t>1.2.4 Derechos Humanos.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BCC19C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13,889,615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06502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3E702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13,889,615 </w:t>
            </w:r>
          </w:p>
        </w:tc>
      </w:tr>
      <w:tr w:rsidR="00D868AB" w:rsidRPr="00D868AB" w14:paraId="3715405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4B201" w14:textId="77777777" w:rsidR="00D868AB" w:rsidRPr="00D868AB" w:rsidRDefault="00D868AB" w:rsidP="00D868AB">
            <w:pPr>
              <w:rPr>
                <w:rFonts w:cs="Arial"/>
                <w:b/>
                <w:sz w:val="16"/>
                <w:szCs w:val="16"/>
                <w:lang w:val="es-ES"/>
              </w:rPr>
            </w:pPr>
            <w:r w:rsidRPr="00D868AB">
              <w:rPr>
                <w:rFonts w:cs="Arial"/>
                <w:b/>
                <w:sz w:val="16"/>
                <w:szCs w:val="16"/>
                <w:lang w:val="es-ES"/>
              </w:rPr>
              <w:t>1.3 COORDINACIÓN DE LA POLÍTICA DE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A6D8D48"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223,225,569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D1D07B"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98,940,107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37E9E7"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322,165,676 </w:t>
            </w:r>
          </w:p>
        </w:tc>
      </w:tr>
      <w:tr w:rsidR="00D868AB" w:rsidRPr="00D868AB" w14:paraId="0DE1DFE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272DE" w14:textId="77777777" w:rsidR="00D868AB" w:rsidRPr="00D868AB" w:rsidRDefault="00D868AB" w:rsidP="00D868AB">
            <w:pPr>
              <w:rPr>
                <w:rFonts w:cs="Arial"/>
                <w:sz w:val="16"/>
                <w:szCs w:val="16"/>
                <w:lang w:val="es-ES"/>
              </w:rPr>
            </w:pPr>
            <w:r w:rsidRPr="00D868AB">
              <w:rPr>
                <w:rFonts w:cs="Arial"/>
                <w:sz w:val="16"/>
                <w:szCs w:val="16"/>
                <w:lang w:val="es-ES"/>
              </w:rPr>
              <w:t>1.3.1 Presidencia / Gubernatura.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70D950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86,541,326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F19FF7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6B13C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86,541,326 </w:t>
            </w:r>
          </w:p>
        </w:tc>
      </w:tr>
      <w:tr w:rsidR="00D868AB" w:rsidRPr="00D868AB" w14:paraId="43C5FB4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57865F" w14:textId="77777777" w:rsidR="00D868AB" w:rsidRPr="00D868AB" w:rsidRDefault="00D868AB" w:rsidP="00D868AB">
            <w:pPr>
              <w:rPr>
                <w:rFonts w:cs="Arial"/>
                <w:sz w:val="16"/>
                <w:szCs w:val="16"/>
                <w:lang w:val="es-ES"/>
              </w:rPr>
            </w:pPr>
            <w:r w:rsidRPr="00D868AB">
              <w:rPr>
                <w:rFonts w:cs="Arial"/>
                <w:sz w:val="16"/>
                <w:szCs w:val="16"/>
                <w:lang w:val="es-ES"/>
              </w:rPr>
              <w:t>1.3.2 Política Interior.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1CAC21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77,845,027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5464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E4C0D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77,845,027 </w:t>
            </w:r>
          </w:p>
        </w:tc>
      </w:tr>
      <w:tr w:rsidR="00D868AB" w:rsidRPr="00D868AB" w14:paraId="02A3433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45951B" w14:textId="77777777" w:rsidR="00D868AB" w:rsidRPr="00D868AB" w:rsidRDefault="00D868AB" w:rsidP="00D868AB">
            <w:pPr>
              <w:rPr>
                <w:rFonts w:cs="Arial"/>
                <w:sz w:val="16"/>
                <w:szCs w:val="16"/>
                <w:lang w:val="es-ES"/>
              </w:rPr>
            </w:pPr>
            <w:r w:rsidRPr="00D868AB">
              <w:rPr>
                <w:rFonts w:cs="Arial"/>
                <w:sz w:val="16"/>
                <w:szCs w:val="16"/>
                <w:lang w:val="es-ES"/>
              </w:rPr>
              <w:t>1.3.3 Preservación y Cuidado del Patrimonio Público.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175FD2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67CD06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53CB1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21BE84E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576E1A" w14:textId="77777777" w:rsidR="00D868AB" w:rsidRPr="00D868AB" w:rsidRDefault="00D868AB" w:rsidP="00D868AB">
            <w:pPr>
              <w:rPr>
                <w:rFonts w:cs="Arial"/>
                <w:sz w:val="16"/>
                <w:szCs w:val="16"/>
                <w:lang w:val="es-ES"/>
              </w:rPr>
            </w:pPr>
            <w:r w:rsidRPr="00D868AB">
              <w:rPr>
                <w:rFonts w:cs="Arial"/>
                <w:sz w:val="16"/>
                <w:szCs w:val="16"/>
                <w:lang w:val="es-ES"/>
              </w:rPr>
              <w:t>1.3.4 Función Pública.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127A75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26,345,656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94BF23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9950D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26,345,656 </w:t>
            </w:r>
          </w:p>
        </w:tc>
      </w:tr>
      <w:tr w:rsidR="00D868AB" w:rsidRPr="00D868AB" w14:paraId="3E15258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FD21BB" w14:textId="77777777" w:rsidR="00D868AB" w:rsidRPr="00D868AB" w:rsidRDefault="00D868AB" w:rsidP="00D868AB">
            <w:pPr>
              <w:rPr>
                <w:rFonts w:cs="Arial"/>
                <w:sz w:val="16"/>
                <w:szCs w:val="16"/>
                <w:lang w:val="es-ES"/>
              </w:rPr>
            </w:pPr>
            <w:r w:rsidRPr="00D868AB">
              <w:rPr>
                <w:rFonts w:cs="Arial"/>
                <w:sz w:val="16"/>
                <w:szCs w:val="16"/>
                <w:lang w:val="es-ES"/>
              </w:rPr>
              <w:t>1.3.5 Asuntos Jurídicos.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E03C2E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32,493,560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59B63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B05E0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32,493,560 </w:t>
            </w:r>
          </w:p>
        </w:tc>
      </w:tr>
      <w:tr w:rsidR="00D868AB" w:rsidRPr="00D868AB" w14:paraId="7663FCB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4CF80B" w14:textId="77777777" w:rsidR="00D868AB" w:rsidRPr="00D868AB" w:rsidRDefault="00D868AB" w:rsidP="00D868AB">
            <w:pPr>
              <w:rPr>
                <w:rFonts w:cs="Arial"/>
                <w:sz w:val="16"/>
                <w:szCs w:val="16"/>
                <w:lang w:val="es-ES"/>
              </w:rPr>
            </w:pPr>
            <w:r w:rsidRPr="00D868AB">
              <w:rPr>
                <w:rFonts w:cs="Arial"/>
                <w:sz w:val="16"/>
                <w:szCs w:val="16"/>
                <w:lang w:val="es-ES"/>
              </w:rPr>
              <w:t>1.3.6 Organización de Procesos Electorales.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D4959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97B824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98,940,107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42592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98,940,107 </w:t>
            </w:r>
          </w:p>
        </w:tc>
      </w:tr>
      <w:tr w:rsidR="00D868AB" w:rsidRPr="00D868AB" w14:paraId="4A324D0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E2217C" w14:textId="77777777" w:rsidR="00D868AB" w:rsidRPr="00D868AB" w:rsidRDefault="00D868AB" w:rsidP="00D868AB">
            <w:pPr>
              <w:rPr>
                <w:rFonts w:cs="Arial"/>
                <w:sz w:val="16"/>
                <w:szCs w:val="16"/>
                <w:lang w:val="es-ES"/>
              </w:rPr>
            </w:pPr>
            <w:r w:rsidRPr="00D868AB">
              <w:rPr>
                <w:rFonts w:cs="Arial"/>
                <w:sz w:val="16"/>
                <w:szCs w:val="16"/>
                <w:lang w:val="es-ES"/>
              </w:rPr>
              <w:t>1.3.7 Población.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22B96B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42EB3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47527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58B9E44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C2FF09" w14:textId="77777777" w:rsidR="00D868AB" w:rsidRPr="00D868AB" w:rsidRDefault="00D868AB" w:rsidP="00D868AB">
            <w:pPr>
              <w:rPr>
                <w:rFonts w:cs="Arial"/>
                <w:sz w:val="16"/>
                <w:szCs w:val="16"/>
                <w:lang w:val="es-ES"/>
              </w:rPr>
            </w:pPr>
            <w:r w:rsidRPr="00D868AB">
              <w:rPr>
                <w:rFonts w:cs="Arial"/>
                <w:sz w:val="16"/>
                <w:szCs w:val="16"/>
                <w:lang w:val="es-ES"/>
              </w:rPr>
              <w:t>1.3.8 Territorio.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1BEB3C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043D1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A7E2F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71DF574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772CE1" w14:textId="77777777" w:rsidR="00D868AB" w:rsidRPr="00D868AB" w:rsidRDefault="00D868AB" w:rsidP="00D868AB">
            <w:pPr>
              <w:rPr>
                <w:rFonts w:cs="Arial"/>
                <w:sz w:val="16"/>
                <w:szCs w:val="16"/>
                <w:lang w:val="es-ES"/>
              </w:rPr>
            </w:pPr>
            <w:r w:rsidRPr="00D868AB">
              <w:rPr>
                <w:rFonts w:cs="Arial"/>
                <w:sz w:val="16"/>
                <w:szCs w:val="16"/>
                <w:lang w:val="es-ES"/>
              </w:rPr>
              <w:t>1.3.9 Otros.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0194F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BDCBC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3FAD1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C0D89C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4A43A" w14:textId="77777777" w:rsidR="00D868AB" w:rsidRPr="00D868AB" w:rsidRDefault="00D868AB" w:rsidP="00D868AB">
            <w:pPr>
              <w:rPr>
                <w:rFonts w:cs="Arial"/>
                <w:b/>
                <w:sz w:val="16"/>
                <w:szCs w:val="16"/>
                <w:lang w:val="es-ES"/>
              </w:rPr>
            </w:pPr>
            <w:r w:rsidRPr="00D868AB">
              <w:rPr>
                <w:rFonts w:cs="Arial"/>
                <w:b/>
                <w:sz w:val="16"/>
                <w:szCs w:val="16"/>
                <w:lang w:val="es-ES"/>
              </w:rPr>
              <w:t>1.4 RELACIONES EXTERIORES.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8BCFFBD"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ABD81E"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C8EC44C"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r>
      <w:tr w:rsidR="00D868AB" w:rsidRPr="00D868AB" w14:paraId="6AA834D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C506A" w14:textId="77777777" w:rsidR="00D868AB" w:rsidRPr="00D868AB" w:rsidRDefault="00D868AB" w:rsidP="00D868AB">
            <w:pPr>
              <w:rPr>
                <w:rFonts w:cs="Arial"/>
                <w:sz w:val="16"/>
                <w:szCs w:val="16"/>
                <w:lang w:val="es-ES"/>
              </w:rPr>
            </w:pPr>
            <w:r w:rsidRPr="00D868AB">
              <w:rPr>
                <w:rFonts w:cs="Arial"/>
                <w:sz w:val="16"/>
                <w:szCs w:val="16"/>
                <w:lang w:val="es-ES"/>
              </w:rPr>
              <w:t>1.4.1 Relaciones Exteriores.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55F5A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BD1CE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0A5D4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2C6E54D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001F14" w14:textId="77777777" w:rsidR="00D868AB" w:rsidRPr="00D868AB" w:rsidRDefault="00D868AB" w:rsidP="00D868AB">
            <w:pPr>
              <w:rPr>
                <w:rFonts w:cs="Arial"/>
                <w:b/>
                <w:sz w:val="16"/>
                <w:szCs w:val="16"/>
                <w:lang w:val="es-ES"/>
              </w:rPr>
            </w:pPr>
            <w:r w:rsidRPr="00D868AB">
              <w:rPr>
                <w:rFonts w:cs="Arial"/>
                <w:b/>
                <w:sz w:val="16"/>
                <w:szCs w:val="16"/>
                <w:lang w:val="es-ES"/>
              </w:rPr>
              <w:t>1.5 ASUNTOS FINANCIEROS Y HACENDARIOS.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9B52F95"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162,466,341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EF67DB"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1,800,000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7018A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164,266,341 </w:t>
            </w:r>
          </w:p>
        </w:tc>
      </w:tr>
      <w:tr w:rsidR="00D868AB" w:rsidRPr="00D868AB" w14:paraId="01649CD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9D9AF" w14:textId="77777777" w:rsidR="00D868AB" w:rsidRPr="00D868AB" w:rsidRDefault="00D868AB" w:rsidP="00D868AB">
            <w:pPr>
              <w:rPr>
                <w:rFonts w:cs="Arial"/>
                <w:sz w:val="16"/>
                <w:szCs w:val="16"/>
                <w:lang w:val="es-ES"/>
              </w:rPr>
            </w:pPr>
            <w:r w:rsidRPr="00D868AB">
              <w:rPr>
                <w:rFonts w:cs="Arial"/>
                <w:sz w:val="16"/>
                <w:szCs w:val="16"/>
                <w:lang w:val="es-ES"/>
              </w:rPr>
              <w:t>1.5.1 Asuntos Financieros.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7E0C1A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72DF0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E370A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650E37C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E1C178" w14:textId="77777777" w:rsidR="00D868AB" w:rsidRPr="00D868AB" w:rsidRDefault="00D868AB" w:rsidP="00D868AB">
            <w:pPr>
              <w:rPr>
                <w:rFonts w:cs="Arial"/>
                <w:sz w:val="16"/>
                <w:szCs w:val="16"/>
                <w:lang w:val="es-ES"/>
              </w:rPr>
            </w:pPr>
            <w:r w:rsidRPr="00D868AB">
              <w:rPr>
                <w:rFonts w:cs="Arial"/>
                <w:sz w:val="16"/>
                <w:szCs w:val="16"/>
                <w:lang w:val="es-ES"/>
              </w:rPr>
              <w:t>1.5.2 Asuntos Hacendarios.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C7D88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162,466,341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C9D64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1,800,000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2CF70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164,266,341 </w:t>
            </w:r>
          </w:p>
        </w:tc>
      </w:tr>
      <w:tr w:rsidR="00D868AB" w:rsidRPr="00D868AB" w14:paraId="039F607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E1ADD" w14:textId="77777777" w:rsidR="00D868AB" w:rsidRPr="00D868AB" w:rsidRDefault="00D868AB" w:rsidP="00D868AB">
            <w:pPr>
              <w:rPr>
                <w:rFonts w:cs="Arial"/>
                <w:b/>
                <w:sz w:val="16"/>
                <w:szCs w:val="16"/>
                <w:lang w:val="es-ES"/>
              </w:rPr>
            </w:pPr>
            <w:r w:rsidRPr="00D868AB">
              <w:rPr>
                <w:rFonts w:cs="Arial"/>
                <w:b/>
                <w:sz w:val="16"/>
                <w:szCs w:val="16"/>
                <w:lang w:val="es-ES"/>
              </w:rPr>
              <w:t>1.6 SEGURIDAD NACIONAL.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9D98720"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9218D6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3A536E"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r>
      <w:tr w:rsidR="00D868AB" w:rsidRPr="00D868AB" w14:paraId="5100402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450708" w14:textId="77777777" w:rsidR="00D868AB" w:rsidRPr="00D868AB" w:rsidRDefault="00D868AB" w:rsidP="00D868AB">
            <w:pPr>
              <w:rPr>
                <w:rFonts w:cs="Arial"/>
                <w:sz w:val="16"/>
                <w:szCs w:val="16"/>
                <w:lang w:val="es-ES"/>
              </w:rPr>
            </w:pPr>
            <w:r w:rsidRPr="00D868AB">
              <w:rPr>
                <w:rFonts w:cs="Arial"/>
                <w:sz w:val="16"/>
                <w:szCs w:val="16"/>
                <w:lang w:val="es-ES"/>
              </w:rPr>
              <w:t>1.6.1 Defensa.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72B882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C1366F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61AB9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7F6AA59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AA0DE2" w14:textId="77777777" w:rsidR="00D868AB" w:rsidRPr="00D868AB" w:rsidRDefault="00D868AB" w:rsidP="00D868AB">
            <w:pPr>
              <w:rPr>
                <w:rFonts w:cs="Arial"/>
                <w:sz w:val="16"/>
                <w:szCs w:val="16"/>
                <w:lang w:val="es-ES"/>
              </w:rPr>
            </w:pPr>
            <w:r w:rsidRPr="00D868AB">
              <w:rPr>
                <w:rFonts w:cs="Arial"/>
                <w:sz w:val="16"/>
                <w:szCs w:val="16"/>
                <w:lang w:val="es-ES"/>
              </w:rPr>
              <w:t>1.6.2 Marina.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3E3584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BEE9C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E1B111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15E70E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FB20E" w14:textId="77777777" w:rsidR="00D868AB" w:rsidRPr="00D868AB" w:rsidRDefault="00D868AB" w:rsidP="00D868AB">
            <w:pPr>
              <w:rPr>
                <w:rFonts w:cs="Arial"/>
                <w:sz w:val="16"/>
                <w:szCs w:val="16"/>
                <w:lang w:val="es-ES"/>
              </w:rPr>
            </w:pPr>
            <w:r w:rsidRPr="00D868AB">
              <w:rPr>
                <w:rFonts w:cs="Arial"/>
                <w:sz w:val="16"/>
                <w:szCs w:val="16"/>
                <w:lang w:val="es-ES"/>
              </w:rPr>
              <w:t>1.6.3 Inteligencia para la Preservación de la Seguridad Nacional.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73E840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5CACB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5A684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19BE689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E78AF" w14:textId="77777777" w:rsidR="00D868AB" w:rsidRPr="00D868AB" w:rsidRDefault="00D868AB" w:rsidP="00D868AB">
            <w:pPr>
              <w:rPr>
                <w:rFonts w:cs="Arial"/>
                <w:b/>
                <w:sz w:val="16"/>
                <w:szCs w:val="16"/>
                <w:lang w:val="es-ES"/>
              </w:rPr>
            </w:pPr>
            <w:r w:rsidRPr="00D868AB">
              <w:rPr>
                <w:rFonts w:cs="Arial"/>
                <w:b/>
                <w:sz w:val="16"/>
                <w:szCs w:val="16"/>
                <w:lang w:val="es-ES"/>
              </w:rPr>
              <w:t>1.7 ASUNTOS DE ORDEN PÚBLICO Y DE SEGURIDAD INTERIOR.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F08837B"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904,619,969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A8B81D"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7ABED60"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904,619,969 </w:t>
            </w:r>
          </w:p>
        </w:tc>
      </w:tr>
      <w:tr w:rsidR="00D868AB" w:rsidRPr="00D868AB" w14:paraId="7E30673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BF7EA3" w14:textId="77777777" w:rsidR="00D868AB" w:rsidRPr="00D868AB" w:rsidRDefault="00D868AB" w:rsidP="00D868AB">
            <w:pPr>
              <w:rPr>
                <w:rFonts w:cs="Arial"/>
                <w:sz w:val="16"/>
                <w:szCs w:val="16"/>
                <w:lang w:val="es-ES"/>
              </w:rPr>
            </w:pPr>
            <w:r w:rsidRPr="00D868AB">
              <w:rPr>
                <w:rFonts w:cs="Arial"/>
                <w:sz w:val="16"/>
                <w:szCs w:val="16"/>
                <w:lang w:val="es-ES"/>
              </w:rPr>
              <w:t>1.7.1 Policía.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56A10E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348,542,566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163D2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53B4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348,542,566 </w:t>
            </w:r>
          </w:p>
        </w:tc>
      </w:tr>
      <w:tr w:rsidR="00D868AB" w:rsidRPr="00D868AB" w14:paraId="110DB97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48106" w14:textId="77777777" w:rsidR="00D868AB" w:rsidRPr="00D868AB" w:rsidRDefault="00D868AB" w:rsidP="00D868AB">
            <w:pPr>
              <w:rPr>
                <w:rFonts w:cs="Arial"/>
                <w:sz w:val="16"/>
                <w:szCs w:val="16"/>
                <w:lang w:val="es-ES"/>
              </w:rPr>
            </w:pPr>
            <w:r w:rsidRPr="00D868AB">
              <w:rPr>
                <w:rFonts w:cs="Arial"/>
                <w:sz w:val="16"/>
                <w:szCs w:val="16"/>
                <w:lang w:val="es-ES"/>
              </w:rPr>
              <w:t>1.7.2 Protección Civil.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C06872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46,383,525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7B404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05CBEB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46,383,525 </w:t>
            </w:r>
          </w:p>
        </w:tc>
      </w:tr>
      <w:tr w:rsidR="00D868AB" w:rsidRPr="00D868AB" w14:paraId="2A769F9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1DB08" w14:textId="77777777" w:rsidR="00D868AB" w:rsidRPr="00D868AB" w:rsidRDefault="00D868AB" w:rsidP="00D868AB">
            <w:pPr>
              <w:rPr>
                <w:rFonts w:cs="Arial"/>
                <w:sz w:val="16"/>
                <w:szCs w:val="16"/>
                <w:lang w:val="es-ES"/>
              </w:rPr>
            </w:pPr>
            <w:r w:rsidRPr="00D868AB">
              <w:rPr>
                <w:rFonts w:cs="Arial"/>
                <w:sz w:val="16"/>
                <w:szCs w:val="16"/>
                <w:lang w:val="es-ES"/>
              </w:rPr>
              <w:t>1.7.3 Otros Asuntos de Orden Público y Seguridad.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48CADF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126,085,589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FA40A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8E5C4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126,085,589 </w:t>
            </w:r>
          </w:p>
        </w:tc>
      </w:tr>
      <w:tr w:rsidR="00D868AB" w:rsidRPr="00D868AB" w14:paraId="78FB2EA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D5BD4D" w14:textId="77777777" w:rsidR="00D868AB" w:rsidRPr="00D868AB" w:rsidRDefault="00D868AB" w:rsidP="00D868AB">
            <w:pPr>
              <w:rPr>
                <w:rFonts w:cs="Arial"/>
                <w:sz w:val="16"/>
                <w:szCs w:val="16"/>
                <w:lang w:val="es-ES"/>
              </w:rPr>
            </w:pPr>
            <w:r w:rsidRPr="00D868AB">
              <w:rPr>
                <w:rFonts w:cs="Arial"/>
                <w:sz w:val="16"/>
                <w:szCs w:val="16"/>
                <w:lang w:val="es-ES"/>
              </w:rPr>
              <w:t>1.7.4 Sistema Nacional de Seguridad Pública.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9CC021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383,608,289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94BB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5B05D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383,608,289 </w:t>
            </w:r>
          </w:p>
        </w:tc>
      </w:tr>
      <w:tr w:rsidR="00D868AB" w:rsidRPr="00D868AB" w14:paraId="27C0302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A3DBE" w14:textId="77777777" w:rsidR="00D868AB" w:rsidRPr="00D868AB" w:rsidRDefault="00D868AB" w:rsidP="00D868AB">
            <w:pPr>
              <w:rPr>
                <w:rFonts w:cs="Arial"/>
                <w:b/>
                <w:sz w:val="16"/>
                <w:szCs w:val="16"/>
                <w:lang w:val="es-ES"/>
              </w:rPr>
            </w:pPr>
            <w:r w:rsidRPr="00D868AB">
              <w:rPr>
                <w:rFonts w:cs="Arial"/>
                <w:b/>
                <w:sz w:val="16"/>
                <w:szCs w:val="16"/>
                <w:lang w:val="es-ES"/>
              </w:rPr>
              <w:t>1.8 OTROS SERVICIOS GENERALES.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05F7C4F"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319,485,653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30DE2F"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20,626,745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C871BC"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340,112,398 </w:t>
            </w:r>
          </w:p>
        </w:tc>
      </w:tr>
      <w:tr w:rsidR="00D868AB" w:rsidRPr="00D868AB" w14:paraId="0F9C853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36557" w14:textId="77777777" w:rsidR="00D868AB" w:rsidRPr="00D868AB" w:rsidRDefault="00D868AB" w:rsidP="00D868AB">
            <w:pPr>
              <w:rPr>
                <w:rFonts w:cs="Arial"/>
                <w:sz w:val="16"/>
                <w:szCs w:val="16"/>
                <w:lang w:val="es-ES"/>
              </w:rPr>
            </w:pPr>
            <w:r w:rsidRPr="00D868AB">
              <w:rPr>
                <w:rFonts w:cs="Arial"/>
                <w:sz w:val="16"/>
                <w:szCs w:val="16"/>
                <w:lang w:val="es-ES"/>
              </w:rPr>
              <w:t>1.8.1 Servicios Registrales, Administrativos y Patrimoniales.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4537E0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41,368,422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1731C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DC971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41,368,422 </w:t>
            </w:r>
          </w:p>
        </w:tc>
      </w:tr>
      <w:tr w:rsidR="00D868AB" w:rsidRPr="00D868AB" w14:paraId="246F06D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AED271" w14:textId="77777777" w:rsidR="00D868AB" w:rsidRPr="00D868AB" w:rsidRDefault="00D868AB" w:rsidP="00D868AB">
            <w:pPr>
              <w:rPr>
                <w:rFonts w:cs="Arial"/>
                <w:sz w:val="16"/>
                <w:szCs w:val="16"/>
                <w:lang w:val="es-ES"/>
              </w:rPr>
            </w:pPr>
            <w:r w:rsidRPr="00D868AB">
              <w:rPr>
                <w:rFonts w:cs="Arial"/>
                <w:sz w:val="16"/>
                <w:szCs w:val="16"/>
                <w:lang w:val="es-ES"/>
              </w:rPr>
              <w:t>1.8.2 Servicios Estadísticos.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7CBF58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696B93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4BA7B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3B0A36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66C970" w14:textId="77777777" w:rsidR="00D868AB" w:rsidRPr="00D868AB" w:rsidRDefault="00D868AB" w:rsidP="00D868AB">
            <w:pPr>
              <w:rPr>
                <w:rFonts w:cs="Arial"/>
                <w:sz w:val="16"/>
                <w:szCs w:val="16"/>
                <w:lang w:val="es-ES"/>
              </w:rPr>
            </w:pPr>
            <w:r w:rsidRPr="00D868AB">
              <w:rPr>
                <w:rFonts w:cs="Arial"/>
                <w:sz w:val="16"/>
                <w:szCs w:val="16"/>
                <w:lang w:val="es-ES"/>
              </w:rPr>
              <w:t>1.8.3 Servicios de Comunicación y Medios.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4AAB4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99713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9A6F6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F6BEA5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78755D" w14:textId="77777777" w:rsidR="00D868AB" w:rsidRPr="00D868AB" w:rsidRDefault="00D868AB" w:rsidP="00D868AB">
            <w:pPr>
              <w:rPr>
                <w:rFonts w:cs="Arial"/>
                <w:sz w:val="16"/>
                <w:szCs w:val="16"/>
                <w:lang w:val="es-ES"/>
              </w:rPr>
            </w:pPr>
            <w:r w:rsidRPr="00D868AB">
              <w:rPr>
                <w:rFonts w:cs="Arial"/>
                <w:sz w:val="16"/>
                <w:szCs w:val="16"/>
                <w:lang w:val="es-ES"/>
              </w:rPr>
              <w:t>1.8.4 Acceso a la Información Pública Gubernamental.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A3B424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6B9C2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20,626,745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1525AA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20,626,745 </w:t>
            </w:r>
          </w:p>
        </w:tc>
      </w:tr>
      <w:tr w:rsidR="00D868AB" w:rsidRPr="00D868AB" w14:paraId="4670AC4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AF91B" w14:textId="77777777" w:rsidR="00D868AB" w:rsidRPr="00D868AB" w:rsidRDefault="00D868AB" w:rsidP="00D868AB">
            <w:pPr>
              <w:rPr>
                <w:rFonts w:cs="Arial"/>
                <w:sz w:val="16"/>
                <w:szCs w:val="16"/>
                <w:lang w:val="es-ES"/>
              </w:rPr>
            </w:pPr>
            <w:r w:rsidRPr="00D868AB">
              <w:rPr>
                <w:rFonts w:cs="Arial"/>
                <w:sz w:val="16"/>
                <w:szCs w:val="16"/>
                <w:lang w:val="es-ES"/>
              </w:rPr>
              <w:t>1.8.5 Otros.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2035C4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278,117,231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5F8A12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A60C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278,117,231 </w:t>
            </w:r>
          </w:p>
        </w:tc>
      </w:tr>
      <w:tr w:rsidR="00D868AB" w:rsidRPr="00D868AB" w14:paraId="7D401C6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F14A2" w14:textId="77777777" w:rsidR="00D868AB" w:rsidRPr="00D868AB" w:rsidRDefault="00D868AB" w:rsidP="00D868AB">
            <w:pPr>
              <w:numPr>
                <w:ilvl w:val="0"/>
                <w:numId w:val="7"/>
              </w:numPr>
              <w:ind w:left="0"/>
              <w:rPr>
                <w:rFonts w:cs="Arial"/>
                <w:b/>
                <w:sz w:val="16"/>
                <w:szCs w:val="16"/>
                <w:lang w:val="es-ES"/>
              </w:rPr>
            </w:pPr>
            <w:r w:rsidRPr="00D868AB">
              <w:rPr>
                <w:rFonts w:cs="Arial"/>
                <w:b/>
                <w:sz w:val="16"/>
                <w:szCs w:val="16"/>
                <w:lang w:val="es-ES"/>
              </w:rPr>
              <w:t>2. DESARROLLO SOCIAL.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B17850F" w14:textId="77777777" w:rsidR="00D868AB" w:rsidRPr="00D868AB" w:rsidRDefault="00D868AB" w:rsidP="00D868AB">
            <w:pPr>
              <w:ind w:left="-360"/>
              <w:jc w:val="right"/>
              <w:rPr>
                <w:rFonts w:cs="Arial"/>
                <w:b/>
                <w:sz w:val="16"/>
                <w:szCs w:val="16"/>
                <w:lang w:val="es-ES"/>
              </w:rPr>
            </w:pPr>
            <w:r w:rsidRPr="00D868AB">
              <w:rPr>
                <w:rFonts w:cs="Arial"/>
                <w:b/>
                <w:bCs/>
                <w:color w:val="000000"/>
                <w:sz w:val="16"/>
                <w:szCs w:val="16"/>
              </w:rPr>
              <w:t xml:space="preserve">11,361,703,347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58742F"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1,793,573,452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6DD98F" w14:textId="77777777" w:rsidR="00D868AB" w:rsidRPr="00D868AB" w:rsidRDefault="00D868AB" w:rsidP="00D868AB">
            <w:pPr>
              <w:ind w:left="-360"/>
              <w:jc w:val="right"/>
              <w:rPr>
                <w:rFonts w:cs="Arial"/>
                <w:b/>
                <w:sz w:val="16"/>
                <w:szCs w:val="16"/>
                <w:lang w:val="es-ES"/>
              </w:rPr>
            </w:pPr>
            <w:r w:rsidRPr="00D868AB">
              <w:rPr>
                <w:rFonts w:cs="Arial"/>
                <w:b/>
                <w:bCs/>
                <w:color w:val="000000"/>
                <w:sz w:val="16"/>
                <w:szCs w:val="16"/>
              </w:rPr>
              <w:t xml:space="preserve">13,155,276,799 </w:t>
            </w:r>
          </w:p>
        </w:tc>
      </w:tr>
      <w:tr w:rsidR="00D868AB" w:rsidRPr="00D868AB" w14:paraId="54157C8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8EF217" w14:textId="77777777" w:rsidR="00D868AB" w:rsidRPr="00D868AB" w:rsidRDefault="00D868AB" w:rsidP="00D868AB">
            <w:pPr>
              <w:rPr>
                <w:rFonts w:cs="Arial"/>
                <w:b/>
                <w:sz w:val="16"/>
                <w:szCs w:val="16"/>
                <w:lang w:val="es-ES"/>
              </w:rPr>
            </w:pPr>
            <w:r w:rsidRPr="00D868AB">
              <w:rPr>
                <w:rFonts w:cs="Arial"/>
                <w:b/>
                <w:sz w:val="16"/>
                <w:szCs w:val="16"/>
                <w:lang w:val="es-ES"/>
              </w:rPr>
              <w:lastRenderedPageBreak/>
              <w:t>2.1.  PROTECCIÓN AMBIENTAL.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EA1F44"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51,655,837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BE5569"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DF719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51,655,837 </w:t>
            </w:r>
          </w:p>
        </w:tc>
      </w:tr>
      <w:tr w:rsidR="00D868AB" w:rsidRPr="00D868AB" w14:paraId="4E685BB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573C9B" w14:textId="77777777" w:rsidR="00D868AB" w:rsidRPr="00D868AB" w:rsidRDefault="00D868AB" w:rsidP="00D868AB">
            <w:pPr>
              <w:rPr>
                <w:rFonts w:cs="Arial"/>
                <w:sz w:val="16"/>
                <w:szCs w:val="16"/>
                <w:lang w:val="es-ES"/>
              </w:rPr>
            </w:pPr>
            <w:r w:rsidRPr="00D868AB">
              <w:rPr>
                <w:rFonts w:cs="Arial"/>
                <w:sz w:val="16"/>
                <w:szCs w:val="16"/>
                <w:lang w:val="es-ES"/>
              </w:rPr>
              <w:t>2.1.1 Ordenación de Desechos.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8BCDFE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34,277,606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E743D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235B0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34,277,606 </w:t>
            </w:r>
          </w:p>
        </w:tc>
      </w:tr>
      <w:tr w:rsidR="00D868AB" w:rsidRPr="00D868AB" w14:paraId="48131AE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94119E" w14:textId="77777777" w:rsidR="00D868AB" w:rsidRPr="00D868AB" w:rsidRDefault="00D868AB" w:rsidP="00D868AB">
            <w:pPr>
              <w:rPr>
                <w:rFonts w:cs="Arial"/>
                <w:sz w:val="16"/>
                <w:szCs w:val="16"/>
                <w:lang w:val="es-ES"/>
              </w:rPr>
            </w:pPr>
            <w:r w:rsidRPr="00D868AB">
              <w:rPr>
                <w:rFonts w:cs="Arial"/>
                <w:sz w:val="16"/>
                <w:szCs w:val="16"/>
                <w:lang w:val="es-ES"/>
              </w:rPr>
              <w:t>2.1.2 Administración del Agua.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F74977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4,567,059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E38B7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6B43C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4,567,059 </w:t>
            </w:r>
          </w:p>
        </w:tc>
      </w:tr>
      <w:tr w:rsidR="00D868AB" w:rsidRPr="00D868AB" w14:paraId="1F5FE46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CF1CE" w14:textId="77777777" w:rsidR="00D868AB" w:rsidRPr="00D868AB" w:rsidRDefault="00D868AB" w:rsidP="00D868AB">
            <w:pPr>
              <w:rPr>
                <w:rFonts w:cs="Arial"/>
                <w:sz w:val="16"/>
                <w:szCs w:val="16"/>
                <w:lang w:val="es-ES"/>
              </w:rPr>
            </w:pPr>
            <w:r w:rsidRPr="00D868AB">
              <w:rPr>
                <w:rFonts w:cs="Arial"/>
                <w:sz w:val="16"/>
                <w:szCs w:val="16"/>
                <w:lang w:val="es-ES"/>
              </w:rPr>
              <w:t>2.1.3 Ordenación de Aguas Residuales, Drenaje y Alcantarillado.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5D5416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13AF6E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1E66F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120C3B1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CAD7FB" w14:textId="77777777" w:rsidR="00D868AB" w:rsidRPr="00D868AB" w:rsidRDefault="00D868AB" w:rsidP="00D868AB">
            <w:pPr>
              <w:rPr>
                <w:rFonts w:cs="Arial"/>
                <w:sz w:val="16"/>
                <w:szCs w:val="16"/>
                <w:lang w:val="es-ES"/>
              </w:rPr>
            </w:pPr>
            <w:r w:rsidRPr="00D868AB">
              <w:rPr>
                <w:rFonts w:cs="Arial"/>
                <w:sz w:val="16"/>
                <w:szCs w:val="16"/>
                <w:lang w:val="es-ES"/>
              </w:rPr>
              <w:t>2.1.4 Reducción de la Contaminación.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CC7C5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BCC073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3E172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4164A88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44CDF4" w14:textId="77777777" w:rsidR="00D868AB" w:rsidRPr="00D868AB" w:rsidRDefault="00D868AB" w:rsidP="00D868AB">
            <w:pPr>
              <w:rPr>
                <w:rFonts w:cs="Arial"/>
                <w:sz w:val="16"/>
                <w:szCs w:val="16"/>
                <w:lang w:val="es-ES"/>
              </w:rPr>
            </w:pPr>
            <w:r w:rsidRPr="00D868AB">
              <w:rPr>
                <w:rFonts w:cs="Arial"/>
                <w:sz w:val="16"/>
                <w:szCs w:val="16"/>
                <w:lang w:val="es-ES"/>
              </w:rPr>
              <w:t>2.1.5 Protección de la Diversidad Biológica y del Paisaje.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C9E049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233E4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18AAF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1B7E0C5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1AC6A" w14:textId="77777777" w:rsidR="00D868AB" w:rsidRPr="00D868AB" w:rsidRDefault="00D868AB" w:rsidP="00D868AB">
            <w:pPr>
              <w:rPr>
                <w:rFonts w:cs="Arial"/>
                <w:sz w:val="16"/>
                <w:szCs w:val="16"/>
                <w:lang w:val="es-ES"/>
              </w:rPr>
            </w:pPr>
            <w:r w:rsidRPr="00D868AB">
              <w:rPr>
                <w:rFonts w:cs="Arial"/>
                <w:sz w:val="16"/>
                <w:szCs w:val="16"/>
                <w:lang w:val="es-ES"/>
              </w:rPr>
              <w:t>2.1.6 Otros de Protección Ambiental.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E603DE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12,811,172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33366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BC1BA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12,811,172 </w:t>
            </w:r>
          </w:p>
        </w:tc>
      </w:tr>
      <w:tr w:rsidR="00D868AB" w:rsidRPr="00D868AB" w14:paraId="50E4B97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C5FAA" w14:textId="77777777" w:rsidR="00D868AB" w:rsidRPr="00D868AB" w:rsidRDefault="00D868AB" w:rsidP="00D868AB">
            <w:pPr>
              <w:rPr>
                <w:rFonts w:cs="Arial"/>
                <w:b/>
                <w:sz w:val="16"/>
                <w:szCs w:val="16"/>
                <w:lang w:val="es-ES"/>
              </w:rPr>
            </w:pPr>
            <w:r w:rsidRPr="00D868AB">
              <w:rPr>
                <w:rFonts w:cs="Arial"/>
                <w:b/>
                <w:sz w:val="16"/>
                <w:szCs w:val="16"/>
                <w:lang w:val="es-ES"/>
              </w:rPr>
              <w:t>2.2.  VIVIENDA Y SERVICIOS A LA COMUNIDAD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8DED279"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110,140,797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D645E"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404005"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110,140,797 </w:t>
            </w:r>
          </w:p>
        </w:tc>
      </w:tr>
      <w:tr w:rsidR="00D868AB" w:rsidRPr="00D868AB" w14:paraId="3BC2DDC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AACB4F" w14:textId="77777777" w:rsidR="00D868AB" w:rsidRPr="00D868AB" w:rsidRDefault="00D868AB" w:rsidP="00D868AB">
            <w:pPr>
              <w:rPr>
                <w:rFonts w:cs="Arial"/>
                <w:sz w:val="16"/>
                <w:szCs w:val="16"/>
                <w:lang w:val="es-ES"/>
              </w:rPr>
            </w:pPr>
            <w:r w:rsidRPr="00D868AB">
              <w:rPr>
                <w:rFonts w:cs="Arial"/>
                <w:sz w:val="16"/>
                <w:szCs w:val="16"/>
                <w:lang w:val="es-ES"/>
              </w:rPr>
              <w:t>2.2.1 Urbanización.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0469CC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22,484,981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A04C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595B80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22,484,981 </w:t>
            </w:r>
          </w:p>
        </w:tc>
      </w:tr>
      <w:tr w:rsidR="00D868AB" w:rsidRPr="00D868AB" w14:paraId="1C77BAD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C4172E" w14:textId="77777777" w:rsidR="00D868AB" w:rsidRPr="00D868AB" w:rsidRDefault="00D868AB" w:rsidP="00D868AB">
            <w:pPr>
              <w:rPr>
                <w:rFonts w:cs="Arial"/>
                <w:sz w:val="16"/>
                <w:szCs w:val="16"/>
                <w:lang w:val="es-ES"/>
              </w:rPr>
            </w:pPr>
            <w:r w:rsidRPr="00D868AB">
              <w:rPr>
                <w:rFonts w:cs="Arial"/>
                <w:sz w:val="16"/>
                <w:szCs w:val="16"/>
                <w:lang w:val="es-ES"/>
              </w:rPr>
              <w:t>2.2.2 Desarrollo Comunitario.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6BA166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79,655,816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FA4D5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75562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79,655,816 </w:t>
            </w:r>
          </w:p>
        </w:tc>
      </w:tr>
      <w:tr w:rsidR="00D868AB" w:rsidRPr="00D868AB" w14:paraId="446B1A9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479050" w14:textId="77777777" w:rsidR="00D868AB" w:rsidRPr="00D868AB" w:rsidRDefault="00D868AB" w:rsidP="00D868AB">
            <w:pPr>
              <w:rPr>
                <w:rFonts w:cs="Arial"/>
                <w:sz w:val="16"/>
                <w:szCs w:val="16"/>
                <w:lang w:val="es-ES"/>
              </w:rPr>
            </w:pPr>
            <w:r w:rsidRPr="00D868AB">
              <w:rPr>
                <w:rFonts w:cs="Arial"/>
                <w:sz w:val="16"/>
                <w:szCs w:val="16"/>
                <w:lang w:val="es-ES"/>
              </w:rPr>
              <w:t>2.2.3 Abastecimiento de Agua.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782E7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8,000,000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9B908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046A3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8,000,000 </w:t>
            </w:r>
          </w:p>
        </w:tc>
      </w:tr>
      <w:tr w:rsidR="00D868AB" w:rsidRPr="00D868AB" w14:paraId="448CA2B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E7FA8E" w14:textId="77777777" w:rsidR="00D868AB" w:rsidRPr="00D868AB" w:rsidRDefault="00D868AB" w:rsidP="00D868AB">
            <w:pPr>
              <w:rPr>
                <w:rFonts w:cs="Arial"/>
                <w:sz w:val="16"/>
                <w:szCs w:val="16"/>
                <w:lang w:val="es-ES"/>
              </w:rPr>
            </w:pPr>
            <w:r w:rsidRPr="00D868AB">
              <w:rPr>
                <w:rFonts w:cs="Arial"/>
                <w:sz w:val="16"/>
                <w:szCs w:val="16"/>
                <w:lang w:val="es-ES"/>
              </w:rPr>
              <w:t>2.2.4 Alumbrado Público.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D84104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711C7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5E666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5E806F3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4C1482" w14:textId="77777777" w:rsidR="00D868AB" w:rsidRPr="00D868AB" w:rsidRDefault="00D868AB" w:rsidP="00D868AB">
            <w:pPr>
              <w:rPr>
                <w:rFonts w:cs="Arial"/>
                <w:sz w:val="16"/>
                <w:szCs w:val="16"/>
                <w:lang w:val="es-ES"/>
              </w:rPr>
            </w:pPr>
            <w:r w:rsidRPr="00D868AB">
              <w:rPr>
                <w:rFonts w:cs="Arial"/>
                <w:sz w:val="16"/>
                <w:szCs w:val="16"/>
                <w:lang w:val="es-ES"/>
              </w:rPr>
              <w:t>2.2.5 Vivienda.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BBBB5F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B4180E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AFBF20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99173F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36D92A" w14:textId="77777777" w:rsidR="00D868AB" w:rsidRPr="00D868AB" w:rsidRDefault="00D868AB" w:rsidP="00D868AB">
            <w:pPr>
              <w:rPr>
                <w:rFonts w:cs="Arial"/>
                <w:sz w:val="16"/>
                <w:szCs w:val="16"/>
                <w:lang w:val="es-ES"/>
              </w:rPr>
            </w:pPr>
            <w:r w:rsidRPr="00D868AB">
              <w:rPr>
                <w:rFonts w:cs="Arial"/>
                <w:sz w:val="16"/>
                <w:szCs w:val="16"/>
                <w:lang w:val="es-ES"/>
              </w:rPr>
              <w:t>2.2.6 Servicios Comunales.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335C75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E5A4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A4B65E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038660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B6A62" w14:textId="77777777" w:rsidR="00D868AB" w:rsidRPr="00D868AB" w:rsidRDefault="00D868AB" w:rsidP="00D868AB">
            <w:pPr>
              <w:rPr>
                <w:rFonts w:cs="Arial"/>
                <w:sz w:val="16"/>
                <w:szCs w:val="16"/>
                <w:lang w:val="es-ES"/>
              </w:rPr>
            </w:pPr>
            <w:r w:rsidRPr="00D868AB">
              <w:rPr>
                <w:rFonts w:cs="Arial"/>
                <w:sz w:val="16"/>
                <w:szCs w:val="16"/>
                <w:lang w:val="es-ES"/>
              </w:rPr>
              <w:t>2.2.7 Desarrollo Regional.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2CCF14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18CD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9599C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739070F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F812B" w14:textId="77777777" w:rsidR="00D868AB" w:rsidRPr="00D868AB" w:rsidRDefault="00D868AB" w:rsidP="00D868AB">
            <w:pPr>
              <w:rPr>
                <w:rFonts w:cs="Arial"/>
                <w:b/>
                <w:sz w:val="16"/>
                <w:szCs w:val="16"/>
                <w:lang w:val="es-ES"/>
              </w:rPr>
            </w:pPr>
            <w:r w:rsidRPr="00D868AB">
              <w:rPr>
                <w:rFonts w:cs="Arial"/>
                <w:b/>
                <w:sz w:val="16"/>
                <w:szCs w:val="16"/>
                <w:lang w:val="es-ES"/>
              </w:rPr>
              <w:t>2.3.  SALUD.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FB524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2,278,923,012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900074"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6E1E62"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2,278,923,012 </w:t>
            </w:r>
          </w:p>
        </w:tc>
      </w:tr>
      <w:tr w:rsidR="00D868AB" w:rsidRPr="00D868AB" w14:paraId="0A4DF72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499124" w14:textId="77777777" w:rsidR="00D868AB" w:rsidRPr="00D868AB" w:rsidRDefault="00D868AB" w:rsidP="00D868AB">
            <w:pPr>
              <w:rPr>
                <w:rFonts w:cs="Arial"/>
                <w:sz w:val="16"/>
                <w:szCs w:val="16"/>
                <w:lang w:val="es-ES"/>
              </w:rPr>
            </w:pPr>
            <w:r w:rsidRPr="00D868AB">
              <w:rPr>
                <w:rFonts w:cs="Arial"/>
                <w:sz w:val="16"/>
                <w:szCs w:val="16"/>
                <w:lang w:val="es-ES"/>
              </w:rPr>
              <w:t>2.3.1 Prestación de Servicios de Salud a la Comunidad.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51BF9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563,271,608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2EB49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D3681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563,271,608 </w:t>
            </w:r>
          </w:p>
        </w:tc>
      </w:tr>
      <w:tr w:rsidR="00D868AB" w:rsidRPr="00D868AB" w14:paraId="6C0AD6A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0F6C1B" w14:textId="77777777" w:rsidR="00D868AB" w:rsidRPr="00D868AB" w:rsidRDefault="00D868AB" w:rsidP="00D868AB">
            <w:pPr>
              <w:rPr>
                <w:rFonts w:cs="Arial"/>
                <w:sz w:val="16"/>
                <w:szCs w:val="16"/>
                <w:lang w:val="es-ES"/>
              </w:rPr>
            </w:pPr>
            <w:r w:rsidRPr="00D868AB">
              <w:rPr>
                <w:rFonts w:cs="Arial"/>
                <w:sz w:val="16"/>
                <w:szCs w:val="16"/>
                <w:lang w:val="es-ES"/>
              </w:rPr>
              <w:t>2.3.2 Prestación de Servicios de Salud a la Persona.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6B338F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402,216,776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CA6E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8BBE9F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402,216,776 </w:t>
            </w:r>
          </w:p>
        </w:tc>
      </w:tr>
      <w:tr w:rsidR="00D868AB" w:rsidRPr="00D868AB" w14:paraId="530DECA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DAD562" w14:textId="77777777" w:rsidR="00D868AB" w:rsidRPr="00D868AB" w:rsidRDefault="00D868AB" w:rsidP="00D868AB">
            <w:pPr>
              <w:rPr>
                <w:rFonts w:cs="Arial"/>
                <w:sz w:val="16"/>
                <w:szCs w:val="16"/>
                <w:lang w:val="es-ES"/>
              </w:rPr>
            </w:pPr>
            <w:r w:rsidRPr="00D868AB">
              <w:rPr>
                <w:rFonts w:cs="Arial"/>
                <w:sz w:val="16"/>
                <w:szCs w:val="16"/>
                <w:lang w:val="es-ES"/>
              </w:rPr>
              <w:t>2.3.3 Generación de Recursos para la Salud.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38FA5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64,353,845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E8276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3B9D4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64,353,845 </w:t>
            </w:r>
          </w:p>
        </w:tc>
      </w:tr>
      <w:tr w:rsidR="00D868AB" w:rsidRPr="00D868AB" w14:paraId="03EC878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3DD661" w14:textId="77777777" w:rsidR="00D868AB" w:rsidRPr="00D868AB" w:rsidRDefault="00D868AB" w:rsidP="00D868AB">
            <w:pPr>
              <w:rPr>
                <w:rFonts w:cs="Arial"/>
                <w:sz w:val="16"/>
                <w:szCs w:val="16"/>
                <w:lang w:val="es-ES"/>
              </w:rPr>
            </w:pPr>
            <w:r w:rsidRPr="00D868AB">
              <w:rPr>
                <w:rFonts w:cs="Arial"/>
                <w:sz w:val="16"/>
                <w:szCs w:val="16"/>
                <w:lang w:val="es-ES"/>
              </w:rPr>
              <w:t>2.3.4 Rectoría del Sistema de Salud.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7563B2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918,301,062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2820E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843B8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918,301,062 </w:t>
            </w:r>
          </w:p>
        </w:tc>
      </w:tr>
      <w:tr w:rsidR="00D868AB" w:rsidRPr="00D868AB" w14:paraId="115DB38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92070" w14:textId="77777777" w:rsidR="00D868AB" w:rsidRPr="00D868AB" w:rsidRDefault="00D868AB" w:rsidP="00D868AB">
            <w:pPr>
              <w:rPr>
                <w:rFonts w:cs="Arial"/>
                <w:sz w:val="16"/>
                <w:szCs w:val="16"/>
                <w:lang w:val="es-ES"/>
              </w:rPr>
            </w:pPr>
            <w:r w:rsidRPr="00D868AB">
              <w:rPr>
                <w:rFonts w:cs="Arial"/>
                <w:sz w:val="16"/>
                <w:szCs w:val="16"/>
                <w:lang w:val="es-ES"/>
              </w:rPr>
              <w:t>2.3.5 Protección Social en Salud.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2FE37F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330,779,721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B5B8F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F85215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330,779,721 </w:t>
            </w:r>
          </w:p>
        </w:tc>
      </w:tr>
      <w:tr w:rsidR="00D868AB" w:rsidRPr="00D868AB" w14:paraId="51EDB1F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CBAC6" w14:textId="77777777" w:rsidR="00D868AB" w:rsidRPr="00D868AB" w:rsidRDefault="00D868AB" w:rsidP="00D868AB">
            <w:pPr>
              <w:rPr>
                <w:rFonts w:cs="Arial"/>
                <w:b/>
                <w:sz w:val="16"/>
                <w:szCs w:val="16"/>
                <w:lang w:val="es-ES"/>
              </w:rPr>
            </w:pPr>
            <w:r w:rsidRPr="00D868AB">
              <w:rPr>
                <w:rFonts w:cs="Arial"/>
                <w:b/>
                <w:sz w:val="16"/>
                <w:szCs w:val="16"/>
                <w:lang w:val="es-ES"/>
              </w:rPr>
              <w:t>2.4.RECREACION, CULTURA Y OTRAS MANIFESTACIONES SOCIALES.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562662"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212,751,926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D0B3905"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97503B"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212,751,926 </w:t>
            </w:r>
          </w:p>
        </w:tc>
      </w:tr>
      <w:tr w:rsidR="00D868AB" w:rsidRPr="00D868AB" w14:paraId="427DF9E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067C" w14:textId="77777777" w:rsidR="00D868AB" w:rsidRPr="00D868AB" w:rsidRDefault="00D868AB" w:rsidP="00D868AB">
            <w:pPr>
              <w:rPr>
                <w:rFonts w:cs="Arial"/>
                <w:sz w:val="16"/>
                <w:szCs w:val="16"/>
                <w:lang w:val="es-ES"/>
              </w:rPr>
            </w:pPr>
            <w:r w:rsidRPr="00D868AB">
              <w:rPr>
                <w:rFonts w:cs="Arial"/>
                <w:sz w:val="16"/>
                <w:szCs w:val="16"/>
                <w:lang w:val="es-ES"/>
              </w:rPr>
              <w:t>2.4.1 Deporte y Recreación.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24F992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65,536,500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B2C89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C6A39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65,536,500 </w:t>
            </w:r>
          </w:p>
        </w:tc>
      </w:tr>
      <w:tr w:rsidR="00D868AB" w:rsidRPr="00D868AB" w14:paraId="3444F52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E8A892" w14:textId="77777777" w:rsidR="00D868AB" w:rsidRPr="00D868AB" w:rsidRDefault="00D868AB" w:rsidP="00D868AB">
            <w:pPr>
              <w:rPr>
                <w:rFonts w:cs="Arial"/>
                <w:sz w:val="16"/>
                <w:szCs w:val="16"/>
                <w:lang w:val="es-ES"/>
              </w:rPr>
            </w:pPr>
            <w:r w:rsidRPr="00D868AB">
              <w:rPr>
                <w:rFonts w:cs="Arial"/>
                <w:sz w:val="16"/>
                <w:szCs w:val="16"/>
                <w:lang w:val="es-ES"/>
              </w:rPr>
              <w:t>2.4.2 Cultura.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997D5D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123,466,919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F342B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F5252F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123,466,919 </w:t>
            </w:r>
          </w:p>
        </w:tc>
      </w:tr>
      <w:tr w:rsidR="00D868AB" w:rsidRPr="00D868AB" w14:paraId="010706F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7E31A3" w14:textId="77777777" w:rsidR="00D868AB" w:rsidRPr="00D868AB" w:rsidRDefault="00D868AB" w:rsidP="00D868AB">
            <w:pPr>
              <w:rPr>
                <w:rFonts w:cs="Arial"/>
                <w:sz w:val="16"/>
                <w:szCs w:val="16"/>
                <w:lang w:val="es-ES"/>
              </w:rPr>
            </w:pPr>
            <w:r w:rsidRPr="00D868AB">
              <w:rPr>
                <w:rFonts w:cs="Arial"/>
                <w:sz w:val="16"/>
                <w:szCs w:val="16"/>
                <w:lang w:val="es-ES"/>
              </w:rPr>
              <w:t>2.4.3 Radio, Televisión y Editoriales.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8430AD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23,748,507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039EA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8EAC15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23,748,507 </w:t>
            </w:r>
          </w:p>
        </w:tc>
      </w:tr>
      <w:tr w:rsidR="00D868AB" w:rsidRPr="00D868AB" w14:paraId="47B555D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A1D5BF" w14:textId="77777777" w:rsidR="00D868AB" w:rsidRPr="00D868AB" w:rsidRDefault="00D868AB" w:rsidP="00D868AB">
            <w:pPr>
              <w:rPr>
                <w:rFonts w:cs="Arial"/>
                <w:sz w:val="16"/>
                <w:szCs w:val="16"/>
                <w:lang w:val="es-ES"/>
              </w:rPr>
            </w:pPr>
            <w:r w:rsidRPr="00D868AB">
              <w:rPr>
                <w:rFonts w:cs="Arial"/>
                <w:sz w:val="16"/>
                <w:szCs w:val="16"/>
                <w:lang w:val="es-ES"/>
              </w:rPr>
              <w:t>2.4.4 Asuntos Religiosos y Otras Manifestaciones Sociales.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1A87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AF9161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D21D2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A7775B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A9F2E" w14:textId="77777777" w:rsidR="00D868AB" w:rsidRPr="00D868AB" w:rsidRDefault="00D868AB" w:rsidP="00D868AB">
            <w:pPr>
              <w:rPr>
                <w:rFonts w:cs="Arial"/>
                <w:b/>
                <w:sz w:val="16"/>
                <w:szCs w:val="16"/>
                <w:lang w:val="es-ES"/>
              </w:rPr>
            </w:pPr>
            <w:r w:rsidRPr="00D868AB">
              <w:rPr>
                <w:rFonts w:cs="Arial"/>
                <w:b/>
                <w:sz w:val="16"/>
                <w:szCs w:val="16"/>
                <w:lang w:val="es-ES"/>
              </w:rPr>
              <w:t>2.5.  EDUCACIÓN.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6A9502C"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8,157,847,663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75851F"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80C7A2"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8,157,847,663 </w:t>
            </w:r>
          </w:p>
        </w:tc>
      </w:tr>
      <w:tr w:rsidR="00D868AB" w:rsidRPr="00D868AB" w14:paraId="407960A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EC65B9" w14:textId="77777777" w:rsidR="00D868AB" w:rsidRPr="00D868AB" w:rsidRDefault="00D868AB" w:rsidP="00D868AB">
            <w:pPr>
              <w:rPr>
                <w:rFonts w:cs="Arial"/>
                <w:sz w:val="16"/>
                <w:szCs w:val="16"/>
                <w:lang w:val="es-ES"/>
              </w:rPr>
            </w:pPr>
            <w:r w:rsidRPr="00D868AB">
              <w:rPr>
                <w:rFonts w:cs="Arial"/>
                <w:sz w:val="16"/>
                <w:szCs w:val="16"/>
                <w:lang w:val="es-ES"/>
              </w:rPr>
              <w:t>2.5.1 Educación Básica.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F07151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4,867,905,174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C0031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447CE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4,867,905,174 </w:t>
            </w:r>
          </w:p>
        </w:tc>
      </w:tr>
      <w:tr w:rsidR="00D868AB" w:rsidRPr="00D868AB" w14:paraId="1726DFD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7D7DE6" w14:textId="77777777" w:rsidR="00D868AB" w:rsidRPr="00D868AB" w:rsidRDefault="00D868AB" w:rsidP="00D868AB">
            <w:pPr>
              <w:rPr>
                <w:rFonts w:cs="Arial"/>
                <w:sz w:val="16"/>
                <w:szCs w:val="16"/>
                <w:lang w:val="es-ES"/>
              </w:rPr>
            </w:pPr>
            <w:r w:rsidRPr="00D868AB">
              <w:rPr>
                <w:rFonts w:cs="Arial"/>
                <w:sz w:val="16"/>
                <w:szCs w:val="16"/>
                <w:lang w:val="es-ES"/>
              </w:rPr>
              <w:t>2.5.2 Educación Media Superior.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8539FD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274,235,796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28F42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2B09E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274,235,796 </w:t>
            </w:r>
          </w:p>
        </w:tc>
      </w:tr>
      <w:tr w:rsidR="00D868AB" w:rsidRPr="00D868AB" w14:paraId="5005B46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72D67" w14:textId="77777777" w:rsidR="00D868AB" w:rsidRPr="00D868AB" w:rsidRDefault="00D868AB" w:rsidP="00D868AB">
            <w:pPr>
              <w:rPr>
                <w:rFonts w:cs="Arial"/>
                <w:sz w:val="16"/>
                <w:szCs w:val="16"/>
                <w:lang w:val="es-ES"/>
              </w:rPr>
            </w:pPr>
            <w:r w:rsidRPr="00D868AB">
              <w:rPr>
                <w:rFonts w:cs="Arial"/>
                <w:sz w:val="16"/>
                <w:szCs w:val="16"/>
                <w:lang w:val="es-ES"/>
              </w:rPr>
              <w:t>2.5.3 Educación Superior.</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645958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2,112,145,886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85E5A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9C75B4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2,112,145,886 </w:t>
            </w:r>
          </w:p>
        </w:tc>
      </w:tr>
      <w:tr w:rsidR="00D868AB" w:rsidRPr="00D868AB" w14:paraId="69FEE64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E74FDB" w14:textId="77777777" w:rsidR="00D868AB" w:rsidRPr="00D868AB" w:rsidRDefault="00D868AB" w:rsidP="00D868AB">
            <w:pPr>
              <w:rPr>
                <w:rFonts w:cs="Arial"/>
                <w:sz w:val="16"/>
                <w:szCs w:val="16"/>
                <w:lang w:val="es-ES"/>
              </w:rPr>
            </w:pPr>
            <w:r w:rsidRPr="00D868AB">
              <w:rPr>
                <w:rFonts w:cs="Arial"/>
                <w:sz w:val="16"/>
                <w:szCs w:val="16"/>
                <w:lang w:val="es-ES"/>
              </w:rPr>
              <w:t>2.5.4 Posgrado.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EF360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458,928,323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4F7E67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5005E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458,928,323 </w:t>
            </w:r>
          </w:p>
        </w:tc>
      </w:tr>
      <w:tr w:rsidR="00D868AB" w:rsidRPr="00D868AB" w14:paraId="7F5FC79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D5F614" w14:textId="77777777" w:rsidR="00D868AB" w:rsidRPr="00D868AB" w:rsidRDefault="00D868AB" w:rsidP="00D868AB">
            <w:pPr>
              <w:rPr>
                <w:rFonts w:cs="Arial"/>
                <w:sz w:val="16"/>
                <w:szCs w:val="16"/>
                <w:lang w:val="es-ES"/>
              </w:rPr>
            </w:pPr>
            <w:r w:rsidRPr="00D868AB">
              <w:rPr>
                <w:rFonts w:cs="Arial"/>
                <w:sz w:val="16"/>
                <w:szCs w:val="16"/>
                <w:lang w:val="es-ES"/>
              </w:rPr>
              <w:t>2.5.5 Educación para Adultos.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4E62D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388,552,916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B338D0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B6301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388,552,916 </w:t>
            </w:r>
          </w:p>
        </w:tc>
      </w:tr>
      <w:tr w:rsidR="00D868AB" w:rsidRPr="00D868AB" w14:paraId="367E417B"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78882E" w14:textId="77777777" w:rsidR="00D868AB" w:rsidRPr="00D868AB" w:rsidRDefault="00D868AB" w:rsidP="00D868AB">
            <w:pPr>
              <w:rPr>
                <w:rFonts w:cs="Arial"/>
                <w:sz w:val="16"/>
                <w:szCs w:val="16"/>
                <w:lang w:val="es-ES"/>
              </w:rPr>
            </w:pPr>
            <w:r w:rsidRPr="00D868AB">
              <w:rPr>
                <w:rFonts w:cs="Arial"/>
                <w:sz w:val="16"/>
                <w:szCs w:val="16"/>
                <w:lang w:val="es-ES"/>
              </w:rPr>
              <w:t>2.5.6 Otros Servicios Educativos y Actividades Inherentes.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0D19A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56,079,568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9E572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81C56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56,079,568 </w:t>
            </w:r>
          </w:p>
        </w:tc>
      </w:tr>
      <w:tr w:rsidR="00D868AB" w:rsidRPr="00D868AB" w14:paraId="6D7195D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2CF59" w14:textId="77777777" w:rsidR="00D868AB" w:rsidRPr="00D868AB" w:rsidRDefault="00D868AB" w:rsidP="00D868AB">
            <w:pPr>
              <w:rPr>
                <w:rFonts w:cs="Arial"/>
                <w:b/>
                <w:sz w:val="16"/>
                <w:szCs w:val="16"/>
                <w:lang w:val="es-ES"/>
              </w:rPr>
            </w:pPr>
            <w:r w:rsidRPr="00D868AB">
              <w:rPr>
                <w:rFonts w:cs="Arial"/>
                <w:b/>
                <w:sz w:val="16"/>
                <w:szCs w:val="16"/>
                <w:lang w:val="es-ES"/>
              </w:rPr>
              <w:t>2.6.  PROTECCIÓN SOCIAL.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4F93DA3"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482,128,998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E4173"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1,392,602,116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E1AB32"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1,874,731,114 </w:t>
            </w:r>
          </w:p>
        </w:tc>
      </w:tr>
      <w:tr w:rsidR="00D868AB" w:rsidRPr="00D868AB" w14:paraId="34FAB20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F7DD4" w14:textId="77777777" w:rsidR="00D868AB" w:rsidRPr="00D868AB" w:rsidRDefault="00D868AB" w:rsidP="00D868AB">
            <w:pPr>
              <w:rPr>
                <w:rFonts w:cs="Arial"/>
                <w:sz w:val="16"/>
                <w:szCs w:val="16"/>
                <w:lang w:val="es-ES"/>
              </w:rPr>
            </w:pPr>
            <w:r w:rsidRPr="00D868AB">
              <w:rPr>
                <w:rFonts w:cs="Arial"/>
                <w:sz w:val="16"/>
                <w:szCs w:val="16"/>
                <w:lang w:val="es-ES"/>
              </w:rPr>
              <w:t>2.6.1 Enfermedad e Incapacidad.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0DB048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4AB3E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E533A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6EFD4C9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8CB121" w14:textId="77777777" w:rsidR="00D868AB" w:rsidRPr="00D868AB" w:rsidRDefault="00D868AB" w:rsidP="00D868AB">
            <w:pPr>
              <w:rPr>
                <w:rFonts w:cs="Arial"/>
                <w:sz w:val="16"/>
                <w:szCs w:val="16"/>
                <w:lang w:val="es-ES"/>
              </w:rPr>
            </w:pPr>
            <w:r w:rsidRPr="00D868AB">
              <w:rPr>
                <w:rFonts w:cs="Arial"/>
                <w:sz w:val="16"/>
                <w:szCs w:val="16"/>
                <w:lang w:val="es-ES"/>
              </w:rPr>
              <w:t>2.6.2 Edad Avanzada.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073F8C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6,230,231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1B060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1,382,083,718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C3862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1,388,313,949 </w:t>
            </w:r>
          </w:p>
        </w:tc>
      </w:tr>
      <w:tr w:rsidR="00D868AB" w:rsidRPr="00D868AB" w14:paraId="1AEDF2E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6F59CE" w14:textId="77777777" w:rsidR="00D868AB" w:rsidRPr="00D868AB" w:rsidRDefault="00D868AB" w:rsidP="00D868AB">
            <w:pPr>
              <w:rPr>
                <w:rFonts w:cs="Arial"/>
                <w:sz w:val="16"/>
                <w:szCs w:val="16"/>
                <w:lang w:val="es-ES"/>
              </w:rPr>
            </w:pPr>
            <w:r w:rsidRPr="00D868AB">
              <w:rPr>
                <w:rFonts w:cs="Arial"/>
                <w:sz w:val="16"/>
                <w:szCs w:val="16"/>
                <w:lang w:val="es-ES"/>
              </w:rPr>
              <w:t>2.6.3 Familia e Hijos.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8D4E28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15,339,315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02C20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D9C1D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15,339,315 </w:t>
            </w:r>
          </w:p>
        </w:tc>
      </w:tr>
      <w:tr w:rsidR="00D868AB" w:rsidRPr="00D868AB" w14:paraId="161D79B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5354" w14:textId="77777777" w:rsidR="00D868AB" w:rsidRPr="00D868AB" w:rsidRDefault="00D868AB" w:rsidP="00D868AB">
            <w:pPr>
              <w:rPr>
                <w:rFonts w:cs="Arial"/>
                <w:sz w:val="16"/>
                <w:szCs w:val="16"/>
                <w:lang w:val="es-ES"/>
              </w:rPr>
            </w:pPr>
            <w:r w:rsidRPr="00D868AB">
              <w:rPr>
                <w:rFonts w:cs="Arial"/>
                <w:sz w:val="16"/>
                <w:szCs w:val="16"/>
                <w:lang w:val="es-ES"/>
              </w:rPr>
              <w:t>2.6.4 Desempleo.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9C2803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BD17B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2C21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7CA25D1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D387FA" w14:textId="77777777" w:rsidR="00D868AB" w:rsidRPr="00D868AB" w:rsidRDefault="00D868AB" w:rsidP="00D868AB">
            <w:pPr>
              <w:rPr>
                <w:rFonts w:cs="Arial"/>
                <w:sz w:val="16"/>
                <w:szCs w:val="16"/>
                <w:lang w:val="es-ES"/>
              </w:rPr>
            </w:pPr>
            <w:r w:rsidRPr="00D868AB">
              <w:rPr>
                <w:rFonts w:cs="Arial"/>
                <w:sz w:val="16"/>
                <w:szCs w:val="16"/>
                <w:lang w:val="es-ES"/>
              </w:rPr>
              <w:t>2.6.5 Alimentación y Nutrición.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14262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8D06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A2FF3A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0069D02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DB7534" w14:textId="77777777" w:rsidR="00D868AB" w:rsidRPr="00D868AB" w:rsidRDefault="00D868AB" w:rsidP="00D868AB">
            <w:pPr>
              <w:rPr>
                <w:rFonts w:cs="Arial"/>
                <w:sz w:val="16"/>
                <w:szCs w:val="16"/>
                <w:lang w:val="es-ES"/>
              </w:rPr>
            </w:pPr>
            <w:r w:rsidRPr="00D868AB">
              <w:rPr>
                <w:rFonts w:cs="Arial"/>
                <w:sz w:val="16"/>
                <w:szCs w:val="16"/>
                <w:lang w:val="es-ES"/>
              </w:rPr>
              <w:t>2.6.6 Apoyo Social para la Vivienda.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2C515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393D6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6F5D7E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2AFF373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634A52" w14:textId="77777777" w:rsidR="00D868AB" w:rsidRPr="00D868AB" w:rsidRDefault="00D868AB" w:rsidP="00D868AB">
            <w:pPr>
              <w:rPr>
                <w:rFonts w:cs="Arial"/>
                <w:sz w:val="16"/>
                <w:szCs w:val="16"/>
                <w:lang w:val="es-ES"/>
              </w:rPr>
            </w:pPr>
            <w:r w:rsidRPr="00D868AB">
              <w:rPr>
                <w:rFonts w:cs="Arial"/>
                <w:sz w:val="16"/>
                <w:szCs w:val="16"/>
                <w:lang w:val="es-ES"/>
              </w:rPr>
              <w:t>2.6.7 Indígenas.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A272A0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84D2C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96A33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587BC69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F5029C" w14:textId="77777777" w:rsidR="00D868AB" w:rsidRPr="00D868AB" w:rsidRDefault="00D868AB" w:rsidP="00D868AB">
            <w:pPr>
              <w:rPr>
                <w:rFonts w:cs="Arial"/>
                <w:sz w:val="16"/>
                <w:szCs w:val="16"/>
                <w:lang w:val="es-ES"/>
              </w:rPr>
            </w:pPr>
            <w:r w:rsidRPr="00D868AB">
              <w:rPr>
                <w:rFonts w:cs="Arial"/>
                <w:sz w:val="16"/>
                <w:szCs w:val="16"/>
                <w:lang w:val="es-ES"/>
              </w:rPr>
              <w:t>2.6.8 Otros Grupos Vulnerables.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171C9C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458,490,852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57A0F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C7790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458,490,852 </w:t>
            </w:r>
          </w:p>
        </w:tc>
      </w:tr>
      <w:tr w:rsidR="00D868AB" w:rsidRPr="00D868AB" w14:paraId="3CB76A0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E1A52" w14:textId="77777777" w:rsidR="00D868AB" w:rsidRPr="00D868AB" w:rsidRDefault="00D868AB" w:rsidP="00D868AB">
            <w:pPr>
              <w:rPr>
                <w:rFonts w:cs="Arial"/>
                <w:sz w:val="16"/>
                <w:szCs w:val="16"/>
                <w:lang w:val="es-ES"/>
              </w:rPr>
            </w:pPr>
            <w:r w:rsidRPr="00D868AB">
              <w:rPr>
                <w:rFonts w:cs="Arial"/>
                <w:sz w:val="16"/>
                <w:szCs w:val="16"/>
                <w:lang w:val="es-ES"/>
              </w:rPr>
              <w:t>2.6.9 Otros de Seguridad Social y Asistencia Social.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3C48D9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2,068,600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7980F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10,518,398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56A2F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12,586,998 </w:t>
            </w:r>
          </w:p>
        </w:tc>
      </w:tr>
      <w:tr w:rsidR="00D868AB" w:rsidRPr="00D868AB" w14:paraId="4011AA5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C39A8" w14:textId="77777777" w:rsidR="00D868AB" w:rsidRPr="00D868AB" w:rsidRDefault="00D868AB" w:rsidP="00D868AB">
            <w:pPr>
              <w:rPr>
                <w:rFonts w:cs="Arial"/>
                <w:b/>
                <w:sz w:val="16"/>
                <w:szCs w:val="16"/>
                <w:lang w:val="es-ES"/>
              </w:rPr>
            </w:pPr>
            <w:r w:rsidRPr="00D868AB">
              <w:rPr>
                <w:rFonts w:cs="Arial"/>
                <w:b/>
                <w:sz w:val="16"/>
                <w:szCs w:val="16"/>
                <w:lang w:val="es-ES"/>
              </w:rPr>
              <w:lastRenderedPageBreak/>
              <w:t>2.7. OTROS ASUNTOS SOCIALES.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ECC011"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68,255,114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912472"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400,971,336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2FDBD7"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469,226,450 </w:t>
            </w:r>
          </w:p>
        </w:tc>
      </w:tr>
      <w:tr w:rsidR="00D868AB" w:rsidRPr="00D868AB" w14:paraId="520224A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BF856D" w14:textId="77777777" w:rsidR="00D868AB" w:rsidRPr="00D868AB" w:rsidRDefault="00D868AB" w:rsidP="00D868AB">
            <w:pPr>
              <w:rPr>
                <w:rFonts w:cs="Arial"/>
                <w:sz w:val="16"/>
                <w:szCs w:val="16"/>
                <w:lang w:val="es-ES"/>
              </w:rPr>
            </w:pPr>
            <w:r w:rsidRPr="00D868AB">
              <w:rPr>
                <w:rFonts w:cs="Arial"/>
                <w:sz w:val="16"/>
                <w:szCs w:val="16"/>
                <w:lang w:val="es-ES"/>
              </w:rPr>
              <w:t>2.7.1 Otros Asuntos Sociales.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E6E493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68,255,114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FB99A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400,971,336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A4346D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469,226,450 </w:t>
            </w:r>
          </w:p>
        </w:tc>
      </w:tr>
      <w:tr w:rsidR="00D868AB" w:rsidRPr="00D868AB" w14:paraId="6933946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445C54" w14:textId="77777777" w:rsidR="00D868AB" w:rsidRPr="00D868AB" w:rsidRDefault="00D868AB" w:rsidP="00D868AB">
            <w:pPr>
              <w:rPr>
                <w:rFonts w:cs="Arial"/>
                <w:b/>
                <w:sz w:val="16"/>
                <w:szCs w:val="16"/>
                <w:lang w:val="es-ES"/>
              </w:rPr>
            </w:pPr>
            <w:r w:rsidRPr="00D868AB">
              <w:rPr>
                <w:rFonts w:cs="Arial"/>
                <w:b/>
                <w:sz w:val="16"/>
                <w:szCs w:val="16"/>
                <w:lang w:val="es-ES"/>
              </w:rPr>
              <w:t>3. DESARROLLO ECONÓMICO.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496D78F"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346,850,941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9D86902"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414652"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346,850,941 </w:t>
            </w:r>
          </w:p>
        </w:tc>
      </w:tr>
      <w:tr w:rsidR="00D868AB" w:rsidRPr="00D868AB" w14:paraId="50CE826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0FA5F" w14:textId="77777777" w:rsidR="00D868AB" w:rsidRPr="00D868AB" w:rsidRDefault="00D868AB" w:rsidP="00D868AB">
            <w:pPr>
              <w:rPr>
                <w:rFonts w:cs="Arial"/>
                <w:b/>
                <w:sz w:val="16"/>
                <w:szCs w:val="16"/>
                <w:lang w:val="es-ES"/>
              </w:rPr>
            </w:pPr>
            <w:r w:rsidRPr="00D868AB">
              <w:rPr>
                <w:rFonts w:cs="Arial"/>
                <w:b/>
                <w:sz w:val="16"/>
                <w:szCs w:val="16"/>
                <w:lang w:val="es-ES"/>
              </w:rPr>
              <w:t>3.1. ASUNTOS ECONÓMICOS, COMERCIALES Y LABORALES EN GENERAL.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E220F3D"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180,974,946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AF736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EADA88"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180,974,946 </w:t>
            </w:r>
          </w:p>
        </w:tc>
      </w:tr>
      <w:tr w:rsidR="00D868AB" w:rsidRPr="00D868AB" w14:paraId="45290FF2"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C7717" w14:textId="77777777" w:rsidR="00D868AB" w:rsidRPr="00D868AB" w:rsidRDefault="00D868AB" w:rsidP="00D868AB">
            <w:pPr>
              <w:rPr>
                <w:rFonts w:cs="Arial"/>
                <w:sz w:val="16"/>
                <w:szCs w:val="16"/>
                <w:lang w:val="es-ES"/>
              </w:rPr>
            </w:pPr>
            <w:r w:rsidRPr="00D868AB">
              <w:rPr>
                <w:rFonts w:cs="Arial"/>
                <w:sz w:val="16"/>
                <w:szCs w:val="16"/>
                <w:lang w:val="es-ES"/>
              </w:rPr>
              <w:t>3.1.1 Asuntos Económicos y Comerciales en General.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217B8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134,718,101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08BEF0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35D163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134,718,101 </w:t>
            </w:r>
          </w:p>
        </w:tc>
      </w:tr>
      <w:tr w:rsidR="00D868AB" w:rsidRPr="00D868AB" w14:paraId="07F8F26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558EF4" w14:textId="77777777" w:rsidR="00D868AB" w:rsidRPr="00D868AB" w:rsidRDefault="00D868AB" w:rsidP="00D868AB">
            <w:pPr>
              <w:rPr>
                <w:rFonts w:cs="Arial"/>
                <w:sz w:val="16"/>
                <w:szCs w:val="16"/>
                <w:lang w:val="es-ES"/>
              </w:rPr>
            </w:pPr>
            <w:r w:rsidRPr="00D868AB">
              <w:rPr>
                <w:rFonts w:cs="Arial"/>
                <w:sz w:val="16"/>
                <w:szCs w:val="16"/>
                <w:lang w:val="es-ES"/>
              </w:rPr>
              <w:t>3.1.2 Asuntos Laborales Generales.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45A10E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46,256,845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46C40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DB528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46,256,845 </w:t>
            </w:r>
          </w:p>
        </w:tc>
      </w:tr>
      <w:tr w:rsidR="00D868AB" w:rsidRPr="00D868AB" w14:paraId="008ED96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786DEC" w14:textId="77777777" w:rsidR="00D868AB" w:rsidRPr="00D868AB" w:rsidRDefault="00D868AB" w:rsidP="00D868AB">
            <w:pPr>
              <w:rPr>
                <w:rFonts w:cs="Arial"/>
                <w:b/>
                <w:sz w:val="16"/>
                <w:szCs w:val="16"/>
                <w:lang w:val="es-ES"/>
              </w:rPr>
            </w:pPr>
            <w:r w:rsidRPr="00D868AB">
              <w:rPr>
                <w:rFonts w:cs="Arial"/>
                <w:b/>
                <w:sz w:val="16"/>
                <w:szCs w:val="16"/>
                <w:lang w:val="es-ES"/>
              </w:rPr>
              <w:t>3.2. AGROPECUARIA, SILVICULTURA, PESCA Y CAZA.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B1DF763"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101,862,197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7A86628"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263FA8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101,862,197 </w:t>
            </w:r>
          </w:p>
        </w:tc>
      </w:tr>
      <w:tr w:rsidR="00D868AB" w:rsidRPr="00D868AB" w14:paraId="5D52EE5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6D522" w14:textId="77777777" w:rsidR="00D868AB" w:rsidRPr="00D868AB" w:rsidRDefault="00D868AB" w:rsidP="00D868AB">
            <w:pPr>
              <w:rPr>
                <w:rFonts w:cs="Arial"/>
                <w:sz w:val="16"/>
                <w:szCs w:val="16"/>
                <w:lang w:val="es-ES"/>
              </w:rPr>
            </w:pPr>
            <w:r w:rsidRPr="00D868AB">
              <w:rPr>
                <w:rFonts w:cs="Arial"/>
                <w:sz w:val="16"/>
                <w:szCs w:val="16"/>
                <w:lang w:val="es-ES"/>
              </w:rPr>
              <w:t>3.2.1 Agropecuaria.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99B19D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78,386,996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E3C5EE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D11C22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78,386,996 </w:t>
            </w:r>
          </w:p>
        </w:tc>
      </w:tr>
      <w:tr w:rsidR="00D868AB" w:rsidRPr="00D868AB" w14:paraId="28EEF58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F8B00" w14:textId="77777777" w:rsidR="00D868AB" w:rsidRPr="00D868AB" w:rsidRDefault="00D868AB" w:rsidP="00D868AB">
            <w:pPr>
              <w:rPr>
                <w:rFonts w:cs="Arial"/>
                <w:sz w:val="16"/>
                <w:szCs w:val="16"/>
                <w:lang w:val="es-ES"/>
              </w:rPr>
            </w:pPr>
            <w:r w:rsidRPr="00D868AB">
              <w:rPr>
                <w:rFonts w:cs="Arial"/>
                <w:sz w:val="16"/>
                <w:szCs w:val="16"/>
                <w:lang w:val="es-ES"/>
              </w:rPr>
              <w:t>3.2.2 Silvicultura.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AD46CB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25ABF8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E71A5B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7ABB55F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4E4802" w14:textId="77777777" w:rsidR="00D868AB" w:rsidRPr="00D868AB" w:rsidRDefault="00D868AB" w:rsidP="00D868AB">
            <w:pPr>
              <w:rPr>
                <w:rFonts w:cs="Arial"/>
                <w:sz w:val="16"/>
                <w:szCs w:val="16"/>
                <w:lang w:val="es-ES"/>
              </w:rPr>
            </w:pPr>
            <w:r w:rsidRPr="00D868AB">
              <w:rPr>
                <w:rFonts w:cs="Arial"/>
                <w:sz w:val="16"/>
                <w:szCs w:val="16"/>
                <w:lang w:val="es-ES"/>
              </w:rPr>
              <w:t>3.2.3 Acuacultura, Pesca y Caza.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02D5A4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1,500,000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EC4E4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282B08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1,500,000 </w:t>
            </w:r>
          </w:p>
        </w:tc>
      </w:tr>
      <w:tr w:rsidR="00D868AB" w:rsidRPr="00D868AB" w14:paraId="762EA4E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DD57D7" w14:textId="77777777" w:rsidR="00D868AB" w:rsidRPr="00D868AB" w:rsidRDefault="00D868AB" w:rsidP="00D868AB">
            <w:pPr>
              <w:rPr>
                <w:rFonts w:cs="Arial"/>
                <w:sz w:val="16"/>
                <w:szCs w:val="16"/>
                <w:lang w:val="es-ES"/>
              </w:rPr>
            </w:pPr>
            <w:r w:rsidRPr="00D868AB">
              <w:rPr>
                <w:rFonts w:cs="Arial"/>
                <w:sz w:val="16"/>
                <w:szCs w:val="16"/>
                <w:lang w:val="es-ES"/>
              </w:rPr>
              <w:t>3.2.4 Agroindustrial.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97FCA0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675DF7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0B5E5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158718F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7899A3" w14:textId="77777777" w:rsidR="00D868AB" w:rsidRPr="00D868AB" w:rsidRDefault="00D868AB" w:rsidP="00D868AB">
            <w:pPr>
              <w:rPr>
                <w:rFonts w:cs="Arial"/>
                <w:sz w:val="16"/>
                <w:szCs w:val="16"/>
                <w:lang w:val="es-ES"/>
              </w:rPr>
            </w:pPr>
            <w:r w:rsidRPr="00D868AB">
              <w:rPr>
                <w:rFonts w:cs="Arial"/>
                <w:sz w:val="16"/>
                <w:szCs w:val="16"/>
                <w:lang w:val="es-ES"/>
              </w:rPr>
              <w:t>3.2.5 Hidroagrícola.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BAB081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21,975,201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630AC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A1C17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21,975,201 </w:t>
            </w:r>
          </w:p>
        </w:tc>
      </w:tr>
      <w:tr w:rsidR="00D868AB" w:rsidRPr="00D868AB" w14:paraId="4FBEE12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D6954C" w14:textId="77777777" w:rsidR="00D868AB" w:rsidRPr="00D868AB" w:rsidRDefault="00D868AB" w:rsidP="00D868AB">
            <w:pPr>
              <w:rPr>
                <w:rFonts w:cs="Arial"/>
                <w:sz w:val="16"/>
                <w:szCs w:val="16"/>
                <w:lang w:val="es-ES"/>
              </w:rPr>
            </w:pPr>
            <w:r w:rsidRPr="00D868AB">
              <w:rPr>
                <w:rFonts w:cs="Arial"/>
                <w:sz w:val="16"/>
                <w:szCs w:val="16"/>
                <w:lang w:val="es-ES"/>
              </w:rPr>
              <w:t>3.2.6 Apoyo Financiero a la Banca y Seguro Agropecuario.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2A7A5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A3836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F55B5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7269CC7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D0F50D" w14:textId="77777777" w:rsidR="00D868AB" w:rsidRPr="00D868AB" w:rsidRDefault="00D868AB" w:rsidP="00D868AB">
            <w:pPr>
              <w:rPr>
                <w:rFonts w:cs="Arial"/>
                <w:b/>
                <w:sz w:val="16"/>
                <w:szCs w:val="16"/>
                <w:lang w:val="es-ES"/>
              </w:rPr>
            </w:pPr>
            <w:r w:rsidRPr="00D868AB">
              <w:rPr>
                <w:rFonts w:cs="Arial"/>
                <w:b/>
                <w:sz w:val="16"/>
                <w:szCs w:val="16"/>
                <w:lang w:val="es-ES"/>
              </w:rPr>
              <w:t>3.3.  COMBUSTIBLES Y ENERGÍA.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355EA09"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002DD8"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BEB7163"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r>
      <w:tr w:rsidR="00D868AB" w:rsidRPr="00D868AB" w14:paraId="26E28DD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5D87B" w14:textId="77777777" w:rsidR="00D868AB" w:rsidRPr="00D868AB" w:rsidRDefault="00D868AB" w:rsidP="00D868AB">
            <w:pPr>
              <w:rPr>
                <w:rFonts w:cs="Arial"/>
                <w:sz w:val="16"/>
                <w:szCs w:val="16"/>
                <w:lang w:val="es-ES"/>
              </w:rPr>
            </w:pPr>
            <w:r w:rsidRPr="00D868AB">
              <w:rPr>
                <w:rFonts w:cs="Arial"/>
                <w:sz w:val="16"/>
                <w:szCs w:val="16"/>
                <w:lang w:val="es-ES"/>
              </w:rPr>
              <w:t>3.3.1 Carbón y Otros Combustibles Minerales Sólidos.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9DECC3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4D122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EBF2B0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6C4F12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68A3A8" w14:textId="77777777" w:rsidR="00D868AB" w:rsidRPr="00D868AB" w:rsidRDefault="00D868AB" w:rsidP="00D868AB">
            <w:pPr>
              <w:rPr>
                <w:rFonts w:cs="Arial"/>
                <w:sz w:val="16"/>
                <w:szCs w:val="16"/>
                <w:lang w:val="es-ES"/>
              </w:rPr>
            </w:pPr>
            <w:r w:rsidRPr="00D868AB">
              <w:rPr>
                <w:rFonts w:cs="Arial"/>
                <w:sz w:val="16"/>
                <w:szCs w:val="16"/>
                <w:lang w:val="es-ES"/>
              </w:rPr>
              <w:t>3.3.2 Petróleo y Gas Natural (Hidrocarburos).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55B5E7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43CD6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2CB26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68A6070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48058" w14:textId="77777777" w:rsidR="00D868AB" w:rsidRPr="00D868AB" w:rsidRDefault="00D868AB" w:rsidP="00D868AB">
            <w:pPr>
              <w:rPr>
                <w:rFonts w:cs="Arial"/>
                <w:sz w:val="16"/>
                <w:szCs w:val="16"/>
                <w:lang w:val="es-ES"/>
              </w:rPr>
            </w:pPr>
            <w:r w:rsidRPr="00D868AB">
              <w:rPr>
                <w:rFonts w:cs="Arial"/>
                <w:sz w:val="16"/>
                <w:szCs w:val="16"/>
                <w:lang w:val="es-ES"/>
              </w:rPr>
              <w:t>3.3.3 Combustibles Nucleares.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69C90A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65301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7F3378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013BCA4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68F209" w14:textId="77777777" w:rsidR="00D868AB" w:rsidRPr="00D868AB" w:rsidRDefault="00D868AB" w:rsidP="00D868AB">
            <w:pPr>
              <w:rPr>
                <w:rFonts w:cs="Arial"/>
                <w:sz w:val="16"/>
                <w:szCs w:val="16"/>
                <w:lang w:val="es-ES"/>
              </w:rPr>
            </w:pPr>
            <w:r w:rsidRPr="00D868AB">
              <w:rPr>
                <w:rFonts w:cs="Arial"/>
                <w:sz w:val="16"/>
                <w:szCs w:val="16"/>
                <w:lang w:val="es-ES"/>
              </w:rPr>
              <w:t>3.3.4 Otros Combustibles.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91A103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ED231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F67EEA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2AB400F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BA316" w14:textId="77777777" w:rsidR="00D868AB" w:rsidRPr="00D868AB" w:rsidRDefault="00D868AB" w:rsidP="00D868AB">
            <w:pPr>
              <w:rPr>
                <w:rFonts w:cs="Arial"/>
                <w:sz w:val="16"/>
                <w:szCs w:val="16"/>
                <w:lang w:val="es-ES"/>
              </w:rPr>
            </w:pPr>
            <w:r w:rsidRPr="00D868AB">
              <w:rPr>
                <w:rFonts w:cs="Arial"/>
                <w:sz w:val="16"/>
                <w:szCs w:val="16"/>
                <w:lang w:val="es-ES"/>
              </w:rPr>
              <w:t>3.3.5 Electricidad.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83C840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4A190F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42B20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8995CCE"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608CD" w14:textId="77777777" w:rsidR="00D868AB" w:rsidRPr="00D868AB" w:rsidRDefault="00D868AB" w:rsidP="00D868AB">
            <w:pPr>
              <w:rPr>
                <w:rFonts w:cs="Arial"/>
                <w:sz w:val="16"/>
                <w:szCs w:val="16"/>
                <w:lang w:val="es-ES"/>
              </w:rPr>
            </w:pPr>
            <w:r w:rsidRPr="00D868AB">
              <w:rPr>
                <w:rFonts w:cs="Arial"/>
                <w:sz w:val="16"/>
                <w:szCs w:val="16"/>
                <w:lang w:val="es-ES"/>
              </w:rPr>
              <w:t>3.3.6 Energía no Eléctrica.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4DC911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B6F96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8B647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5AD2AB6A"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A1A2F" w14:textId="77777777" w:rsidR="00D868AB" w:rsidRPr="00D868AB" w:rsidRDefault="00D868AB" w:rsidP="00D868AB">
            <w:pPr>
              <w:rPr>
                <w:rFonts w:cs="Arial"/>
                <w:b/>
                <w:sz w:val="16"/>
                <w:szCs w:val="16"/>
                <w:lang w:val="es-ES"/>
              </w:rPr>
            </w:pPr>
            <w:r w:rsidRPr="00D868AB">
              <w:rPr>
                <w:rFonts w:cs="Arial"/>
                <w:b/>
                <w:sz w:val="16"/>
                <w:szCs w:val="16"/>
                <w:lang w:val="es-ES"/>
              </w:rPr>
              <w:t>3.4.  MINERÍA, MANUFACTURAS Y CONSTRUCCIÓN.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31B7BA1"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062A163"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D61AE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r>
      <w:tr w:rsidR="00D868AB" w:rsidRPr="00D868AB" w14:paraId="2DCB638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06F4BF" w14:textId="77777777" w:rsidR="00D868AB" w:rsidRPr="00D868AB" w:rsidRDefault="00D868AB" w:rsidP="00D868AB">
            <w:pPr>
              <w:rPr>
                <w:rFonts w:cs="Arial"/>
                <w:sz w:val="16"/>
                <w:szCs w:val="16"/>
                <w:lang w:val="es-ES"/>
              </w:rPr>
            </w:pPr>
            <w:r w:rsidRPr="00D868AB">
              <w:rPr>
                <w:rFonts w:cs="Arial"/>
                <w:sz w:val="16"/>
                <w:szCs w:val="16"/>
                <w:lang w:val="es-ES"/>
              </w:rPr>
              <w:t>3.4.1 Extracción de Recursos Minerales Excepto los Combustibles Minerales.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8E82B2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CCB3A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16411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1A03B91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B5DB8D" w14:textId="77777777" w:rsidR="00D868AB" w:rsidRPr="00D868AB" w:rsidRDefault="00D868AB" w:rsidP="00D868AB">
            <w:pPr>
              <w:rPr>
                <w:rFonts w:cs="Arial"/>
                <w:sz w:val="16"/>
                <w:szCs w:val="16"/>
                <w:lang w:val="es-ES"/>
              </w:rPr>
            </w:pPr>
            <w:r w:rsidRPr="00D868AB">
              <w:rPr>
                <w:rFonts w:cs="Arial"/>
                <w:sz w:val="16"/>
                <w:szCs w:val="16"/>
                <w:lang w:val="es-ES"/>
              </w:rPr>
              <w:t>3.4.2 Manufacturas.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1B4A23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EEFE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06D41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048BD05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E0AAC8" w14:textId="77777777" w:rsidR="00D868AB" w:rsidRPr="00D868AB" w:rsidRDefault="00D868AB" w:rsidP="00D868AB">
            <w:pPr>
              <w:rPr>
                <w:rFonts w:cs="Arial"/>
                <w:sz w:val="16"/>
                <w:szCs w:val="16"/>
                <w:lang w:val="es-ES"/>
              </w:rPr>
            </w:pPr>
            <w:r w:rsidRPr="00D868AB">
              <w:rPr>
                <w:rFonts w:cs="Arial"/>
                <w:sz w:val="16"/>
                <w:szCs w:val="16"/>
                <w:lang w:val="es-ES"/>
              </w:rPr>
              <w:t>3.4.3 Construcción.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504851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71787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26B21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6D0FDE3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3555F" w14:textId="77777777" w:rsidR="00D868AB" w:rsidRPr="00D868AB" w:rsidRDefault="00D868AB" w:rsidP="00D868AB">
            <w:pPr>
              <w:rPr>
                <w:rFonts w:cs="Arial"/>
                <w:b/>
                <w:sz w:val="16"/>
                <w:szCs w:val="16"/>
                <w:lang w:val="es-ES"/>
              </w:rPr>
            </w:pPr>
            <w:r w:rsidRPr="00D868AB">
              <w:rPr>
                <w:rFonts w:cs="Arial"/>
                <w:b/>
                <w:sz w:val="16"/>
                <w:szCs w:val="16"/>
                <w:lang w:val="es-ES"/>
              </w:rPr>
              <w:t>3.5. TRANSPORTE.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AAEDBDB"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3518D5"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067DAB"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r>
      <w:tr w:rsidR="00D868AB" w:rsidRPr="00D868AB" w14:paraId="6B1393D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CDB131" w14:textId="77777777" w:rsidR="00D868AB" w:rsidRPr="00D868AB" w:rsidRDefault="00D868AB" w:rsidP="00D868AB">
            <w:pPr>
              <w:rPr>
                <w:rFonts w:cs="Arial"/>
                <w:sz w:val="16"/>
                <w:szCs w:val="16"/>
                <w:lang w:val="es-ES"/>
              </w:rPr>
            </w:pPr>
            <w:r w:rsidRPr="00D868AB">
              <w:rPr>
                <w:rFonts w:cs="Arial"/>
                <w:sz w:val="16"/>
                <w:szCs w:val="16"/>
                <w:lang w:val="es-ES"/>
              </w:rPr>
              <w:t>3.5.1 Transporte por Carretera.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2134EF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9C9FD8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0EFD2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EAD325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B9FE8" w14:textId="77777777" w:rsidR="00D868AB" w:rsidRPr="00D868AB" w:rsidRDefault="00D868AB" w:rsidP="00D868AB">
            <w:pPr>
              <w:rPr>
                <w:rFonts w:cs="Arial"/>
                <w:sz w:val="16"/>
                <w:szCs w:val="16"/>
                <w:lang w:val="es-ES"/>
              </w:rPr>
            </w:pPr>
            <w:r w:rsidRPr="00D868AB">
              <w:rPr>
                <w:rFonts w:cs="Arial"/>
                <w:sz w:val="16"/>
                <w:szCs w:val="16"/>
                <w:lang w:val="es-ES"/>
              </w:rPr>
              <w:t>3.5.2 Transporte por Agua y Puertos.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D26A6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4923E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2F2FBA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7D967E1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163C4" w14:textId="77777777" w:rsidR="00D868AB" w:rsidRPr="00D868AB" w:rsidRDefault="00D868AB" w:rsidP="00D868AB">
            <w:pPr>
              <w:rPr>
                <w:rFonts w:cs="Arial"/>
                <w:sz w:val="16"/>
                <w:szCs w:val="16"/>
                <w:lang w:val="es-ES"/>
              </w:rPr>
            </w:pPr>
            <w:r w:rsidRPr="00D868AB">
              <w:rPr>
                <w:rFonts w:cs="Arial"/>
                <w:sz w:val="16"/>
                <w:szCs w:val="16"/>
                <w:lang w:val="es-ES"/>
              </w:rPr>
              <w:t>3.5.3 Transporte por Ferrocarril.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A0D221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4E23FB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6B374D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697F9D2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707A0C" w14:textId="77777777" w:rsidR="00D868AB" w:rsidRPr="00D868AB" w:rsidRDefault="00D868AB" w:rsidP="00D868AB">
            <w:pPr>
              <w:rPr>
                <w:rFonts w:cs="Arial"/>
                <w:sz w:val="16"/>
                <w:szCs w:val="16"/>
                <w:lang w:val="es-ES"/>
              </w:rPr>
            </w:pPr>
            <w:r w:rsidRPr="00D868AB">
              <w:rPr>
                <w:rFonts w:cs="Arial"/>
                <w:sz w:val="16"/>
                <w:szCs w:val="16"/>
                <w:lang w:val="es-ES"/>
              </w:rPr>
              <w:t>3.5.4 Transporte Aéreo.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306E6A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CBEC7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3B498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08A8D7C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BC98FD" w14:textId="77777777" w:rsidR="00D868AB" w:rsidRPr="00D868AB" w:rsidRDefault="00D868AB" w:rsidP="00D868AB">
            <w:pPr>
              <w:rPr>
                <w:rFonts w:cs="Arial"/>
                <w:sz w:val="16"/>
                <w:szCs w:val="16"/>
                <w:lang w:val="es-ES"/>
              </w:rPr>
            </w:pPr>
            <w:r w:rsidRPr="00D868AB">
              <w:rPr>
                <w:rFonts w:cs="Arial"/>
                <w:sz w:val="16"/>
                <w:szCs w:val="16"/>
                <w:lang w:val="es-ES"/>
              </w:rPr>
              <w:t>3.5.5 Transporte por Oleoductos y Gasoductos y Otros Sistemas de Transporte.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146081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B2111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846369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211834D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6BE655" w14:textId="77777777" w:rsidR="00D868AB" w:rsidRPr="00D868AB" w:rsidRDefault="00D868AB" w:rsidP="00D868AB">
            <w:pPr>
              <w:rPr>
                <w:rFonts w:cs="Arial"/>
                <w:sz w:val="16"/>
                <w:szCs w:val="16"/>
                <w:lang w:val="es-ES"/>
              </w:rPr>
            </w:pPr>
            <w:r w:rsidRPr="00D868AB">
              <w:rPr>
                <w:rFonts w:cs="Arial"/>
                <w:sz w:val="16"/>
                <w:szCs w:val="16"/>
                <w:lang w:val="es-ES"/>
              </w:rPr>
              <w:t>3.5.6 Otros Relacionados con Transporte.</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670255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54777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E78887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86C4A8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F0BDF" w14:textId="77777777" w:rsidR="00D868AB" w:rsidRPr="00D868AB" w:rsidRDefault="00D868AB" w:rsidP="00D868AB">
            <w:pPr>
              <w:rPr>
                <w:rFonts w:cs="Arial"/>
                <w:b/>
                <w:sz w:val="16"/>
                <w:szCs w:val="16"/>
                <w:lang w:val="es-ES"/>
              </w:rPr>
            </w:pPr>
            <w:r w:rsidRPr="00D868AB">
              <w:rPr>
                <w:rFonts w:cs="Arial"/>
                <w:b/>
                <w:sz w:val="16"/>
                <w:szCs w:val="16"/>
                <w:lang w:val="es-ES"/>
              </w:rPr>
              <w:t>3.6.  COMUNICACIONES.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E672A9A"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12,095,356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DA1F73"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8F55FE3"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12,095,356 </w:t>
            </w:r>
          </w:p>
        </w:tc>
      </w:tr>
      <w:tr w:rsidR="00D868AB" w:rsidRPr="00D868AB" w14:paraId="28BBDEA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73E653" w14:textId="77777777" w:rsidR="00D868AB" w:rsidRPr="00D868AB" w:rsidRDefault="00D868AB" w:rsidP="00D868AB">
            <w:pPr>
              <w:rPr>
                <w:rFonts w:cs="Arial"/>
                <w:sz w:val="16"/>
                <w:szCs w:val="16"/>
                <w:lang w:val="es-ES"/>
              </w:rPr>
            </w:pPr>
            <w:r w:rsidRPr="00D868AB">
              <w:rPr>
                <w:rFonts w:cs="Arial"/>
                <w:sz w:val="16"/>
                <w:szCs w:val="16"/>
                <w:lang w:val="es-ES"/>
              </w:rPr>
              <w:t>3.6.1 Comunicaciones.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257CA5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12,095,356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CFAD47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DB6613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12,095,356 </w:t>
            </w:r>
          </w:p>
        </w:tc>
      </w:tr>
      <w:tr w:rsidR="00D868AB" w:rsidRPr="00D868AB" w14:paraId="5CCD6BD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9B9E8" w14:textId="77777777" w:rsidR="00D868AB" w:rsidRPr="00D868AB" w:rsidRDefault="00D868AB" w:rsidP="00D868AB">
            <w:pPr>
              <w:rPr>
                <w:rFonts w:cs="Arial"/>
                <w:b/>
                <w:sz w:val="16"/>
                <w:szCs w:val="16"/>
                <w:lang w:val="es-ES"/>
              </w:rPr>
            </w:pPr>
            <w:r w:rsidRPr="00D868AB">
              <w:rPr>
                <w:rFonts w:cs="Arial"/>
                <w:b/>
                <w:sz w:val="16"/>
                <w:szCs w:val="16"/>
                <w:lang w:val="es-ES"/>
              </w:rPr>
              <w:t>3.7.  TURISMO.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F3DE22E"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32,755,895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AE3F1"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6A75751"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32,755,895 </w:t>
            </w:r>
          </w:p>
        </w:tc>
      </w:tr>
      <w:tr w:rsidR="00D868AB" w:rsidRPr="00D868AB" w14:paraId="50DDC04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AEA711" w14:textId="77777777" w:rsidR="00D868AB" w:rsidRPr="00D868AB" w:rsidRDefault="00D868AB" w:rsidP="00D868AB">
            <w:pPr>
              <w:rPr>
                <w:rFonts w:cs="Arial"/>
                <w:sz w:val="16"/>
                <w:szCs w:val="16"/>
                <w:lang w:val="es-ES"/>
              </w:rPr>
            </w:pPr>
            <w:r w:rsidRPr="00D868AB">
              <w:rPr>
                <w:rFonts w:cs="Arial"/>
                <w:sz w:val="16"/>
                <w:szCs w:val="16"/>
                <w:lang w:val="es-ES"/>
              </w:rPr>
              <w:t>3.7.1 Turismo.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A4C051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32,755,895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6C8CB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5E1879"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32,755,895 </w:t>
            </w:r>
          </w:p>
        </w:tc>
      </w:tr>
      <w:tr w:rsidR="00D868AB" w:rsidRPr="00D868AB" w14:paraId="4602DE3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27752F" w14:textId="77777777" w:rsidR="00D868AB" w:rsidRPr="00D868AB" w:rsidRDefault="00D868AB" w:rsidP="00D868AB">
            <w:pPr>
              <w:rPr>
                <w:rFonts w:cs="Arial"/>
                <w:sz w:val="16"/>
                <w:szCs w:val="16"/>
                <w:lang w:val="es-ES"/>
              </w:rPr>
            </w:pPr>
            <w:r w:rsidRPr="00D868AB">
              <w:rPr>
                <w:rFonts w:cs="Arial"/>
                <w:sz w:val="16"/>
                <w:szCs w:val="16"/>
                <w:lang w:val="es-ES"/>
              </w:rPr>
              <w:t>3.7.2 Hoteles y Restaurantes.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2C767C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6E5707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17AAD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0F250760"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4B0F5" w14:textId="77777777" w:rsidR="00D868AB" w:rsidRPr="00D868AB" w:rsidRDefault="00D868AB" w:rsidP="00D868AB">
            <w:pPr>
              <w:rPr>
                <w:rFonts w:cs="Arial"/>
                <w:b/>
                <w:sz w:val="16"/>
                <w:szCs w:val="16"/>
                <w:lang w:val="es-ES"/>
              </w:rPr>
            </w:pPr>
            <w:r w:rsidRPr="00D868AB">
              <w:rPr>
                <w:rFonts w:cs="Arial"/>
                <w:b/>
                <w:sz w:val="16"/>
                <w:szCs w:val="16"/>
                <w:lang w:val="es-ES"/>
              </w:rPr>
              <w:t>3.8.  CIENCIA, TECNOLOGÍA E INNOVACIÓN.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FD5AF4C"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18,324,529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B2E008"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4982A0"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18,324,529 </w:t>
            </w:r>
          </w:p>
        </w:tc>
      </w:tr>
      <w:tr w:rsidR="00D868AB" w:rsidRPr="00D868AB" w14:paraId="6AA646E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9899C9" w14:textId="77777777" w:rsidR="00D868AB" w:rsidRPr="00D868AB" w:rsidRDefault="00D868AB" w:rsidP="00D868AB">
            <w:pPr>
              <w:rPr>
                <w:rFonts w:cs="Arial"/>
                <w:sz w:val="16"/>
                <w:szCs w:val="16"/>
                <w:lang w:val="es-ES"/>
              </w:rPr>
            </w:pPr>
            <w:r w:rsidRPr="00D868AB">
              <w:rPr>
                <w:rFonts w:cs="Arial"/>
                <w:sz w:val="16"/>
                <w:szCs w:val="16"/>
                <w:lang w:val="es-ES"/>
              </w:rPr>
              <w:t>3.8.1 Investigación Científica.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B50786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928E79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1490DE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19B4D0A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B07C8" w14:textId="77777777" w:rsidR="00D868AB" w:rsidRPr="00D868AB" w:rsidRDefault="00D868AB" w:rsidP="00D868AB">
            <w:pPr>
              <w:rPr>
                <w:rFonts w:cs="Arial"/>
                <w:sz w:val="16"/>
                <w:szCs w:val="16"/>
                <w:lang w:val="es-ES"/>
              </w:rPr>
            </w:pPr>
            <w:r w:rsidRPr="00D868AB">
              <w:rPr>
                <w:rFonts w:cs="Arial"/>
                <w:sz w:val="16"/>
                <w:szCs w:val="16"/>
                <w:lang w:val="es-ES"/>
              </w:rPr>
              <w:t>3.8.2 Desarrollo Tecnológico.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6625E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17,687,913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DC8C2C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E4CDB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17,687,913 </w:t>
            </w:r>
          </w:p>
        </w:tc>
      </w:tr>
      <w:tr w:rsidR="00D868AB" w:rsidRPr="00D868AB" w14:paraId="1633AB4F"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48096" w14:textId="77777777" w:rsidR="00D868AB" w:rsidRPr="00D868AB" w:rsidRDefault="00D868AB" w:rsidP="00D868AB">
            <w:pPr>
              <w:rPr>
                <w:rFonts w:cs="Arial"/>
                <w:sz w:val="16"/>
                <w:szCs w:val="16"/>
                <w:lang w:val="es-ES"/>
              </w:rPr>
            </w:pPr>
            <w:r w:rsidRPr="00D868AB">
              <w:rPr>
                <w:rFonts w:cs="Arial"/>
                <w:sz w:val="16"/>
                <w:szCs w:val="16"/>
                <w:lang w:val="es-ES"/>
              </w:rPr>
              <w:t>3.8.3 Servicios Científicos y Tecnológicos.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B5DB0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E9F670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40D4E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0F65E9E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3FBAEF" w14:textId="77777777" w:rsidR="00D868AB" w:rsidRPr="00D868AB" w:rsidRDefault="00D868AB" w:rsidP="00D868AB">
            <w:pPr>
              <w:rPr>
                <w:rFonts w:cs="Arial"/>
                <w:sz w:val="16"/>
                <w:szCs w:val="16"/>
                <w:lang w:val="es-ES"/>
              </w:rPr>
            </w:pPr>
            <w:r w:rsidRPr="00D868AB">
              <w:rPr>
                <w:rFonts w:cs="Arial"/>
                <w:sz w:val="16"/>
                <w:szCs w:val="16"/>
                <w:lang w:val="es-ES"/>
              </w:rPr>
              <w:t>3.8.4 Innovación.</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2F3365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636,616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779A24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53F18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636,616 </w:t>
            </w:r>
          </w:p>
        </w:tc>
      </w:tr>
      <w:tr w:rsidR="00D868AB" w:rsidRPr="00D868AB" w14:paraId="72D1F45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CA907E" w14:textId="77777777" w:rsidR="00D868AB" w:rsidRPr="00D868AB" w:rsidRDefault="00D868AB" w:rsidP="00D868AB">
            <w:pPr>
              <w:rPr>
                <w:rFonts w:cs="Arial"/>
                <w:b/>
                <w:sz w:val="16"/>
                <w:szCs w:val="16"/>
                <w:lang w:val="es-ES"/>
              </w:rPr>
            </w:pPr>
            <w:r w:rsidRPr="00D868AB">
              <w:rPr>
                <w:rFonts w:cs="Arial"/>
                <w:b/>
                <w:sz w:val="16"/>
                <w:szCs w:val="16"/>
                <w:lang w:val="es-ES"/>
              </w:rPr>
              <w:lastRenderedPageBreak/>
              <w:t>3.9.  OTRAS INDUSTRIAS Y OTROS ASUNTOS ECONÓMICOS.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D160240"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838,018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6107DF"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77DFCF"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838,018 </w:t>
            </w:r>
          </w:p>
        </w:tc>
      </w:tr>
      <w:tr w:rsidR="00D868AB" w:rsidRPr="00D868AB" w14:paraId="6ECC5FE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96CBBF" w14:textId="77777777" w:rsidR="00D868AB" w:rsidRPr="00D868AB" w:rsidRDefault="00D868AB" w:rsidP="00D868AB">
            <w:pPr>
              <w:rPr>
                <w:rFonts w:cs="Arial"/>
                <w:sz w:val="16"/>
                <w:szCs w:val="16"/>
                <w:lang w:val="es-ES"/>
              </w:rPr>
            </w:pPr>
            <w:r w:rsidRPr="00D868AB">
              <w:rPr>
                <w:rFonts w:cs="Arial"/>
                <w:sz w:val="16"/>
                <w:szCs w:val="16"/>
                <w:lang w:val="es-ES"/>
              </w:rPr>
              <w:t>3.9.1 Comercio, Distribución, Almacenamiento y Depósito.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313563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EA71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3BCD88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7A57F32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871F98" w14:textId="77777777" w:rsidR="00D868AB" w:rsidRPr="00D868AB" w:rsidRDefault="00D868AB" w:rsidP="00D868AB">
            <w:pPr>
              <w:rPr>
                <w:rFonts w:cs="Arial"/>
                <w:sz w:val="16"/>
                <w:szCs w:val="16"/>
                <w:lang w:val="es-ES"/>
              </w:rPr>
            </w:pPr>
            <w:r w:rsidRPr="00D868AB">
              <w:rPr>
                <w:rFonts w:cs="Arial"/>
                <w:sz w:val="16"/>
                <w:szCs w:val="16"/>
                <w:lang w:val="es-ES"/>
              </w:rPr>
              <w:t>3.9.2 Otras Industrias.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7D3D09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838,018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3F586C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3F241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838,018 </w:t>
            </w:r>
          </w:p>
        </w:tc>
      </w:tr>
      <w:tr w:rsidR="00D868AB" w:rsidRPr="00D868AB" w14:paraId="21E3C6A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18CC02" w14:textId="77777777" w:rsidR="00D868AB" w:rsidRPr="00D868AB" w:rsidRDefault="00D868AB" w:rsidP="00D868AB">
            <w:pPr>
              <w:rPr>
                <w:rFonts w:cs="Arial"/>
                <w:sz w:val="16"/>
                <w:szCs w:val="16"/>
                <w:lang w:val="es-ES"/>
              </w:rPr>
            </w:pPr>
            <w:r w:rsidRPr="00D868AB">
              <w:rPr>
                <w:rFonts w:cs="Arial"/>
                <w:sz w:val="16"/>
                <w:szCs w:val="16"/>
                <w:lang w:val="es-ES"/>
              </w:rPr>
              <w:t>3.9.3 Otros Asuntos Económicos.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157274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8B356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8D4D8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156B1B28"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47C3C3" w14:textId="77777777" w:rsidR="00D868AB" w:rsidRPr="00D868AB" w:rsidRDefault="00D868AB" w:rsidP="00D868AB">
            <w:pPr>
              <w:rPr>
                <w:rFonts w:cs="Arial"/>
                <w:b/>
                <w:sz w:val="16"/>
                <w:szCs w:val="16"/>
                <w:lang w:val="es-ES"/>
              </w:rPr>
            </w:pPr>
            <w:r w:rsidRPr="00D868AB">
              <w:rPr>
                <w:rFonts w:cs="Arial"/>
                <w:b/>
                <w:sz w:val="16"/>
                <w:szCs w:val="16"/>
                <w:lang w:val="es-ES"/>
              </w:rPr>
              <w:t>4. OTRAS NO CLASIFICADAS EN FUNCIONES ANTERIORES.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E2DEF4C"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346,932,234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342202E"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3,840,344,610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AD9825E"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4,187,276,844 </w:t>
            </w:r>
          </w:p>
        </w:tc>
      </w:tr>
      <w:tr w:rsidR="00D868AB" w:rsidRPr="00D868AB" w14:paraId="2C45E0C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FD7A30" w14:textId="77777777" w:rsidR="00D868AB" w:rsidRPr="00D868AB" w:rsidRDefault="00D868AB" w:rsidP="00D868AB">
            <w:pPr>
              <w:rPr>
                <w:rFonts w:cs="Arial"/>
                <w:b/>
                <w:sz w:val="16"/>
                <w:szCs w:val="16"/>
                <w:lang w:val="es-ES"/>
              </w:rPr>
            </w:pPr>
            <w:r w:rsidRPr="00D868AB">
              <w:rPr>
                <w:rFonts w:cs="Arial"/>
                <w:b/>
                <w:sz w:val="16"/>
                <w:szCs w:val="16"/>
                <w:lang w:val="es-ES"/>
              </w:rPr>
              <w:t>4.1. TRANSACCIONES DE LA DEUDA PÚBLICA / COSTO FINANCIERO DE LA DEUDA.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45672B"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346,932,234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93AD64"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385,359,206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6FCE31"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732,291,440 </w:t>
            </w:r>
          </w:p>
        </w:tc>
      </w:tr>
      <w:tr w:rsidR="00D868AB" w:rsidRPr="00D868AB" w14:paraId="55F3D36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C1360" w14:textId="77777777" w:rsidR="00D868AB" w:rsidRPr="00D868AB" w:rsidRDefault="00D868AB" w:rsidP="00D868AB">
            <w:pPr>
              <w:rPr>
                <w:rFonts w:cs="Arial"/>
                <w:sz w:val="16"/>
                <w:szCs w:val="16"/>
                <w:lang w:val="es-ES"/>
              </w:rPr>
            </w:pPr>
            <w:r w:rsidRPr="00D868AB">
              <w:rPr>
                <w:rFonts w:cs="Arial"/>
                <w:sz w:val="16"/>
                <w:szCs w:val="16"/>
                <w:lang w:val="es-ES"/>
              </w:rPr>
              <w:t>4.1.1 Deuda Pública Interna.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30FF36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346,932,234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F8E89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385,359,206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FEE71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732,291,440 </w:t>
            </w:r>
          </w:p>
        </w:tc>
      </w:tr>
      <w:tr w:rsidR="00D868AB" w:rsidRPr="00D868AB" w14:paraId="4AE3B287"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1771A" w14:textId="77777777" w:rsidR="00D868AB" w:rsidRPr="00D868AB" w:rsidRDefault="00D868AB" w:rsidP="00D868AB">
            <w:pPr>
              <w:rPr>
                <w:rFonts w:cs="Arial"/>
                <w:sz w:val="16"/>
                <w:szCs w:val="16"/>
                <w:lang w:val="es-ES"/>
              </w:rPr>
            </w:pPr>
            <w:r w:rsidRPr="00D868AB">
              <w:rPr>
                <w:rFonts w:cs="Arial"/>
                <w:sz w:val="16"/>
                <w:szCs w:val="16"/>
                <w:lang w:val="es-ES"/>
              </w:rPr>
              <w:t>4.1.2 Deuda Pública Externa.</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142D6C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C36117D"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149E504"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50A1CAA9"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44CA59" w14:textId="77777777" w:rsidR="00D868AB" w:rsidRPr="00D868AB" w:rsidRDefault="00D868AB" w:rsidP="00D868AB">
            <w:pPr>
              <w:rPr>
                <w:rFonts w:cs="Arial"/>
                <w:b/>
                <w:sz w:val="16"/>
                <w:szCs w:val="16"/>
                <w:lang w:val="es-ES"/>
              </w:rPr>
            </w:pPr>
            <w:r w:rsidRPr="00D868AB">
              <w:rPr>
                <w:rFonts w:cs="Arial"/>
                <w:b/>
                <w:sz w:val="16"/>
                <w:szCs w:val="16"/>
                <w:lang w:val="es-ES"/>
              </w:rPr>
              <w:t>4.2.  TRANSFERENCIAS, PARTICIPACIONES Y APORTACIONES ENTRE DIFERENTES NIVELES Y ÓRDENES DE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61381FD"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6E8F98"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3,297,624,261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877509"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3,297,624,261 </w:t>
            </w:r>
          </w:p>
        </w:tc>
      </w:tr>
      <w:tr w:rsidR="00D868AB" w:rsidRPr="00D868AB" w14:paraId="6A98EDC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8A0EA" w14:textId="77777777" w:rsidR="00D868AB" w:rsidRPr="00D868AB" w:rsidRDefault="00D868AB" w:rsidP="00D868AB">
            <w:pPr>
              <w:rPr>
                <w:rFonts w:cs="Arial"/>
                <w:sz w:val="16"/>
                <w:szCs w:val="16"/>
                <w:lang w:val="es-ES"/>
              </w:rPr>
            </w:pPr>
            <w:r w:rsidRPr="00D868AB">
              <w:rPr>
                <w:rFonts w:cs="Arial"/>
                <w:sz w:val="16"/>
                <w:szCs w:val="16"/>
                <w:lang w:val="es-ES"/>
              </w:rPr>
              <w:t>4.2.1 Transferencias entre Diferentes Niveles y Órdenes de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C7223F3"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D9ED2E"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2,418,853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6CD7A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2,418,853 </w:t>
            </w:r>
          </w:p>
        </w:tc>
      </w:tr>
      <w:tr w:rsidR="00D868AB" w:rsidRPr="00D868AB" w14:paraId="7188543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64D7A" w14:textId="77777777" w:rsidR="00D868AB" w:rsidRPr="00D868AB" w:rsidRDefault="00D868AB" w:rsidP="00D868AB">
            <w:pPr>
              <w:rPr>
                <w:rFonts w:cs="Arial"/>
                <w:sz w:val="16"/>
                <w:szCs w:val="16"/>
                <w:lang w:val="es-ES"/>
              </w:rPr>
            </w:pPr>
            <w:r w:rsidRPr="00D868AB">
              <w:rPr>
                <w:rFonts w:cs="Arial"/>
                <w:sz w:val="16"/>
                <w:szCs w:val="16"/>
                <w:lang w:val="es-ES"/>
              </w:rPr>
              <w:t>4.2.2 Participaciones entre Diferentes Niveles y Órdenes de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936F50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62A76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2,046,030,149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BC9AB8"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2,046,030,149 </w:t>
            </w:r>
          </w:p>
        </w:tc>
      </w:tr>
      <w:tr w:rsidR="00D868AB" w:rsidRPr="00D868AB" w14:paraId="56C22A85"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12C35B" w14:textId="77777777" w:rsidR="00D868AB" w:rsidRPr="00D868AB" w:rsidRDefault="00D868AB" w:rsidP="00D868AB">
            <w:pPr>
              <w:rPr>
                <w:rFonts w:cs="Arial"/>
                <w:sz w:val="16"/>
                <w:szCs w:val="16"/>
                <w:lang w:val="es-ES"/>
              </w:rPr>
            </w:pPr>
            <w:r w:rsidRPr="00D868AB">
              <w:rPr>
                <w:rFonts w:cs="Arial"/>
                <w:sz w:val="16"/>
                <w:szCs w:val="16"/>
                <w:lang w:val="es-ES"/>
              </w:rPr>
              <w:t>4.2.3 Aportaciones entre Diferentes Niveles y Órdenes de Gobierno.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8DD2EBB"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56B06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1,249,175,259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B910B2"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1,249,175,259 </w:t>
            </w:r>
          </w:p>
        </w:tc>
      </w:tr>
      <w:tr w:rsidR="00D868AB" w:rsidRPr="00D868AB" w14:paraId="57E1B543"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E61073" w14:textId="77777777" w:rsidR="00D868AB" w:rsidRPr="00D868AB" w:rsidRDefault="00D868AB" w:rsidP="00D868AB">
            <w:pPr>
              <w:rPr>
                <w:rFonts w:cs="Arial"/>
                <w:b/>
                <w:sz w:val="16"/>
                <w:szCs w:val="16"/>
                <w:lang w:val="es-ES"/>
              </w:rPr>
            </w:pPr>
            <w:r w:rsidRPr="00D868AB">
              <w:rPr>
                <w:rFonts w:cs="Arial"/>
                <w:b/>
                <w:sz w:val="16"/>
                <w:szCs w:val="16"/>
                <w:lang w:val="es-ES"/>
              </w:rPr>
              <w:t>4.3.  SANEAMIENTO DEL SISTEMA FINANCIERO.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211F2CE"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9C9963"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B5288F"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r>
      <w:tr w:rsidR="00D868AB" w:rsidRPr="00D868AB" w14:paraId="75E52621"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3B7D7" w14:textId="77777777" w:rsidR="00D868AB" w:rsidRPr="00D868AB" w:rsidRDefault="00D868AB" w:rsidP="00D868AB">
            <w:pPr>
              <w:rPr>
                <w:rFonts w:cs="Arial"/>
                <w:sz w:val="16"/>
                <w:szCs w:val="16"/>
                <w:lang w:val="es-ES"/>
              </w:rPr>
            </w:pPr>
            <w:r w:rsidRPr="00D868AB">
              <w:rPr>
                <w:rFonts w:cs="Arial"/>
                <w:sz w:val="16"/>
                <w:szCs w:val="16"/>
                <w:lang w:val="es-ES"/>
              </w:rPr>
              <w:t>4.3.1 Saneamiento del Sistema Financiero.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8E0672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E332C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E1F67F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42FFE89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4BC4B" w14:textId="77777777" w:rsidR="00D868AB" w:rsidRPr="00D868AB" w:rsidRDefault="00D868AB" w:rsidP="00D868AB">
            <w:pPr>
              <w:rPr>
                <w:rFonts w:cs="Arial"/>
                <w:sz w:val="16"/>
                <w:szCs w:val="16"/>
                <w:lang w:val="es-ES"/>
              </w:rPr>
            </w:pPr>
            <w:r w:rsidRPr="00D868AB">
              <w:rPr>
                <w:rFonts w:cs="Arial"/>
                <w:sz w:val="16"/>
                <w:szCs w:val="16"/>
                <w:lang w:val="es-ES"/>
              </w:rPr>
              <w:t>4.3.2 Apoyos IPAB.</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E8704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D27FDFA"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4743C6"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7AA8985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8B6ECD" w14:textId="77777777" w:rsidR="00D868AB" w:rsidRPr="00D868AB" w:rsidRDefault="00D868AB" w:rsidP="00D868AB">
            <w:pPr>
              <w:rPr>
                <w:rFonts w:cs="Arial"/>
                <w:sz w:val="16"/>
                <w:szCs w:val="16"/>
                <w:lang w:val="es-ES"/>
              </w:rPr>
            </w:pPr>
            <w:r w:rsidRPr="00D868AB">
              <w:rPr>
                <w:rFonts w:cs="Arial"/>
                <w:sz w:val="16"/>
                <w:szCs w:val="16"/>
                <w:lang w:val="es-ES"/>
              </w:rPr>
              <w:t>4.3.3 Banca de Desarrollo.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7626AF4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51EF38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F729AC7"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193D82E4"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9F9FC" w14:textId="77777777" w:rsidR="00D868AB" w:rsidRPr="00D868AB" w:rsidRDefault="00D868AB" w:rsidP="00D868AB">
            <w:pPr>
              <w:rPr>
                <w:rFonts w:cs="Arial"/>
                <w:sz w:val="16"/>
                <w:szCs w:val="16"/>
                <w:lang w:val="es-ES"/>
              </w:rPr>
            </w:pPr>
            <w:r w:rsidRPr="00D868AB">
              <w:rPr>
                <w:rFonts w:cs="Arial"/>
                <w:sz w:val="16"/>
                <w:szCs w:val="16"/>
                <w:lang w:val="es-ES"/>
              </w:rPr>
              <w:t>4.3.4 Apoyo a los Programas de Reestructura en Unidades de Inversión (UDIS).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1B27F611"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17A285"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C2B8F0"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r>
      <w:tr w:rsidR="00D868AB" w:rsidRPr="00D868AB" w14:paraId="3A018D1C"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3250A" w14:textId="77777777" w:rsidR="00D868AB" w:rsidRPr="00D868AB" w:rsidRDefault="00D868AB" w:rsidP="00D868AB">
            <w:pPr>
              <w:rPr>
                <w:rFonts w:cs="Arial"/>
                <w:b/>
                <w:sz w:val="16"/>
                <w:szCs w:val="16"/>
                <w:lang w:val="es-ES"/>
              </w:rPr>
            </w:pPr>
            <w:r w:rsidRPr="00D868AB">
              <w:rPr>
                <w:rFonts w:cs="Arial"/>
                <w:b/>
                <w:sz w:val="16"/>
                <w:szCs w:val="16"/>
                <w:lang w:val="es-ES"/>
              </w:rPr>
              <w:t>4.4.  ADEUDOS DE EJERCICIOS FISCALES ANTERIORES.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A40E40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6788988"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157,361,143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40E798"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157,361,143 </w:t>
            </w:r>
          </w:p>
        </w:tc>
      </w:tr>
      <w:tr w:rsidR="00D868AB" w:rsidRPr="00D868AB" w14:paraId="2A6F4B96"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8F2B4F" w14:textId="77777777" w:rsidR="00D868AB" w:rsidRPr="00D868AB" w:rsidRDefault="00D868AB" w:rsidP="00D868AB">
            <w:pPr>
              <w:rPr>
                <w:rFonts w:cs="Arial"/>
                <w:sz w:val="16"/>
                <w:szCs w:val="16"/>
                <w:lang w:val="es-ES"/>
              </w:rPr>
            </w:pPr>
            <w:r w:rsidRPr="00D868AB">
              <w:rPr>
                <w:rFonts w:cs="Arial"/>
                <w:sz w:val="16"/>
                <w:szCs w:val="16"/>
                <w:lang w:val="es-ES"/>
              </w:rPr>
              <w:t>4.4.1 Adeudos de Ejercicios Fiscales Anteriores.</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77D621F"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0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2A12B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157,361,143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1D771C" w14:textId="77777777" w:rsidR="00D868AB" w:rsidRPr="00D868AB" w:rsidRDefault="00D868AB" w:rsidP="00D868AB">
            <w:pPr>
              <w:jc w:val="right"/>
              <w:rPr>
                <w:rFonts w:cs="Arial"/>
                <w:sz w:val="16"/>
                <w:szCs w:val="16"/>
                <w:lang w:val="es-ES"/>
              </w:rPr>
            </w:pPr>
            <w:r w:rsidRPr="00D868AB">
              <w:rPr>
                <w:rFonts w:cs="Arial"/>
                <w:color w:val="000000"/>
                <w:sz w:val="16"/>
                <w:szCs w:val="16"/>
              </w:rPr>
              <w:t xml:space="preserve">157,361,143 </w:t>
            </w:r>
          </w:p>
        </w:tc>
      </w:tr>
      <w:tr w:rsidR="00D868AB" w:rsidRPr="00D868AB" w14:paraId="1E905EED" w14:textId="77777777" w:rsidTr="00A755A7">
        <w:trPr>
          <w:trHeight w:val="20"/>
          <w:jc w:val="center"/>
        </w:trPr>
        <w:tc>
          <w:tcPr>
            <w:tcW w:w="39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B37643" w14:textId="77777777" w:rsidR="00D868AB" w:rsidRPr="00D868AB" w:rsidRDefault="00D868AB" w:rsidP="00D868AB">
            <w:pPr>
              <w:jc w:val="center"/>
              <w:rPr>
                <w:rFonts w:cs="Arial"/>
                <w:b/>
                <w:sz w:val="16"/>
                <w:szCs w:val="16"/>
                <w:lang w:val="es-ES"/>
              </w:rPr>
            </w:pPr>
            <w:r w:rsidRPr="00D868AB">
              <w:rPr>
                <w:rFonts w:cs="Arial"/>
                <w:b/>
                <w:sz w:val="16"/>
                <w:szCs w:val="16"/>
                <w:lang w:val="es-ES"/>
              </w:rPr>
              <w:t>Total</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1CCA7BB"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14,632,127,707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4B7E09"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5,923,172,293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22EF596" w14:textId="77777777" w:rsidR="00D868AB" w:rsidRPr="00D868AB" w:rsidRDefault="00D868AB" w:rsidP="00D868AB">
            <w:pPr>
              <w:jc w:val="right"/>
              <w:rPr>
                <w:rFonts w:cs="Arial"/>
                <w:b/>
                <w:sz w:val="16"/>
                <w:szCs w:val="16"/>
                <w:lang w:val="es-ES"/>
              </w:rPr>
            </w:pPr>
            <w:r w:rsidRPr="00D868AB">
              <w:rPr>
                <w:rFonts w:cs="Arial"/>
                <w:b/>
                <w:bCs/>
                <w:color w:val="000000"/>
                <w:sz w:val="16"/>
                <w:szCs w:val="16"/>
              </w:rPr>
              <w:t xml:space="preserve">20,555,300,000 </w:t>
            </w:r>
          </w:p>
        </w:tc>
      </w:tr>
    </w:tbl>
    <w:p w14:paraId="23965F00" w14:textId="77777777" w:rsidR="00D868AB" w:rsidRPr="00D868AB" w:rsidRDefault="00D868AB" w:rsidP="00D868AB">
      <w:pPr>
        <w:rPr>
          <w:rFonts w:cs="Arial"/>
          <w:b/>
          <w:lang w:val="es-ES"/>
        </w:rPr>
      </w:pPr>
    </w:p>
    <w:p w14:paraId="5AC73F9E" w14:textId="77777777" w:rsidR="00D868AB" w:rsidRPr="00D868AB" w:rsidRDefault="00D868AB" w:rsidP="00D868AB">
      <w:pPr>
        <w:rPr>
          <w:rFonts w:cs="Arial"/>
          <w:b/>
          <w:lang w:val="es-ES"/>
        </w:rPr>
      </w:pPr>
    </w:p>
    <w:p w14:paraId="28E06837" w14:textId="77777777" w:rsidR="00D868AB" w:rsidRPr="00D868AB" w:rsidRDefault="00D868AB" w:rsidP="00D868AB">
      <w:pPr>
        <w:tabs>
          <w:tab w:val="left" w:pos="7951"/>
        </w:tabs>
        <w:rPr>
          <w:rFonts w:cs="Arial"/>
          <w:lang w:val="es-ES"/>
        </w:rPr>
      </w:pPr>
      <w:r w:rsidRPr="00D868AB">
        <w:rPr>
          <w:rFonts w:cs="Arial"/>
          <w:lang w:val="es-ES"/>
        </w:rPr>
        <w:t xml:space="preserve">IV. La </w:t>
      </w:r>
      <w:r w:rsidRPr="00D868AB">
        <w:rPr>
          <w:rFonts w:cs="Arial"/>
          <w:b/>
          <w:lang w:val="es-ES"/>
        </w:rPr>
        <w:t>Clasificación por Fuentes de Financiamiento</w:t>
      </w:r>
      <w:r w:rsidRPr="00D868AB">
        <w:rPr>
          <w:rFonts w:cs="Arial"/>
          <w:lang w:val="es-ES"/>
        </w:rPr>
        <w:t>, es la siguiente:</w:t>
      </w:r>
      <w:r w:rsidRPr="00D868AB">
        <w:rPr>
          <w:rFonts w:cs="Arial"/>
          <w:lang w:val="es-ES"/>
        </w:rPr>
        <w:tab/>
      </w:r>
    </w:p>
    <w:p w14:paraId="440ADB53" w14:textId="77777777" w:rsidR="00D868AB" w:rsidRPr="00D868AB" w:rsidRDefault="00D868AB" w:rsidP="00D868AB">
      <w:pPr>
        <w:keepNext/>
        <w:keepLines/>
        <w:jc w:val="center"/>
        <w:outlineLvl w:val="1"/>
        <w:rPr>
          <w:rFonts w:eastAsia="Times New Roman" w:cs="Arial"/>
          <w:b/>
          <w:lang w:val="es-ES"/>
        </w:rPr>
      </w:pPr>
    </w:p>
    <w:p w14:paraId="6F8CD4B8" w14:textId="77777777" w:rsidR="00D868AB" w:rsidRPr="00D868AB" w:rsidRDefault="00D868AB" w:rsidP="00D868AB">
      <w:pPr>
        <w:keepNext/>
        <w:keepLines/>
        <w:jc w:val="center"/>
        <w:outlineLvl w:val="1"/>
        <w:rPr>
          <w:rFonts w:eastAsia="Times New Roman" w:cs="Arial"/>
          <w:b/>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688"/>
        <w:gridCol w:w="1424"/>
        <w:gridCol w:w="1276"/>
        <w:gridCol w:w="1417"/>
      </w:tblGrid>
      <w:tr w:rsidR="00D868AB" w:rsidRPr="00D868AB" w14:paraId="3572DE9D" w14:textId="77777777" w:rsidTr="00A755A7">
        <w:trPr>
          <w:trHeight w:val="227"/>
          <w:tblHeader/>
          <w:jc w:val="center"/>
        </w:trPr>
        <w:tc>
          <w:tcPr>
            <w:tcW w:w="7371" w:type="dxa"/>
            <w:gridSpan w:val="5"/>
            <w:tcBorders>
              <w:top w:val="nil"/>
              <w:left w:val="nil"/>
              <w:bottom w:val="single" w:sz="4" w:space="0" w:color="auto"/>
              <w:right w:val="nil"/>
            </w:tcBorders>
            <w:shd w:val="clear" w:color="auto" w:fill="auto"/>
            <w:vAlign w:val="center"/>
          </w:tcPr>
          <w:p w14:paraId="08C98152" w14:textId="77777777" w:rsidR="00D868AB" w:rsidRPr="00D868AB" w:rsidRDefault="00D868AB" w:rsidP="00D868AB">
            <w:pPr>
              <w:jc w:val="center"/>
              <w:rPr>
                <w:rFonts w:cs="Arial"/>
                <w:b/>
                <w:bCs/>
                <w:sz w:val="20"/>
                <w:szCs w:val="16"/>
                <w:lang w:val="es-ES"/>
              </w:rPr>
            </w:pPr>
            <w:bookmarkStart w:id="322" w:name="_Toc22022026"/>
            <w:bookmarkStart w:id="323" w:name="_Toc22983260"/>
            <w:r w:rsidRPr="00D868AB">
              <w:rPr>
                <w:rFonts w:eastAsia="Times New Roman" w:cs="Arial"/>
                <w:b/>
                <w:sz w:val="20"/>
                <w:szCs w:val="16"/>
                <w:lang w:val="es-ES"/>
              </w:rPr>
              <w:t>Tabla 70. Clasificación por Fuentes de Financiamiento</w:t>
            </w:r>
            <w:bookmarkEnd w:id="322"/>
            <w:bookmarkEnd w:id="323"/>
          </w:p>
        </w:tc>
      </w:tr>
      <w:tr w:rsidR="00D868AB" w:rsidRPr="00D868AB" w14:paraId="2D6C01B8" w14:textId="77777777" w:rsidTr="00A755A7">
        <w:trPr>
          <w:trHeight w:val="227"/>
          <w:tblHeader/>
          <w:jc w:val="center"/>
        </w:trPr>
        <w:tc>
          <w:tcPr>
            <w:tcW w:w="566" w:type="dxa"/>
            <w:tcBorders>
              <w:top w:val="single" w:sz="4" w:space="0" w:color="auto"/>
            </w:tcBorders>
            <w:shd w:val="clear" w:color="auto" w:fill="auto"/>
            <w:vAlign w:val="center"/>
            <w:hideMark/>
          </w:tcPr>
          <w:p w14:paraId="12D2ECE1" w14:textId="77777777" w:rsidR="00D868AB" w:rsidRPr="00D868AB" w:rsidRDefault="00D868AB" w:rsidP="00D868AB">
            <w:pPr>
              <w:jc w:val="center"/>
              <w:rPr>
                <w:rFonts w:cs="Arial"/>
                <w:b/>
                <w:bCs/>
                <w:sz w:val="16"/>
                <w:szCs w:val="16"/>
                <w:lang w:val="es-ES"/>
              </w:rPr>
            </w:pPr>
            <w:r w:rsidRPr="00D868AB">
              <w:rPr>
                <w:rFonts w:cs="Arial"/>
                <w:b/>
                <w:bCs/>
                <w:sz w:val="16"/>
                <w:szCs w:val="16"/>
                <w:lang w:val="es-ES"/>
              </w:rPr>
              <w:t>No.</w:t>
            </w:r>
          </w:p>
        </w:tc>
        <w:tc>
          <w:tcPr>
            <w:tcW w:w="2688" w:type="dxa"/>
            <w:tcBorders>
              <w:top w:val="single" w:sz="4" w:space="0" w:color="auto"/>
            </w:tcBorders>
            <w:shd w:val="clear" w:color="auto" w:fill="auto"/>
            <w:vAlign w:val="center"/>
            <w:hideMark/>
          </w:tcPr>
          <w:p w14:paraId="40D61DEC" w14:textId="77777777" w:rsidR="00D868AB" w:rsidRPr="00D868AB" w:rsidRDefault="00D868AB" w:rsidP="00D868AB">
            <w:pPr>
              <w:jc w:val="center"/>
              <w:rPr>
                <w:rFonts w:cs="Arial"/>
                <w:b/>
                <w:bCs/>
                <w:sz w:val="16"/>
                <w:szCs w:val="16"/>
                <w:lang w:val="es-ES"/>
              </w:rPr>
            </w:pPr>
            <w:r w:rsidRPr="00D868AB">
              <w:rPr>
                <w:rFonts w:cs="Arial"/>
                <w:b/>
                <w:bCs/>
                <w:sz w:val="16"/>
                <w:szCs w:val="16"/>
                <w:lang w:val="es-ES"/>
              </w:rPr>
              <w:t>Concepto</w:t>
            </w:r>
          </w:p>
        </w:tc>
        <w:tc>
          <w:tcPr>
            <w:tcW w:w="1424" w:type="dxa"/>
            <w:tcBorders>
              <w:top w:val="single" w:sz="4" w:space="0" w:color="auto"/>
            </w:tcBorders>
            <w:shd w:val="clear" w:color="auto" w:fill="auto"/>
            <w:vAlign w:val="center"/>
          </w:tcPr>
          <w:p w14:paraId="7146CAB0" w14:textId="77777777" w:rsidR="00D868AB" w:rsidRPr="00D868AB" w:rsidRDefault="00D868AB" w:rsidP="00D868AB">
            <w:pPr>
              <w:jc w:val="center"/>
              <w:rPr>
                <w:rFonts w:cs="Arial"/>
                <w:b/>
                <w:bCs/>
                <w:sz w:val="16"/>
                <w:szCs w:val="16"/>
                <w:lang w:val="es-ES"/>
              </w:rPr>
            </w:pPr>
            <w:r w:rsidRPr="00D868AB">
              <w:rPr>
                <w:rFonts w:cs="Arial"/>
                <w:b/>
                <w:sz w:val="16"/>
                <w:szCs w:val="16"/>
                <w:lang w:val="es-ES"/>
              </w:rPr>
              <w:t>Gasto Programable</w:t>
            </w:r>
          </w:p>
        </w:tc>
        <w:tc>
          <w:tcPr>
            <w:tcW w:w="1276" w:type="dxa"/>
            <w:tcBorders>
              <w:top w:val="single" w:sz="4" w:space="0" w:color="auto"/>
            </w:tcBorders>
            <w:shd w:val="clear" w:color="auto" w:fill="auto"/>
            <w:vAlign w:val="center"/>
          </w:tcPr>
          <w:p w14:paraId="43DAA79E" w14:textId="77777777" w:rsidR="00D868AB" w:rsidRPr="00D868AB" w:rsidRDefault="00D868AB" w:rsidP="00D868AB">
            <w:pPr>
              <w:jc w:val="center"/>
              <w:rPr>
                <w:rFonts w:cs="Arial"/>
                <w:b/>
                <w:bCs/>
                <w:sz w:val="16"/>
                <w:szCs w:val="16"/>
                <w:lang w:val="es-ES"/>
              </w:rPr>
            </w:pPr>
            <w:r w:rsidRPr="00D868AB">
              <w:rPr>
                <w:rFonts w:cs="Arial"/>
                <w:b/>
                <w:sz w:val="16"/>
                <w:szCs w:val="16"/>
                <w:lang w:val="es-ES"/>
              </w:rPr>
              <w:t>Gasto No Programable</w:t>
            </w:r>
          </w:p>
        </w:tc>
        <w:tc>
          <w:tcPr>
            <w:tcW w:w="1417" w:type="dxa"/>
            <w:tcBorders>
              <w:top w:val="single" w:sz="4" w:space="0" w:color="auto"/>
            </w:tcBorders>
            <w:shd w:val="clear" w:color="auto" w:fill="auto"/>
            <w:vAlign w:val="center"/>
            <w:hideMark/>
          </w:tcPr>
          <w:p w14:paraId="365D1E9B" w14:textId="77777777" w:rsidR="00D868AB" w:rsidRPr="00D868AB" w:rsidRDefault="00D868AB" w:rsidP="00D868AB">
            <w:pPr>
              <w:jc w:val="center"/>
              <w:rPr>
                <w:rFonts w:cs="Arial"/>
                <w:b/>
                <w:bCs/>
                <w:sz w:val="16"/>
                <w:szCs w:val="16"/>
                <w:lang w:val="es-ES"/>
              </w:rPr>
            </w:pPr>
            <w:r w:rsidRPr="00D868AB">
              <w:rPr>
                <w:rFonts w:cs="Arial"/>
                <w:b/>
                <w:bCs/>
                <w:sz w:val="16"/>
                <w:szCs w:val="16"/>
                <w:lang w:val="es-ES"/>
              </w:rPr>
              <w:t>Asignación Presupuestal</w:t>
            </w:r>
          </w:p>
        </w:tc>
      </w:tr>
      <w:tr w:rsidR="00D868AB" w:rsidRPr="00D868AB" w14:paraId="238B258F" w14:textId="77777777" w:rsidTr="00A755A7">
        <w:trPr>
          <w:trHeight w:val="227"/>
          <w:jc w:val="center"/>
        </w:trPr>
        <w:tc>
          <w:tcPr>
            <w:tcW w:w="566" w:type="dxa"/>
            <w:shd w:val="clear" w:color="auto" w:fill="auto"/>
            <w:vAlign w:val="center"/>
          </w:tcPr>
          <w:p w14:paraId="238AA86B" w14:textId="77777777" w:rsidR="00D868AB" w:rsidRPr="00D868AB" w:rsidRDefault="00D868AB" w:rsidP="00D868AB">
            <w:pPr>
              <w:jc w:val="center"/>
              <w:rPr>
                <w:rFonts w:cs="Arial"/>
                <w:b/>
                <w:sz w:val="16"/>
                <w:szCs w:val="16"/>
                <w:lang w:val="es-ES"/>
              </w:rPr>
            </w:pPr>
            <w:r w:rsidRPr="00D868AB">
              <w:rPr>
                <w:rFonts w:cs="Arial"/>
                <w:b/>
                <w:sz w:val="16"/>
                <w:szCs w:val="16"/>
                <w:lang w:val="es-ES"/>
              </w:rPr>
              <w:t>1</w:t>
            </w:r>
          </w:p>
        </w:tc>
        <w:tc>
          <w:tcPr>
            <w:tcW w:w="2688" w:type="dxa"/>
            <w:shd w:val="clear" w:color="auto" w:fill="auto"/>
            <w:vAlign w:val="center"/>
          </w:tcPr>
          <w:p w14:paraId="196BC9AB" w14:textId="77777777" w:rsidR="00D868AB" w:rsidRPr="00D868AB" w:rsidRDefault="00D868AB" w:rsidP="00D868AB">
            <w:pPr>
              <w:rPr>
                <w:rFonts w:cs="Arial"/>
                <w:b/>
                <w:sz w:val="16"/>
                <w:szCs w:val="16"/>
                <w:lang w:val="es-ES"/>
              </w:rPr>
            </w:pPr>
            <w:r w:rsidRPr="00D868AB">
              <w:rPr>
                <w:rFonts w:cs="Arial"/>
                <w:b/>
                <w:sz w:val="16"/>
                <w:szCs w:val="16"/>
                <w:lang w:val="es-ES"/>
              </w:rPr>
              <w:t>No Etiquetado.</w:t>
            </w:r>
          </w:p>
        </w:tc>
        <w:tc>
          <w:tcPr>
            <w:tcW w:w="1424" w:type="dxa"/>
            <w:shd w:val="clear" w:color="auto" w:fill="auto"/>
            <w:vAlign w:val="center"/>
          </w:tcPr>
          <w:p w14:paraId="572472D2" w14:textId="77777777" w:rsidR="00D868AB" w:rsidRPr="00D868AB" w:rsidRDefault="00D868AB" w:rsidP="00D868AB">
            <w:pPr>
              <w:jc w:val="right"/>
              <w:rPr>
                <w:rFonts w:cs="Arial"/>
                <w:b/>
                <w:bCs/>
                <w:color w:val="FF0000"/>
                <w:sz w:val="16"/>
                <w:szCs w:val="16"/>
                <w:highlight w:val="yellow"/>
                <w:lang w:val="es-ES"/>
              </w:rPr>
            </w:pPr>
            <w:r w:rsidRPr="00D868AB">
              <w:rPr>
                <w:rFonts w:cs="Arial"/>
                <w:b/>
                <w:bCs/>
                <w:color w:val="000000"/>
                <w:sz w:val="16"/>
                <w:szCs w:val="16"/>
              </w:rPr>
              <w:t>5,022,003,587</w:t>
            </w:r>
          </w:p>
        </w:tc>
        <w:tc>
          <w:tcPr>
            <w:tcW w:w="1276" w:type="dxa"/>
            <w:shd w:val="clear" w:color="auto" w:fill="auto"/>
            <w:vAlign w:val="center"/>
          </w:tcPr>
          <w:p w14:paraId="2C55C9FE" w14:textId="77777777" w:rsidR="00D868AB" w:rsidRPr="00D868AB" w:rsidRDefault="00D868AB" w:rsidP="00D868AB">
            <w:pPr>
              <w:jc w:val="right"/>
              <w:rPr>
                <w:rFonts w:cs="Arial"/>
                <w:b/>
                <w:bCs/>
                <w:color w:val="FF0000"/>
                <w:sz w:val="16"/>
                <w:szCs w:val="16"/>
                <w:highlight w:val="yellow"/>
                <w:lang w:val="es-ES"/>
              </w:rPr>
            </w:pPr>
            <w:r w:rsidRPr="00D868AB">
              <w:rPr>
                <w:rFonts w:cs="Arial"/>
                <w:b/>
                <w:bCs/>
                <w:color w:val="000000"/>
                <w:sz w:val="16"/>
                <w:szCs w:val="16"/>
              </w:rPr>
              <w:t>4,671,578,181</w:t>
            </w:r>
          </w:p>
        </w:tc>
        <w:tc>
          <w:tcPr>
            <w:tcW w:w="1417" w:type="dxa"/>
            <w:shd w:val="clear" w:color="auto" w:fill="auto"/>
            <w:vAlign w:val="center"/>
          </w:tcPr>
          <w:p w14:paraId="7232D7BB" w14:textId="77777777" w:rsidR="00D868AB" w:rsidRPr="00D868AB" w:rsidRDefault="00D868AB" w:rsidP="00D868AB">
            <w:pPr>
              <w:jc w:val="right"/>
              <w:rPr>
                <w:rFonts w:cs="Arial"/>
                <w:b/>
                <w:bCs/>
                <w:color w:val="FF0000"/>
                <w:sz w:val="16"/>
                <w:szCs w:val="16"/>
                <w:highlight w:val="yellow"/>
                <w:lang w:val="es-ES"/>
              </w:rPr>
            </w:pPr>
            <w:r w:rsidRPr="00D868AB">
              <w:rPr>
                <w:rFonts w:cs="Arial"/>
                <w:b/>
                <w:bCs/>
                <w:color w:val="000000"/>
                <w:sz w:val="16"/>
                <w:szCs w:val="16"/>
              </w:rPr>
              <w:t>9,693,581,768</w:t>
            </w:r>
          </w:p>
        </w:tc>
      </w:tr>
      <w:tr w:rsidR="00D868AB" w:rsidRPr="00D868AB" w14:paraId="39198397" w14:textId="77777777" w:rsidTr="00A755A7">
        <w:trPr>
          <w:trHeight w:val="227"/>
          <w:jc w:val="center"/>
        </w:trPr>
        <w:tc>
          <w:tcPr>
            <w:tcW w:w="566" w:type="dxa"/>
            <w:shd w:val="clear" w:color="auto" w:fill="auto"/>
            <w:vAlign w:val="center"/>
          </w:tcPr>
          <w:p w14:paraId="2C2CA5E8" w14:textId="77777777" w:rsidR="00D868AB" w:rsidRPr="00D868AB" w:rsidRDefault="00D868AB" w:rsidP="00D868AB">
            <w:pPr>
              <w:jc w:val="center"/>
              <w:rPr>
                <w:rFonts w:cs="Arial"/>
                <w:sz w:val="16"/>
                <w:szCs w:val="16"/>
                <w:lang w:val="es-ES"/>
              </w:rPr>
            </w:pPr>
            <w:r w:rsidRPr="00D868AB">
              <w:rPr>
                <w:rFonts w:cs="Arial"/>
                <w:sz w:val="16"/>
                <w:szCs w:val="16"/>
                <w:lang w:val="es-ES"/>
              </w:rPr>
              <w:t>11.</w:t>
            </w:r>
          </w:p>
        </w:tc>
        <w:tc>
          <w:tcPr>
            <w:tcW w:w="2688" w:type="dxa"/>
            <w:shd w:val="clear" w:color="auto" w:fill="auto"/>
            <w:vAlign w:val="center"/>
          </w:tcPr>
          <w:p w14:paraId="47E58FA5" w14:textId="77777777" w:rsidR="00D868AB" w:rsidRPr="00D868AB" w:rsidRDefault="00D868AB" w:rsidP="00D868AB">
            <w:pPr>
              <w:rPr>
                <w:rFonts w:cs="Arial"/>
                <w:sz w:val="16"/>
                <w:szCs w:val="16"/>
                <w:lang w:val="es-ES"/>
              </w:rPr>
            </w:pPr>
            <w:r w:rsidRPr="00D868AB">
              <w:rPr>
                <w:rFonts w:cs="Arial"/>
                <w:sz w:val="16"/>
                <w:szCs w:val="16"/>
                <w:lang w:val="es-ES"/>
              </w:rPr>
              <w:t>Recursos Fiscales.</w:t>
            </w:r>
          </w:p>
        </w:tc>
        <w:tc>
          <w:tcPr>
            <w:tcW w:w="1424" w:type="dxa"/>
            <w:shd w:val="clear" w:color="auto" w:fill="auto"/>
            <w:vAlign w:val="center"/>
          </w:tcPr>
          <w:p w14:paraId="4CC48907"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804,137,069</w:t>
            </w:r>
          </w:p>
        </w:tc>
        <w:tc>
          <w:tcPr>
            <w:tcW w:w="1276" w:type="dxa"/>
            <w:shd w:val="clear" w:color="auto" w:fill="auto"/>
            <w:vAlign w:val="center"/>
          </w:tcPr>
          <w:p w14:paraId="2AC9B473"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833,726,015</w:t>
            </w:r>
          </w:p>
        </w:tc>
        <w:tc>
          <w:tcPr>
            <w:tcW w:w="1417" w:type="dxa"/>
            <w:shd w:val="clear" w:color="auto" w:fill="auto"/>
            <w:vAlign w:val="center"/>
          </w:tcPr>
          <w:p w14:paraId="171C70A1"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1,637,863,084</w:t>
            </w:r>
          </w:p>
        </w:tc>
      </w:tr>
      <w:tr w:rsidR="00D868AB" w:rsidRPr="00D868AB" w14:paraId="7674DA97" w14:textId="77777777" w:rsidTr="00A755A7">
        <w:trPr>
          <w:trHeight w:val="227"/>
          <w:jc w:val="center"/>
        </w:trPr>
        <w:tc>
          <w:tcPr>
            <w:tcW w:w="566" w:type="dxa"/>
            <w:shd w:val="clear" w:color="auto" w:fill="auto"/>
            <w:vAlign w:val="center"/>
          </w:tcPr>
          <w:p w14:paraId="22DA0D0D" w14:textId="77777777" w:rsidR="00D868AB" w:rsidRPr="00D868AB" w:rsidRDefault="00D868AB" w:rsidP="00D868AB">
            <w:pPr>
              <w:jc w:val="center"/>
              <w:rPr>
                <w:rFonts w:cs="Arial"/>
                <w:sz w:val="16"/>
                <w:szCs w:val="16"/>
                <w:lang w:val="es-ES"/>
              </w:rPr>
            </w:pPr>
            <w:r w:rsidRPr="00D868AB">
              <w:rPr>
                <w:rFonts w:cs="Arial"/>
                <w:sz w:val="16"/>
                <w:szCs w:val="16"/>
                <w:lang w:val="es-ES"/>
              </w:rPr>
              <w:t>12.</w:t>
            </w:r>
          </w:p>
        </w:tc>
        <w:tc>
          <w:tcPr>
            <w:tcW w:w="2688" w:type="dxa"/>
            <w:shd w:val="clear" w:color="auto" w:fill="auto"/>
            <w:vAlign w:val="center"/>
          </w:tcPr>
          <w:p w14:paraId="2233735B" w14:textId="77777777" w:rsidR="00D868AB" w:rsidRPr="00D868AB" w:rsidRDefault="00D868AB" w:rsidP="00D868AB">
            <w:pPr>
              <w:rPr>
                <w:rFonts w:cs="Arial"/>
                <w:sz w:val="16"/>
                <w:szCs w:val="16"/>
                <w:lang w:val="es-ES"/>
              </w:rPr>
            </w:pPr>
            <w:r w:rsidRPr="00D868AB">
              <w:rPr>
                <w:rFonts w:cs="Arial"/>
                <w:sz w:val="16"/>
                <w:szCs w:val="16"/>
                <w:lang w:val="es-ES"/>
              </w:rPr>
              <w:t>Financiamientos Internos.</w:t>
            </w:r>
          </w:p>
        </w:tc>
        <w:tc>
          <w:tcPr>
            <w:tcW w:w="1424" w:type="dxa"/>
            <w:shd w:val="clear" w:color="auto" w:fill="auto"/>
            <w:vAlign w:val="center"/>
          </w:tcPr>
          <w:p w14:paraId="2ADD366A"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192,903,836</w:t>
            </w:r>
          </w:p>
        </w:tc>
        <w:tc>
          <w:tcPr>
            <w:tcW w:w="1276" w:type="dxa"/>
            <w:shd w:val="clear" w:color="auto" w:fill="auto"/>
            <w:vAlign w:val="center"/>
          </w:tcPr>
          <w:p w14:paraId="037D3782"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417" w:type="dxa"/>
            <w:shd w:val="clear" w:color="auto" w:fill="auto"/>
            <w:vAlign w:val="center"/>
          </w:tcPr>
          <w:p w14:paraId="75C73623"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192,903,836</w:t>
            </w:r>
          </w:p>
        </w:tc>
      </w:tr>
      <w:tr w:rsidR="00D868AB" w:rsidRPr="00D868AB" w14:paraId="5D3C6DFA" w14:textId="77777777" w:rsidTr="00A755A7">
        <w:trPr>
          <w:trHeight w:val="227"/>
          <w:jc w:val="center"/>
        </w:trPr>
        <w:tc>
          <w:tcPr>
            <w:tcW w:w="566" w:type="dxa"/>
            <w:shd w:val="clear" w:color="auto" w:fill="auto"/>
            <w:vAlign w:val="center"/>
          </w:tcPr>
          <w:p w14:paraId="7BF2D90C" w14:textId="77777777" w:rsidR="00D868AB" w:rsidRPr="00D868AB" w:rsidRDefault="00D868AB" w:rsidP="00D868AB">
            <w:pPr>
              <w:jc w:val="center"/>
              <w:rPr>
                <w:rFonts w:cs="Arial"/>
                <w:sz w:val="16"/>
                <w:szCs w:val="16"/>
                <w:lang w:val="es-ES"/>
              </w:rPr>
            </w:pPr>
            <w:r w:rsidRPr="00D868AB">
              <w:rPr>
                <w:rFonts w:cs="Arial"/>
                <w:sz w:val="16"/>
                <w:szCs w:val="16"/>
                <w:lang w:val="es-ES"/>
              </w:rPr>
              <w:t>13.</w:t>
            </w:r>
          </w:p>
        </w:tc>
        <w:tc>
          <w:tcPr>
            <w:tcW w:w="2688" w:type="dxa"/>
            <w:shd w:val="clear" w:color="auto" w:fill="auto"/>
            <w:vAlign w:val="center"/>
          </w:tcPr>
          <w:p w14:paraId="2E7DADDA" w14:textId="77777777" w:rsidR="00D868AB" w:rsidRPr="00D868AB" w:rsidRDefault="00D868AB" w:rsidP="00D868AB">
            <w:pPr>
              <w:rPr>
                <w:rFonts w:cs="Arial"/>
                <w:sz w:val="16"/>
                <w:szCs w:val="16"/>
                <w:lang w:val="es-ES"/>
              </w:rPr>
            </w:pPr>
            <w:r w:rsidRPr="00D868AB">
              <w:rPr>
                <w:rFonts w:cs="Arial"/>
                <w:sz w:val="16"/>
                <w:szCs w:val="16"/>
                <w:lang w:val="es-ES"/>
              </w:rPr>
              <w:t>Financiamientos Externos.</w:t>
            </w:r>
          </w:p>
        </w:tc>
        <w:tc>
          <w:tcPr>
            <w:tcW w:w="1424" w:type="dxa"/>
            <w:shd w:val="clear" w:color="auto" w:fill="auto"/>
            <w:vAlign w:val="center"/>
          </w:tcPr>
          <w:p w14:paraId="26834DDA"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276" w:type="dxa"/>
            <w:shd w:val="clear" w:color="auto" w:fill="auto"/>
            <w:vAlign w:val="center"/>
          </w:tcPr>
          <w:p w14:paraId="164E6CE1"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417" w:type="dxa"/>
            <w:shd w:val="clear" w:color="auto" w:fill="auto"/>
            <w:noWrap/>
            <w:vAlign w:val="center"/>
          </w:tcPr>
          <w:p w14:paraId="59B3AE8E"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r>
      <w:tr w:rsidR="00D868AB" w:rsidRPr="00D868AB" w14:paraId="535FB0C9" w14:textId="77777777" w:rsidTr="00A755A7">
        <w:trPr>
          <w:trHeight w:val="227"/>
          <w:jc w:val="center"/>
        </w:trPr>
        <w:tc>
          <w:tcPr>
            <w:tcW w:w="566" w:type="dxa"/>
            <w:shd w:val="clear" w:color="auto" w:fill="auto"/>
            <w:vAlign w:val="center"/>
          </w:tcPr>
          <w:p w14:paraId="7253FB57" w14:textId="77777777" w:rsidR="00D868AB" w:rsidRPr="00D868AB" w:rsidRDefault="00D868AB" w:rsidP="00D868AB">
            <w:pPr>
              <w:jc w:val="center"/>
              <w:rPr>
                <w:rFonts w:cs="Arial"/>
                <w:sz w:val="16"/>
                <w:szCs w:val="16"/>
                <w:lang w:val="es-ES"/>
              </w:rPr>
            </w:pPr>
            <w:r w:rsidRPr="00D868AB">
              <w:rPr>
                <w:rFonts w:cs="Arial"/>
                <w:sz w:val="16"/>
                <w:szCs w:val="16"/>
                <w:lang w:val="es-ES"/>
              </w:rPr>
              <w:t>14.</w:t>
            </w:r>
          </w:p>
        </w:tc>
        <w:tc>
          <w:tcPr>
            <w:tcW w:w="2688" w:type="dxa"/>
            <w:shd w:val="clear" w:color="auto" w:fill="auto"/>
            <w:vAlign w:val="center"/>
          </w:tcPr>
          <w:p w14:paraId="1ADE2B8C" w14:textId="77777777" w:rsidR="00D868AB" w:rsidRPr="00D868AB" w:rsidRDefault="00D868AB" w:rsidP="00D868AB">
            <w:pPr>
              <w:rPr>
                <w:rFonts w:cs="Arial"/>
                <w:sz w:val="16"/>
                <w:szCs w:val="16"/>
                <w:lang w:val="es-ES"/>
              </w:rPr>
            </w:pPr>
            <w:r w:rsidRPr="00D868AB">
              <w:rPr>
                <w:rFonts w:cs="Arial"/>
                <w:sz w:val="16"/>
                <w:szCs w:val="16"/>
                <w:lang w:val="es-ES"/>
              </w:rPr>
              <w:t>Ingresos Propios.</w:t>
            </w:r>
          </w:p>
        </w:tc>
        <w:tc>
          <w:tcPr>
            <w:tcW w:w="1424" w:type="dxa"/>
            <w:shd w:val="clear" w:color="auto" w:fill="auto"/>
            <w:vAlign w:val="center"/>
          </w:tcPr>
          <w:p w14:paraId="583965E9"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276" w:type="dxa"/>
            <w:shd w:val="clear" w:color="auto" w:fill="auto"/>
            <w:vAlign w:val="center"/>
          </w:tcPr>
          <w:p w14:paraId="2D07837F"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417" w:type="dxa"/>
            <w:shd w:val="clear" w:color="auto" w:fill="auto"/>
            <w:vAlign w:val="center"/>
          </w:tcPr>
          <w:p w14:paraId="144C6F8A"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r>
      <w:tr w:rsidR="00D868AB" w:rsidRPr="00D868AB" w14:paraId="32D4239B" w14:textId="77777777" w:rsidTr="00A755A7">
        <w:trPr>
          <w:trHeight w:val="227"/>
          <w:jc w:val="center"/>
        </w:trPr>
        <w:tc>
          <w:tcPr>
            <w:tcW w:w="566" w:type="dxa"/>
            <w:shd w:val="clear" w:color="auto" w:fill="auto"/>
            <w:vAlign w:val="center"/>
          </w:tcPr>
          <w:p w14:paraId="190DFCF1" w14:textId="77777777" w:rsidR="00D868AB" w:rsidRPr="00D868AB" w:rsidRDefault="00D868AB" w:rsidP="00D868AB">
            <w:pPr>
              <w:jc w:val="center"/>
              <w:rPr>
                <w:rFonts w:cs="Arial"/>
                <w:sz w:val="16"/>
                <w:szCs w:val="16"/>
                <w:lang w:val="es-ES"/>
              </w:rPr>
            </w:pPr>
            <w:r w:rsidRPr="00D868AB">
              <w:rPr>
                <w:rFonts w:cs="Arial"/>
                <w:sz w:val="16"/>
                <w:szCs w:val="16"/>
                <w:lang w:val="es-ES"/>
              </w:rPr>
              <w:t>15.</w:t>
            </w:r>
          </w:p>
        </w:tc>
        <w:tc>
          <w:tcPr>
            <w:tcW w:w="2688" w:type="dxa"/>
            <w:shd w:val="clear" w:color="auto" w:fill="auto"/>
            <w:vAlign w:val="center"/>
          </w:tcPr>
          <w:p w14:paraId="48AD6EEF" w14:textId="77777777" w:rsidR="00D868AB" w:rsidRPr="00D868AB" w:rsidRDefault="00D868AB" w:rsidP="00D868AB">
            <w:pPr>
              <w:rPr>
                <w:rFonts w:cs="Arial"/>
                <w:sz w:val="16"/>
                <w:szCs w:val="16"/>
                <w:lang w:val="es-ES"/>
              </w:rPr>
            </w:pPr>
            <w:r w:rsidRPr="00D868AB">
              <w:rPr>
                <w:rFonts w:cs="Arial"/>
                <w:sz w:val="16"/>
                <w:szCs w:val="16"/>
                <w:lang w:val="es-ES"/>
              </w:rPr>
              <w:t>Recursos Federales.</w:t>
            </w:r>
          </w:p>
        </w:tc>
        <w:tc>
          <w:tcPr>
            <w:tcW w:w="1424" w:type="dxa"/>
            <w:shd w:val="clear" w:color="auto" w:fill="auto"/>
            <w:vAlign w:val="center"/>
          </w:tcPr>
          <w:p w14:paraId="4085A84E"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3,990,710,076</w:t>
            </w:r>
          </w:p>
        </w:tc>
        <w:tc>
          <w:tcPr>
            <w:tcW w:w="1276" w:type="dxa"/>
            <w:shd w:val="clear" w:color="auto" w:fill="auto"/>
            <w:vAlign w:val="center"/>
          </w:tcPr>
          <w:p w14:paraId="62969E3D"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3,837,852,166</w:t>
            </w:r>
          </w:p>
        </w:tc>
        <w:tc>
          <w:tcPr>
            <w:tcW w:w="1417" w:type="dxa"/>
            <w:shd w:val="clear" w:color="auto" w:fill="auto"/>
            <w:vAlign w:val="center"/>
          </w:tcPr>
          <w:p w14:paraId="47416533"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7,828,562,242</w:t>
            </w:r>
          </w:p>
        </w:tc>
      </w:tr>
      <w:tr w:rsidR="00D868AB" w:rsidRPr="00D868AB" w14:paraId="7F6A9A10" w14:textId="77777777" w:rsidTr="00A755A7">
        <w:trPr>
          <w:trHeight w:val="227"/>
          <w:jc w:val="center"/>
        </w:trPr>
        <w:tc>
          <w:tcPr>
            <w:tcW w:w="566" w:type="dxa"/>
            <w:shd w:val="clear" w:color="auto" w:fill="auto"/>
            <w:vAlign w:val="center"/>
          </w:tcPr>
          <w:p w14:paraId="0F66AF21" w14:textId="77777777" w:rsidR="00D868AB" w:rsidRPr="00D868AB" w:rsidRDefault="00D868AB" w:rsidP="00D868AB">
            <w:pPr>
              <w:jc w:val="center"/>
              <w:rPr>
                <w:rFonts w:cs="Arial"/>
                <w:sz w:val="16"/>
                <w:szCs w:val="16"/>
                <w:lang w:val="es-ES"/>
              </w:rPr>
            </w:pPr>
            <w:r w:rsidRPr="00D868AB">
              <w:rPr>
                <w:rFonts w:cs="Arial"/>
                <w:sz w:val="16"/>
                <w:szCs w:val="16"/>
                <w:lang w:val="es-ES"/>
              </w:rPr>
              <w:t>16.</w:t>
            </w:r>
          </w:p>
        </w:tc>
        <w:tc>
          <w:tcPr>
            <w:tcW w:w="2688" w:type="dxa"/>
            <w:shd w:val="clear" w:color="auto" w:fill="auto"/>
            <w:vAlign w:val="center"/>
          </w:tcPr>
          <w:p w14:paraId="715932D7" w14:textId="77777777" w:rsidR="00D868AB" w:rsidRPr="00D868AB" w:rsidRDefault="00D868AB" w:rsidP="00D868AB">
            <w:pPr>
              <w:rPr>
                <w:rFonts w:cs="Arial"/>
                <w:sz w:val="16"/>
                <w:szCs w:val="16"/>
                <w:lang w:val="es-ES"/>
              </w:rPr>
            </w:pPr>
            <w:r w:rsidRPr="00D868AB">
              <w:rPr>
                <w:rFonts w:cs="Arial"/>
                <w:sz w:val="16"/>
                <w:szCs w:val="16"/>
                <w:lang w:val="es-ES"/>
              </w:rPr>
              <w:t>Recursos Estatales.</w:t>
            </w:r>
          </w:p>
        </w:tc>
        <w:tc>
          <w:tcPr>
            <w:tcW w:w="1424" w:type="dxa"/>
            <w:shd w:val="clear" w:color="auto" w:fill="auto"/>
            <w:vAlign w:val="center"/>
          </w:tcPr>
          <w:p w14:paraId="0600689B"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276" w:type="dxa"/>
            <w:shd w:val="clear" w:color="auto" w:fill="auto"/>
            <w:vAlign w:val="center"/>
          </w:tcPr>
          <w:p w14:paraId="58B9B795"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417" w:type="dxa"/>
            <w:shd w:val="clear" w:color="auto" w:fill="auto"/>
            <w:vAlign w:val="center"/>
          </w:tcPr>
          <w:p w14:paraId="67C4AE96"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r>
      <w:tr w:rsidR="00D868AB" w:rsidRPr="00D868AB" w14:paraId="3ECE3AFC" w14:textId="77777777" w:rsidTr="00A755A7">
        <w:trPr>
          <w:trHeight w:val="227"/>
          <w:jc w:val="center"/>
        </w:trPr>
        <w:tc>
          <w:tcPr>
            <w:tcW w:w="566" w:type="dxa"/>
            <w:shd w:val="clear" w:color="auto" w:fill="auto"/>
            <w:vAlign w:val="center"/>
          </w:tcPr>
          <w:p w14:paraId="37A55565" w14:textId="77777777" w:rsidR="00D868AB" w:rsidRPr="00D868AB" w:rsidRDefault="00D868AB" w:rsidP="00D868AB">
            <w:pPr>
              <w:jc w:val="center"/>
              <w:rPr>
                <w:rFonts w:cs="Arial"/>
                <w:sz w:val="16"/>
                <w:szCs w:val="16"/>
                <w:lang w:val="es-ES"/>
              </w:rPr>
            </w:pPr>
            <w:r w:rsidRPr="00D868AB">
              <w:rPr>
                <w:rFonts w:cs="Arial"/>
                <w:sz w:val="16"/>
                <w:szCs w:val="16"/>
                <w:lang w:val="es-ES"/>
              </w:rPr>
              <w:lastRenderedPageBreak/>
              <w:t>17.</w:t>
            </w:r>
          </w:p>
        </w:tc>
        <w:tc>
          <w:tcPr>
            <w:tcW w:w="2688" w:type="dxa"/>
            <w:shd w:val="clear" w:color="auto" w:fill="auto"/>
            <w:vAlign w:val="center"/>
          </w:tcPr>
          <w:p w14:paraId="5CC9C7A6" w14:textId="77777777" w:rsidR="00D868AB" w:rsidRPr="00D868AB" w:rsidRDefault="00D868AB" w:rsidP="00D868AB">
            <w:pPr>
              <w:rPr>
                <w:rFonts w:cs="Arial"/>
                <w:sz w:val="16"/>
                <w:szCs w:val="16"/>
                <w:lang w:val="es-ES"/>
              </w:rPr>
            </w:pPr>
            <w:r w:rsidRPr="00D868AB">
              <w:rPr>
                <w:rFonts w:cs="Arial"/>
                <w:sz w:val="16"/>
                <w:szCs w:val="16"/>
                <w:lang w:val="es-ES"/>
              </w:rPr>
              <w:t>Otros Recursos de Libre Disposición.</w:t>
            </w:r>
          </w:p>
        </w:tc>
        <w:tc>
          <w:tcPr>
            <w:tcW w:w="1424" w:type="dxa"/>
            <w:shd w:val="clear" w:color="auto" w:fill="auto"/>
            <w:vAlign w:val="center"/>
          </w:tcPr>
          <w:p w14:paraId="43FD21D7"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34,252,606</w:t>
            </w:r>
          </w:p>
        </w:tc>
        <w:tc>
          <w:tcPr>
            <w:tcW w:w="1276" w:type="dxa"/>
            <w:shd w:val="clear" w:color="auto" w:fill="auto"/>
            <w:vAlign w:val="center"/>
          </w:tcPr>
          <w:p w14:paraId="61081C94"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417" w:type="dxa"/>
            <w:shd w:val="clear" w:color="auto" w:fill="auto"/>
            <w:vAlign w:val="center"/>
          </w:tcPr>
          <w:p w14:paraId="0F3D540D"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34,252,606</w:t>
            </w:r>
          </w:p>
        </w:tc>
      </w:tr>
      <w:tr w:rsidR="00D868AB" w:rsidRPr="00D868AB" w14:paraId="12E5B9D4" w14:textId="77777777" w:rsidTr="00A755A7">
        <w:trPr>
          <w:trHeight w:val="227"/>
          <w:jc w:val="center"/>
        </w:trPr>
        <w:tc>
          <w:tcPr>
            <w:tcW w:w="566" w:type="dxa"/>
            <w:shd w:val="clear" w:color="auto" w:fill="auto"/>
            <w:vAlign w:val="center"/>
          </w:tcPr>
          <w:p w14:paraId="08B99B3C" w14:textId="77777777" w:rsidR="00D868AB" w:rsidRPr="00D868AB" w:rsidRDefault="00D868AB" w:rsidP="00D868AB">
            <w:pPr>
              <w:jc w:val="center"/>
              <w:rPr>
                <w:rFonts w:cs="Arial"/>
                <w:b/>
                <w:sz w:val="16"/>
                <w:szCs w:val="16"/>
                <w:lang w:val="es-ES"/>
              </w:rPr>
            </w:pPr>
            <w:r w:rsidRPr="00D868AB">
              <w:rPr>
                <w:rFonts w:cs="Arial"/>
                <w:b/>
                <w:sz w:val="16"/>
                <w:szCs w:val="16"/>
                <w:lang w:val="es-ES"/>
              </w:rPr>
              <w:t>2</w:t>
            </w:r>
          </w:p>
        </w:tc>
        <w:tc>
          <w:tcPr>
            <w:tcW w:w="2688" w:type="dxa"/>
            <w:shd w:val="clear" w:color="auto" w:fill="auto"/>
            <w:vAlign w:val="center"/>
          </w:tcPr>
          <w:p w14:paraId="5384FD6D" w14:textId="77777777" w:rsidR="00D868AB" w:rsidRPr="00D868AB" w:rsidRDefault="00D868AB" w:rsidP="00D868AB">
            <w:pPr>
              <w:rPr>
                <w:rFonts w:cs="Arial"/>
                <w:b/>
                <w:sz w:val="16"/>
                <w:szCs w:val="16"/>
                <w:lang w:val="es-ES"/>
              </w:rPr>
            </w:pPr>
            <w:r w:rsidRPr="00D868AB">
              <w:rPr>
                <w:rFonts w:cs="Arial"/>
                <w:b/>
                <w:sz w:val="16"/>
                <w:szCs w:val="16"/>
                <w:lang w:val="es-ES"/>
              </w:rPr>
              <w:t>Etiquetado.</w:t>
            </w:r>
          </w:p>
        </w:tc>
        <w:tc>
          <w:tcPr>
            <w:tcW w:w="1424" w:type="dxa"/>
            <w:shd w:val="clear" w:color="auto" w:fill="auto"/>
            <w:vAlign w:val="center"/>
          </w:tcPr>
          <w:p w14:paraId="2FFB1404" w14:textId="77777777" w:rsidR="00D868AB" w:rsidRPr="00D868AB" w:rsidRDefault="00D868AB" w:rsidP="00D868AB">
            <w:pPr>
              <w:jc w:val="right"/>
              <w:rPr>
                <w:rFonts w:cs="Arial"/>
                <w:b/>
                <w:bCs/>
                <w:color w:val="FF0000"/>
                <w:sz w:val="16"/>
                <w:szCs w:val="16"/>
                <w:highlight w:val="yellow"/>
                <w:lang w:val="es-ES"/>
              </w:rPr>
            </w:pPr>
            <w:r w:rsidRPr="00D868AB">
              <w:rPr>
                <w:rFonts w:cs="Arial"/>
                <w:b/>
                <w:bCs/>
                <w:color w:val="000000"/>
                <w:sz w:val="16"/>
                <w:szCs w:val="16"/>
              </w:rPr>
              <w:t>9,610,124,120</w:t>
            </w:r>
          </w:p>
        </w:tc>
        <w:tc>
          <w:tcPr>
            <w:tcW w:w="1276" w:type="dxa"/>
            <w:shd w:val="clear" w:color="auto" w:fill="auto"/>
            <w:vAlign w:val="center"/>
          </w:tcPr>
          <w:p w14:paraId="4E3BB9FD" w14:textId="77777777" w:rsidR="00D868AB" w:rsidRPr="00D868AB" w:rsidRDefault="00D868AB" w:rsidP="00D868AB">
            <w:pPr>
              <w:jc w:val="right"/>
              <w:rPr>
                <w:rFonts w:cs="Arial"/>
                <w:b/>
                <w:bCs/>
                <w:color w:val="FF0000"/>
                <w:sz w:val="16"/>
                <w:szCs w:val="16"/>
                <w:highlight w:val="yellow"/>
                <w:lang w:val="es-ES"/>
              </w:rPr>
            </w:pPr>
            <w:r w:rsidRPr="00D868AB">
              <w:rPr>
                <w:rFonts w:cs="Arial"/>
                <w:b/>
                <w:bCs/>
                <w:color w:val="000000"/>
                <w:sz w:val="16"/>
                <w:szCs w:val="16"/>
              </w:rPr>
              <w:t>1,251,594,112</w:t>
            </w:r>
          </w:p>
        </w:tc>
        <w:tc>
          <w:tcPr>
            <w:tcW w:w="1417" w:type="dxa"/>
            <w:shd w:val="clear" w:color="auto" w:fill="auto"/>
            <w:vAlign w:val="center"/>
          </w:tcPr>
          <w:p w14:paraId="645B0543" w14:textId="77777777" w:rsidR="00D868AB" w:rsidRPr="00D868AB" w:rsidRDefault="00D868AB" w:rsidP="00D868AB">
            <w:pPr>
              <w:jc w:val="right"/>
              <w:rPr>
                <w:rFonts w:cs="Arial"/>
                <w:b/>
                <w:bCs/>
                <w:color w:val="FF0000"/>
                <w:sz w:val="16"/>
                <w:szCs w:val="16"/>
                <w:highlight w:val="yellow"/>
                <w:lang w:val="es-ES"/>
              </w:rPr>
            </w:pPr>
            <w:r w:rsidRPr="00D868AB">
              <w:rPr>
                <w:rFonts w:cs="Arial"/>
                <w:b/>
                <w:bCs/>
                <w:color w:val="000000"/>
                <w:sz w:val="16"/>
                <w:szCs w:val="16"/>
              </w:rPr>
              <w:t>10,861,718,232</w:t>
            </w:r>
          </w:p>
        </w:tc>
      </w:tr>
      <w:tr w:rsidR="00D868AB" w:rsidRPr="00D868AB" w14:paraId="3F66832F" w14:textId="77777777" w:rsidTr="00A755A7">
        <w:trPr>
          <w:trHeight w:val="227"/>
          <w:jc w:val="center"/>
        </w:trPr>
        <w:tc>
          <w:tcPr>
            <w:tcW w:w="566" w:type="dxa"/>
            <w:shd w:val="clear" w:color="auto" w:fill="auto"/>
            <w:vAlign w:val="center"/>
          </w:tcPr>
          <w:p w14:paraId="1216AF5E" w14:textId="77777777" w:rsidR="00D868AB" w:rsidRPr="00D868AB" w:rsidRDefault="00D868AB" w:rsidP="00D868AB">
            <w:pPr>
              <w:jc w:val="center"/>
              <w:rPr>
                <w:rFonts w:cs="Arial"/>
                <w:sz w:val="16"/>
                <w:szCs w:val="16"/>
                <w:lang w:val="es-ES"/>
              </w:rPr>
            </w:pPr>
            <w:r w:rsidRPr="00D868AB">
              <w:rPr>
                <w:rFonts w:cs="Arial"/>
                <w:sz w:val="16"/>
                <w:szCs w:val="16"/>
                <w:lang w:val="es-ES"/>
              </w:rPr>
              <w:t>25.</w:t>
            </w:r>
          </w:p>
        </w:tc>
        <w:tc>
          <w:tcPr>
            <w:tcW w:w="2688" w:type="dxa"/>
            <w:shd w:val="clear" w:color="auto" w:fill="auto"/>
            <w:vAlign w:val="center"/>
          </w:tcPr>
          <w:p w14:paraId="0B526937" w14:textId="77777777" w:rsidR="00D868AB" w:rsidRPr="00D868AB" w:rsidRDefault="00D868AB" w:rsidP="00D868AB">
            <w:pPr>
              <w:rPr>
                <w:rFonts w:cs="Arial"/>
                <w:sz w:val="16"/>
                <w:szCs w:val="16"/>
                <w:lang w:val="es-ES"/>
              </w:rPr>
            </w:pPr>
            <w:r w:rsidRPr="00D868AB">
              <w:rPr>
                <w:rFonts w:cs="Arial"/>
                <w:sz w:val="16"/>
                <w:szCs w:val="16"/>
                <w:lang w:val="es-ES"/>
              </w:rPr>
              <w:t>Recursos Federales.</w:t>
            </w:r>
          </w:p>
        </w:tc>
        <w:tc>
          <w:tcPr>
            <w:tcW w:w="1424" w:type="dxa"/>
            <w:shd w:val="clear" w:color="auto" w:fill="auto"/>
            <w:vAlign w:val="center"/>
          </w:tcPr>
          <w:p w14:paraId="739B2211"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9,610,124,120</w:t>
            </w:r>
          </w:p>
        </w:tc>
        <w:tc>
          <w:tcPr>
            <w:tcW w:w="1276" w:type="dxa"/>
            <w:shd w:val="clear" w:color="auto" w:fill="auto"/>
            <w:vAlign w:val="center"/>
          </w:tcPr>
          <w:p w14:paraId="2176E422"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1,251,594,112</w:t>
            </w:r>
          </w:p>
        </w:tc>
        <w:tc>
          <w:tcPr>
            <w:tcW w:w="1417" w:type="dxa"/>
            <w:shd w:val="clear" w:color="auto" w:fill="auto"/>
            <w:vAlign w:val="center"/>
          </w:tcPr>
          <w:p w14:paraId="691AACDD"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10,861,718,232</w:t>
            </w:r>
          </w:p>
        </w:tc>
      </w:tr>
      <w:tr w:rsidR="00D868AB" w:rsidRPr="00D868AB" w14:paraId="13193E6B" w14:textId="77777777" w:rsidTr="00A755A7">
        <w:trPr>
          <w:trHeight w:val="227"/>
          <w:jc w:val="center"/>
        </w:trPr>
        <w:tc>
          <w:tcPr>
            <w:tcW w:w="566" w:type="dxa"/>
            <w:shd w:val="clear" w:color="auto" w:fill="auto"/>
            <w:vAlign w:val="center"/>
          </w:tcPr>
          <w:p w14:paraId="5AC3874D" w14:textId="77777777" w:rsidR="00D868AB" w:rsidRPr="00D868AB" w:rsidRDefault="00D868AB" w:rsidP="00D868AB">
            <w:pPr>
              <w:jc w:val="center"/>
              <w:rPr>
                <w:rFonts w:cs="Arial"/>
                <w:sz w:val="16"/>
                <w:szCs w:val="16"/>
                <w:lang w:val="es-ES"/>
              </w:rPr>
            </w:pPr>
            <w:r w:rsidRPr="00D868AB">
              <w:rPr>
                <w:rFonts w:cs="Arial"/>
                <w:sz w:val="16"/>
                <w:szCs w:val="16"/>
                <w:lang w:val="es-ES"/>
              </w:rPr>
              <w:t>26.</w:t>
            </w:r>
          </w:p>
        </w:tc>
        <w:tc>
          <w:tcPr>
            <w:tcW w:w="2688" w:type="dxa"/>
            <w:shd w:val="clear" w:color="auto" w:fill="auto"/>
            <w:vAlign w:val="center"/>
          </w:tcPr>
          <w:p w14:paraId="1A2A7E06" w14:textId="77777777" w:rsidR="00D868AB" w:rsidRPr="00D868AB" w:rsidRDefault="00D868AB" w:rsidP="00D868AB">
            <w:pPr>
              <w:rPr>
                <w:rFonts w:cs="Arial"/>
                <w:sz w:val="16"/>
                <w:szCs w:val="16"/>
                <w:lang w:val="es-ES"/>
              </w:rPr>
            </w:pPr>
            <w:r w:rsidRPr="00D868AB">
              <w:rPr>
                <w:rFonts w:cs="Arial"/>
                <w:sz w:val="16"/>
                <w:szCs w:val="16"/>
                <w:lang w:val="es-ES"/>
              </w:rPr>
              <w:t>Recursos Estatales.</w:t>
            </w:r>
          </w:p>
        </w:tc>
        <w:tc>
          <w:tcPr>
            <w:tcW w:w="1424" w:type="dxa"/>
            <w:shd w:val="clear" w:color="auto" w:fill="auto"/>
            <w:vAlign w:val="center"/>
          </w:tcPr>
          <w:p w14:paraId="6B3178FB"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276" w:type="dxa"/>
            <w:shd w:val="clear" w:color="auto" w:fill="auto"/>
            <w:vAlign w:val="center"/>
          </w:tcPr>
          <w:p w14:paraId="63FB15FD"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417" w:type="dxa"/>
            <w:shd w:val="clear" w:color="auto" w:fill="auto"/>
            <w:vAlign w:val="center"/>
          </w:tcPr>
          <w:p w14:paraId="32877ED3"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r>
      <w:tr w:rsidR="00D868AB" w:rsidRPr="00D868AB" w14:paraId="7071C265" w14:textId="77777777" w:rsidTr="00A755A7">
        <w:trPr>
          <w:trHeight w:val="227"/>
          <w:jc w:val="center"/>
        </w:trPr>
        <w:tc>
          <w:tcPr>
            <w:tcW w:w="566" w:type="dxa"/>
            <w:shd w:val="clear" w:color="auto" w:fill="auto"/>
            <w:vAlign w:val="center"/>
          </w:tcPr>
          <w:p w14:paraId="4A7C5993" w14:textId="77777777" w:rsidR="00D868AB" w:rsidRPr="00D868AB" w:rsidRDefault="00D868AB" w:rsidP="00D868AB">
            <w:pPr>
              <w:jc w:val="center"/>
              <w:rPr>
                <w:rFonts w:cs="Arial"/>
                <w:sz w:val="16"/>
                <w:szCs w:val="16"/>
                <w:lang w:val="es-ES"/>
              </w:rPr>
            </w:pPr>
            <w:r w:rsidRPr="00D868AB">
              <w:rPr>
                <w:rFonts w:cs="Arial"/>
                <w:sz w:val="16"/>
                <w:szCs w:val="16"/>
                <w:lang w:val="es-ES"/>
              </w:rPr>
              <w:t>27.</w:t>
            </w:r>
          </w:p>
        </w:tc>
        <w:tc>
          <w:tcPr>
            <w:tcW w:w="2688" w:type="dxa"/>
            <w:shd w:val="clear" w:color="auto" w:fill="auto"/>
            <w:vAlign w:val="center"/>
          </w:tcPr>
          <w:p w14:paraId="1F8539EA" w14:textId="77777777" w:rsidR="00D868AB" w:rsidRPr="00D868AB" w:rsidRDefault="00D868AB" w:rsidP="00D868AB">
            <w:pPr>
              <w:rPr>
                <w:rFonts w:cs="Arial"/>
                <w:sz w:val="16"/>
                <w:szCs w:val="16"/>
                <w:lang w:val="es-ES"/>
              </w:rPr>
            </w:pPr>
            <w:r w:rsidRPr="00D868AB">
              <w:rPr>
                <w:rFonts w:cs="Arial"/>
                <w:sz w:val="16"/>
                <w:szCs w:val="16"/>
                <w:lang w:val="es-ES"/>
              </w:rPr>
              <w:t>Otros Recursos de Transferencias Federales Etiquetadas.</w:t>
            </w:r>
          </w:p>
        </w:tc>
        <w:tc>
          <w:tcPr>
            <w:tcW w:w="1424" w:type="dxa"/>
            <w:shd w:val="clear" w:color="auto" w:fill="auto"/>
            <w:vAlign w:val="center"/>
          </w:tcPr>
          <w:p w14:paraId="550B93DB"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276" w:type="dxa"/>
            <w:shd w:val="clear" w:color="auto" w:fill="auto"/>
            <w:vAlign w:val="center"/>
          </w:tcPr>
          <w:p w14:paraId="38342E32"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c>
          <w:tcPr>
            <w:tcW w:w="1417" w:type="dxa"/>
            <w:shd w:val="clear" w:color="auto" w:fill="auto"/>
            <w:vAlign w:val="center"/>
          </w:tcPr>
          <w:p w14:paraId="44DD14BF" w14:textId="77777777" w:rsidR="00D868AB" w:rsidRPr="00D868AB" w:rsidRDefault="00D868AB" w:rsidP="00D868AB">
            <w:pPr>
              <w:jc w:val="right"/>
              <w:rPr>
                <w:rFonts w:cs="Arial"/>
                <w:color w:val="FF0000"/>
                <w:sz w:val="16"/>
                <w:szCs w:val="16"/>
                <w:highlight w:val="yellow"/>
                <w:lang w:val="es-ES"/>
              </w:rPr>
            </w:pPr>
            <w:r w:rsidRPr="00D868AB">
              <w:rPr>
                <w:rFonts w:cs="Arial"/>
                <w:color w:val="000000"/>
                <w:sz w:val="16"/>
                <w:szCs w:val="16"/>
              </w:rPr>
              <w:t>0</w:t>
            </w:r>
          </w:p>
        </w:tc>
      </w:tr>
      <w:tr w:rsidR="00D868AB" w:rsidRPr="00D868AB" w14:paraId="4B0B24CE" w14:textId="77777777" w:rsidTr="00A755A7">
        <w:trPr>
          <w:trHeight w:val="227"/>
          <w:jc w:val="center"/>
        </w:trPr>
        <w:tc>
          <w:tcPr>
            <w:tcW w:w="566" w:type="dxa"/>
            <w:shd w:val="clear" w:color="auto" w:fill="auto"/>
            <w:vAlign w:val="center"/>
          </w:tcPr>
          <w:p w14:paraId="573B82D1" w14:textId="77777777" w:rsidR="00D868AB" w:rsidRPr="00D868AB" w:rsidRDefault="00D868AB" w:rsidP="00D868AB">
            <w:pPr>
              <w:jc w:val="center"/>
              <w:rPr>
                <w:rFonts w:cs="Arial"/>
                <w:sz w:val="16"/>
                <w:szCs w:val="16"/>
                <w:lang w:val="es-ES"/>
              </w:rPr>
            </w:pPr>
          </w:p>
        </w:tc>
        <w:tc>
          <w:tcPr>
            <w:tcW w:w="2688" w:type="dxa"/>
            <w:shd w:val="clear" w:color="auto" w:fill="auto"/>
            <w:vAlign w:val="center"/>
          </w:tcPr>
          <w:p w14:paraId="21167BF2" w14:textId="77777777" w:rsidR="00D868AB" w:rsidRPr="00D868AB" w:rsidRDefault="00D868AB" w:rsidP="00D868AB">
            <w:pPr>
              <w:jc w:val="center"/>
              <w:rPr>
                <w:rFonts w:cs="Arial"/>
                <w:b/>
                <w:sz w:val="16"/>
                <w:szCs w:val="16"/>
                <w:lang w:val="es-ES"/>
              </w:rPr>
            </w:pPr>
            <w:r w:rsidRPr="00D868AB">
              <w:rPr>
                <w:rFonts w:cs="Arial"/>
                <w:b/>
                <w:sz w:val="16"/>
                <w:szCs w:val="16"/>
                <w:lang w:val="es-ES"/>
              </w:rPr>
              <w:t>Total</w:t>
            </w:r>
          </w:p>
        </w:tc>
        <w:tc>
          <w:tcPr>
            <w:tcW w:w="1424" w:type="dxa"/>
            <w:shd w:val="clear" w:color="auto" w:fill="auto"/>
            <w:vAlign w:val="center"/>
          </w:tcPr>
          <w:p w14:paraId="769DBB97" w14:textId="77777777" w:rsidR="00D868AB" w:rsidRPr="00D868AB" w:rsidRDefault="00D868AB" w:rsidP="00D868AB">
            <w:pPr>
              <w:jc w:val="right"/>
              <w:rPr>
                <w:rFonts w:cs="Arial"/>
                <w:color w:val="FF0000"/>
                <w:sz w:val="16"/>
                <w:szCs w:val="16"/>
                <w:highlight w:val="yellow"/>
                <w:lang w:val="es-ES"/>
              </w:rPr>
            </w:pPr>
            <w:r w:rsidRPr="00D868AB">
              <w:rPr>
                <w:rFonts w:cs="Arial"/>
                <w:b/>
                <w:bCs/>
                <w:color w:val="000000"/>
                <w:sz w:val="16"/>
                <w:szCs w:val="16"/>
              </w:rPr>
              <w:t>14,632,127,707</w:t>
            </w:r>
          </w:p>
        </w:tc>
        <w:tc>
          <w:tcPr>
            <w:tcW w:w="1276" w:type="dxa"/>
            <w:shd w:val="clear" w:color="auto" w:fill="auto"/>
            <w:vAlign w:val="center"/>
          </w:tcPr>
          <w:p w14:paraId="1C329767" w14:textId="77777777" w:rsidR="00D868AB" w:rsidRPr="00D868AB" w:rsidRDefault="00D868AB" w:rsidP="00D868AB">
            <w:pPr>
              <w:jc w:val="right"/>
              <w:rPr>
                <w:rFonts w:cs="Arial"/>
                <w:color w:val="FF0000"/>
                <w:sz w:val="16"/>
                <w:szCs w:val="16"/>
                <w:highlight w:val="yellow"/>
                <w:lang w:val="es-ES"/>
              </w:rPr>
            </w:pPr>
            <w:r w:rsidRPr="00D868AB">
              <w:rPr>
                <w:rFonts w:cs="Arial"/>
                <w:b/>
                <w:bCs/>
                <w:color w:val="000000"/>
                <w:sz w:val="16"/>
                <w:szCs w:val="16"/>
              </w:rPr>
              <w:t>5,923,172,293</w:t>
            </w:r>
          </w:p>
        </w:tc>
        <w:tc>
          <w:tcPr>
            <w:tcW w:w="1417" w:type="dxa"/>
            <w:shd w:val="clear" w:color="auto" w:fill="auto"/>
            <w:vAlign w:val="center"/>
          </w:tcPr>
          <w:p w14:paraId="5BE71485" w14:textId="77777777" w:rsidR="00D868AB" w:rsidRPr="00D868AB" w:rsidRDefault="00D868AB" w:rsidP="00D868AB">
            <w:pPr>
              <w:jc w:val="right"/>
              <w:rPr>
                <w:rFonts w:cs="Arial"/>
                <w:color w:val="FF0000"/>
                <w:sz w:val="16"/>
                <w:szCs w:val="16"/>
                <w:highlight w:val="yellow"/>
                <w:lang w:val="es-ES"/>
              </w:rPr>
            </w:pPr>
            <w:r w:rsidRPr="00D868AB">
              <w:rPr>
                <w:rFonts w:cs="Arial"/>
                <w:b/>
                <w:bCs/>
                <w:color w:val="000000"/>
                <w:sz w:val="16"/>
                <w:szCs w:val="16"/>
              </w:rPr>
              <w:t>20,555,300,000</w:t>
            </w:r>
          </w:p>
        </w:tc>
      </w:tr>
    </w:tbl>
    <w:p w14:paraId="058FE1A9" w14:textId="77777777" w:rsidR="00D868AB" w:rsidRPr="00D868AB" w:rsidRDefault="00D868AB" w:rsidP="00D868AB">
      <w:pPr>
        <w:rPr>
          <w:rFonts w:cs="Arial"/>
          <w:b/>
          <w:lang w:val="es-ES"/>
        </w:rPr>
      </w:pPr>
    </w:p>
    <w:p w14:paraId="7BD0B64E" w14:textId="77777777" w:rsidR="00D868AB" w:rsidRPr="00D868AB" w:rsidRDefault="00D868AB" w:rsidP="00D868AB">
      <w:pPr>
        <w:rPr>
          <w:rFonts w:cs="Arial"/>
          <w:lang w:val="es-ES"/>
        </w:rPr>
      </w:pPr>
      <w:r w:rsidRPr="00D868AB">
        <w:rPr>
          <w:rFonts w:cs="Arial"/>
          <w:lang w:val="es-ES"/>
        </w:rPr>
        <w:t xml:space="preserve">V. La </w:t>
      </w:r>
      <w:r w:rsidRPr="00D868AB">
        <w:rPr>
          <w:rFonts w:cs="Arial"/>
          <w:b/>
          <w:lang w:val="es-ES"/>
        </w:rPr>
        <w:t>Clasificación por Tipo de Gasto</w:t>
      </w:r>
      <w:r w:rsidRPr="00D868AB">
        <w:rPr>
          <w:rFonts w:cs="Arial"/>
          <w:lang w:val="es-ES"/>
        </w:rPr>
        <w:t>, es la siguiente:</w:t>
      </w:r>
    </w:p>
    <w:p w14:paraId="10EECB18" w14:textId="77777777" w:rsidR="00D868AB" w:rsidRPr="00D868AB" w:rsidRDefault="00D868AB" w:rsidP="00D868AB">
      <w:pPr>
        <w:keepNext/>
        <w:keepLines/>
        <w:jc w:val="center"/>
        <w:outlineLvl w:val="1"/>
        <w:rPr>
          <w:rFonts w:eastAsia="Times New Roman" w:cs="Arial"/>
          <w:b/>
          <w:lang w:val="es-E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510"/>
        <w:gridCol w:w="1472"/>
        <w:gridCol w:w="1418"/>
        <w:gridCol w:w="1701"/>
      </w:tblGrid>
      <w:tr w:rsidR="00D868AB" w:rsidRPr="00D868AB" w14:paraId="6A227220" w14:textId="77777777" w:rsidTr="00827E3E">
        <w:trPr>
          <w:trHeight w:val="227"/>
          <w:tblHeader/>
        </w:trPr>
        <w:tc>
          <w:tcPr>
            <w:tcW w:w="8647" w:type="dxa"/>
            <w:gridSpan w:val="5"/>
            <w:tcBorders>
              <w:top w:val="nil"/>
              <w:left w:val="nil"/>
              <w:bottom w:val="single" w:sz="4" w:space="0" w:color="auto"/>
              <w:right w:val="nil"/>
            </w:tcBorders>
            <w:shd w:val="clear" w:color="auto" w:fill="auto"/>
            <w:vAlign w:val="center"/>
          </w:tcPr>
          <w:p w14:paraId="33F21BD4" w14:textId="77777777" w:rsidR="00D868AB" w:rsidRPr="00D868AB" w:rsidRDefault="00D868AB" w:rsidP="00D868AB">
            <w:pPr>
              <w:jc w:val="center"/>
              <w:rPr>
                <w:rFonts w:cs="Arial"/>
                <w:b/>
                <w:bCs/>
                <w:sz w:val="20"/>
                <w:lang w:val="es-ES"/>
              </w:rPr>
            </w:pPr>
            <w:bookmarkStart w:id="324" w:name="_Toc22022027"/>
            <w:bookmarkStart w:id="325" w:name="_Toc22983261"/>
            <w:r w:rsidRPr="00D868AB">
              <w:rPr>
                <w:rFonts w:eastAsia="Times New Roman" w:cs="Arial"/>
                <w:b/>
                <w:sz w:val="20"/>
                <w:lang w:val="es-ES"/>
              </w:rPr>
              <w:t>Tabla 71. Clasificación por Tipo de Gasto</w:t>
            </w:r>
            <w:bookmarkEnd w:id="324"/>
            <w:bookmarkEnd w:id="325"/>
          </w:p>
        </w:tc>
      </w:tr>
      <w:tr w:rsidR="00D868AB" w:rsidRPr="00D868AB" w14:paraId="00D77B71" w14:textId="77777777" w:rsidTr="00827E3E">
        <w:trPr>
          <w:trHeight w:val="227"/>
          <w:tblHeader/>
        </w:trPr>
        <w:tc>
          <w:tcPr>
            <w:tcW w:w="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114DC" w14:textId="77777777" w:rsidR="00D868AB" w:rsidRPr="00D868AB" w:rsidRDefault="00D868AB" w:rsidP="00D868AB">
            <w:pPr>
              <w:jc w:val="center"/>
              <w:rPr>
                <w:rFonts w:cs="Arial"/>
                <w:b/>
                <w:sz w:val="18"/>
                <w:lang w:val="es-ES"/>
              </w:rPr>
            </w:pPr>
            <w:r w:rsidRPr="00D868AB">
              <w:rPr>
                <w:rFonts w:cs="Arial"/>
                <w:b/>
                <w:sz w:val="18"/>
                <w:lang w:val="es-ES"/>
              </w:rPr>
              <w:t>No.</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0A1097" w14:textId="77777777" w:rsidR="00D868AB" w:rsidRPr="00D868AB" w:rsidRDefault="00D868AB" w:rsidP="00D868AB">
            <w:pPr>
              <w:jc w:val="center"/>
              <w:rPr>
                <w:rFonts w:cs="Arial"/>
                <w:b/>
                <w:sz w:val="18"/>
                <w:lang w:val="es-ES"/>
              </w:rPr>
            </w:pPr>
            <w:r w:rsidRPr="00D868AB">
              <w:rPr>
                <w:rFonts w:cs="Arial"/>
                <w:b/>
                <w:sz w:val="18"/>
                <w:lang w:val="es-ES"/>
              </w:rPr>
              <w:t>Categorías</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5A2B546F" w14:textId="77777777" w:rsidR="00D868AB" w:rsidRPr="00D868AB" w:rsidRDefault="00D868AB" w:rsidP="00D868AB">
            <w:pPr>
              <w:jc w:val="center"/>
              <w:rPr>
                <w:rFonts w:cs="Arial"/>
                <w:b/>
                <w:bCs/>
                <w:sz w:val="18"/>
                <w:lang w:val="es-ES"/>
              </w:rPr>
            </w:pPr>
            <w:r w:rsidRPr="00D868AB">
              <w:rPr>
                <w:rFonts w:cs="Arial"/>
                <w:b/>
                <w:sz w:val="18"/>
                <w:lang w:val="es-ES"/>
              </w:rPr>
              <w:t>Gasto Programable</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530F86" w14:textId="77777777" w:rsidR="00D868AB" w:rsidRPr="00D868AB" w:rsidRDefault="00D868AB" w:rsidP="00D868AB">
            <w:pPr>
              <w:jc w:val="center"/>
              <w:rPr>
                <w:rFonts w:cs="Arial"/>
                <w:b/>
                <w:bCs/>
                <w:sz w:val="18"/>
                <w:lang w:val="es-ES"/>
              </w:rPr>
            </w:pPr>
            <w:r w:rsidRPr="00D868AB">
              <w:rPr>
                <w:rFonts w:cs="Arial"/>
                <w:b/>
                <w:sz w:val="18"/>
                <w:lang w:val="es-ES"/>
              </w:rPr>
              <w:t>Gasto No Programable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87626B" w14:textId="77777777" w:rsidR="00D868AB" w:rsidRPr="00D868AB" w:rsidRDefault="00D868AB" w:rsidP="00D868AB">
            <w:pPr>
              <w:jc w:val="center"/>
              <w:rPr>
                <w:rFonts w:cs="Arial"/>
                <w:b/>
                <w:sz w:val="18"/>
                <w:lang w:val="es-ES"/>
              </w:rPr>
            </w:pPr>
            <w:r w:rsidRPr="00D868AB">
              <w:rPr>
                <w:rFonts w:cs="Arial"/>
                <w:b/>
                <w:bCs/>
                <w:sz w:val="18"/>
                <w:lang w:val="es-ES"/>
              </w:rPr>
              <w:t>Asignación Presupuestal</w:t>
            </w:r>
          </w:p>
        </w:tc>
      </w:tr>
      <w:tr w:rsidR="00D868AB" w:rsidRPr="00D868AB" w14:paraId="74FB426A" w14:textId="77777777" w:rsidTr="00827E3E">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65A745FC" w14:textId="77777777" w:rsidR="00D868AB" w:rsidRPr="00D868AB" w:rsidRDefault="00D868AB" w:rsidP="00D868AB">
            <w:pPr>
              <w:jc w:val="center"/>
              <w:rPr>
                <w:rFonts w:cs="Arial"/>
                <w:sz w:val="18"/>
                <w:szCs w:val="18"/>
                <w:lang w:val="es-ES"/>
              </w:rPr>
            </w:pPr>
            <w:r w:rsidRPr="00D868AB">
              <w:rPr>
                <w:rFonts w:cs="Arial"/>
                <w:sz w:val="18"/>
                <w:szCs w:val="18"/>
                <w:lang w:val="es-ES"/>
              </w:rPr>
              <w:t>1</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34CDA1" w14:textId="77777777" w:rsidR="00D868AB" w:rsidRPr="00D868AB" w:rsidRDefault="00D868AB" w:rsidP="00D868AB">
            <w:pPr>
              <w:rPr>
                <w:rFonts w:cs="Arial"/>
                <w:sz w:val="18"/>
                <w:szCs w:val="18"/>
                <w:lang w:val="es-ES"/>
              </w:rPr>
            </w:pPr>
            <w:r w:rsidRPr="00D868AB">
              <w:rPr>
                <w:rFonts w:cs="Arial"/>
                <w:sz w:val="18"/>
                <w:szCs w:val="18"/>
                <w:lang w:val="es-ES"/>
              </w:rPr>
              <w:t>Gasto Corriente.</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4DC1932C" w14:textId="77777777" w:rsidR="00D868AB" w:rsidRPr="00D868AB" w:rsidRDefault="00D868AB" w:rsidP="00D868AB">
            <w:pPr>
              <w:jc w:val="right"/>
              <w:rPr>
                <w:rFonts w:cs="Arial"/>
                <w:sz w:val="18"/>
                <w:szCs w:val="18"/>
                <w:lang w:val="es-ES"/>
              </w:rPr>
            </w:pPr>
            <w:r w:rsidRPr="00D868AB">
              <w:rPr>
                <w:rFonts w:cs="Arial"/>
                <w:color w:val="000000"/>
                <w:sz w:val="18"/>
                <w:szCs w:val="18"/>
              </w:rPr>
              <w:t>14,134,515,394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637D83A" w14:textId="77777777" w:rsidR="00D868AB" w:rsidRPr="00D868AB" w:rsidRDefault="00D868AB" w:rsidP="00D868AB">
            <w:pPr>
              <w:jc w:val="right"/>
              <w:rPr>
                <w:rFonts w:cs="Arial"/>
                <w:sz w:val="18"/>
                <w:szCs w:val="18"/>
                <w:lang w:val="es-ES"/>
              </w:rPr>
            </w:pPr>
            <w:r w:rsidRPr="00D868AB">
              <w:rPr>
                <w:rFonts w:cs="Arial"/>
                <w:color w:val="000000"/>
                <w:sz w:val="18"/>
                <w:szCs w:val="18"/>
              </w:rPr>
              <w:t>943,995,675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76EE95B" w14:textId="77777777" w:rsidR="00D868AB" w:rsidRPr="00D868AB" w:rsidRDefault="00D868AB" w:rsidP="00D868AB">
            <w:pPr>
              <w:jc w:val="right"/>
              <w:rPr>
                <w:rFonts w:cs="Arial"/>
                <w:sz w:val="18"/>
                <w:szCs w:val="18"/>
                <w:lang w:val="es-ES"/>
              </w:rPr>
            </w:pPr>
            <w:r w:rsidRPr="00D868AB">
              <w:rPr>
                <w:rFonts w:cs="Arial"/>
                <w:color w:val="000000"/>
                <w:sz w:val="18"/>
                <w:szCs w:val="18"/>
              </w:rPr>
              <w:t>15,078,511,069</w:t>
            </w:r>
          </w:p>
        </w:tc>
      </w:tr>
      <w:tr w:rsidR="00D868AB" w:rsidRPr="00D868AB" w14:paraId="00971505" w14:textId="77777777" w:rsidTr="00827E3E">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662FCE2C" w14:textId="77777777" w:rsidR="00D868AB" w:rsidRPr="00D868AB" w:rsidRDefault="00D868AB" w:rsidP="00D868AB">
            <w:pPr>
              <w:jc w:val="center"/>
              <w:rPr>
                <w:rFonts w:cs="Arial"/>
                <w:sz w:val="18"/>
                <w:szCs w:val="18"/>
                <w:lang w:val="es-ES"/>
              </w:rPr>
            </w:pPr>
            <w:r w:rsidRPr="00D868AB">
              <w:rPr>
                <w:rFonts w:cs="Arial"/>
                <w:sz w:val="18"/>
                <w:szCs w:val="18"/>
                <w:lang w:val="es-ES"/>
              </w:rPr>
              <w:t>2</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055CF4" w14:textId="77777777" w:rsidR="00D868AB" w:rsidRPr="00D868AB" w:rsidRDefault="00D868AB" w:rsidP="00D868AB">
            <w:pPr>
              <w:rPr>
                <w:rFonts w:cs="Arial"/>
                <w:sz w:val="18"/>
                <w:szCs w:val="18"/>
                <w:lang w:val="es-ES"/>
              </w:rPr>
            </w:pPr>
            <w:r w:rsidRPr="00D868AB">
              <w:rPr>
                <w:rFonts w:cs="Arial"/>
                <w:sz w:val="18"/>
                <w:szCs w:val="18"/>
                <w:lang w:val="es-ES"/>
              </w:rPr>
              <w:t>Gasto de Capital.</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0FCBD6DC" w14:textId="77777777" w:rsidR="00D868AB" w:rsidRPr="00D868AB" w:rsidRDefault="00D868AB" w:rsidP="00D868AB">
            <w:pPr>
              <w:jc w:val="right"/>
              <w:rPr>
                <w:rFonts w:cs="Arial"/>
                <w:sz w:val="18"/>
                <w:szCs w:val="18"/>
                <w:lang w:val="es-ES"/>
              </w:rPr>
            </w:pPr>
            <w:r w:rsidRPr="00D868AB">
              <w:rPr>
                <w:rFonts w:cs="Arial"/>
                <w:color w:val="000000"/>
                <w:sz w:val="18"/>
                <w:szCs w:val="18"/>
              </w:rPr>
              <w:t>150,680,079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9FE5DB6" w14:textId="77777777" w:rsidR="00D868AB" w:rsidRPr="00D868AB" w:rsidRDefault="00D868AB" w:rsidP="00D868AB">
            <w:pPr>
              <w:jc w:val="right"/>
              <w:rPr>
                <w:rFonts w:cs="Arial"/>
                <w:sz w:val="18"/>
                <w:szCs w:val="18"/>
                <w:lang w:val="es-ES"/>
              </w:rPr>
            </w:pPr>
            <w:r w:rsidRPr="00D868AB">
              <w:rPr>
                <w:rFonts w:cs="Arial"/>
                <w:color w:val="000000"/>
                <w:sz w:val="18"/>
                <w:szCs w:val="18"/>
              </w:rPr>
              <w:t>1,800,000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4E5DD3E7" w14:textId="77777777" w:rsidR="00D868AB" w:rsidRPr="00D868AB" w:rsidRDefault="00D868AB" w:rsidP="00D868AB">
            <w:pPr>
              <w:jc w:val="right"/>
              <w:rPr>
                <w:rFonts w:cs="Arial"/>
                <w:sz w:val="18"/>
                <w:szCs w:val="18"/>
                <w:lang w:val="es-ES"/>
              </w:rPr>
            </w:pPr>
            <w:r w:rsidRPr="00D868AB">
              <w:rPr>
                <w:rFonts w:cs="Arial"/>
                <w:color w:val="000000"/>
                <w:sz w:val="18"/>
                <w:szCs w:val="18"/>
              </w:rPr>
              <w:t>152,480,079</w:t>
            </w:r>
          </w:p>
        </w:tc>
      </w:tr>
      <w:tr w:rsidR="00D868AB" w:rsidRPr="00D868AB" w14:paraId="0E6F0437" w14:textId="77777777" w:rsidTr="00827E3E">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3F0E1AF6" w14:textId="77777777" w:rsidR="00D868AB" w:rsidRPr="00D868AB" w:rsidRDefault="00D868AB" w:rsidP="00D868AB">
            <w:pPr>
              <w:jc w:val="center"/>
              <w:rPr>
                <w:rFonts w:cs="Arial"/>
                <w:sz w:val="18"/>
                <w:szCs w:val="18"/>
                <w:lang w:val="es-ES"/>
              </w:rPr>
            </w:pPr>
            <w:r w:rsidRPr="00D868AB">
              <w:rPr>
                <w:rFonts w:cs="Arial"/>
                <w:sz w:val="18"/>
                <w:szCs w:val="18"/>
                <w:lang w:val="es-ES"/>
              </w:rPr>
              <w:t>3</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D2769" w14:textId="77777777" w:rsidR="00D868AB" w:rsidRPr="00D868AB" w:rsidRDefault="00D868AB" w:rsidP="00D868AB">
            <w:pPr>
              <w:rPr>
                <w:rFonts w:cs="Arial"/>
                <w:sz w:val="18"/>
                <w:szCs w:val="18"/>
                <w:lang w:val="es-ES"/>
              </w:rPr>
            </w:pPr>
            <w:r w:rsidRPr="00D868AB">
              <w:rPr>
                <w:rFonts w:cs="Arial"/>
                <w:sz w:val="18"/>
                <w:szCs w:val="18"/>
                <w:lang w:val="es-ES"/>
              </w:rPr>
              <w:t>Amortización de la Deuda y Disminución de Pasivos.</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E4DB67F" w14:textId="77777777" w:rsidR="00D868AB" w:rsidRPr="00D868AB" w:rsidRDefault="00D868AB" w:rsidP="00D868AB">
            <w:pPr>
              <w:jc w:val="right"/>
              <w:rPr>
                <w:rFonts w:cs="Arial"/>
                <w:sz w:val="18"/>
                <w:szCs w:val="18"/>
                <w:lang w:val="es-ES"/>
              </w:rPr>
            </w:pPr>
            <w:r w:rsidRPr="00D868AB">
              <w:rPr>
                <w:rFonts w:cs="Arial"/>
                <w:color w:val="000000"/>
                <w:sz w:val="18"/>
                <w:szCs w:val="18"/>
              </w:rPr>
              <w:t>346,932,234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65EE752" w14:textId="77777777" w:rsidR="00D868AB" w:rsidRPr="00D868AB" w:rsidRDefault="00D868AB" w:rsidP="00D868AB">
            <w:pPr>
              <w:jc w:val="right"/>
              <w:rPr>
                <w:rFonts w:cs="Arial"/>
                <w:sz w:val="18"/>
                <w:szCs w:val="18"/>
                <w:lang w:val="es-ES"/>
              </w:rPr>
            </w:pPr>
            <w:r w:rsidRPr="00D868AB">
              <w:rPr>
                <w:rFonts w:cs="Arial"/>
                <w:color w:val="000000"/>
                <w:sz w:val="18"/>
                <w:szCs w:val="18"/>
              </w:rPr>
              <w:t>540,315,199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DD360B" w14:textId="77777777" w:rsidR="00D868AB" w:rsidRPr="00D868AB" w:rsidRDefault="00D868AB" w:rsidP="00D868AB">
            <w:pPr>
              <w:jc w:val="right"/>
              <w:rPr>
                <w:rFonts w:cs="Arial"/>
                <w:sz w:val="18"/>
                <w:szCs w:val="18"/>
                <w:lang w:val="es-ES"/>
              </w:rPr>
            </w:pPr>
            <w:r w:rsidRPr="00D868AB">
              <w:rPr>
                <w:rFonts w:cs="Arial"/>
                <w:color w:val="000000"/>
                <w:sz w:val="18"/>
                <w:szCs w:val="18"/>
              </w:rPr>
              <w:t>887,247,433</w:t>
            </w:r>
          </w:p>
        </w:tc>
      </w:tr>
      <w:tr w:rsidR="00D868AB" w:rsidRPr="00D868AB" w14:paraId="77601D51" w14:textId="77777777" w:rsidTr="00827E3E">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540158A4" w14:textId="77777777" w:rsidR="00D868AB" w:rsidRPr="00D868AB" w:rsidRDefault="00D868AB" w:rsidP="00D868AB">
            <w:pPr>
              <w:jc w:val="center"/>
              <w:rPr>
                <w:rFonts w:cs="Arial"/>
                <w:sz w:val="18"/>
                <w:szCs w:val="18"/>
                <w:lang w:val="es-ES"/>
              </w:rPr>
            </w:pPr>
            <w:r w:rsidRPr="00D868AB">
              <w:rPr>
                <w:rFonts w:cs="Arial"/>
                <w:sz w:val="18"/>
                <w:szCs w:val="18"/>
                <w:lang w:val="es-ES"/>
              </w:rPr>
              <w:t>4</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2814A" w14:textId="77777777" w:rsidR="00D868AB" w:rsidRPr="00D868AB" w:rsidRDefault="00D868AB" w:rsidP="00D868AB">
            <w:pPr>
              <w:rPr>
                <w:rFonts w:cs="Arial"/>
                <w:sz w:val="18"/>
                <w:szCs w:val="18"/>
                <w:lang w:val="es-ES"/>
              </w:rPr>
            </w:pPr>
            <w:r w:rsidRPr="00D868AB">
              <w:rPr>
                <w:rFonts w:cs="Arial"/>
                <w:sz w:val="18"/>
                <w:szCs w:val="18"/>
                <w:lang w:val="es-ES"/>
              </w:rPr>
              <w:t>Pensiones y Jubilaciones.</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2516DB70" w14:textId="77777777" w:rsidR="00D868AB" w:rsidRPr="00D868AB" w:rsidRDefault="00D868AB" w:rsidP="00D868AB">
            <w:pPr>
              <w:jc w:val="right"/>
              <w:rPr>
                <w:rFonts w:cs="Arial"/>
                <w:sz w:val="18"/>
                <w:szCs w:val="18"/>
                <w:lang w:val="es-ES"/>
              </w:rPr>
            </w:pPr>
            <w:r w:rsidRPr="00D868AB">
              <w:rPr>
                <w:rFonts w:cs="Arial"/>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8ED0C36" w14:textId="77777777" w:rsidR="00D868AB" w:rsidRPr="00D868AB" w:rsidRDefault="00D868AB" w:rsidP="00D868AB">
            <w:pPr>
              <w:jc w:val="right"/>
              <w:rPr>
                <w:rFonts w:cs="Arial"/>
                <w:sz w:val="18"/>
                <w:szCs w:val="18"/>
                <w:lang w:val="es-ES"/>
              </w:rPr>
            </w:pPr>
            <w:r w:rsidRPr="00D868AB">
              <w:rPr>
                <w:rFonts w:cs="Arial"/>
                <w:color w:val="000000"/>
                <w:sz w:val="18"/>
                <w:szCs w:val="18"/>
              </w:rPr>
              <w:t>1,139,437,158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8FA5A1F" w14:textId="77777777" w:rsidR="00D868AB" w:rsidRPr="00D868AB" w:rsidRDefault="00D868AB" w:rsidP="00D868AB">
            <w:pPr>
              <w:jc w:val="right"/>
              <w:rPr>
                <w:rFonts w:cs="Arial"/>
                <w:sz w:val="18"/>
                <w:szCs w:val="18"/>
                <w:lang w:val="es-ES"/>
              </w:rPr>
            </w:pPr>
            <w:r w:rsidRPr="00D868AB">
              <w:rPr>
                <w:rFonts w:cs="Arial"/>
                <w:color w:val="000000"/>
                <w:sz w:val="18"/>
                <w:szCs w:val="18"/>
              </w:rPr>
              <w:t>1,139,437,158</w:t>
            </w:r>
          </w:p>
        </w:tc>
      </w:tr>
      <w:tr w:rsidR="00D868AB" w:rsidRPr="00D868AB" w14:paraId="58A260EA" w14:textId="77777777" w:rsidTr="00827E3E">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hideMark/>
          </w:tcPr>
          <w:p w14:paraId="3D51A642" w14:textId="77777777" w:rsidR="00D868AB" w:rsidRPr="00D868AB" w:rsidRDefault="00D868AB" w:rsidP="00D868AB">
            <w:pPr>
              <w:jc w:val="center"/>
              <w:rPr>
                <w:rFonts w:cs="Arial"/>
                <w:sz w:val="18"/>
                <w:szCs w:val="18"/>
                <w:lang w:val="es-ES"/>
              </w:rPr>
            </w:pPr>
            <w:r w:rsidRPr="00D868AB">
              <w:rPr>
                <w:rFonts w:cs="Arial"/>
                <w:sz w:val="18"/>
                <w:szCs w:val="18"/>
                <w:lang w:val="es-ES"/>
              </w:rPr>
              <w:t>5</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4194F" w14:textId="77777777" w:rsidR="00D868AB" w:rsidRPr="00D868AB" w:rsidRDefault="00D868AB" w:rsidP="00D868AB">
            <w:pPr>
              <w:rPr>
                <w:rFonts w:cs="Arial"/>
                <w:sz w:val="18"/>
                <w:szCs w:val="18"/>
                <w:lang w:val="es-ES"/>
              </w:rPr>
            </w:pPr>
            <w:r w:rsidRPr="00D868AB">
              <w:rPr>
                <w:rFonts w:cs="Arial"/>
                <w:sz w:val="18"/>
                <w:szCs w:val="18"/>
                <w:lang w:val="es-ES"/>
              </w:rPr>
              <w:t>Participaciones.</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1B2B8B52" w14:textId="77777777" w:rsidR="00D868AB" w:rsidRPr="00D868AB" w:rsidRDefault="00D868AB" w:rsidP="00D868AB">
            <w:pPr>
              <w:jc w:val="right"/>
              <w:rPr>
                <w:rFonts w:cs="Arial"/>
                <w:sz w:val="18"/>
                <w:szCs w:val="18"/>
                <w:lang w:val="es-ES"/>
              </w:rPr>
            </w:pPr>
            <w:r w:rsidRPr="00D868AB">
              <w:rPr>
                <w:rFonts w:cs="Arial"/>
                <w:color w:val="000000"/>
                <w:sz w:val="18"/>
                <w:szCs w:val="18"/>
              </w:rPr>
              <w:t>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8C954A" w14:textId="77777777" w:rsidR="00D868AB" w:rsidRPr="00D868AB" w:rsidRDefault="00D868AB" w:rsidP="00D868AB">
            <w:pPr>
              <w:jc w:val="right"/>
              <w:rPr>
                <w:rFonts w:cs="Arial"/>
                <w:sz w:val="18"/>
                <w:szCs w:val="18"/>
                <w:lang w:val="es-ES"/>
              </w:rPr>
            </w:pPr>
            <w:r w:rsidRPr="00D868AB">
              <w:rPr>
                <w:rFonts w:cs="Arial"/>
                <w:color w:val="000000"/>
                <w:sz w:val="18"/>
                <w:szCs w:val="18"/>
              </w:rPr>
              <w:t>3,297,624,261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C483191" w14:textId="77777777" w:rsidR="00D868AB" w:rsidRPr="00D868AB" w:rsidRDefault="00D868AB" w:rsidP="00D868AB">
            <w:pPr>
              <w:jc w:val="right"/>
              <w:rPr>
                <w:rFonts w:cs="Arial"/>
                <w:sz w:val="18"/>
                <w:szCs w:val="18"/>
                <w:lang w:val="es-ES"/>
              </w:rPr>
            </w:pPr>
            <w:r w:rsidRPr="00D868AB">
              <w:rPr>
                <w:rFonts w:cs="Arial"/>
                <w:color w:val="000000"/>
                <w:sz w:val="18"/>
                <w:szCs w:val="18"/>
              </w:rPr>
              <w:t>3,297,624,261</w:t>
            </w:r>
          </w:p>
        </w:tc>
      </w:tr>
      <w:tr w:rsidR="00D868AB" w:rsidRPr="00D868AB" w14:paraId="43D7CD0D" w14:textId="77777777" w:rsidTr="00827E3E">
        <w:trPr>
          <w:trHeight w:val="227"/>
        </w:trPr>
        <w:tc>
          <w:tcPr>
            <w:tcW w:w="546" w:type="dxa"/>
            <w:tcBorders>
              <w:top w:val="single" w:sz="4" w:space="0" w:color="auto"/>
              <w:left w:val="single" w:sz="4" w:space="0" w:color="auto"/>
              <w:bottom w:val="single" w:sz="4" w:space="0" w:color="auto"/>
              <w:right w:val="single" w:sz="4" w:space="0" w:color="auto"/>
            </w:tcBorders>
            <w:shd w:val="clear" w:color="auto" w:fill="auto"/>
          </w:tcPr>
          <w:p w14:paraId="686CD7A8" w14:textId="77777777" w:rsidR="00D868AB" w:rsidRPr="00D868AB" w:rsidRDefault="00D868AB" w:rsidP="00D868AB">
            <w:pPr>
              <w:jc w:val="center"/>
              <w:rPr>
                <w:rFonts w:cs="Arial"/>
                <w:sz w:val="18"/>
                <w:szCs w:val="18"/>
                <w:lang w:val="es-ES"/>
              </w:rPr>
            </w:pP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14:paraId="329A4264" w14:textId="77777777" w:rsidR="00D868AB" w:rsidRPr="00D868AB" w:rsidRDefault="00D868AB" w:rsidP="00D868AB">
            <w:pPr>
              <w:jc w:val="center"/>
              <w:rPr>
                <w:rFonts w:cs="Arial"/>
                <w:b/>
                <w:sz w:val="18"/>
                <w:szCs w:val="18"/>
                <w:lang w:val="es-ES"/>
              </w:rPr>
            </w:pPr>
            <w:r w:rsidRPr="00D868AB">
              <w:rPr>
                <w:rFonts w:cs="Arial"/>
                <w:b/>
                <w:sz w:val="18"/>
                <w:szCs w:val="18"/>
                <w:lang w:val="es-ES"/>
              </w:rPr>
              <w:t>Total</w:t>
            </w:r>
          </w:p>
        </w:tc>
        <w:tc>
          <w:tcPr>
            <w:tcW w:w="1472" w:type="dxa"/>
            <w:tcBorders>
              <w:top w:val="single" w:sz="4" w:space="0" w:color="auto"/>
              <w:left w:val="single" w:sz="4" w:space="0" w:color="auto"/>
              <w:bottom w:val="single" w:sz="4" w:space="0" w:color="auto"/>
              <w:right w:val="single" w:sz="4" w:space="0" w:color="auto"/>
            </w:tcBorders>
            <w:shd w:val="clear" w:color="auto" w:fill="auto"/>
            <w:vAlign w:val="center"/>
          </w:tcPr>
          <w:p w14:paraId="62F1C18E" w14:textId="77777777" w:rsidR="00D868AB" w:rsidRPr="00D868AB" w:rsidRDefault="00D868AB" w:rsidP="00D868AB">
            <w:pPr>
              <w:jc w:val="right"/>
              <w:rPr>
                <w:rFonts w:cs="Arial"/>
                <w:sz w:val="18"/>
                <w:szCs w:val="18"/>
                <w:lang w:val="es-ES"/>
              </w:rPr>
            </w:pPr>
            <w:r w:rsidRPr="00D868AB">
              <w:rPr>
                <w:rFonts w:cs="Arial"/>
                <w:b/>
                <w:bCs/>
                <w:color w:val="000000"/>
                <w:sz w:val="18"/>
                <w:szCs w:val="18"/>
              </w:rPr>
              <w:t>14,632,127,707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6F9B4C82" w14:textId="77777777" w:rsidR="00D868AB" w:rsidRPr="00D868AB" w:rsidRDefault="00D868AB" w:rsidP="00D868AB">
            <w:pPr>
              <w:jc w:val="right"/>
              <w:rPr>
                <w:rFonts w:cs="Arial"/>
                <w:sz w:val="18"/>
                <w:szCs w:val="18"/>
                <w:lang w:val="es-ES"/>
              </w:rPr>
            </w:pPr>
            <w:r w:rsidRPr="00D868AB">
              <w:rPr>
                <w:rFonts w:cs="Arial"/>
                <w:b/>
                <w:bCs/>
                <w:color w:val="000000"/>
                <w:sz w:val="18"/>
                <w:szCs w:val="18"/>
              </w:rPr>
              <w:t>5,923,172,293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3D314F5" w14:textId="77777777" w:rsidR="00D868AB" w:rsidRPr="00D868AB" w:rsidRDefault="00D868AB" w:rsidP="00D868AB">
            <w:pPr>
              <w:jc w:val="right"/>
              <w:rPr>
                <w:rFonts w:cs="Arial"/>
                <w:sz w:val="18"/>
                <w:szCs w:val="18"/>
                <w:lang w:val="es-ES"/>
              </w:rPr>
            </w:pPr>
            <w:r w:rsidRPr="00D868AB">
              <w:rPr>
                <w:rFonts w:cs="Arial"/>
                <w:b/>
                <w:bCs/>
                <w:color w:val="000000"/>
                <w:sz w:val="18"/>
                <w:szCs w:val="18"/>
              </w:rPr>
              <w:t>20,555,300,000</w:t>
            </w:r>
          </w:p>
        </w:tc>
      </w:tr>
    </w:tbl>
    <w:p w14:paraId="48E24197" w14:textId="77777777" w:rsidR="00D868AB" w:rsidRPr="00D868AB" w:rsidRDefault="00D868AB" w:rsidP="00D868AB">
      <w:pPr>
        <w:rPr>
          <w:rFonts w:cs="Arial"/>
          <w:b/>
          <w:lang w:val="es-ES"/>
        </w:rPr>
      </w:pPr>
    </w:p>
    <w:p w14:paraId="2AFB1DD7" w14:textId="77777777" w:rsidR="00D868AB" w:rsidRPr="00D868AB" w:rsidRDefault="00D868AB" w:rsidP="00D868AB">
      <w:pPr>
        <w:rPr>
          <w:rFonts w:cs="Arial"/>
          <w:lang w:val="es-ES"/>
        </w:rPr>
      </w:pPr>
      <w:r w:rsidRPr="00D868AB">
        <w:rPr>
          <w:rFonts w:cs="Arial"/>
          <w:lang w:val="es-ES"/>
        </w:rPr>
        <w:t xml:space="preserve">VI. La </w:t>
      </w:r>
      <w:r w:rsidRPr="00D868AB">
        <w:rPr>
          <w:rFonts w:cs="Arial"/>
          <w:b/>
          <w:lang w:val="es-ES"/>
        </w:rPr>
        <w:t>Clasificación Programática,</w:t>
      </w:r>
      <w:r w:rsidRPr="00D868AB">
        <w:rPr>
          <w:rFonts w:cs="Arial"/>
          <w:lang w:val="es-ES"/>
        </w:rPr>
        <w:t xml:space="preserve"> es la siguiente:</w:t>
      </w:r>
    </w:p>
    <w:p w14:paraId="7EB48EBA" w14:textId="77777777" w:rsidR="00D868AB" w:rsidRPr="00D868AB" w:rsidRDefault="00D868AB" w:rsidP="00D868AB">
      <w:pPr>
        <w:keepNext/>
        <w:keepLines/>
        <w:jc w:val="center"/>
        <w:outlineLvl w:val="1"/>
        <w:rPr>
          <w:rFonts w:eastAsia="Times New Roman" w:cs="Arial"/>
          <w:b/>
          <w:lang w:val="es-ES"/>
        </w:rPr>
      </w:pPr>
    </w:p>
    <w:tbl>
      <w:tblPr>
        <w:tblW w:w="8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629"/>
        <w:gridCol w:w="1468"/>
        <w:gridCol w:w="1368"/>
        <w:gridCol w:w="1468"/>
      </w:tblGrid>
      <w:tr w:rsidR="00D868AB" w:rsidRPr="00D868AB" w14:paraId="45BF72C7" w14:textId="77777777" w:rsidTr="00A755A7">
        <w:trPr>
          <w:trHeight w:val="20"/>
          <w:tblHeader/>
          <w:jc w:val="center"/>
        </w:trPr>
        <w:tc>
          <w:tcPr>
            <w:tcW w:w="8687" w:type="dxa"/>
            <w:gridSpan w:val="5"/>
            <w:tcBorders>
              <w:top w:val="nil"/>
              <w:left w:val="nil"/>
              <w:bottom w:val="single" w:sz="4" w:space="0" w:color="auto"/>
              <w:right w:val="nil"/>
            </w:tcBorders>
            <w:shd w:val="clear" w:color="auto" w:fill="auto"/>
            <w:noWrap/>
            <w:vAlign w:val="center"/>
          </w:tcPr>
          <w:p w14:paraId="6FD47CAA" w14:textId="77777777" w:rsidR="00D868AB" w:rsidRPr="00D868AB" w:rsidRDefault="00D868AB" w:rsidP="00D868AB">
            <w:pPr>
              <w:keepNext/>
              <w:keepLines/>
              <w:jc w:val="center"/>
              <w:outlineLvl w:val="1"/>
              <w:rPr>
                <w:rFonts w:cs="Arial"/>
                <w:b/>
                <w:bCs/>
                <w:sz w:val="18"/>
                <w:szCs w:val="18"/>
                <w:lang w:val="es-ES"/>
              </w:rPr>
            </w:pPr>
            <w:bookmarkStart w:id="326" w:name="_Toc22022029"/>
            <w:bookmarkStart w:id="327" w:name="_Toc22983262"/>
            <w:r w:rsidRPr="00D868AB">
              <w:rPr>
                <w:rFonts w:eastAsia="Times New Roman" w:cs="Arial"/>
                <w:b/>
                <w:sz w:val="20"/>
                <w:szCs w:val="18"/>
                <w:lang w:val="es-ES"/>
              </w:rPr>
              <w:t xml:space="preserve">Tabla 72. Clasificación Programática </w:t>
            </w:r>
            <w:r w:rsidRPr="00D868AB">
              <w:rPr>
                <w:rFonts w:eastAsia="Times New Roman" w:cs="Arial"/>
                <w:b/>
                <w:sz w:val="18"/>
                <w:szCs w:val="18"/>
                <w:lang w:val="es-ES"/>
              </w:rPr>
              <w:br/>
              <w:t>(Tipología General)</w:t>
            </w:r>
            <w:bookmarkEnd w:id="326"/>
            <w:bookmarkEnd w:id="327"/>
          </w:p>
        </w:tc>
      </w:tr>
      <w:tr w:rsidR="00D868AB" w:rsidRPr="00D868AB" w14:paraId="5B198286" w14:textId="77777777" w:rsidTr="00A755A7">
        <w:trPr>
          <w:trHeight w:val="20"/>
          <w:tblHeader/>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32138"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Programas Presupuestarios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E54E1" w14:textId="77777777" w:rsidR="00D868AB" w:rsidRPr="00D868AB" w:rsidRDefault="00D868AB" w:rsidP="00D868AB">
            <w:pPr>
              <w:ind w:left="-145" w:right="-151"/>
              <w:jc w:val="center"/>
              <w:rPr>
                <w:rFonts w:cs="Arial"/>
                <w:b/>
                <w:sz w:val="18"/>
                <w:szCs w:val="18"/>
                <w:lang w:val="es-ES"/>
              </w:rPr>
            </w:pPr>
            <w:r w:rsidRPr="00D868AB">
              <w:rPr>
                <w:rFonts w:cs="Arial"/>
                <w:b/>
                <w:sz w:val="18"/>
                <w:szCs w:val="18"/>
                <w:lang w:val="es-ES"/>
              </w:rPr>
              <w:t>Clave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74B3F63" w14:textId="77777777" w:rsidR="00D868AB" w:rsidRPr="00D868AB" w:rsidRDefault="00D868AB" w:rsidP="00D868AB">
            <w:pPr>
              <w:jc w:val="center"/>
              <w:rPr>
                <w:rFonts w:cs="Arial"/>
                <w:b/>
                <w:bCs/>
                <w:sz w:val="18"/>
                <w:szCs w:val="18"/>
                <w:lang w:val="es-ES"/>
              </w:rPr>
            </w:pPr>
            <w:r w:rsidRPr="00D868AB">
              <w:rPr>
                <w:rFonts w:cs="Arial"/>
                <w:b/>
                <w:sz w:val="18"/>
                <w:szCs w:val="18"/>
                <w:lang w:val="es-ES"/>
              </w:rPr>
              <w:t>Gasto Programable</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CCB9859" w14:textId="77777777" w:rsidR="00D868AB" w:rsidRPr="00D868AB" w:rsidRDefault="00D868AB" w:rsidP="00D868AB">
            <w:pPr>
              <w:jc w:val="center"/>
              <w:rPr>
                <w:rFonts w:cs="Arial"/>
                <w:b/>
                <w:bCs/>
                <w:sz w:val="18"/>
                <w:szCs w:val="18"/>
                <w:lang w:val="es-ES"/>
              </w:rPr>
            </w:pPr>
            <w:r w:rsidRPr="00D868AB">
              <w:rPr>
                <w:rFonts w:cs="Arial"/>
                <w:b/>
                <w:sz w:val="18"/>
                <w:szCs w:val="18"/>
                <w:lang w:val="es-ES"/>
              </w:rPr>
              <w:t>Gasto No Programable</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A070F0"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Asignación Presupuestal</w:t>
            </w:r>
          </w:p>
        </w:tc>
      </w:tr>
      <w:tr w:rsidR="00D868AB" w:rsidRPr="00D868AB" w14:paraId="07B4A53A"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138A0" w14:textId="77777777" w:rsidR="00D868AB" w:rsidRPr="00D868AB" w:rsidRDefault="00D868AB" w:rsidP="00D868AB">
            <w:pPr>
              <w:rPr>
                <w:rFonts w:cs="Arial"/>
                <w:b/>
                <w:bCs/>
                <w:sz w:val="18"/>
                <w:szCs w:val="18"/>
                <w:lang w:val="es-ES"/>
              </w:rPr>
            </w:pPr>
            <w:r w:rsidRPr="00D868AB">
              <w:rPr>
                <w:rFonts w:cs="Arial"/>
                <w:b/>
                <w:bCs/>
                <w:sz w:val="18"/>
                <w:szCs w:val="18"/>
                <w:lang w:val="es-ES"/>
              </w:rPr>
              <w:t>Subsidios: Sector Social y Privado o Entidades Federativas y Municipios.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64C2F" w14:textId="77777777" w:rsidR="00D868AB" w:rsidRPr="00D868AB" w:rsidRDefault="00D868AB" w:rsidP="00D868AB">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tcPr>
          <w:p w14:paraId="79357CDD" w14:textId="77777777" w:rsidR="00D868AB" w:rsidRPr="00D868AB" w:rsidRDefault="00D868AB" w:rsidP="00D868AB">
            <w:pPr>
              <w:jc w:val="right"/>
              <w:rPr>
                <w:rFonts w:cs="Arial"/>
                <w:b/>
                <w:sz w:val="18"/>
                <w:szCs w:val="18"/>
                <w:lang w:val="es-E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14:paraId="140429AB" w14:textId="77777777" w:rsidR="00D868AB" w:rsidRPr="00D868AB" w:rsidRDefault="00D868AB" w:rsidP="00D868AB">
            <w:pPr>
              <w:jc w:val="right"/>
              <w:rPr>
                <w:rFonts w:cs="Arial"/>
                <w:b/>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BF3080" w14:textId="77777777" w:rsidR="00D868AB" w:rsidRPr="00D868AB" w:rsidRDefault="00D868AB" w:rsidP="00D868AB">
            <w:pPr>
              <w:jc w:val="right"/>
              <w:rPr>
                <w:rFonts w:cs="Arial"/>
                <w:b/>
                <w:sz w:val="18"/>
                <w:szCs w:val="18"/>
                <w:lang w:val="es-ES"/>
              </w:rPr>
            </w:pPr>
          </w:p>
        </w:tc>
      </w:tr>
      <w:tr w:rsidR="00D868AB" w:rsidRPr="00D868AB" w14:paraId="75C69B25"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3345F6" w14:textId="77777777" w:rsidR="00D868AB" w:rsidRPr="00D868AB" w:rsidRDefault="00D868AB" w:rsidP="00D868AB">
            <w:pPr>
              <w:ind w:left="252"/>
              <w:rPr>
                <w:rFonts w:cs="Arial"/>
                <w:sz w:val="18"/>
                <w:szCs w:val="18"/>
                <w:lang w:val="es-ES"/>
              </w:rPr>
            </w:pPr>
            <w:r w:rsidRPr="00D868AB">
              <w:rPr>
                <w:rFonts w:cs="Arial"/>
                <w:sz w:val="18"/>
                <w:szCs w:val="18"/>
                <w:lang w:val="es-ES"/>
              </w:rPr>
              <w:t>Sujetos a Reglas de Operación.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FC86F" w14:textId="77777777" w:rsidR="00D868AB" w:rsidRPr="00D868AB" w:rsidRDefault="00D868AB" w:rsidP="00D868AB">
            <w:pPr>
              <w:jc w:val="center"/>
              <w:rPr>
                <w:rFonts w:cs="Arial"/>
                <w:b/>
                <w:sz w:val="18"/>
                <w:szCs w:val="18"/>
                <w:lang w:val="es-ES"/>
              </w:rPr>
            </w:pPr>
            <w:r w:rsidRPr="00D868AB">
              <w:rPr>
                <w:rFonts w:cs="Arial"/>
                <w:b/>
                <w:sz w:val="18"/>
                <w:szCs w:val="18"/>
                <w:lang w:val="es-ES"/>
              </w:rPr>
              <w:t>S</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2890A89"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389,437,648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E661D28"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97D3E"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389,437,648 </w:t>
            </w:r>
          </w:p>
        </w:tc>
      </w:tr>
      <w:tr w:rsidR="00D868AB" w:rsidRPr="00D868AB" w14:paraId="6D1C1320"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AE2A9" w14:textId="77777777" w:rsidR="00D868AB" w:rsidRPr="00D868AB" w:rsidRDefault="00D868AB" w:rsidP="00D868AB">
            <w:pPr>
              <w:ind w:left="252"/>
              <w:rPr>
                <w:rFonts w:cs="Arial"/>
                <w:sz w:val="18"/>
                <w:szCs w:val="18"/>
                <w:lang w:val="es-ES"/>
              </w:rPr>
            </w:pPr>
            <w:r w:rsidRPr="00D868AB">
              <w:rPr>
                <w:rFonts w:cs="Arial"/>
                <w:sz w:val="18"/>
                <w:szCs w:val="18"/>
                <w:lang w:val="es-ES"/>
              </w:rPr>
              <w:t>Otros Subsidios.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164FEC" w14:textId="77777777" w:rsidR="00D868AB" w:rsidRPr="00D868AB" w:rsidRDefault="00D868AB" w:rsidP="00D868AB">
            <w:pPr>
              <w:jc w:val="center"/>
              <w:rPr>
                <w:rFonts w:cs="Arial"/>
                <w:b/>
                <w:sz w:val="18"/>
                <w:szCs w:val="18"/>
                <w:lang w:val="es-ES"/>
              </w:rPr>
            </w:pPr>
            <w:r w:rsidRPr="00D868AB">
              <w:rPr>
                <w:rFonts w:cs="Arial"/>
                <w:b/>
                <w:sz w:val="18"/>
                <w:szCs w:val="18"/>
                <w:lang w:val="es-ES"/>
              </w:rPr>
              <w:t>U</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0050B79"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788,047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C95C273"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390,000,000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19708"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390,788,047 </w:t>
            </w:r>
          </w:p>
        </w:tc>
      </w:tr>
      <w:tr w:rsidR="00D868AB" w:rsidRPr="00D868AB" w14:paraId="116ED083"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6B154" w14:textId="77777777" w:rsidR="00D868AB" w:rsidRPr="00D868AB" w:rsidRDefault="00D868AB" w:rsidP="00D868AB">
            <w:pPr>
              <w:rPr>
                <w:rFonts w:cs="Arial"/>
                <w:b/>
                <w:bCs/>
                <w:sz w:val="18"/>
                <w:szCs w:val="18"/>
                <w:lang w:val="es-ES"/>
              </w:rPr>
            </w:pPr>
            <w:r w:rsidRPr="00D868AB">
              <w:rPr>
                <w:rFonts w:cs="Arial"/>
                <w:b/>
                <w:bCs/>
                <w:sz w:val="18"/>
                <w:szCs w:val="18"/>
                <w:lang w:val="es-ES"/>
              </w:rPr>
              <w:t>Desempeño de las Funciones.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DC35A" w14:textId="77777777" w:rsidR="00D868AB" w:rsidRPr="00D868AB" w:rsidRDefault="00D868AB" w:rsidP="00D868AB">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D5C1363"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0607F94"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B169A"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r>
      <w:tr w:rsidR="00D868AB" w:rsidRPr="00D868AB" w14:paraId="292726A7"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41FEC4" w14:textId="77777777" w:rsidR="00D868AB" w:rsidRPr="00D868AB" w:rsidRDefault="00D868AB" w:rsidP="00D868AB">
            <w:pPr>
              <w:ind w:left="252"/>
              <w:rPr>
                <w:rFonts w:cs="Arial"/>
                <w:sz w:val="18"/>
                <w:szCs w:val="18"/>
                <w:lang w:val="es-ES"/>
              </w:rPr>
            </w:pPr>
            <w:r w:rsidRPr="00D868AB">
              <w:rPr>
                <w:rFonts w:cs="Arial"/>
                <w:sz w:val="18"/>
                <w:szCs w:val="18"/>
                <w:lang w:val="es-ES"/>
              </w:rPr>
              <w:t>Prestación de Servicios Públicos.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7827C" w14:textId="77777777" w:rsidR="00D868AB" w:rsidRPr="00D868AB" w:rsidRDefault="00D868AB" w:rsidP="00D868AB">
            <w:pPr>
              <w:jc w:val="center"/>
              <w:rPr>
                <w:rFonts w:cs="Arial"/>
                <w:b/>
                <w:sz w:val="18"/>
                <w:szCs w:val="18"/>
                <w:lang w:val="es-ES"/>
              </w:rPr>
            </w:pPr>
            <w:r w:rsidRPr="00D868AB">
              <w:rPr>
                <w:rFonts w:cs="Arial"/>
                <w:b/>
                <w:sz w:val="18"/>
                <w:szCs w:val="18"/>
                <w:lang w:val="es-ES"/>
              </w:rPr>
              <w:t>E</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7B5D4B8"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12,310,944,198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45AE727B"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111,258,505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AB824"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12,422,202,703 </w:t>
            </w:r>
          </w:p>
        </w:tc>
      </w:tr>
      <w:tr w:rsidR="00D868AB" w:rsidRPr="00D868AB" w14:paraId="165FD5A2"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02ABE2" w14:textId="77777777" w:rsidR="00D868AB" w:rsidRPr="00D868AB" w:rsidRDefault="00D868AB" w:rsidP="00D868AB">
            <w:pPr>
              <w:ind w:left="252"/>
              <w:rPr>
                <w:rFonts w:cs="Arial"/>
                <w:sz w:val="18"/>
                <w:szCs w:val="18"/>
                <w:lang w:val="es-ES"/>
              </w:rPr>
            </w:pPr>
            <w:r w:rsidRPr="00D868AB">
              <w:rPr>
                <w:rFonts w:cs="Arial"/>
                <w:sz w:val="18"/>
                <w:szCs w:val="18"/>
                <w:lang w:val="es-ES"/>
              </w:rPr>
              <w:t>Provisión de Bienes Públicos.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8E76D" w14:textId="77777777" w:rsidR="00D868AB" w:rsidRPr="00D868AB" w:rsidRDefault="00D868AB" w:rsidP="00D868AB">
            <w:pPr>
              <w:jc w:val="center"/>
              <w:rPr>
                <w:rFonts w:cs="Arial"/>
                <w:b/>
                <w:sz w:val="18"/>
                <w:szCs w:val="18"/>
                <w:lang w:val="es-ES"/>
              </w:rPr>
            </w:pPr>
            <w:r w:rsidRPr="00D868AB">
              <w:rPr>
                <w:rFonts w:cs="Arial"/>
                <w:b/>
                <w:sz w:val="18"/>
                <w:szCs w:val="18"/>
                <w:lang w:val="es-ES"/>
              </w:rPr>
              <w:t>B</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A2310C5"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8,321,351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E473D0B"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DA2EA"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8,321,351 </w:t>
            </w:r>
          </w:p>
        </w:tc>
      </w:tr>
      <w:tr w:rsidR="00D868AB" w:rsidRPr="00D868AB" w14:paraId="114F043E"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936D88" w14:textId="77777777" w:rsidR="00D868AB" w:rsidRPr="00D868AB" w:rsidRDefault="00D868AB" w:rsidP="00D868AB">
            <w:pPr>
              <w:ind w:left="252"/>
              <w:rPr>
                <w:rFonts w:cs="Arial"/>
                <w:sz w:val="18"/>
                <w:szCs w:val="18"/>
                <w:lang w:val="es-ES"/>
              </w:rPr>
            </w:pPr>
            <w:r w:rsidRPr="00D868AB">
              <w:rPr>
                <w:rFonts w:cs="Arial"/>
                <w:sz w:val="18"/>
                <w:szCs w:val="18"/>
                <w:lang w:val="es-ES"/>
              </w:rPr>
              <w:t>Planeación, Seguimiento y Evaluación de Políticas Públicas.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DF7C3" w14:textId="77777777" w:rsidR="00D868AB" w:rsidRPr="00D868AB" w:rsidRDefault="00D868AB" w:rsidP="00D868AB">
            <w:pPr>
              <w:jc w:val="center"/>
              <w:rPr>
                <w:rFonts w:cs="Arial"/>
                <w:b/>
                <w:sz w:val="18"/>
                <w:szCs w:val="18"/>
                <w:lang w:val="es-ES"/>
              </w:rPr>
            </w:pPr>
            <w:r w:rsidRPr="00D868AB">
              <w:rPr>
                <w:rFonts w:cs="Arial"/>
                <w:b/>
                <w:sz w:val="18"/>
                <w:szCs w:val="18"/>
                <w:lang w:val="es-ES"/>
              </w:rPr>
              <w:t>P</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576C955"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63,721,422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916A563"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61,227,157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382D6"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124,948,579 </w:t>
            </w:r>
          </w:p>
        </w:tc>
      </w:tr>
      <w:tr w:rsidR="00D868AB" w:rsidRPr="00D868AB" w14:paraId="7A6DBF0F"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705A" w14:textId="77777777" w:rsidR="00D868AB" w:rsidRPr="00D868AB" w:rsidRDefault="00D868AB" w:rsidP="00D868AB">
            <w:pPr>
              <w:ind w:left="252"/>
              <w:rPr>
                <w:rFonts w:cs="Arial"/>
                <w:sz w:val="18"/>
                <w:szCs w:val="18"/>
                <w:lang w:val="es-ES"/>
              </w:rPr>
            </w:pPr>
            <w:r w:rsidRPr="00D868AB">
              <w:rPr>
                <w:rFonts w:cs="Arial"/>
                <w:sz w:val="18"/>
                <w:szCs w:val="18"/>
                <w:lang w:val="es-ES"/>
              </w:rPr>
              <w:t>Promoción y Fomento.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7CFE85" w14:textId="77777777" w:rsidR="00D868AB" w:rsidRPr="00D868AB" w:rsidRDefault="00D868AB" w:rsidP="00D868AB">
            <w:pPr>
              <w:jc w:val="center"/>
              <w:rPr>
                <w:rFonts w:cs="Arial"/>
                <w:b/>
                <w:sz w:val="18"/>
                <w:szCs w:val="18"/>
                <w:lang w:val="es-ES"/>
              </w:rPr>
            </w:pPr>
            <w:r w:rsidRPr="00D868AB">
              <w:rPr>
                <w:rFonts w:cs="Arial"/>
                <w:b/>
                <w:sz w:val="18"/>
                <w:szCs w:val="18"/>
                <w:lang w:val="es-ES"/>
              </w:rPr>
              <w:t>F</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C3CF548"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226,750,068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99A9125"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BEDE95"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226,750,068 </w:t>
            </w:r>
          </w:p>
        </w:tc>
      </w:tr>
      <w:tr w:rsidR="00D868AB" w:rsidRPr="00D868AB" w14:paraId="7FA1A7BC"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7A6D9" w14:textId="77777777" w:rsidR="00D868AB" w:rsidRPr="00D868AB" w:rsidRDefault="00D868AB" w:rsidP="00D868AB">
            <w:pPr>
              <w:ind w:left="252"/>
              <w:rPr>
                <w:rFonts w:cs="Arial"/>
                <w:sz w:val="18"/>
                <w:szCs w:val="18"/>
                <w:lang w:val="es-ES"/>
              </w:rPr>
            </w:pPr>
            <w:r w:rsidRPr="00D868AB">
              <w:rPr>
                <w:rFonts w:cs="Arial"/>
                <w:sz w:val="18"/>
                <w:szCs w:val="18"/>
                <w:lang w:val="es-ES"/>
              </w:rPr>
              <w:t>Regulación y Supervisión.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8AB2C" w14:textId="77777777" w:rsidR="00D868AB" w:rsidRPr="00D868AB" w:rsidRDefault="00D868AB" w:rsidP="00D868AB">
            <w:pPr>
              <w:jc w:val="center"/>
              <w:rPr>
                <w:rFonts w:cs="Arial"/>
                <w:b/>
                <w:sz w:val="18"/>
                <w:szCs w:val="18"/>
                <w:lang w:val="es-ES"/>
              </w:rPr>
            </w:pPr>
            <w:r w:rsidRPr="00D868AB">
              <w:rPr>
                <w:rFonts w:cs="Arial"/>
                <w:b/>
                <w:sz w:val="18"/>
                <w:szCs w:val="18"/>
                <w:lang w:val="es-ES"/>
              </w:rPr>
              <w:t>G</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52B96BE"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31,431,771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442D61C"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1CB6E9"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31,431,771 </w:t>
            </w:r>
          </w:p>
        </w:tc>
      </w:tr>
      <w:tr w:rsidR="00D868AB" w:rsidRPr="00D868AB" w14:paraId="3255DB1E"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ACE61C" w14:textId="77777777" w:rsidR="00D868AB" w:rsidRPr="00D868AB" w:rsidRDefault="00D868AB" w:rsidP="00D868AB">
            <w:pPr>
              <w:ind w:left="252"/>
              <w:rPr>
                <w:rFonts w:cs="Arial"/>
                <w:sz w:val="18"/>
                <w:szCs w:val="18"/>
                <w:lang w:val="es-ES"/>
              </w:rPr>
            </w:pPr>
            <w:r w:rsidRPr="00D868AB">
              <w:rPr>
                <w:rFonts w:cs="Arial"/>
                <w:sz w:val="18"/>
                <w:szCs w:val="18"/>
                <w:lang w:val="es-ES"/>
              </w:rPr>
              <w:t>Funciones de las Fuerzas Armadas (Únicamente Gobierno Federal).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4B908" w14:textId="77777777" w:rsidR="00D868AB" w:rsidRPr="00D868AB" w:rsidRDefault="00D868AB" w:rsidP="00D868AB">
            <w:pPr>
              <w:jc w:val="center"/>
              <w:rPr>
                <w:rFonts w:cs="Arial"/>
                <w:b/>
                <w:sz w:val="18"/>
                <w:szCs w:val="18"/>
                <w:lang w:val="es-ES"/>
              </w:rPr>
            </w:pPr>
            <w:r w:rsidRPr="00D868AB">
              <w:rPr>
                <w:rFonts w:cs="Arial"/>
                <w:b/>
                <w:sz w:val="18"/>
                <w:szCs w:val="18"/>
                <w:lang w:val="es-ES"/>
              </w:rPr>
              <w:t>A</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33B414C"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344CED7"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FB380"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r>
      <w:tr w:rsidR="00D868AB" w:rsidRPr="00D868AB" w14:paraId="2042D2CD"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3DF6B" w14:textId="77777777" w:rsidR="00D868AB" w:rsidRPr="00D868AB" w:rsidRDefault="00D868AB" w:rsidP="00D868AB">
            <w:pPr>
              <w:ind w:left="252"/>
              <w:rPr>
                <w:rFonts w:cs="Arial"/>
                <w:sz w:val="18"/>
                <w:szCs w:val="18"/>
                <w:lang w:val="es-ES"/>
              </w:rPr>
            </w:pPr>
            <w:r w:rsidRPr="00D868AB">
              <w:rPr>
                <w:rFonts w:cs="Arial"/>
                <w:sz w:val="18"/>
                <w:szCs w:val="18"/>
                <w:lang w:val="es-ES"/>
              </w:rPr>
              <w:t>Específicos.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ECFAE" w14:textId="77777777" w:rsidR="00D868AB" w:rsidRPr="00D868AB" w:rsidRDefault="00D868AB" w:rsidP="00D868AB">
            <w:pPr>
              <w:jc w:val="center"/>
              <w:rPr>
                <w:rFonts w:cs="Arial"/>
                <w:b/>
                <w:sz w:val="18"/>
                <w:szCs w:val="18"/>
                <w:lang w:val="es-ES"/>
              </w:rPr>
            </w:pPr>
            <w:r w:rsidRPr="00D868AB">
              <w:rPr>
                <w:rFonts w:cs="Arial"/>
                <w:b/>
                <w:sz w:val="18"/>
                <w:szCs w:val="18"/>
                <w:lang w:val="es-ES"/>
              </w:rPr>
              <w:t>R</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3522ED1"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2DAAAEC"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127,286,967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DBCC8C"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127,286,967 </w:t>
            </w:r>
          </w:p>
        </w:tc>
      </w:tr>
      <w:tr w:rsidR="00D868AB" w:rsidRPr="00D868AB" w14:paraId="7CC25E6D"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BA50" w14:textId="77777777" w:rsidR="00D868AB" w:rsidRPr="00D868AB" w:rsidRDefault="00D868AB" w:rsidP="00D868AB">
            <w:pPr>
              <w:ind w:left="252"/>
              <w:rPr>
                <w:rFonts w:cs="Arial"/>
                <w:sz w:val="18"/>
                <w:szCs w:val="18"/>
                <w:lang w:val="es-ES"/>
              </w:rPr>
            </w:pPr>
            <w:r w:rsidRPr="00D868AB">
              <w:rPr>
                <w:rFonts w:cs="Arial"/>
                <w:sz w:val="18"/>
                <w:szCs w:val="18"/>
                <w:lang w:val="es-ES"/>
              </w:rPr>
              <w:t>Proyectos de Inversión.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16D66" w14:textId="77777777" w:rsidR="00D868AB" w:rsidRPr="00D868AB" w:rsidRDefault="00D868AB" w:rsidP="00D868AB">
            <w:pPr>
              <w:jc w:val="center"/>
              <w:rPr>
                <w:rFonts w:cs="Arial"/>
                <w:b/>
                <w:sz w:val="18"/>
                <w:szCs w:val="18"/>
                <w:lang w:val="es-ES"/>
              </w:rPr>
            </w:pPr>
            <w:r w:rsidRPr="00D868AB">
              <w:rPr>
                <w:rFonts w:cs="Arial"/>
                <w:b/>
                <w:sz w:val="18"/>
                <w:szCs w:val="18"/>
                <w:lang w:val="es-ES"/>
              </w:rPr>
              <w:t>K</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05CEAFD6"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111,397,083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53C46AF"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08C47"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111,397,083 </w:t>
            </w:r>
          </w:p>
        </w:tc>
      </w:tr>
      <w:tr w:rsidR="00D868AB" w:rsidRPr="00D868AB" w14:paraId="3F3D21B1"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AD653F" w14:textId="77777777" w:rsidR="00D868AB" w:rsidRPr="00D868AB" w:rsidRDefault="00D868AB" w:rsidP="00D868AB">
            <w:pPr>
              <w:rPr>
                <w:rFonts w:cs="Arial"/>
                <w:b/>
                <w:bCs/>
                <w:sz w:val="18"/>
                <w:szCs w:val="18"/>
                <w:lang w:val="es-ES"/>
              </w:rPr>
            </w:pPr>
            <w:r w:rsidRPr="00D868AB">
              <w:rPr>
                <w:rFonts w:cs="Arial"/>
                <w:b/>
                <w:bCs/>
                <w:sz w:val="18"/>
                <w:szCs w:val="18"/>
                <w:lang w:val="es-ES"/>
              </w:rPr>
              <w:lastRenderedPageBreak/>
              <w:t>Administrativos y de Apoyo.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20038" w14:textId="77777777" w:rsidR="00D868AB" w:rsidRPr="00D868AB" w:rsidRDefault="00D868AB" w:rsidP="00D868AB">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79F587B"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6712555A"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614266"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r>
      <w:tr w:rsidR="00D868AB" w:rsidRPr="00D868AB" w14:paraId="446DF47F"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424697" w14:textId="77777777" w:rsidR="00D868AB" w:rsidRPr="00D868AB" w:rsidRDefault="00D868AB" w:rsidP="00D868AB">
            <w:pPr>
              <w:ind w:left="252"/>
              <w:rPr>
                <w:rFonts w:cs="Arial"/>
                <w:sz w:val="18"/>
                <w:szCs w:val="18"/>
                <w:lang w:val="es-ES"/>
              </w:rPr>
            </w:pPr>
            <w:r w:rsidRPr="00D868AB">
              <w:rPr>
                <w:rFonts w:cs="Arial"/>
                <w:sz w:val="18"/>
                <w:szCs w:val="18"/>
                <w:lang w:val="es-ES"/>
              </w:rPr>
              <w:t>Apoyo al Proceso Presupuestario y para Mejorar la Eficiencia Institucional.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AC6AE" w14:textId="77777777" w:rsidR="00D868AB" w:rsidRPr="00D868AB" w:rsidRDefault="00D868AB" w:rsidP="00D868AB">
            <w:pPr>
              <w:jc w:val="center"/>
              <w:rPr>
                <w:rFonts w:cs="Arial"/>
                <w:b/>
                <w:sz w:val="18"/>
                <w:szCs w:val="18"/>
                <w:lang w:val="es-ES"/>
              </w:rPr>
            </w:pPr>
            <w:r w:rsidRPr="00D868AB">
              <w:rPr>
                <w:rFonts w:cs="Arial"/>
                <w:b/>
                <w:sz w:val="18"/>
                <w:szCs w:val="18"/>
                <w:lang w:val="es-ES"/>
              </w:rPr>
              <w:t>M</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0C4C10D"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162,466,341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72EE046"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E9B06"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162,466,341 </w:t>
            </w:r>
          </w:p>
        </w:tc>
      </w:tr>
      <w:tr w:rsidR="00D868AB" w:rsidRPr="00D868AB" w14:paraId="5DADD90E"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97245" w14:textId="77777777" w:rsidR="00D868AB" w:rsidRPr="00D868AB" w:rsidRDefault="00D868AB" w:rsidP="00D868AB">
            <w:pPr>
              <w:ind w:left="252"/>
              <w:rPr>
                <w:rFonts w:cs="Arial"/>
                <w:sz w:val="18"/>
                <w:szCs w:val="18"/>
                <w:lang w:val="es-ES"/>
              </w:rPr>
            </w:pPr>
            <w:r w:rsidRPr="00D868AB">
              <w:rPr>
                <w:rFonts w:cs="Arial"/>
                <w:sz w:val="18"/>
                <w:szCs w:val="18"/>
                <w:lang w:val="es-ES"/>
              </w:rPr>
              <w:t>Apoyo a la Función Pública y al Mejoramiento de la Gestión.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9B82" w14:textId="77777777" w:rsidR="00D868AB" w:rsidRPr="00D868AB" w:rsidRDefault="00D868AB" w:rsidP="00D868AB">
            <w:pPr>
              <w:jc w:val="center"/>
              <w:rPr>
                <w:rFonts w:cs="Arial"/>
                <w:b/>
                <w:sz w:val="18"/>
                <w:szCs w:val="18"/>
                <w:lang w:val="es-ES"/>
              </w:rPr>
            </w:pPr>
            <w:r w:rsidRPr="00D868AB">
              <w:rPr>
                <w:rFonts w:cs="Arial"/>
                <w:b/>
                <w:sz w:val="18"/>
                <w:szCs w:val="18"/>
                <w:lang w:val="es-ES"/>
              </w:rPr>
              <w:t>O</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5A786EB"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6,500,000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6EFC427"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503C0"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6,500,000 </w:t>
            </w:r>
          </w:p>
        </w:tc>
      </w:tr>
      <w:tr w:rsidR="00D868AB" w:rsidRPr="00D868AB" w14:paraId="41738E23"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6CD509" w14:textId="77777777" w:rsidR="00D868AB" w:rsidRPr="00D868AB" w:rsidRDefault="00D868AB" w:rsidP="00D868AB">
            <w:pPr>
              <w:ind w:left="252"/>
              <w:rPr>
                <w:rFonts w:cs="Arial"/>
                <w:sz w:val="18"/>
                <w:szCs w:val="18"/>
                <w:lang w:val="es-ES"/>
              </w:rPr>
            </w:pPr>
            <w:r w:rsidRPr="00D868AB">
              <w:rPr>
                <w:rFonts w:cs="Arial"/>
                <w:sz w:val="18"/>
                <w:szCs w:val="18"/>
                <w:lang w:val="es-ES"/>
              </w:rPr>
              <w:t>Operaciones Ajenas.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5AA22" w14:textId="77777777" w:rsidR="00D868AB" w:rsidRPr="00D868AB" w:rsidRDefault="00D868AB" w:rsidP="00D868AB">
            <w:pPr>
              <w:jc w:val="center"/>
              <w:rPr>
                <w:rFonts w:cs="Arial"/>
                <w:b/>
                <w:sz w:val="18"/>
                <w:szCs w:val="18"/>
                <w:lang w:val="es-ES"/>
              </w:rPr>
            </w:pPr>
            <w:r w:rsidRPr="00D868AB">
              <w:rPr>
                <w:rFonts w:cs="Arial"/>
                <w:b/>
                <w:sz w:val="18"/>
                <w:szCs w:val="18"/>
                <w:lang w:val="es-ES"/>
              </w:rPr>
              <w:t>W</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0CCE1E5"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2F02FEA9"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F06586"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r>
      <w:tr w:rsidR="00D868AB" w:rsidRPr="00D868AB" w14:paraId="53048866"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20A0FF" w14:textId="77777777" w:rsidR="00D868AB" w:rsidRPr="00D868AB" w:rsidRDefault="00D868AB" w:rsidP="00D868AB">
            <w:pPr>
              <w:rPr>
                <w:rFonts w:cs="Arial"/>
                <w:b/>
                <w:bCs/>
                <w:sz w:val="18"/>
                <w:szCs w:val="18"/>
                <w:lang w:val="es-ES"/>
              </w:rPr>
            </w:pPr>
            <w:r w:rsidRPr="00D868AB">
              <w:rPr>
                <w:rFonts w:cs="Arial"/>
                <w:b/>
                <w:bCs/>
                <w:sz w:val="18"/>
                <w:szCs w:val="18"/>
                <w:lang w:val="es-ES"/>
              </w:rPr>
              <w:t>Compromisos.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D06AA" w14:textId="77777777" w:rsidR="00D868AB" w:rsidRPr="00D868AB" w:rsidRDefault="00D868AB" w:rsidP="00D868AB">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B859228"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E44DFAC"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5ACD6"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r>
      <w:tr w:rsidR="00D868AB" w:rsidRPr="00D868AB" w14:paraId="45BA3C5B"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F1983A" w14:textId="77777777" w:rsidR="00D868AB" w:rsidRPr="00D868AB" w:rsidRDefault="00D868AB" w:rsidP="00D868AB">
            <w:pPr>
              <w:ind w:left="252"/>
              <w:rPr>
                <w:rFonts w:cs="Arial"/>
                <w:sz w:val="18"/>
                <w:szCs w:val="18"/>
                <w:lang w:val="es-ES"/>
              </w:rPr>
            </w:pPr>
            <w:r w:rsidRPr="00D868AB">
              <w:rPr>
                <w:rFonts w:cs="Arial"/>
                <w:sz w:val="18"/>
                <w:szCs w:val="18"/>
                <w:lang w:val="es-ES"/>
              </w:rPr>
              <w:t>Obligaciones de Cumplimiento de Resolución Jurisdiccional.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9EDD8" w14:textId="77777777" w:rsidR="00D868AB" w:rsidRPr="00D868AB" w:rsidRDefault="00D868AB" w:rsidP="00D868AB">
            <w:pPr>
              <w:jc w:val="center"/>
              <w:rPr>
                <w:rFonts w:cs="Arial"/>
                <w:b/>
                <w:sz w:val="18"/>
                <w:szCs w:val="18"/>
                <w:lang w:val="es-ES"/>
              </w:rPr>
            </w:pPr>
            <w:r w:rsidRPr="00D868AB">
              <w:rPr>
                <w:rFonts w:cs="Arial"/>
                <w:b/>
                <w:sz w:val="18"/>
                <w:szCs w:val="18"/>
                <w:lang w:val="es-ES"/>
              </w:rPr>
              <w:t>L</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4D64C36"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C369E2A"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E9657"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r>
      <w:tr w:rsidR="00D868AB" w:rsidRPr="00D868AB" w14:paraId="654D9FEC"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A441B" w14:textId="77777777" w:rsidR="00D868AB" w:rsidRPr="00D868AB" w:rsidRDefault="00D868AB" w:rsidP="00D868AB">
            <w:pPr>
              <w:ind w:left="252"/>
              <w:rPr>
                <w:rFonts w:cs="Arial"/>
                <w:sz w:val="18"/>
                <w:szCs w:val="18"/>
                <w:lang w:val="es-ES"/>
              </w:rPr>
            </w:pPr>
            <w:r w:rsidRPr="00D868AB">
              <w:rPr>
                <w:rFonts w:cs="Arial"/>
                <w:sz w:val="18"/>
                <w:szCs w:val="18"/>
                <w:lang w:val="es-ES"/>
              </w:rPr>
              <w:t>Desastres Naturales.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37980" w14:textId="77777777" w:rsidR="00D868AB" w:rsidRPr="00D868AB" w:rsidRDefault="00D868AB" w:rsidP="00D868AB">
            <w:pPr>
              <w:jc w:val="center"/>
              <w:rPr>
                <w:rFonts w:cs="Arial"/>
                <w:b/>
                <w:sz w:val="18"/>
                <w:szCs w:val="18"/>
                <w:lang w:val="es-ES"/>
              </w:rPr>
            </w:pPr>
            <w:r w:rsidRPr="00D868AB">
              <w:rPr>
                <w:rFonts w:cs="Arial"/>
                <w:b/>
                <w:sz w:val="18"/>
                <w:szCs w:val="18"/>
                <w:lang w:val="es-ES"/>
              </w:rPr>
              <w:t>N</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7591E76"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46,383,525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0F24B1D"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10,971,336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884DA"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57,354,861 </w:t>
            </w:r>
          </w:p>
        </w:tc>
      </w:tr>
      <w:tr w:rsidR="00D868AB" w:rsidRPr="00D868AB" w14:paraId="2EDEE095"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FCFCF8" w14:textId="77777777" w:rsidR="00D868AB" w:rsidRPr="00D868AB" w:rsidRDefault="00D868AB" w:rsidP="00D868AB">
            <w:pPr>
              <w:rPr>
                <w:rFonts w:cs="Arial"/>
                <w:b/>
                <w:bCs/>
                <w:sz w:val="18"/>
                <w:szCs w:val="18"/>
                <w:lang w:val="es-ES"/>
              </w:rPr>
            </w:pPr>
            <w:r w:rsidRPr="00D868AB">
              <w:rPr>
                <w:rFonts w:cs="Arial"/>
                <w:b/>
                <w:bCs/>
                <w:sz w:val="18"/>
                <w:szCs w:val="18"/>
                <w:lang w:val="es-ES"/>
              </w:rPr>
              <w:t>Obligaciones.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1A6F0" w14:textId="77777777" w:rsidR="00D868AB" w:rsidRPr="00D868AB" w:rsidRDefault="00D868AB" w:rsidP="00D868AB">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1EE0DF2"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7499BEB3"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5C54C"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r>
      <w:tr w:rsidR="00D868AB" w:rsidRPr="00D868AB" w14:paraId="06B226BB"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5A8427" w14:textId="77777777" w:rsidR="00D868AB" w:rsidRPr="00D868AB" w:rsidRDefault="00D868AB" w:rsidP="00D868AB">
            <w:pPr>
              <w:ind w:left="252"/>
              <w:rPr>
                <w:rFonts w:cs="Arial"/>
                <w:sz w:val="18"/>
                <w:szCs w:val="18"/>
                <w:lang w:val="es-ES"/>
              </w:rPr>
            </w:pPr>
            <w:r w:rsidRPr="00D868AB">
              <w:rPr>
                <w:rFonts w:cs="Arial"/>
                <w:sz w:val="18"/>
                <w:szCs w:val="18"/>
                <w:lang w:val="es-ES"/>
              </w:rPr>
              <w:t>Pensiones y Jubilaciones.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A5B6" w14:textId="77777777" w:rsidR="00D868AB" w:rsidRPr="00D868AB" w:rsidRDefault="00D868AB" w:rsidP="00D868AB">
            <w:pPr>
              <w:jc w:val="center"/>
              <w:rPr>
                <w:rFonts w:cs="Arial"/>
                <w:b/>
                <w:sz w:val="18"/>
                <w:szCs w:val="18"/>
                <w:lang w:val="es-ES"/>
              </w:rPr>
            </w:pPr>
            <w:r w:rsidRPr="00D868AB">
              <w:rPr>
                <w:rFonts w:cs="Arial"/>
                <w:b/>
                <w:sz w:val="18"/>
                <w:szCs w:val="18"/>
                <w:lang w:val="es-ES"/>
              </w:rPr>
              <w:t>J</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7CBDECEA"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D36B6E2"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1,139,437,158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2C8E7"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1,139,437,158 </w:t>
            </w:r>
          </w:p>
        </w:tc>
      </w:tr>
      <w:tr w:rsidR="00D868AB" w:rsidRPr="00D868AB" w14:paraId="61F230F6"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47B1E" w14:textId="77777777" w:rsidR="00D868AB" w:rsidRPr="00D868AB" w:rsidRDefault="00D868AB" w:rsidP="00D868AB">
            <w:pPr>
              <w:ind w:left="252"/>
              <w:rPr>
                <w:rFonts w:cs="Arial"/>
                <w:sz w:val="18"/>
                <w:szCs w:val="18"/>
                <w:lang w:val="es-ES"/>
              </w:rPr>
            </w:pPr>
            <w:r w:rsidRPr="00D868AB">
              <w:rPr>
                <w:rFonts w:cs="Arial"/>
                <w:sz w:val="18"/>
                <w:szCs w:val="18"/>
                <w:lang w:val="es-ES"/>
              </w:rPr>
              <w:t>Aportaciones a la Seguridad Social.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42E07" w14:textId="77777777" w:rsidR="00D868AB" w:rsidRPr="00D868AB" w:rsidRDefault="00D868AB" w:rsidP="00D868AB">
            <w:pPr>
              <w:jc w:val="center"/>
              <w:rPr>
                <w:rFonts w:cs="Arial"/>
                <w:b/>
                <w:sz w:val="18"/>
                <w:szCs w:val="18"/>
                <w:lang w:val="es-ES"/>
              </w:rPr>
            </w:pPr>
            <w:r w:rsidRPr="00D868AB">
              <w:rPr>
                <w:rFonts w:cs="Arial"/>
                <w:b/>
                <w:sz w:val="18"/>
                <w:szCs w:val="18"/>
                <w:lang w:val="es-ES"/>
              </w:rPr>
              <w:t>T</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8168D66"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343B4724"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242,646,560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4F5AF"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242,646,560 </w:t>
            </w:r>
          </w:p>
        </w:tc>
      </w:tr>
      <w:tr w:rsidR="00D868AB" w:rsidRPr="00D868AB" w14:paraId="2E012172"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4D26E9" w14:textId="77777777" w:rsidR="00D868AB" w:rsidRPr="00D868AB" w:rsidRDefault="00D868AB" w:rsidP="00D868AB">
            <w:pPr>
              <w:ind w:left="252"/>
              <w:rPr>
                <w:rFonts w:cs="Arial"/>
                <w:sz w:val="18"/>
                <w:szCs w:val="18"/>
                <w:lang w:val="es-ES"/>
              </w:rPr>
            </w:pPr>
            <w:r w:rsidRPr="00D868AB">
              <w:rPr>
                <w:rFonts w:cs="Arial"/>
                <w:sz w:val="18"/>
                <w:szCs w:val="18"/>
                <w:lang w:val="es-ES"/>
              </w:rPr>
              <w:t>Aportaciones a Fondos de Estabilización.</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6E71" w14:textId="77777777" w:rsidR="00D868AB" w:rsidRPr="00D868AB" w:rsidRDefault="00D868AB" w:rsidP="00D868AB">
            <w:pPr>
              <w:jc w:val="center"/>
              <w:rPr>
                <w:rFonts w:cs="Arial"/>
                <w:b/>
                <w:sz w:val="18"/>
                <w:szCs w:val="18"/>
                <w:lang w:val="es-ES"/>
              </w:rPr>
            </w:pPr>
            <w:r w:rsidRPr="00D868AB">
              <w:rPr>
                <w:rFonts w:cs="Arial"/>
                <w:b/>
                <w:sz w:val="18"/>
                <w:szCs w:val="18"/>
                <w:lang w:val="es-ES"/>
              </w:rPr>
              <w:t>Y</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3CBCEED"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CCE26D4"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B4467D"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r>
      <w:tr w:rsidR="00D868AB" w:rsidRPr="00D868AB" w14:paraId="5CC141A2"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CEBCD" w14:textId="77777777" w:rsidR="00D868AB" w:rsidRPr="00D868AB" w:rsidRDefault="00D868AB" w:rsidP="00D868AB">
            <w:pPr>
              <w:ind w:left="252"/>
              <w:rPr>
                <w:rFonts w:cs="Arial"/>
                <w:sz w:val="18"/>
                <w:szCs w:val="18"/>
                <w:lang w:val="es-ES"/>
              </w:rPr>
            </w:pPr>
            <w:r w:rsidRPr="00D868AB">
              <w:rPr>
                <w:rFonts w:cs="Arial"/>
                <w:sz w:val="18"/>
                <w:szCs w:val="18"/>
                <w:lang w:val="es-ES"/>
              </w:rPr>
              <w:t>Aportaciones a Fondos de Inversión y Reestructura de Pensiones.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F0C0F" w14:textId="77777777" w:rsidR="00D868AB" w:rsidRPr="00D868AB" w:rsidRDefault="00D868AB" w:rsidP="00D868AB">
            <w:pPr>
              <w:jc w:val="center"/>
              <w:rPr>
                <w:rFonts w:cs="Arial"/>
                <w:b/>
                <w:sz w:val="18"/>
                <w:szCs w:val="18"/>
                <w:lang w:val="es-ES"/>
              </w:rPr>
            </w:pPr>
            <w:r w:rsidRPr="00D868AB">
              <w:rPr>
                <w:rFonts w:cs="Arial"/>
                <w:b/>
                <w:sz w:val="18"/>
                <w:szCs w:val="18"/>
                <w:lang w:val="es-ES"/>
              </w:rPr>
              <w:t>Z</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659E8D90"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EA9BFBB"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D2A6C" w14:textId="77777777" w:rsidR="00D868AB" w:rsidRPr="00D868AB" w:rsidRDefault="00D868AB" w:rsidP="00D868AB">
            <w:pPr>
              <w:jc w:val="right"/>
              <w:rPr>
                <w:rFonts w:cs="Arial"/>
                <w:sz w:val="18"/>
                <w:szCs w:val="18"/>
                <w:lang w:val="es-ES"/>
              </w:rPr>
            </w:pPr>
            <w:r w:rsidRPr="00D868AB">
              <w:rPr>
                <w:rFonts w:cs="Arial"/>
                <w:color w:val="000000"/>
                <w:sz w:val="18"/>
                <w:szCs w:val="18"/>
              </w:rPr>
              <w:t xml:space="preserve">0 </w:t>
            </w:r>
          </w:p>
        </w:tc>
      </w:tr>
      <w:tr w:rsidR="00D868AB" w:rsidRPr="00D868AB" w14:paraId="49EDF3BC"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FFB9DE" w14:textId="77777777" w:rsidR="00D868AB" w:rsidRPr="00D868AB" w:rsidRDefault="00D868AB" w:rsidP="00D868AB">
            <w:pPr>
              <w:rPr>
                <w:rFonts w:cs="Arial"/>
                <w:b/>
                <w:bCs/>
                <w:sz w:val="18"/>
                <w:szCs w:val="18"/>
                <w:lang w:val="es-ES"/>
              </w:rPr>
            </w:pPr>
            <w:r w:rsidRPr="00D868AB">
              <w:rPr>
                <w:rFonts w:cs="Arial"/>
                <w:b/>
                <w:bCs/>
                <w:sz w:val="18"/>
                <w:szCs w:val="18"/>
                <w:lang w:val="es-ES"/>
              </w:rPr>
              <w:t>Programas de Gasto Federalizado (Gobierno Federal).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8A6791" w14:textId="77777777" w:rsidR="00D868AB" w:rsidRPr="00D868AB" w:rsidRDefault="00D868AB" w:rsidP="00D868AB">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DB4117F"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10101DAA"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EC525" w14:textId="77777777" w:rsidR="00D868AB" w:rsidRPr="00D868AB" w:rsidRDefault="00D868AB" w:rsidP="00D868AB">
            <w:pPr>
              <w:jc w:val="right"/>
              <w:rPr>
                <w:rFonts w:cs="Arial"/>
                <w:sz w:val="18"/>
                <w:szCs w:val="18"/>
                <w:lang w:val="es-ES"/>
              </w:rPr>
            </w:pPr>
            <w:r w:rsidRPr="00D868AB">
              <w:rPr>
                <w:rFonts w:cs="Arial"/>
                <w:color w:val="000000"/>
                <w:sz w:val="18"/>
                <w:szCs w:val="18"/>
              </w:rPr>
              <w:t> </w:t>
            </w:r>
          </w:p>
        </w:tc>
      </w:tr>
      <w:tr w:rsidR="00D868AB" w:rsidRPr="00D868AB" w14:paraId="36D11007"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C3E3A" w14:textId="77777777" w:rsidR="00D868AB" w:rsidRPr="00D868AB" w:rsidRDefault="00D868AB" w:rsidP="00D868AB">
            <w:pPr>
              <w:rPr>
                <w:rFonts w:cs="Arial"/>
                <w:b/>
                <w:sz w:val="18"/>
                <w:szCs w:val="18"/>
                <w:lang w:val="es-ES"/>
              </w:rPr>
            </w:pPr>
            <w:r w:rsidRPr="00D868AB">
              <w:rPr>
                <w:rFonts w:cs="Arial"/>
                <w:b/>
                <w:sz w:val="18"/>
                <w:szCs w:val="18"/>
                <w:lang w:val="es-ES"/>
              </w:rPr>
              <w:t>Gasto Federalizado.</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DC0320" w14:textId="77777777" w:rsidR="00D868AB" w:rsidRPr="00D868AB" w:rsidRDefault="00D868AB" w:rsidP="00D868AB">
            <w:pPr>
              <w:jc w:val="center"/>
              <w:rPr>
                <w:rFonts w:cs="Arial"/>
                <w:b/>
                <w:sz w:val="18"/>
                <w:szCs w:val="18"/>
                <w:lang w:val="es-ES"/>
              </w:rPr>
            </w:pPr>
            <w:r w:rsidRPr="00D868AB">
              <w:rPr>
                <w:rFonts w:cs="Arial"/>
                <w:b/>
                <w:sz w:val="18"/>
                <w:szCs w:val="18"/>
                <w:lang w:val="es-ES"/>
              </w:rPr>
              <w:t>I</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1D70A41D"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927,054,019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554BCF0"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1,289,213,344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E0F2D8"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2,216,267,363 </w:t>
            </w:r>
          </w:p>
        </w:tc>
      </w:tr>
      <w:tr w:rsidR="00D868AB" w:rsidRPr="00D868AB" w14:paraId="69636C45"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60A1EE" w14:textId="77777777" w:rsidR="00D868AB" w:rsidRPr="00D868AB" w:rsidRDefault="00D868AB" w:rsidP="00D868AB">
            <w:pPr>
              <w:rPr>
                <w:rFonts w:cs="Arial"/>
                <w:b/>
                <w:bCs/>
                <w:sz w:val="18"/>
                <w:szCs w:val="18"/>
                <w:lang w:val="es-ES"/>
              </w:rPr>
            </w:pPr>
            <w:r w:rsidRPr="00D868AB">
              <w:rPr>
                <w:rFonts w:cs="Arial"/>
                <w:b/>
                <w:bCs/>
                <w:sz w:val="18"/>
                <w:szCs w:val="18"/>
                <w:lang w:val="es-ES"/>
              </w:rPr>
              <w:t>Participaciones a Entidades Federativas y Municipios.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0E294"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C</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21712DAC"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DF1D42A"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2,008,410,917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4F6F9"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2,008,410,917 </w:t>
            </w:r>
          </w:p>
        </w:tc>
      </w:tr>
      <w:tr w:rsidR="00D868AB" w:rsidRPr="00D868AB" w14:paraId="64745DE6"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D8DA7" w14:textId="77777777" w:rsidR="00D868AB" w:rsidRPr="00D868AB" w:rsidRDefault="00D868AB" w:rsidP="00D868AB">
            <w:pPr>
              <w:rPr>
                <w:rFonts w:cs="Arial"/>
                <w:b/>
                <w:bCs/>
                <w:sz w:val="18"/>
                <w:szCs w:val="18"/>
                <w:lang w:val="es-ES"/>
              </w:rPr>
            </w:pPr>
            <w:r w:rsidRPr="00D868AB">
              <w:rPr>
                <w:rFonts w:cs="Arial"/>
                <w:b/>
                <w:bCs/>
                <w:sz w:val="18"/>
                <w:szCs w:val="18"/>
                <w:lang w:val="es-ES"/>
              </w:rPr>
              <w:t>Costo financiero, Deuda o Apoyos a Deudores y Ahorradores de la Banca.</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FF971"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D</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3CC11940"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346,932,234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6F284BD"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385,359,206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345B"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732,291,440 </w:t>
            </w:r>
          </w:p>
        </w:tc>
      </w:tr>
      <w:tr w:rsidR="00D868AB" w:rsidRPr="00D868AB" w14:paraId="6E2B5887"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432E66" w14:textId="77777777" w:rsidR="00D868AB" w:rsidRPr="00D868AB" w:rsidRDefault="00D868AB" w:rsidP="00D868AB">
            <w:pPr>
              <w:rPr>
                <w:rFonts w:cs="Arial"/>
                <w:b/>
                <w:bCs/>
                <w:sz w:val="18"/>
                <w:szCs w:val="18"/>
                <w:lang w:val="es-ES"/>
              </w:rPr>
            </w:pPr>
            <w:r w:rsidRPr="00D868AB">
              <w:rPr>
                <w:rFonts w:cs="Arial"/>
                <w:b/>
                <w:bCs/>
                <w:sz w:val="18"/>
                <w:szCs w:val="18"/>
                <w:lang w:val="es-ES"/>
              </w:rPr>
              <w:t>Adeudos de Ejercicios Fiscales Anteriores.</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7E3D6"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H</w:t>
            </w: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59CC47FB"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0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0CF24DB7"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157,361,143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C1DAD"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157,361,143 </w:t>
            </w:r>
          </w:p>
        </w:tc>
      </w:tr>
      <w:tr w:rsidR="00D868AB" w:rsidRPr="00D868AB" w14:paraId="00CD62AA" w14:textId="77777777" w:rsidTr="00A755A7">
        <w:trPr>
          <w:trHeight w:val="20"/>
          <w:jc w:val="center"/>
        </w:trPr>
        <w:tc>
          <w:tcPr>
            <w:tcW w:w="37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F0155A" w14:textId="77777777" w:rsidR="00D868AB" w:rsidRPr="00D868AB" w:rsidRDefault="00D868AB" w:rsidP="00D868AB">
            <w:pPr>
              <w:jc w:val="center"/>
              <w:rPr>
                <w:rFonts w:cs="Arial"/>
                <w:b/>
                <w:bCs/>
                <w:sz w:val="18"/>
                <w:szCs w:val="18"/>
                <w:lang w:val="es-ES"/>
              </w:rPr>
            </w:pPr>
            <w:r w:rsidRPr="00D868AB">
              <w:rPr>
                <w:rFonts w:cs="Arial"/>
                <w:b/>
                <w:bCs/>
                <w:sz w:val="18"/>
                <w:szCs w:val="18"/>
                <w:lang w:val="es-ES"/>
              </w:rPr>
              <w:t>Total</w:t>
            </w:r>
          </w:p>
        </w:tc>
        <w:tc>
          <w:tcPr>
            <w:tcW w:w="6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FDD2A" w14:textId="77777777" w:rsidR="00D868AB" w:rsidRPr="00D868AB" w:rsidRDefault="00D868AB" w:rsidP="00D868AB">
            <w:pPr>
              <w:rPr>
                <w:rFonts w:cs="Arial"/>
                <w:b/>
                <w:bCs/>
                <w:sz w:val="18"/>
                <w:szCs w:val="18"/>
                <w:lang w:val="es-ES"/>
              </w:rPr>
            </w:pPr>
          </w:p>
        </w:tc>
        <w:tc>
          <w:tcPr>
            <w:tcW w:w="1468" w:type="dxa"/>
            <w:tcBorders>
              <w:top w:val="single" w:sz="4" w:space="0" w:color="auto"/>
              <w:left w:val="single" w:sz="4" w:space="0" w:color="auto"/>
              <w:bottom w:val="single" w:sz="4" w:space="0" w:color="auto"/>
              <w:right w:val="single" w:sz="4" w:space="0" w:color="auto"/>
            </w:tcBorders>
            <w:shd w:val="clear" w:color="auto" w:fill="auto"/>
            <w:vAlign w:val="center"/>
          </w:tcPr>
          <w:p w14:paraId="468441F7"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14,632,127,707 </w:t>
            </w:r>
          </w:p>
        </w:tc>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14:paraId="5AE372ED"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5,923,172,293 </w:t>
            </w:r>
          </w:p>
        </w:tc>
        <w:tc>
          <w:tcPr>
            <w:tcW w:w="14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CD1E6" w14:textId="77777777" w:rsidR="00D868AB" w:rsidRPr="00D868AB" w:rsidRDefault="00D868AB" w:rsidP="00D868AB">
            <w:pPr>
              <w:jc w:val="right"/>
              <w:rPr>
                <w:rFonts w:cs="Arial"/>
                <w:b/>
                <w:bCs/>
                <w:sz w:val="18"/>
                <w:szCs w:val="18"/>
                <w:lang w:val="es-ES"/>
              </w:rPr>
            </w:pPr>
            <w:r w:rsidRPr="00D868AB">
              <w:rPr>
                <w:rFonts w:cs="Arial"/>
                <w:b/>
                <w:bCs/>
                <w:color w:val="000000"/>
                <w:sz w:val="18"/>
                <w:szCs w:val="18"/>
              </w:rPr>
              <w:t xml:space="preserve">20,555,300,000 </w:t>
            </w:r>
          </w:p>
        </w:tc>
      </w:tr>
    </w:tbl>
    <w:p w14:paraId="01864E43" w14:textId="77777777" w:rsidR="00D868AB" w:rsidRPr="00D868AB" w:rsidRDefault="00D868AB" w:rsidP="00D868AB">
      <w:pPr>
        <w:rPr>
          <w:rFonts w:cs="Arial"/>
          <w:color w:val="FF0000"/>
          <w:lang w:val="es-ES"/>
        </w:rPr>
      </w:pPr>
      <w:bookmarkStart w:id="328" w:name="_Toc522869329"/>
      <w:bookmarkStart w:id="329" w:name="_Toc526757548"/>
      <w:bookmarkStart w:id="330" w:name="_Toc22022030"/>
      <w:bookmarkStart w:id="331" w:name="_Toc22983263"/>
      <w:bookmarkStart w:id="332" w:name="_Toc465292965"/>
      <w:bookmarkStart w:id="333" w:name="_Toc465292893"/>
    </w:p>
    <w:p w14:paraId="1875092E" w14:textId="77777777" w:rsidR="00D868AB" w:rsidRPr="00D868AB" w:rsidRDefault="00D868AB" w:rsidP="00D868AB">
      <w:pPr>
        <w:jc w:val="center"/>
        <w:rPr>
          <w:rFonts w:eastAsia="Times New Roman" w:cs="Arial"/>
          <w:b/>
          <w:lang w:val="es-ES"/>
        </w:rPr>
      </w:pPr>
      <w:r w:rsidRPr="00D868AB">
        <w:rPr>
          <w:rFonts w:eastAsia="Times New Roman" w:cs="Arial"/>
          <w:b/>
          <w:lang w:val="es-ES"/>
        </w:rPr>
        <w:t xml:space="preserve">TITULO </w:t>
      </w:r>
      <w:bookmarkEnd w:id="328"/>
      <w:bookmarkEnd w:id="329"/>
      <w:r w:rsidRPr="00D868AB">
        <w:rPr>
          <w:rFonts w:eastAsia="Times New Roman" w:cs="Arial"/>
          <w:b/>
          <w:lang w:val="es-ES"/>
        </w:rPr>
        <w:t>SEXTO</w:t>
      </w:r>
      <w:bookmarkEnd w:id="330"/>
      <w:bookmarkEnd w:id="331"/>
    </w:p>
    <w:p w14:paraId="5CEDDCF6" w14:textId="77777777" w:rsidR="00D868AB" w:rsidRPr="00D868AB" w:rsidRDefault="00D868AB" w:rsidP="00D868AB">
      <w:pPr>
        <w:keepNext/>
        <w:keepLines/>
        <w:jc w:val="center"/>
        <w:outlineLvl w:val="0"/>
        <w:rPr>
          <w:rFonts w:eastAsia="Times New Roman" w:cs="Arial"/>
          <w:b/>
          <w:szCs w:val="32"/>
          <w:lang w:val="es-ES"/>
        </w:rPr>
      </w:pPr>
      <w:bookmarkStart w:id="334" w:name="_Toc522869330"/>
      <w:bookmarkStart w:id="335" w:name="_Toc526757549"/>
      <w:bookmarkStart w:id="336" w:name="_Toc22022031"/>
      <w:bookmarkStart w:id="337" w:name="_Toc22983264"/>
      <w:r w:rsidRPr="00D868AB">
        <w:rPr>
          <w:rFonts w:eastAsia="Times New Roman" w:cs="Arial"/>
          <w:b/>
          <w:szCs w:val="32"/>
          <w:lang w:val="es-ES"/>
        </w:rPr>
        <w:t>RESPONSABILIDADES Y SANCIONES</w:t>
      </w:r>
      <w:bookmarkEnd w:id="332"/>
      <w:bookmarkEnd w:id="333"/>
      <w:bookmarkEnd w:id="334"/>
      <w:bookmarkEnd w:id="335"/>
      <w:bookmarkEnd w:id="336"/>
      <w:bookmarkEnd w:id="337"/>
    </w:p>
    <w:p w14:paraId="2C42B800" w14:textId="77777777" w:rsidR="00D868AB" w:rsidRPr="00D868AB" w:rsidRDefault="00D868AB" w:rsidP="00D868AB">
      <w:pPr>
        <w:rPr>
          <w:rFonts w:eastAsia="Times New Roman" w:cs="Arial"/>
          <w:lang w:val="es-ES"/>
        </w:rPr>
      </w:pPr>
    </w:p>
    <w:p w14:paraId="1699A614" w14:textId="77777777" w:rsidR="00D868AB" w:rsidRPr="00D868AB" w:rsidRDefault="00D868AB" w:rsidP="00D868AB">
      <w:pPr>
        <w:jc w:val="center"/>
        <w:rPr>
          <w:rFonts w:cs="Arial"/>
          <w:b/>
          <w:lang w:val="es-ES"/>
        </w:rPr>
      </w:pPr>
      <w:r w:rsidRPr="00D868AB">
        <w:rPr>
          <w:rFonts w:cs="Arial"/>
          <w:b/>
          <w:lang w:val="es-ES"/>
        </w:rPr>
        <w:t xml:space="preserve">CAPÍTULO ÚNICO </w:t>
      </w:r>
    </w:p>
    <w:p w14:paraId="1F850B15" w14:textId="77777777" w:rsidR="00D868AB" w:rsidRPr="00D868AB" w:rsidRDefault="00D868AB" w:rsidP="00D868AB">
      <w:pPr>
        <w:jc w:val="center"/>
        <w:rPr>
          <w:rFonts w:cs="Arial"/>
          <w:b/>
          <w:lang w:val="es-ES"/>
        </w:rPr>
      </w:pPr>
      <w:r w:rsidRPr="00D868AB">
        <w:rPr>
          <w:rFonts w:cs="Arial"/>
          <w:b/>
          <w:lang w:val="es-ES"/>
        </w:rPr>
        <w:t>RESPONSABILIDADES Y SANCIONES</w:t>
      </w:r>
    </w:p>
    <w:p w14:paraId="4E06F8D9" w14:textId="77777777" w:rsidR="00D868AB" w:rsidRPr="00D868AB" w:rsidRDefault="00D868AB" w:rsidP="00D868AB">
      <w:pPr>
        <w:rPr>
          <w:rFonts w:cs="Arial"/>
          <w:b/>
          <w:lang w:val="es-ES"/>
        </w:rPr>
      </w:pPr>
    </w:p>
    <w:p w14:paraId="7C857CF6" w14:textId="77777777" w:rsidR="00D868AB" w:rsidRPr="00D868AB" w:rsidRDefault="00D868AB" w:rsidP="00D868AB">
      <w:pPr>
        <w:rPr>
          <w:rFonts w:cs="Arial"/>
          <w:lang w:val="es-ES"/>
        </w:rPr>
      </w:pPr>
      <w:r w:rsidRPr="00D868AB">
        <w:rPr>
          <w:rFonts w:cs="Arial"/>
          <w:b/>
          <w:lang w:val="es-ES"/>
        </w:rPr>
        <w:t>Artículo 98</w:t>
      </w:r>
      <w:r w:rsidRPr="00D868AB">
        <w:rPr>
          <w:rFonts w:cs="Arial"/>
          <w:lang w:val="es-ES"/>
        </w:rPr>
        <w:t xml:space="preserve">. Será responsabilidad de los Entes Públicos, de sus Órganos Internos de Control, del Órgano Superior de Auditoría y Fiscalización Gubernamental del Estado y, en general, de toda persona física o moral, pública o privada, sujeta a la aplicación u observancia del presente Decreto, en el ámbito de sus respectivas competencias, cumplir y hacer cumplir sus disposiciones. </w:t>
      </w:r>
    </w:p>
    <w:p w14:paraId="2817EB4B" w14:textId="77777777" w:rsidR="00D868AB" w:rsidRPr="00D868AB" w:rsidRDefault="00D868AB" w:rsidP="00D868AB">
      <w:pPr>
        <w:rPr>
          <w:rFonts w:cs="Arial"/>
          <w:lang w:val="es-ES"/>
        </w:rPr>
      </w:pPr>
    </w:p>
    <w:p w14:paraId="38AA74E3" w14:textId="77777777" w:rsidR="00D868AB" w:rsidRPr="00D868AB" w:rsidRDefault="00D868AB" w:rsidP="00D868AB">
      <w:pPr>
        <w:rPr>
          <w:rFonts w:cs="Arial"/>
          <w:b/>
          <w:lang w:val="es-ES"/>
        </w:rPr>
      </w:pPr>
      <w:r w:rsidRPr="00D868AB">
        <w:rPr>
          <w:rFonts w:cs="Arial"/>
          <w:b/>
          <w:lang w:val="es-ES"/>
        </w:rPr>
        <w:t xml:space="preserve">Artículo 99. </w:t>
      </w:r>
      <w:r w:rsidRPr="00D868AB">
        <w:rPr>
          <w:rFonts w:cs="Arial"/>
          <w:lang w:val="es-ES"/>
        </w:rPr>
        <w:t xml:space="preserve">Los Titulares de los Ente Públicos, en el ejercicio de sus presupuestos aprobados, sin menoscabo de las responsabilidades y atribuciones que les correspondan, </w:t>
      </w:r>
      <w:r w:rsidRPr="00D868AB">
        <w:rPr>
          <w:rFonts w:cs="Arial"/>
          <w:lang w:val="es-ES"/>
        </w:rPr>
        <w:lastRenderedPageBreak/>
        <w:t>serán directamente responsables de que su aplicación se realice con estricto apego a las leyes correspondientes y a los principios antes mencionados.</w:t>
      </w:r>
    </w:p>
    <w:p w14:paraId="7E52FDBB" w14:textId="77777777" w:rsidR="00D868AB" w:rsidRPr="00D868AB" w:rsidRDefault="00D868AB" w:rsidP="00D868AB">
      <w:pPr>
        <w:rPr>
          <w:rFonts w:cs="Arial"/>
          <w:b/>
          <w:lang w:val="es-ES"/>
        </w:rPr>
      </w:pPr>
    </w:p>
    <w:p w14:paraId="50DCE3E5" w14:textId="77777777" w:rsidR="00D868AB" w:rsidRPr="00D868AB" w:rsidRDefault="00D868AB" w:rsidP="00D868AB">
      <w:pPr>
        <w:rPr>
          <w:rFonts w:eastAsia="Times New Roman" w:cs="Arial"/>
        </w:rPr>
      </w:pPr>
      <w:r w:rsidRPr="00D868AB">
        <w:rPr>
          <w:rFonts w:eastAsia="Times New Roman" w:cs="Arial"/>
        </w:rPr>
        <w:t xml:space="preserve">Los actos u omisiones que impliquen el incumplimiento a las disposiciones contenidas en el presente Decreto y demás ordenamientos aplicables en materia de presupuesto, gasto público, disciplina financiera, deuda o responsabilidad hacendaria, serán conocidos y sancionados de conformidad con lo previsto en la Ley General de Responsabilidades Administrativas; la Ley de Justicia Administrativa del Estado de Colima; y demás legislación aplicable. </w:t>
      </w:r>
    </w:p>
    <w:p w14:paraId="451FB6DC" w14:textId="77777777" w:rsidR="00D868AB" w:rsidRPr="00D868AB" w:rsidRDefault="00D868AB" w:rsidP="00D868AB">
      <w:pPr>
        <w:rPr>
          <w:rFonts w:eastAsia="Times New Roman" w:cs="Arial"/>
        </w:rPr>
      </w:pPr>
    </w:p>
    <w:p w14:paraId="6CB6FAA0" w14:textId="77777777" w:rsidR="00D868AB" w:rsidRPr="00D868AB" w:rsidRDefault="00D868AB" w:rsidP="00D868AB">
      <w:pPr>
        <w:keepNext/>
        <w:keepLines/>
        <w:jc w:val="center"/>
        <w:outlineLvl w:val="0"/>
        <w:rPr>
          <w:rFonts w:eastAsia="Times New Roman" w:cs="Arial"/>
          <w:b/>
          <w:lang w:val="es-ES"/>
        </w:rPr>
      </w:pPr>
      <w:bookmarkStart w:id="338" w:name="_Toc465292966"/>
      <w:bookmarkStart w:id="339" w:name="_Toc465292894"/>
      <w:bookmarkStart w:id="340" w:name="_Toc522869331"/>
      <w:bookmarkStart w:id="341" w:name="_Toc526757550"/>
      <w:bookmarkStart w:id="342" w:name="_Toc22022032"/>
      <w:bookmarkStart w:id="343" w:name="_Toc22983265"/>
      <w:r w:rsidRPr="00D868AB">
        <w:rPr>
          <w:rFonts w:eastAsia="Times New Roman" w:cs="Arial"/>
          <w:b/>
          <w:lang w:val="es-ES"/>
        </w:rPr>
        <w:t>TRANSITORIOS</w:t>
      </w:r>
      <w:bookmarkEnd w:id="338"/>
      <w:bookmarkEnd w:id="339"/>
      <w:bookmarkEnd w:id="340"/>
      <w:bookmarkEnd w:id="341"/>
      <w:bookmarkEnd w:id="342"/>
      <w:bookmarkEnd w:id="343"/>
    </w:p>
    <w:p w14:paraId="42B9AAC2" w14:textId="77777777" w:rsidR="00D868AB" w:rsidRPr="00D868AB" w:rsidRDefault="00D868AB" w:rsidP="00D868AB">
      <w:pPr>
        <w:rPr>
          <w:rFonts w:cs="Arial"/>
          <w:lang w:val="es-ES"/>
        </w:rPr>
      </w:pPr>
    </w:p>
    <w:p w14:paraId="67D8BE33" w14:textId="77777777" w:rsidR="00D868AB" w:rsidRPr="00D868AB" w:rsidRDefault="00D868AB" w:rsidP="00D868AB">
      <w:pPr>
        <w:rPr>
          <w:rFonts w:cs="Arial"/>
          <w:lang w:val="es-ES"/>
        </w:rPr>
      </w:pPr>
      <w:r w:rsidRPr="00D868AB">
        <w:rPr>
          <w:rFonts w:cs="Arial"/>
          <w:b/>
          <w:lang w:val="es-ES"/>
        </w:rPr>
        <w:t>PRIMERO</w:t>
      </w:r>
      <w:r w:rsidRPr="00D868AB">
        <w:rPr>
          <w:rFonts w:cs="Arial"/>
          <w:lang w:val="es-ES"/>
        </w:rPr>
        <w:t>. El presente Decreto, junto con los anexos que lo componen, entrarán en vigor el día 1º de enero de 2023, previa su publicación en el Periódico Oficial “El Estado de Colima”.</w:t>
      </w:r>
    </w:p>
    <w:p w14:paraId="01058FAF" w14:textId="77777777" w:rsidR="00D868AB" w:rsidRPr="00D868AB" w:rsidRDefault="00D868AB" w:rsidP="00D868AB">
      <w:pPr>
        <w:rPr>
          <w:rFonts w:cs="Arial"/>
          <w:lang w:val="es-ES"/>
        </w:rPr>
      </w:pPr>
    </w:p>
    <w:p w14:paraId="4D65E84B" w14:textId="77777777" w:rsidR="00D868AB" w:rsidRPr="00D868AB" w:rsidRDefault="00D868AB" w:rsidP="00D868AB">
      <w:pPr>
        <w:rPr>
          <w:rFonts w:cs="Arial"/>
          <w:lang w:val="es-ES"/>
        </w:rPr>
      </w:pPr>
      <w:r w:rsidRPr="00D868AB">
        <w:rPr>
          <w:rFonts w:cs="Arial"/>
          <w:b/>
          <w:lang w:val="es-ES"/>
        </w:rPr>
        <w:t>SEGUNDO</w:t>
      </w:r>
      <w:r w:rsidRPr="00D868AB">
        <w:rPr>
          <w:rFonts w:cs="Arial"/>
          <w:lang w:val="es-ES"/>
        </w:rPr>
        <w:t>. En cumplimiento a lo dispuesto por la Ley General de Contabilidad Gubernamental, el Gobierno del Estado implementará los documentos técnico-normativos que emita el Consejo Nacional de Armonización Contable (CONAC), conforme a los criterios y términos establecidos para ese fin.</w:t>
      </w:r>
    </w:p>
    <w:p w14:paraId="598D562B" w14:textId="77777777" w:rsidR="00D868AB" w:rsidRPr="00D868AB" w:rsidRDefault="00D868AB" w:rsidP="00D868AB">
      <w:pPr>
        <w:rPr>
          <w:rFonts w:cs="Arial"/>
          <w:lang w:val="es-ES"/>
        </w:rPr>
      </w:pPr>
    </w:p>
    <w:p w14:paraId="1E2F9B85" w14:textId="77777777" w:rsidR="00D868AB" w:rsidRPr="00D868AB" w:rsidRDefault="00D868AB" w:rsidP="00D868AB">
      <w:pPr>
        <w:rPr>
          <w:rFonts w:cs="Arial"/>
          <w:lang w:val="es-ES"/>
        </w:rPr>
      </w:pPr>
      <w:r w:rsidRPr="00D868AB">
        <w:rPr>
          <w:rFonts w:cs="Arial"/>
          <w:b/>
          <w:lang w:val="es-ES"/>
        </w:rPr>
        <w:t>TERCERO</w:t>
      </w:r>
      <w:r w:rsidRPr="00D868AB">
        <w:rPr>
          <w:rFonts w:cs="Arial"/>
          <w:lang w:val="es-ES"/>
        </w:rPr>
        <w:t>. La información financiera y presupuestal adicional a la contenida en el presente Decreto, así como la demás que se genere durante el ejercicio fiscal 2023, podrá ser consultada en los reportes específicos que para tal efecto difunda la Secretaría de Planeación, Finanzas y Administración en los medios oficiales, incluyendo los medios electrónicos.</w:t>
      </w:r>
    </w:p>
    <w:p w14:paraId="236E0660" w14:textId="77777777" w:rsidR="00D868AB" w:rsidRPr="00D868AB" w:rsidRDefault="00D868AB" w:rsidP="00D868AB">
      <w:pPr>
        <w:rPr>
          <w:rFonts w:cs="Arial"/>
          <w:lang w:val="es-ES"/>
        </w:rPr>
      </w:pPr>
    </w:p>
    <w:p w14:paraId="4EF7482C" w14:textId="77777777" w:rsidR="00D868AB" w:rsidRPr="00D868AB" w:rsidRDefault="00D868AB" w:rsidP="00D868AB">
      <w:pPr>
        <w:rPr>
          <w:rFonts w:cs="Arial"/>
        </w:rPr>
      </w:pPr>
      <w:r w:rsidRPr="00D868AB">
        <w:rPr>
          <w:rFonts w:cs="Arial"/>
          <w:b/>
        </w:rPr>
        <w:t>CUARTO</w:t>
      </w:r>
      <w:r w:rsidRPr="00D868AB">
        <w:rPr>
          <w:rFonts w:cs="Arial"/>
        </w:rPr>
        <w:t xml:space="preserve">. Las Organizaciones de la Sociedad Civil legalmente constituidas que recibieron recursos o fondos públicos con cargo al Presupuesto de Egresos del Estado de Colima para el Ejercicio Fiscal 2022, deberán cumplir con lo señalado en </w:t>
      </w:r>
      <w:r w:rsidRPr="00D868AB">
        <w:rPr>
          <w:rFonts w:cs="Arial"/>
          <w:lang w:val="es-ES"/>
        </w:rPr>
        <w:t>la Ley de Fomento a las Organizaciones de la Sociedad Civil del Estado de Colima</w:t>
      </w:r>
      <w:r w:rsidRPr="00D868AB">
        <w:rPr>
          <w:rFonts w:cs="Arial"/>
        </w:rPr>
        <w:t>.</w:t>
      </w:r>
    </w:p>
    <w:p w14:paraId="7F989BC5" w14:textId="77777777" w:rsidR="00D868AB" w:rsidRPr="00D868AB" w:rsidRDefault="00D868AB" w:rsidP="00D868AB">
      <w:pPr>
        <w:rPr>
          <w:rFonts w:cs="Arial"/>
        </w:rPr>
      </w:pPr>
    </w:p>
    <w:p w14:paraId="1C9CC1F7" w14:textId="77777777" w:rsidR="00D868AB" w:rsidRPr="00D868AB" w:rsidRDefault="00D868AB" w:rsidP="00D868AB">
      <w:pPr>
        <w:rPr>
          <w:rFonts w:cs="Arial"/>
        </w:rPr>
      </w:pPr>
      <w:r w:rsidRPr="00D868AB">
        <w:rPr>
          <w:rFonts w:cs="Arial"/>
        </w:rPr>
        <w:t>Las Organizaciones de la Sociedad Civil legalmente constituidas podrán recibir recursos o fondos públicos con cargo al Presupuesto de Egresos del Estado de Colima para el Ejercicio Fiscal 2023, siempre y cuando cumplan con lo dispuesto en la Ley de Fomento a las Organizaciones de la Sociedad Civil del Estado de Colima, y los ordenamientos que de ésta deriven.</w:t>
      </w:r>
    </w:p>
    <w:p w14:paraId="44C9DBB3" w14:textId="77777777" w:rsidR="00D868AB" w:rsidRPr="00D868AB" w:rsidRDefault="00D868AB" w:rsidP="00D868AB">
      <w:pPr>
        <w:rPr>
          <w:rFonts w:cs="Arial"/>
        </w:rPr>
      </w:pPr>
    </w:p>
    <w:p w14:paraId="0EFE39FF" w14:textId="77777777" w:rsidR="00D868AB" w:rsidRPr="00D868AB" w:rsidRDefault="00D868AB" w:rsidP="00D868AB">
      <w:pPr>
        <w:rPr>
          <w:rFonts w:cs="Arial"/>
        </w:rPr>
      </w:pPr>
      <w:r w:rsidRPr="00D868AB">
        <w:rPr>
          <w:rFonts w:cs="Arial"/>
          <w:b/>
        </w:rPr>
        <w:lastRenderedPageBreak/>
        <w:t>QUINTO</w:t>
      </w:r>
      <w:r w:rsidRPr="00D868AB">
        <w:rPr>
          <w:rFonts w:cs="Arial"/>
        </w:rPr>
        <w:t>. La Secretaría de Planeación, Finanzas y Administración tendrá 180 días, a partir de la entrada en vigor del presente Decreto, para emitir la Convocatoria donde detalle el procedimiento a seguir para la implementación del Presupuesto Participativo.</w:t>
      </w:r>
    </w:p>
    <w:p w14:paraId="4A03A88E" w14:textId="77777777" w:rsidR="00D868AB" w:rsidRPr="00D868AB" w:rsidRDefault="00D868AB" w:rsidP="00D868AB">
      <w:pPr>
        <w:rPr>
          <w:rFonts w:cs="Arial"/>
        </w:rPr>
      </w:pPr>
    </w:p>
    <w:p w14:paraId="09661CEA" w14:textId="77777777" w:rsidR="00D868AB" w:rsidRPr="00D868AB" w:rsidRDefault="00D868AB" w:rsidP="00D868AB">
      <w:pPr>
        <w:rPr>
          <w:rFonts w:cs="Arial"/>
        </w:rPr>
      </w:pPr>
      <w:r w:rsidRPr="00D868AB">
        <w:rPr>
          <w:rFonts w:cs="Arial"/>
          <w:b/>
        </w:rPr>
        <w:t>SEXTO</w:t>
      </w:r>
      <w:r w:rsidRPr="00D868AB">
        <w:rPr>
          <w:rFonts w:cs="Arial"/>
        </w:rPr>
        <w:t>. Si durante el Ejercicio Fiscal 2023 se presente una caída en el Producto Interno Bruto nacional en términos reales, y lo anterior origine una caída en las participaciones federales con respecto a lo aprobado en el Presupuesto de Egresos de la Federación del ejercicio fiscal 2023, y ésta no logre compensarse con los recursos que, en su caso, reciban del Fondo de Estabilización de los Ingresos de las Entidades Federativas en los términos del artículo 19 de la Ley Federal de Presupuesto y Responsabilidad Hacendaria; o cuando sea necesario cubrir el costo de la reconstrucción provocada por los desastres naturales declarados en los términos de la Ley General de Protección Civil, o se tenga la necesidad de prever un costo mayor al 2 por ciento del Gasto no etiquetado observado en el Presupuesto de Egresos del 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 el Gobierno del Estado de Colima podrá incurrir en un Balance presupuestario de recursos disponibles negativo. La Titular del Poder Ejecutivo, a través de la Secretaría de Planeación, Finanzas y Administración, deberá dar cuenta a la Legislatura local en términos de lo dispuesto por la Ley de Disciplina Financiera de las Entidades Federativas y los Municipios.</w:t>
      </w:r>
    </w:p>
    <w:p w14:paraId="2D7001DE" w14:textId="77777777" w:rsidR="00D868AB" w:rsidRPr="00D868AB" w:rsidRDefault="00D868AB" w:rsidP="00D868AB">
      <w:pPr>
        <w:rPr>
          <w:rFonts w:eastAsia="Times New Roman" w:cs="Arial"/>
          <w:b/>
          <w:bCs/>
        </w:rPr>
      </w:pPr>
    </w:p>
    <w:p w14:paraId="3D0478B7" w14:textId="5D8C910E" w:rsidR="00D868AB" w:rsidRPr="00D868AB" w:rsidRDefault="00D868AB" w:rsidP="00D868AB">
      <w:pPr>
        <w:rPr>
          <w:rFonts w:cs="Arial"/>
        </w:rPr>
      </w:pPr>
      <w:r w:rsidRPr="00D868AB">
        <w:rPr>
          <w:rFonts w:cs="Arial"/>
          <w:b/>
          <w:bCs/>
        </w:rPr>
        <w:t>SÉPTIMO</w:t>
      </w:r>
      <w:r w:rsidRPr="00D868AB">
        <w:rPr>
          <w:rFonts w:cs="Arial"/>
          <w:b/>
        </w:rPr>
        <w:t xml:space="preserve">. </w:t>
      </w:r>
      <w:r w:rsidRPr="00D868AB">
        <w:rPr>
          <w:rFonts w:cs="Arial"/>
        </w:rPr>
        <w:t>A fin de estar en posibilidad de financiar y garantizar la sustentabilidad financiera de las Cuentas Institucionales de las Entidades Públicas Patronales Estatales, que son administradas por el Instituto de Pensiones de los Servidores Públicos del Estado de Colima, y dadas las condiciones financieras en las que se recibió la presente administración en donde nos encontramos ante una clara crisis de liquidez</w:t>
      </w:r>
      <w:r w:rsidR="00922EEE">
        <w:rPr>
          <w:rFonts w:cs="Arial"/>
        </w:rPr>
        <w:t xml:space="preserve"> y que esta aun continua</w:t>
      </w:r>
      <w:r w:rsidRPr="00D868AB">
        <w:rPr>
          <w:rFonts w:cs="Arial"/>
        </w:rPr>
        <w:t xml:space="preserve">, se actualiza la necesidad para el ejercicio fiscal 2023, que la aportación prevista en la tabla detallada en el inciso a) de la fracción II del artículo 60 de la Ley de Pensiones de los Servidores Públicos del Estado de Colima sea en el porcentaje que correspondió al ejercicio fiscal 2022.   </w:t>
      </w:r>
    </w:p>
    <w:p w14:paraId="6F97E0DD" w14:textId="77777777" w:rsidR="00D868AB" w:rsidRPr="00D868AB" w:rsidRDefault="00D868AB" w:rsidP="00D868AB">
      <w:pPr>
        <w:rPr>
          <w:rFonts w:cs="Arial"/>
        </w:rPr>
      </w:pPr>
    </w:p>
    <w:p w14:paraId="31BCB58A" w14:textId="584033F9" w:rsidR="00D868AB" w:rsidRDefault="00D868AB" w:rsidP="00D868AB">
      <w:pPr>
        <w:rPr>
          <w:rFonts w:cs="Arial"/>
        </w:rPr>
      </w:pPr>
      <w:r w:rsidRPr="004E30C5">
        <w:rPr>
          <w:rFonts w:cs="Arial"/>
          <w:b/>
        </w:rPr>
        <w:t>OCTAVO</w:t>
      </w:r>
      <w:r w:rsidRPr="004E30C5">
        <w:rPr>
          <w:rFonts w:cs="Arial"/>
        </w:rPr>
        <w:t xml:space="preserve">. Si durante el Ejercicio Fiscal 2023 se constituye el Archivo General del Estado y el Fondo de Apoyo Económico para Archivos; en términos de lo dispuesto en la Ley de Archivos del Estado de Colima, Ley publicada en el Periódico Oficial “El Estado de Colima”, Núm. 59, 14 de agosto de 2019; el presupuesto que este Decreto asigna a la Secretaría General de Gobierno podrá ser sujeto a reestructuraciones y adecuaciones con el fin de </w:t>
      </w:r>
      <w:r w:rsidRPr="004E30C5">
        <w:rPr>
          <w:rFonts w:cs="Arial"/>
        </w:rPr>
        <w:lastRenderedPageBreak/>
        <w:t>transferir progresivamente los recursos para el cumplimiento de las obligaciones establecidas en la Ley en comento.</w:t>
      </w:r>
    </w:p>
    <w:p w14:paraId="3216BEA2" w14:textId="77777777" w:rsidR="0080621E" w:rsidRPr="00D868AB" w:rsidRDefault="0080621E" w:rsidP="00D868AB">
      <w:pPr>
        <w:rPr>
          <w:rFonts w:cs="Arial"/>
        </w:rPr>
      </w:pPr>
    </w:p>
    <w:p w14:paraId="2F8D4A19" w14:textId="77777777" w:rsidR="00D868AB" w:rsidRPr="00D868AB" w:rsidRDefault="00D868AB" w:rsidP="00D868AB">
      <w:pPr>
        <w:rPr>
          <w:rFonts w:cs="Arial"/>
        </w:rPr>
      </w:pPr>
      <w:r w:rsidRPr="00D868AB">
        <w:rPr>
          <w:rFonts w:cs="Arial"/>
          <w:b/>
        </w:rPr>
        <w:t>NOVENO</w:t>
      </w:r>
      <w:r w:rsidRPr="00D868AB">
        <w:rPr>
          <w:rFonts w:cs="Arial"/>
        </w:rPr>
        <w:t>. Si durante el Ejercicio Fiscal 2023 se constituye la Comisión Ejecutiva Estatal de Atención a Víctimas como organismo público descentralizado a través de una Ley expedida por el Congreso del Estado o de un decreto emanado de la persona Titular del Poder Ejecutivo; el presupuesto que este Decreto asigna a la Secretaría General de Gobierno podrá ser sujeto a reestructuraciones y adecuaciones con el fin de transferir progresivamente los recursos para el cumplimiento de las obligaciones establecidas en Ley o Decreto respectivo.</w:t>
      </w:r>
    </w:p>
    <w:p w14:paraId="4F8E2A82" w14:textId="77777777" w:rsidR="00750EC8" w:rsidRDefault="00750EC8" w:rsidP="00D868AB">
      <w:pPr>
        <w:rPr>
          <w:rFonts w:cs="Arial"/>
        </w:rPr>
      </w:pPr>
    </w:p>
    <w:p w14:paraId="27A5E382" w14:textId="7A23EED4" w:rsidR="00D868AB" w:rsidRPr="00D868AB" w:rsidRDefault="00D868AB" w:rsidP="00D868AB">
      <w:pPr>
        <w:rPr>
          <w:rFonts w:cs="Arial"/>
        </w:rPr>
      </w:pPr>
      <w:r w:rsidRPr="00D868AB">
        <w:rPr>
          <w:rFonts w:cs="Arial"/>
        </w:rPr>
        <w:t>La Gobernadora del Estado dispondrá se publique, circule y observe.</w:t>
      </w:r>
    </w:p>
    <w:p w14:paraId="2215AF85" w14:textId="77777777" w:rsidR="00D868AB" w:rsidRPr="00D868AB" w:rsidRDefault="00D868AB" w:rsidP="00D868AB">
      <w:pPr>
        <w:rPr>
          <w:rFonts w:cs="Arial"/>
        </w:rPr>
      </w:pPr>
    </w:p>
    <w:p w14:paraId="34FB4B1F" w14:textId="7B782AF8" w:rsidR="00D868AB" w:rsidRPr="00D868AB" w:rsidRDefault="00D868AB" w:rsidP="00D868AB">
      <w:pPr>
        <w:ind w:left="1" w:hanging="1"/>
        <w:rPr>
          <w:rFonts w:cs="Arial"/>
          <w:lang w:val="es-ES"/>
        </w:rPr>
      </w:pPr>
      <w:r w:rsidRPr="00D868AB">
        <w:rPr>
          <w:rFonts w:cs="Arial"/>
          <w:lang w:val="es-ES"/>
        </w:rPr>
        <w:t xml:space="preserve">Dado en la Residencia del Poder Ejecutivo, </w:t>
      </w:r>
      <w:r w:rsidR="002E6411">
        <w:rPr>
          <w:rFonts w:cs="Arial"/>
          <w:lang w:val="es-ES"/>
        </w:rPr>
        <w:t>en Palacio de Gobierno el día 30</w:t>
      </w:r>
      <w:bookmarkStart w:id="344" w:name="_GoBack"/>
      <w:bookmarkEnd w:id="344"/>
      <w:r w:rsidRPr="00D868AB">
        <w:rPr>
          <w:rFonts w:cs="Arial"/>
          <w:lang w:val="es-ES"/>
        </w:rPr>
        <w:t xml:space="preserve"> de octubre del año 2022. </w:t>
      </w:r>
    </w:p>
    <w:p w14:paraId="277DBAE1" w14:textId="77777777" w:rsidR="00D868AB" w:rsidRPr="00D868AB" w:rsidRDefault="00D868AB" w:rsidP="00D868AB">
      <w:pPr>
        <w:rPr>
          <w:rFonts w:cs="Arial"/>
          <w:lang w:val="es-ES"/>
        </w:rPr>
      </w:pPr>
    </w:p>
    <w:p w14:paraId="1D7722AE" w14:textId="77777777" w:rsidR="00D868AB" w:rsidRPr="00D868AB" w:rsidRDefault="00D868AB" w:rsidP="00D868AB">
      <w:pPr>
        <w:jc w:val="center"/>
        <w:rPr>
          <w:rFonts w:cs="Arial"/>
          <w:b/>
          <w:lang w:val="es-ES"/>
        </w:rPr>
      </w:pPr>
      <w:r w:rsidRPr="00D868AB">
        <w:rPr>
          <w:rFonts w:cs="Arial"/>
          <w:b/>
          <w:lang w:val="es-ES"/>
        </w:rPr>
        <w:t>ATENTAMENTE</w:t>
      </w:r>
    </w:p>
    <w:p w14:paraId="6AE1ADF7" w14:textId="7B8FD706" w:rsidR="00D868AB" w:rsidRDefault="00D868AB" w:rsidP="00D868AB">
      <w:pPr>
        <w:jc w:val="center"/>
        <w:rPr>
          <w:rFonts w:cs="Arial"/>
          <w:b/>
          <w:lang w:val="es-ES"/>
        </w:rPr>
      </w:pPr>
    </w:p>
    <w:p w14:paraId="5838F0AC" w14:textId="77777777" w:rsidR="000671CD" w:rsidRPr="00D868AB" w:rsidRDefault="000671CD" w:rsidP="00D868AB">
      <w:pPr>
        <w:jc w:val="center"/>
        <w:rPr>
          <w:rFonts w:cs="Arial"/>
          <w:b/>
          <w:lang w:val="es-ES"/>
        </w:rPr>
      </w:pPr>
    </w:p>
    <w:p w14:paraId="03951020" w14:textId="77777777" w:rsidR="00D868AB" w:rsidRPr="00D868AB" w:rsidRDefault="00D868AB" w:rsidP="00D868AB">
      <w:pPr>
        <w:jc w:val="center"/>
        <w:rPr>
          <w:rFonts w:cs="Arial"/>
          <w:b/>
          <w:lang w:val="es-ES"/>
        </w:rPr>
      </w:pPr>
    </w:p>
    <w:p w14:paraId="089860CA" w14:textId="77777777" w:rsidR="00D868AB" w:rsidRPr="00D868AB" w:rsidRDefault="00D868AB" w:rsidP="00D868AB">
      <w:pPr>
        <w:jc w:val="center"/>
        <w:rPr>
          <w:rFonts w:cs="Arial"/>
          <w:b/>
          <w:lang w:val="es-ES"/>
        </w:rPr>
      </w:pPr>
      <w:r w:rsidRPr="00D868AB">
        <w:rPr>
          <w:rFonts w:cs="Arial"/>
          <w:b/>
          <w:lang w:val="es-ES"/>
        </w:rPr>
        <w:t>MTRA. INDIRA VIZCAÍNO SILVA</w:t>
      </w:r>
    </w:p>
    <w:p w14:paraId="58C5CB98" w14:textId="77777777" w:rsidR="00D868AB" w:rsidRPr="00D868AB" w:rsidRDefault="00D868AB" w:rsidP="00D868AB">
      <w:pPr>
        <w:jc w:val="center"/>
        <w:rPr>
          <w:rFonts w:cs="Arial"/>
          <w:b/>
          <w:lang w:val="es-ES"/>
        </w:rPr>
      </w:pPr>
      <w:r w:rsidRPr="00D868AB">
        <w:rPr>
          <w:rFonts w:cs="Arial"/>
          <w:b/>
          <w:lang w:val="es-ES"/>
        </w:rPr>
        <w:t>GOBERNADORA CONSTITUCIONAL DEL ESTADO</w:t>
      </w:r>
    </w:p>
    <w:p w14:paraId="6906E401" w14:textId="330F189F" w:rsidR="00D868AB" w:rsidRDefault="00D868AB" w:rsidP="00D868AB">
      <w:pPr>
        <w:jc w:val="center"/>
        <w:rPr>
          <w:rFonts w:cs="Arial"/>
          <w:b/>
          <w:lang w:val="es-ES"/>
        </w:rPr>
      </w:pPr>
    </w:p>
    <w:p w14:paraId="65305C3C" w14:textId="77777777" w:rsidR="000671CD" w:rsidRPr="000671CD" w:rsidRDefault="000671CD" w:rsidP="00D868AB">
      <w:pPr>
        <w:jc w:val="center"/>
        <w:rPr>
          <w:rFonts w:cs="Arial"/>
          <w:b/>
          <w:sz w:val="18"/>
          <w:lang w:val="es-ES"/>
        </w:rPr>
      </w:pPr>
    </w:p>
    <w:p w14:paraId="0A9DE61C" w14:textId="77777777" w:rsidR="00D868AB" w:rsidRPr="00D868AB" w:rsidRDefault="00D868AB" w:rsidP="00D868AB">
      <w:pPr>
        <w:jc w:val="center"/>
        <w:rPr>
          <w:rFonts w:cs="Arial"/>
          <w:b/>
          <w:lang w:val="es-ES"/>
        </w:rPr>
      </w:pPr>
    </w:p>
    <w:p w14:paraId="66918448" w14:textId="77777777" w:rsidR="00D868AB" w:rsidRPr="00D868AB" w:rsidRDefault="00D868AB" w:rsidP="00D868AB">
      <w:pPr>
        <w:jc w:val="center"/>
        <w:rPr>
          <w:rFonts w:cs="Arial"/>
          <w:b/>
          <w:lang w:val="es-ES"/>
        </w:rPr>
      </w:pPr>
    </w:p>
    <w:p w14:paraId="778C9C43" w14:textId="4EBBB21D" w:rsidR="00D868AB" w:rsidRPr="00D868AB" w:rsidRDefault="00EC3AEA" w:rsidP="00D868AB">
      <w:pPr>
        <w:jc w:val="center"/>
        <w:rPr>
          <w:rFonts w:cs="Arial"/>
          <w:b/>
          <w:lang w:val="es-ES"/>
        </w:rPr>
      </w:pPr>
      <w:r>
        <w:rPr>
          <w:rFonts w:cs="Arial"/>
          <w:b/>
          <w:lang w:val="es-ES"/>
        </w:rPr>
        <w:t>LICDA. MA</w:t>
      </w:r>
      <w:r w:rsidR="00D868AB" w:rsidRPr="00D868AB">
        <w:rPr>
          <w:rFonts w:cs="Arial"/>
          <w:b/>
          <w:lang w:val="es-ES"/>
        </w:rPr>
        <w:t xml:space="preserve"> GUADALUPE SOLÍS RAMÍREZ</w:t>
      </w:r>
    </w:p>
    <w:p w14:paraId="6853BBEF" w14:textId="77777777" w:rsidR="00D868AB" w:rsidRPr="00D868AB" w:rsidRDefault="00D868AB" w:rsidP="00D868AB">
      <w:pPr>
        <w:jc w:val="center"/>
        <w:rPr>
          <w:rFonts w:cs="Arial"/>
          <w:b/>
          <w:lang w:val="es-ES"/>
        </w:rPr>
      </w:pPr>
      <w:r w:rsidRPr="00D868AB">
        <w:rPr>
          <w:rFonts w:cs="Arial"/>
          <w:b/>
          <w:lang w:val="es-ES"/>
        </w:rPr>
        <w:t>SECRETARIA GENERAL DE GOBIERNO</w:t>
      </w:r>
    </w:p>
    <w:p w14:paraId="0DAF77DC" w14:textId="2BBEB1DE" w:rsidR="00750EC8" w:rsidRDefault="00750EC8" w:rsidP="00D868AB">
      <w:pPr>
        <w:jc w:val="center"/>
        <w:rPr>
          <w:rFonts w:eastAsia="Arial Unicode MS" w:cs="Arial"/>
          <w:b/>
          <w:u w:color="000000"/>
          <w:lang w:val="es-ES"/>
        </w:rPr>
      </w:pPr>
    </w:p>
    <w:p w14:paraId="0A5763FA" w14:textId="77777777" w:rsidR="00D868AB" w:rsidRPr="00D868AB" w:rsidRDefault="00D868AB" w:rsidP="00D868AB">
      <w:pPr>
        <w:jc w:val="center"/>
        <w:rPr>
          <w:rFonts w:eastAsia="Arial Unicode MS" w:cs="Arial"/>
          <w:b/>
          <w:u w:color="000000"/>
          <w:lang w:val="es-ES"/>
        </w:rPr>
      </w:pPr>
    </w:p>
    <w:p w14:paraId="55A3244B" w14:textId="77777777" w:rsidR="00D868AB" w:rsidRPr="00D868AB" w:rsidRDefault="00D868AB" w:rsidP="00D868AB">
      <w:pPr>
        <w:jc w:val="center"/>
        <w:rPr>
          <w:rFonts w:eastAsia="Arial Unicode MS" w:cs="Arial"/>
          <w:b/>
          <w:u w:color="000000"/>
          <w:lang w:val="es-ES"/>
        </w:rPr>
      </w:pPr>
    </w:p>
    <w:p w14:paraId="6EB42D1B" w14:textId="77777777" w:rsidR="00D868AB" w:rsidRPr="00D868AB" w:rsidRDefault="00D868AB" w:rsidP="00D868AB">
      <w:pPr>
        <w:jc w:val="center"/>
        <w:rPr>
          <w:rFonts w:eastAsia="Arial Bold" w:cs="Arial"/>
          <w:b/>
          <w:u w:color="000000"/>
          <w:lang w:val="es-ES"/>
        </w:rPr>
      </w:pPr>
      <w:r w:rsidRPr="00D868AB">
        <w:rPr>
          <w:rFonts w:eastAsia="Arial Unicode MS" w:cs="Arial"/>
          <w:b/>
          <w:u w:color="000000"/>
          <w:lang w:val="es-ES"/>
        </w:rPr>
        <w:t>C.P. FABIOLA VERDUZCO APARICIO</w:t>
      </w:r>
    </w:p>
    <w:p w14:paraId="1133592D" w14:textId="77777777" w:rsidR="00D868AB" w:rsidRPr="00D868AB" w:rsidRDefault="00D868AB" w:rsidP="00D868AB">
      <w:pPr>
        <w:jc w:val="center"/>
        <w:rPr>
          <w:rFonts w:eastAsia="Arial Bold" w:cs="Arial"/>
          <w:b/>
          <w:u w:color="000000"/>
          <w:lang w:val="es-ES"/>
        </w:rPr>
      </w:pPr>
      <w:r w:rsidRPr="00D868AB">
        <w:rPr>
          <w:rFonts w:eastAsia="Arial Unicode MS" w:cs="Arial"/>
          <w:b/>
          <w:u w:color="000000"/>
          <w:lang w:val="es-ES"/>
        </w:rPr>
        <w:t>SECRETARIA DE PLANEACIÓN, FINANZAS Y ADMINISTRACIÓN</w:t>
      </w:r>
    </w:p>
    <w:p w14:paraId="1DBE7684" w14:textId="5C4D3083" w:rsidR="00D868AB" w:rsidRDefault="00D868AB" w:rsidP="00D868AB">
      <w:pPr>
        <w:jc w:val="center"/>
        <w:rPr>
          <w:rFonts w:cs="Arial"/>
          <w:b/>
          <w:lang w:val="es-ES"/>
        </w:rPr>
      </w:pPr>
    </w:p>
    <w:p w14:paraId="505176C6" w14:textId="73A50D1C" w:rsidR="000671CD" w:rsidRPr="00D868AB" w:rsidRDefault="000671CD" w:rsidP="00D868AB">
      <w:pPr>
        <w:jc w:val="center"/>
        <w:rPr>
          <w:rFonts w:cs="Arial"/>
          <w:b/>
          <w:lang w:val="es-ES"/>
        </w:rPr>
      </w:pPr>
    </w:p>
    <w:p w14:paraId="4C11000A" w14:textId="77777777" w:rsidR="00D868AB" w:rsidRPr="00D868AB" w:rsidRDefault="00D868AB" w:rsidP="00D868AB">
      <w:pPr>
        <w:jc w:val="center"/>
        <w:rPr>
          <w:rFonts w:cs="Arial"/>
          <w:b/>
          <w:lang w:val="es-ES"/>
        </w:rPr>
      </w:pPr>
    </w:p>
    <w:p w14:paraId="433B69F5" w14:textId="77777777" w:rsidR="00D868AB" w:rsidRPr="00D868AB" w:rsidRDefault="00D868AB" w:rsidP="00D868AB">
      <w:pPr>
        <w:jc w:val="center"/>
        <w:rPr>
          <w:rFonts w:cs="Arial"/>
          <w:b/>
          <w:lang w:val="es-ES"/>
        </w:rPr>
      </w:pPr>
      <w:r w:rsidRPr="00D868AB">
        <w:rPr>
          <w:rFonts w:cs="Arial"/>
          <w:b/>
          <w:lang w:val="es-ES"/>
        </w:rPr>
        <w:t>LIC. ROBERTO RUBIO TORRES</w:t>
      </w:r>
    </w:p>
    <w:p w14:paraId="5A6B69AF" w14:textId="0BB3E850" w:rsidR="00827E3E" w:rsidRDefault="00D868AB" w:rsidP="00827E3E">
      <w:pPr>
        <w:jc w:val="center"/>
        <w:rPr>
          <w:rFonts w:cs="Arial"/>
          <w:b/>
          <w:lang w:val="es-ES"/>
        </w:rPr>
      </w:pPr>
      <w:r w:rsidRPr="00D868AB">
        <w:rPr>
          <w:rFonts w:cs="Arial"/>
          <w:b/>
          <w:lang w:val="es-ES"/>
        </w:rPr>
        <w:t>CONSEJERO JURÍDICO DEL PODER EJECUTIVO DEL ESTADO</w:t>
      </w:r>
    </w:p>
    <w:p w14:paraId="0FE3FE89" w14:textId="77777777" w:rsidR="000671CD" w:rsidRDefault="000671CD" w:rsidP="00827E3E">
      <w:pPr>
        <w:jc w:val="center"/>
        <w:rPr>
          <w:rFonts w:cs="Arial"/>
          <w:b/>
          <w:lang w:val="es-ES"/>
        </w:rPr>
      </w:pPr>
    </w:p>
    <w:p w14:paraId="5634E9A1" w14:textId="264EE9D2" w:rsidR="00D868AB" w:rsidRPr="000671CD" w:rsidRDefault="000671CD" w:rsidP="0094225A">
      <w:pPr>
        <w:rPr>
          <w:rFonts w:cs="Arial"/>
          <w:b/>
          <w:sz w:val="16"/>
          <w:lang w:val="es-ES"/>
        </w:rPr>
      </w:pPr>
      <w:r>
        <w:rPr>
          <w:rFonts w:cs="Arial"/>
          <w:sz w:val="16"/>
          <w:lang w:val="es-ES"/>
        </w:rPr>
        <w:t xml:space="preserve">---------------------- </w:t>
      </w:r>
      <w:r w:rsidR="00D868AB" w:rsidRPr="000671CD">
        <w:rPr>
          <w:rFonts w:cs="Arial"/>
          <w:sz w:val="16"/>
          <w:lang w:val="es-ES"/>
        </w:rPr>
        <w:t>Las firmas del presente documento corresponden a la Iniciativa con Proyecto de Decreto por el que se expide el Presupuesto de Egresos del Estado de Colima para el Ejercicio Fiscal 2023 -------</w:t>
      </w:r>
      <w:bookmarkEnd w:id="1"/>
      <w:bookmarkEnd w:id="2"/>
      <w:r>
        <w:rPr>
          <w:rFonts w:cs="Arial"/>
          <w:sz w:val="16"/>
          <w:lang w:val="es-ES"/>
        </w:rPr>
        <w:t>------------------------------------------------------</w:t>
      </w:r>
    </w:p>
    <w:sectPr w:rsidR="00D868AB" w:rsidRPr="000671CD" w:rsidSect="00E718C2">
      <w:headerReference w:type="default" r:id="rId15"/>
      <w:footerReference w:type="default" r:id="rId16"/>
      <w:pgSz w:w="12240" w:h="15840" w:code="1"/>
      <w:pgMar w:top="3260"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2538" w14:textId="77777777" w:rsidR="00035C8A" w:rsidRDefault="00035C8A" w:rsidP="00E752F0">
      <w:r>
        <w:separator/>
      </w:r>
    </w:p>
  </w:endnote>
  <w:endnote w:type="continuationSeparator" w:id="0">
    <w:p w14:paraId="6CF6E935" w14:textId="77777777" w:rsidR="00035C8A" w:rsidRDefault="00035C8A" w:rsidP="00E7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otis Sans Serif Std Ligh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8155727"/>
      <w:docPartObj>
        <w:docPartGallery w:val="Page Numbers (Bottom of Page)"/>
        <w:docPartUnique/>
      </w:docPartObj>
    </w:sdtPr>
    <w:sdtEndPr/>
    <w:sdtContent>
      <w:p w14:paraId="4CEC8B80" w14:textId="4E49B7BE" w:rsidR="00372C6D" w:rsidRPr="0002721F" w:rsidRDefault="00372C6D" w:rsidP="00BA31D9">
        <w:pPr>
          <w:pStyle w:val="Piedepgina"/>
          <w:jc w:val="center"/>
          <w:rPr>
            <w:rFonts w:cs="Arial"/>
            <w:i/>
          </w:rPr>
        </w:pPr>
        <w:r w:rsidRPr="004E303A">
          <w:t>“2022, AÑO DE LA ESPERANZA”</w:t>
        </w:r>
      </w:p>
      <w:p w14:paraId="29B092BB" w14:textId="477D77CD" w:rsidR="00372C6D" w:rsidRDefault="00372C6D" w:rsidP="00BA31D9">
        <w:pPr>
          <w:pStyle w:val="Piedepgina"/>
          <w:jc w:val="center"/>
        </w:pPr>
        <w:r>
          <w:tab/>
        </w:r>
        <w:r>
          <w:tab/>
        </w:r>
        <w:r w:rsidRPr="006C6311">
          <w:rPr>
            <w:rFonts w:cs="Arial"/>
            <w:sz w:val="24"/>
          </w:rPr>
          <w:fldChar w:fldCharType="begin"/>
        </w:r>
        <w:r w:rsidRPr="006C6311">
          <w:rPr>
            <w:rFonts w:cs="Arial"/>
            <w:sz w:val="24"/>
          </w:rPr>
          <w:instrText>PAGE   \* MERGEFORMAT</w:instrText>
        </w:r>
        <w:r w:rsidRPr="006C6311">
          <w:rPr>
            <w:rFonts w:cs="Arial"/>
            <w:sz w:val="24"/>
          </w:rPr>
          <w:fldChar w:fldCharType="separate"/>
        </w:r>
        <w:r w:rsidR="002E6411" w:rsidRPr="002E6411">
          <w:rPr>
            <w:rFonts w:cs="Arial"/>
            <w:noProof/>
            <w:sz w:val="24"/>
            <w:lang w:val="es-ES"/>
          </w:rPr>
          <w:t>149</w:t>
        </w:r>
        <w:r w:rsidRPr="006C6311">
          <w:rPr>
            <w:rFonts w:cs="Arial"/>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FE27A" w14:textId="77777777" w:rsidR="00035C8A" w:rsidRDefault="00035C8A" w:rsidP="00E752F0">
      <w:r>
        <w:separator/>
      </w:r>
    </w:p>
  </w:footnote>
  <w:footnote w:type="continuationSeparator" w:id="0">
    <w:p w14:paraId="2B7E7E5C" w14:textId="77777777" w:rsidR="00035C8A" w:rsidRDefault="00035C8A" w:rsidP="00E75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57E6A" w14:textId="77777777" w:rsidR="00372C6D" w:rsidRDefault="00372C6D" w:rsidP="00D96528">
    <w:pPr>
      <w:pStyle w:val="Encabezado"/>
    </w:pPr>
    <w:r>
      <w:rPr>
        <w:noProof/>
      </w:rPr>
      <w:drawing>
        <wp:anchor distT="0" distB="0" distL="114300" distR="114300" simplePos="0" relativeHeight="251659264" behindDoc="0" locked="0" layoutInCell="1" allowOverlap="1" wp14:anchorId="26607732" wp14:editId="5DC98DAF">
          <wp:simplePos x="0" y="0"/>
          <wp:positionH relativeFrom="column">
            <wp:posOffset>-457200</wp:posOffset>
          </wp:positionH>
          <wp:positionV relativeFrom="paragraph">
            <wp:posOffset>-448310</wp:posOffset>
          </wp:positionV>
          <wp:extent cx="2076450" cy="2076450"/>
          <wp:effectExtent l="0" t="0" r="0" b="0"/>
          <wp:wrapNone/>
          <wp:docPr id="14" name="Imagen 14"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96C59"/>
    <w:multiLevelType w:val="hybridMultilevel"/>
    <w:tmpl w:val="A7888A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493390"/>
    <w:multiLevelType w:val="hybridMultilevel"/>
    <w:tmpl w:val="D4FA0AE4"/>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 w15:restartNumberingAfterBreak="0">
    <w:nsid w:val="0BE342FA"/>
    <w:multiLevelType w:val="hybridMultilevel"/>
    <w:tmpl w:val="6D76B0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F21815"/>
    <w:multiLevelType w:val="hybridMultilevel"/>
    <w:tmpl w:val="736C8D66"/>
    <w:lvl w:ilvl="0" w:tplc="197C293E">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F4D35EE"/>
    <w:multiLevelType w:val="hybridMultilevel"/>
    <w:tmpl w:val="9880CDF0"/>
    <w:lvl w:ilvl="0" w:tplc="366C31DE">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4A82867"/>
    <w:multiLevelType w:val="hybridMultilevel"/>
    <w:tmpl w:val="44A844DE"/>
    <w:lvl w:ilvl="0" w:tplc="FFFFFFFF">
      <w:start w:val="1"/>
      <w:numFmt w:val="upperRoman"/>
      <w:lvlText w:val="%1."/>
      <w:lvlJc w:val="righ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C415C4"/>
    <w:multiLevelType w:val="hybridMultilevel"/>
    <w:tmpl w:val="5D1A11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1463554"/>
    <w:multiLevelType w:val="hybridMultilevel"/>
    <w:tmpl w:val="22D8FC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D56DCE"/>
    <w:multiLevelType w:val="hybridMultilevel"/>
    <w:tmpl w:val="6BCA85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4522FF"/>
    <w:multiLevelType w:val="hybridMultilevel"/>
    <w:tmpl w:val="C9D0C0F6"/>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6C2BE5"/>
    <w:multiLevelType w:val="hybridMultilevel"/>
    <w:tmpl w:val="F61C1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55851"/>
    <w:multiLevelType w:val="multilevel"/>
    <w:tmpl w:val="D25A536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B6B6391"/>
    <w:multiLevelType w:val="hybridMultilevel"/>
    <w:tmpl w:val="19202BB6"/>
    <w:lvl w:ilvl="0" w:tplc="9D0C5090">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B9C3078"/>
    <w:multiLevelType w:val="hybridMultilevel"/>
    <w:tmpl w:val="2C4A5F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BC310CA"/>
    <w:multiLevelType w:val="hybridMultilevel"/>
    <w:tmpl w:val="82F2FDF6"/>
    <w:lvl w:ilvl="0" w:tplc="AB648B7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1759A9"/>
    <w:multiLevelType w:val="hybridMultilevel"/>
    <w:tmpl w:val="F53245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12A4C7D"/>
    <w:multiLevelType w:val="hybridMultilevel"/>
    <w:tmpl w:val="EF866A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88343D3"/>
    <w:multiLevelType w:val="hybridMultilevel"/>
    <w:tmpl w:val="878452A6"/>
    <w:lvl w:ilvl="0" w:tplc="6FDA6F8A">
      <w:start w:val="1"/>
      <w:numFmt w:val="upperRoman"/>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38A125C5"/>
    <w:multiLevelType w:val="hybridMultilevel"/>
    <w:tmpl w:val="7C5419AC"/>
    <w:lvl w:ilvl="0" w:tplc="971CAA2A">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3C1B0A7D"/>
    <w:multiLevelType w:val="hybridMultilevel"/>
    <w:tmpl w:val="05FC01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E15658"/>
    <w:multiLevelType w:val="hybridMultilevel"/>
    <w:tmpl w:val="4A0AF994"/>
    <w:lvl w:ilvl="0" w:tplc="E62E34CC">
      <w:start w:val="6"/>
      <w:numFmt w:val="upperRoman"/>
      <w:lvlText w:val="%1."/>
      <w:lvlJc w:val="right"/>
      <w:pPr>
        <w:ind w:left="540" w:hanging="18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52A1C23"/>
    <w:multiLevelType w:val="multilevel"/>
    <w:tmpl w:val="622ED99E"/>
    <w:lvl w:ilvl="0">
      <w:start w:val="1"/>
      <w:numFmt w:val="upperRoman"/>
      <w:lvlText w:val="%1."/>
      <w:lvlJc w:val="righ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0B4E66"/>
    <w:multiLevelType w:val="multilevel"/>
    <w:tmpl w:val="C8EA5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AF3AA4"/>
    <w:multiLevelType w:val="hybridMultilevel"/>
    <w:tmpl w:val="B044B29C"/>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A637275"/>
    <w:multiLevelType w:val="hybridMultilevel"/>
    <w:tmpl w:val="75BAD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BDB4E50"/>
    <w:multiLevelType w:val="hybridMultilevel"/>
    <w:tmpl w:val="A6F82408"/>
    <w:lvl w:ilvl="0" w:tplc="3602499E">
      <w:start w:val="1"/>
      <w:numFmt w:val="upperRoman"/>
      <w:lvlText w:val="%1."/>
      <w:lvlJc w:val="left"/>
      <w:pPr>
        <w:ind w:left="1004" w:hanging="72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6" w15:restartNumberingAfterBreak="0">
    <w:nsid w:val="563A4095"/>
    <w:multiLevelType w:val="hybridMultilevel"/>
    <w:tmpl w:val="B41041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9966C60"/>
    <w:multiLevelType w:val="hybridMultilevel"/>
    <w:tmpl w:val="BA169218"/>
    <w:lvl w:ilvl="0" w:tplc="77D80CBA">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8" w15:restartNumberingAfterBreak="0">
    <w:nsid w:val="69B34270"/>
    <w:multiLevelType w:val="hybridMultilevel"/>
    <w:tmpl w:val="F13419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EB611C9"/>
    <w:multiLevelType w:val="hybridMultilevel"/>
    <w:tmpl w:val="F3547C72"/>
    <w:lvl w:ilvl="0" w:tplc="6BBEC436">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0" w15:restartNumberingAfterBreak="0">
    <w:nsid w:val="724769CA"/>
    <w:multiLevelType w:val="hybridMultilevel"/>
    <w:tmpl w:val="9454C062"/>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3C36089"/>
    <w:multiLevelType w:val="hybridMultilevel"/>
    <w:tmpl w:val="BB845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7660205D"/>
    <w:multiLevelType w:val="hybridMultilevel"/>
    <w:tmpl w:val="7EB082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9BC7EF2"/>
    <w:multiLevelType w:val="hybridMultilevel"/>
    <w:tmpl w:val="D2AA8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A3C1375"/>
    <w:multiLevelType w:val="hybridMultilevel"/>
    <w:tmpl w:val="44A844DE"/>
    <w:lvl w:ilvl="0" w:tplc="080A0013">
      <w:start w:val="1"/>
      <w:numFmt w:val="upperRoman"/>
      <w:lvlText w:val="%1."/>
      <w:lvlJc w:val="righ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AA72D19"/>
    <w:multiLevelType w:val="hybridMultilevel"/>
    <w:tmpl w:val="8FB21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B02525B"/>
    <w:multiLevelType w:val="hybridMultilevel"/>
    <w:tmpl w:val="72A49E8E"/>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F6812D4"/>
    <w:multiLevelType w:val="hybridMultilevel"/>
    <w:tmpl w:val="A4B4F644"/>
    <w:lvl w:ilvl="0" w:tplc="D102CCE2">
      <w:start w:val="1"/>
      <w:numFmt w:val="upperRoman"/>
      <w:lvlText w:val="%1."/>
      <w:lvlJc w:val="left"/>
      <w:pPr>
        <w:ind w:left="720" w:hanging="360"/>
      </w:pPr>
      <w:rPr>
        <w:rFonts w:hint="default"/>
        <w:strike w:val="0"/>
        <w:dstrike w:val="0"/>
        <w:color w:val="auto"/>
        <w:u w:val="none"/>
        <w:effect w:val="non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30"/>
  </w:num>
  <w:num w:numId="2">
    <w:abstractNumId w:val="22"/>
  </w:num>
  <w:num w:numId="3">
    <w:abstractNumId w:val="14"/>
  </w:num>
  <w:num w:numId="4">
    <w:abstractNumId w:val="21"/>
  </w:num>
  <w:num w:numId="5">
    <w:abstractNumId w:val="3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10"/>
  </w:num>
  <w:num w:numId="16">
    <w:abstractNumId w:val="34"/>
  </w:num>
  <w:num w:numId="17">
    <w:abstractNumId w:val="4"/>
  </w:num>
  <w:num w:numId="18">
    <w:abstractNumId w:val="7"/>
  </w:num>
  <w:num w:numId="19">
    <w:abstractNumId w:val="0"/>
  </w:num>
  <w:num w:numId="20">
    <w:abstractNumId w:val="23"/>
  </w:num>
  <w:num w:numId="21">
    <w:abstractNumId w:val="28"/>
  </w:num>
  <w:num w:numId="22">
    <w:abstractNumId w:val="35"/>
  </w:num>
  <w:num w:numId="23">
    <w:abstractNumId w:val="19"/>
  </w:num>
  <w:num w:numId="24">
    <w:abstractNumId w:val="13"/>
  </w:num>
  <w:num w:numId="25">
    <w:abstractNumId w:val="9"/>
  </w:num>
  <w:num w:numId="26">
    <w:abstractNumId w:val="6"/>
  </w:num>
  <w:num w:numId="27">
    <w:abstractNumId w:val="31"/>
  </w:num>
  <w:num w:numId="28">
    <w:abstractNumId w:val="16"/>
  </w:num>
  <w:num w:numId="29">
    <w:abstractNumId w:val="15"/>
  </w:num>
  <w:num w:numId="30">
    <w:abstractNumId w:val="32"/>
  </w:num>
  <w:num w:numId="31">
    <w:abstractNumId w:val="33"/>
  </w:num>
  <w:num w:numId="32">
    <w:abstractNumId w:val="24"/>
  </w:num>
  <w:num w:numId="33">
    <w:abstractNumId w:val="2"/>
  </w:num>
  <w:num w:numId="34">
    <w:abstractNumId w:val="8"/>
  </w:num>
  <w:num w:numId="35">
    <w:abstractNumId w:val="26"/>
  </w:num>
  <w:num w:numId="36">
    <w:abstractNumId w:val="5"/>
  </w:num>
  <w:num w:numId="37">
    <w:abstractNumId w:val="36"/>
  </w:num>
  <w:num w:numId="38">
    <w:abstractNumId w:val="20"/>
  </w:num>
  <w:num w:numId="39">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es-MX" w:vendorID="64" w:dllVersion="0" w:nlCheck="1" w:checkStyle="0"/>
  <w:activeWritingStyle w:appName="MSWord" w:lang="fr-FR" w:vendorID="64" w:dllVersion="0" w:nlCheck="1" w:checkStyle="0"/>
  <w:activeWritingStyle w:appName="MSWord" w:lang="fr-FR"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0"/>
  <w:activeWritingStyle w:appName="MSWord" w:lang="es-419"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F0"/>
    <w:rsid w:val="0000049A"/>
    <w:rsid w:val="00002C28"/>
    <w:rsid w:val="00002E5B"/>
    <w:rsid w:val="00005445"/>
    <w:rsid w:val="00005FBE"/>
    <w:rsid w:val="0000683D"/>
    <w:rsid w:val="0001143B"/>
    <w:rsid w:val="000149A4"/>
    <w:rsid w:val="000216FB"/>
    <w:rsid w:val="00022C95"/>
    <w:rsid w:val="000230AE"/>
    <w:rsid w:val="000253F1"/>
    <w:rsid w:val="0002721F"/>
    <w:rsid w:val="00030765"/>
    <w:rsid w:val="00031785"/>
    <w:rsid w:val="00031978"/>
    <w:rsid w:val="00032855"/>
    <w:rsid w:val="00034EE6"/>
    <w:rsid w:val="000353FE"/>
    <w:rsid w:val="0003541C"/>
    <w:rsid w:val="00035C8A"/>
    <w:rsid w:val="00036012"/>
    <w:rsid w:val="00037584"/>
    <w:rsid w:val="00037D21"/>
    <w:rsid w:val="000404C5"/>
    <w:rsid w:val="000407E7"/>
    <w:rsid w:val="00043385"/>
    <w:rsid w:val="00043D9D"/>
    <w:rsid w:val="00044ED0"/>
    <w:rsid w:val="00045F26"/>
    <w:rsid w:val="00052495"/>
    <w:rsid w:val="00054F84"/>
    <w:rsid w:val="000550AF"/>
    <w:rsid w:val="0005543F"/>
    <w:rsid w:val="00057771"/>
    <w:rsid w:val="00057B07"/>
    <w:rsid w:val="000600E0"/>
    <w:rsid w:val="0006048F"/>
    <w:rsid w:val="00060CCE"/>
    <w:rsid w:val="00062E8C"/>
    <w:rsid w:val="000633DB"/>
    <w:rsid w:val="0006381C"/>
    <w:rsid w:val="00064864"/>
    <w:rsid w:val="00064F50"/>
    <w:rsid w:val="00065BB5"/>
    <w:rsid w:val="00065E18"/>
    <w:rsid w:val="00066CB1"/>
    <w:rsid w:val="000671CD"/>
    <w:rsid w:val="00075369"/>
    <w:rsid w:val="000759FE"/>
    <w:rsid w:val="00075EB0"/>
    <w:rsid w:val="00075F3C"/>
    <w:rsid w:val="00080770"/>
    <w:rsid w:val="00081BDA"/>
    <w:rsid w:val="00084461"/>
    <w:rsid w:val="00084C1A"/>
    <w:rsid w:val="000903EB"/>
    <w:rsid w:val="00091B63"/>
    <w:rsid w:val="0009299C"/>
    <w:rsid w:val="00092DB4"/>
    <w:rsid w:val="00094BC5"/>
    <w:rsid w:val="00097603"/>
    <w:rsid w:val="000A12AC"/>
    <w:rsid w:val="000A1A7D"/>
    <w:rsid w:val="000A3972"/>
    <w:rsid w:val="000A50E5"/>
    <w:rsid w:val="000A65EB"/>
    <w:rsid w:val="000A718C"/>
    <w:rsid w:val="000B0179"/>
    <w:rsid w:val="000B6FB3"/>
    <w:rsid w:val="000B7869"/>
    <w:rsid w:val="000C072F"/>
    <w:rsid w:val="000C0B6C"/>
    <w:rsid w:val="000C11EA"/>
    <w:rsid w:val="000C195E"/>
    <w:rsid w:val="000C2381"/>
    <w:rsid w:val="000C246B"/>
    <w:rsid w:val="000C36CF"/>
    <w:rsid w:val="000C3F69"/>
    <w:rsid w:val="000D0C5D"/>
    <w:rsid w:val="000D21AC"/>
    <w:rsid w:val="000D29E7"/>
    <w:rsid w:val="000D30A6"/>
    <w:rsid w:val="000D3688"/>
    <w:rsid w:val="000D399D"/>
    <w:rsid w:val="000D3EA2"/>
    <w:rsid w:val="000D48E0"/>
    <w:rsid w:val="000D4C55"/>
    <w:rsid w:val="000D5F51"/>
    <w:rsid w:val="000D681D"/>
    <w:rsid w:val="000E1E47"/>
    <w:rsid w:val="000E20E3"/>
    <w:rsid w:val="000E4F27"/>
    <w:rsid w:val="000E79E1"/>
    <w:rsid w:val="000E7A3B"/>
    <w:rsid w:val="000F15DD"/>
    <w:rsid w:val="000F2AD6"/>
    <w:rsid w:val="000F4765"/>
    <w:rsid w:val="000F5B7E"/>
    <w:rsid w:val="000F6587"/>
    <w:rsid w:val="000F678F"/>
    <w:rsid w:val="000F679E"/>
    <w:rsid w:val="000F70E0"/>
    <w:rsid w:val="000F732F"/>
    <w:rsid w:val="0010070E"/>
    <w:rsid w:val="001009F5"/>
    <w:rsid w:val="001011C3"/>
    <w:rsid w:val="00101AB3"/>
    <w:rsid w:val="001037E4"/>
    <w:rsid w:val="00103EA4"/>
    <w:rsid w:val="00104D76"/>
    <w:rsid w:val="0010565F"/>
    <w:rsid w:val="00110B91"/>
    <w:rsid w:val="00112661"/>
    <w:rsid w:val="00112BEB"/>
    <w:rsid w:val="00113122"/>
    <w:rsid w:val="00113625"/>
    <w:rsid w:val="00113BD8"/>
    <w:rsid w:val="00122C27"/>
    <w:rsid w:val="00122D12"/>
    <w:rsid w:val="00123557"/>
    <w:rsid w:val="00124D57"/>
    <w:rsid w:val="001277B4"/>
    <w:rsid w:val="001326CC"/>
    <w:rsid w:val="0013296E"/>
    <w:rsid w:val="0013494C"/>
    <w:rsid w:val="00135212"/>
    <w:rsid w:val="0013594C"/>
    <w:rsid w:val="0013665C"/>
    <w:rsid w:val="001367A2"/>
    <w:rsid w:val="0013783E"/>
    <w:rsid w:val="00137845"/>
    <w:rsid w:val="0014157D"/>
    <w:rsid w:val="00141CC2"/>
    <w:rsid w:val="00142120"/>
    <w:rsid w:val="001429F3"/>
    <w:rsid w:val="0014465A"/>
    <w:rsid w:val="001539DC"/>
    <w:rsid w:val="00160AEE"/>
    <w:rsid w:val="0016184F"/>
    <w:rsid w:val="00163C6A"/>
    <w:rsid w:val="001644F8"/>
    <w:rsid w:val="0016723F"/>
    <w:rsid w:val="00167A1A"/>
    <w:rsid w:val="00167BC6"/>
    <w:rsid w:val="00167FBA"/>
    <w:rsid w:val="00170890"/>
    <w:rsid w:val="0017182D"/>
    <w:rsid w:val="00175090"/>
    <w:rsid w:val="00175BCB"/>
    <w:rsid w:val="00176108"/>
    <w:rsid w:val="001803C2"/>
    <w:rsid w:val="00182894"/>
    <w:rsid w:val="00184810"/>
    <w:rsid w:val="00185690"/>
    <w:rsid w:val="00185A41"/>
    <w:rsid w:val="001879CC"/>
    <w:rsid w:val="001910C1"/>
    <w:rsid w:val="0019174A"/>
    <w:rsid w:val="00193ADA"/>
    <w:rsid w:val="00193D6E"/>
    <w:rsid w:val="00194241"/>
    <w:rsid w:val="001950E5"/>
    <w:rsid w:val="0019513A"/>
    <w:rsid w:val="00197B38"/>
    <w:rsid w:val="001A08DA"/>
    <w:rsid w:val="001A1A00"/>
    <w:rsid w:val="001A1AE5"/>
    <w:rsid w:val="001A28F5"/>
    <w:rsid w:val="001A498D"/>
    <w:rsid w:val="001A4D65"/>
    <w:rsid w:val="001A5E14"/>
    <w:rsid w:val="001B19AF"/>
    <w:rsid w:val="001B2A08"/>
    <w:rsid w:val="001B517C"/>
    <w:rsid w:val="001B723B"/>
    <w:rsid w:val="001B7F77"/>
    <w:rsid w:val="001C0B2F"/>
    <w:rsid w:val="001C1991"/>
    <w:rsid w:val="001C1DCB"/>
    <w:rsid w:val="001C2304"/>
    <w:rsid w:val="001C2B32"/>
    <w:rsid w:val="001C6A96"/>
    <w:rsid w:val="001C7E7B"/>
    <w:rsid w:val="001D065D"/>
    <w:rsid w:val="001D0755"/>
    <w:rsid w:val="001D2112"/>
    <w:rsid w:val="001D415F"/>
    <w:rsid w:val="001D7AE2"/>
    <w:rsid w:val="001D7BA4"/>
    <w:rsid w:val="001D7CEB"/>
    <w:rsid w:val="001D7FBB"/>
    <w:rsid w:val="001E473F"/>
    <w:rsid w:val="001E560C"/>
    <w:rsid w:val="001E5F5D"/>
    <w:rsid w:val="001E6716"/>
    <w:rsid w:val="001E7056"/>
    <w:rsid w:val="001E7508"/>
    <w:rsid w:val="001E7D80"/>
    <w:rsid w:val="001F1499"/>
    <w:rsid w:val="001F1DFF"/>
    <w:rsid w:val="001F3690"/>
    <w:rsid w:val="001F6188"/>
    <w:rsid w:val="001F6EDB"/>
    <w:rsid w:val="002027F0"/>
    <w:rsid w:val="00203564"/>
    <w:rsid w:val="00204845"/>
    <w:rsid w:val="00205ECF"/>
    <w:rsid w:val="002073A7"/>
    <w:rsid w:val="00212613"/>
    <w:rsid w:val="002128BC"/>
    <w:rsid w:val="0021293F"/>
    <w:rsid w:val="00212AC9"/>
    <w:rsid w:val="00213C2E"/>
    <w:rsid w:val="00214F5A"/>
    <w:rsid w:val="00215E0B"/>
    <w:rsid w:val="00217C33"/>
    <w:rsid w:val="00221571"/>
    <w:rsid w:val="00221BDE"/>
    <w:rsid w:val="002221E0"/>
    <w:rsid w:val="00224BD9"/>
    <w:rsid w:val="00225233"/>
    <w:rsid w:val="002257B4"/>
    <w:rsid w:val="00226CEA"/>
    <w:rsid w:val="00226D74"/>
    <w:rsid w:val="002278B1"/>
    <w:rsid w:val="00227910"/>
    <w:rsid w:val="00230B5B"/>
    <w:rsid w:val="00236626"/>
    <w:rsid w:val="0023751B"/>
    <w:rsid w:val="00242597"/>
    <w:rsid w:val="00242C70"/>
    <w:rsid w:val="00246720"/>
    <w:rsid w:val="0025072C"/>
    <w:rsid w:val="00257C8A"/>
    <w:rsid w:val="0026062E"/>
    <w:rsid w:val="00261CE9"/>
    <w:rsid w:val="00262438"/>
    <w:rsid w:val="00262BD2"/>
    <w:rsid w:val="002637F2"/>
    <w:rsid w:val="0026481B"/>
    <w:rsid w:val="00270DD2"/>
    <w:rsid w:val="00272080"/>
    <w:rsid w:val="00272E5E"/>
    <w:rsid w:val="00277D9C"/>
    <w:rsid w:val="0028007A"/>
    <w:rsid w:val="00282C23"/>
    <w:rsid w:val="0028454E"/>
    <w:rsid w:val="00284610"/>
    <w:rsid w:val="00285D67"/>
    <w:rsid w:val="00286214"/>
    <w:rsid w:val="002873A2"/>
    <w:rsid w:val="002917D6"/>
    <w:rsid w:val="0029219E"/>
    <w:rsid w:val="002936BB"/>
    <w:rsid w:val="00295342"/>
    <w:rsid w:val="002963FA"/>
    <w:rsid w:val="00296BDD"/>
    <w:rsid w:val="00297144"/>
    <w:rsid w:val="00297266"/>
    <w:rsid w:val="002A1177"/>
    <w:rsid w:val="002A4E36"/>
    <w:rsid w:val="002A505B"/>
    <w:rsid w:val="002A6FB7"/>
    <w:rsid w:val="002B027E"/>
    <w:rsid w:val="002B04A0"/>
    <w:rsid w:val="002B0CBA"/>
    <w:rsid w:val="002B2A42"/>
    <w:rsid w:val="002B2F94"/>
    <w:rsid w:val="002B3DAE"/>
    <w:rsid w:val="002B4756"/>
    <w:rsid w:val="002B4873"/>
    <w:rsid w:val="002B51DF"/>
    <w:rsid w:val="002B526B"/>
    <w:rsid w:val="002B60E1"/>
    <w:rsid w:val="002C31A7"/>
    <w:rsid w:val="002C497E"/>
    <w:rsid w:val="002C531E"/>
    <w:rsid w:val="002C5AFB"/>
    <w:rsid w:val="002C619B"/>
    <w:rsid w:val="002C6992"/>
    <w:rsid w:val="002C6DE4"/>
    <w:rsid w:val="002C727D"/>
    <w:rsid w:val="002D0399"/>
    <w:rsid w:val="002D0FC7"/>
    <w:rsid w:val="002D12A3"/>
    <w:rsid w:val="002D17DD"/>
    <w:rsid w:val="002D1A04"/>
    <w:rsid w:val="002D1AA1"/>
    <w:rsid w:val="002D1ABE"/>
    <w:rsid w:val="002D1D77"/>
    <w:rsid w:val="002D3DC4"/>
    <w:rsid w:val="002D406B"/>
    <w:rsid w:val="002D47F1"/>
    <w:rsid w:val="002E0474"/>
    <w:rsid w:val="002E0DB6"/>
    <w:rsid w:val="002E1729"/>
    <w:rsid w:val="002E184E"/>
    <w:rsid w:val="002E1F23"/>
    <w:rsid w:val="002E29B1"/>
    <w:rsid w:val="002E5441"/>
    <w:rsid w:val="002E5A75"/>
    <w:rsid w:val="002E6411"/>
    <w:rsid w:val="002E6E23"/>
    <w:rsid w:val="002F2B8E"/>
    <w:rsid w:val="002F3432"/>
    <w:rsid w:val="002F3EF4"/>
    <w:rsid w:val="002F4E87"/>
    <w:rsid w:val="002F5808"/>
    <w:rsid w:val="002F6C91"/>
    <w:rsid w:val="003014A4"/>
    <w:rsid w:val="003020AC"/>
    <w:rsid w:val="00303DFD"/>
    <w:rsid w:val="0030471B"/>
    <w:rsid w:val="00305D85"/>
    <w:rsid w:val="00310336"/>
    <w:rsid w:val="00311F92"/>
    <w:rsid w:val="00311FE7"/>
    <w:rsid w:val="003124BF"/>
    <w:rsid w:val="00312D6F"/>
    <w:rsid w:val="00313571"/>
    <w:rsid w:val="00313E49"/>
    <w:rsid w:val="00314C0F"/>
    <w:rsid w:val="00315F9F"/>
    <w:rsid w:val="003166BD"/>
    <w:rsid w:val="00316F0A"/>
    <w:rsid w:val="003179AA"/>
    <w:rsid w:val="003179DB"/>
    <w:rsid w:val="003337A7"/>
    <w:rsid w:val="00334587"/>
    <w:rsid w:val="00334C12"/>
    <w:rsid w:val="00334F6E"/>
    <w:rsid w:val="00335902"/>
    <w:rsid w:val="00337245"/>
    <w:rsid w:val="003420DB"/>
    <w:rsid w:val="00344F2C"/>
    <w:rsid w:val="00345ACB"/>
    <w:rsid w:val="003474F7"/>
    <w:rsid w:val="00351217"/>
    <w:rsid w:val="00351363"/>
    <w:rsid w:val="00351BA5"/>
    <w:rsid w:val="00355D25"/>
    <w:rsid w:val="0035614E"/>
    <w:rsid w:val="0035623C"/>
    <w:rsid w:val="00356F0B"/>
    <w:rsid w:val="0036037B"/>
    <w:rsid w:val="00361D95"/>
    <w:rsid w:val="00362220"/>
    <w:rsid w:val="0036398C"/>
    <w:rsid w:val="003641A0"/>
    <w:rsid w:val="00365E52"/>
    <w:rsid w:val="0036697D"/>
    <w:rsid w:val="00370AF3"/>
    <w:rsid w:val="00370E53"/>
    <w:rsid w:val="003711A0"/>
    <w:rsid w:val="00371287"/>
    <w:rsid w:val="00372C6D"/>
    <w:rsid w:val="00373574"/>
    <w:rsid w:val="0037401D"/>
    <w:rsid w:val="003750A8"/>
    <w:rsid w:val="00377AF7"/>
    <w:rsid w:val="00380F1E"/>
    <w:rsid w:val="0038169C"/>
    <w:rsid w:val="003821D5"/>
    <w:rsid w:val="003824CB"/>
    <w:rsid w:val="00387EE7"/>
    <w:rsid w:val="0039091A"/>
    <w:rsid w:val="003911FD"/>
    <w:rsid w:val="00392D00"/>
    <w:rsid w:val="00394027"/>
    <w:rsid w:val="00395B2C"/>
    <w:rsid w:val="003977E2"/>
    <w:rsid w:val="003979AC"/>
    <w:rsid w:val="003A033B"/>
    <w:rsid w:val="003A3720"/>
    <w:rsid w:val="003A48EB"/>
    <w:rsid w:val="003A7154"/>
    <w:rsid w:val="003A7434"/>
    <w:rsid w:val="003B0FA9"/>
    <w:rsid w:val="003B4927"/>
    <w:rsid w:val="003B50FE"/>
    <w:rsid w:val="003B571C"/>
    <w:rsid w:val="003B65BA"/>
    <w:rsid w:val="003B671A"/>
    <w:rsid w:val="003C313F"/>
    <w:rsid w:val="003D0344"/>
    <w:rsid w:val="003D0604"/>
    <w:rsid w:val="003D2EC1"/>
    <w:rsid w:val="003D3A2C"/>
    <w:rsid w:val="003D3E34"/>
    <w:rsid w:val="003D5174"/>
    <w:rsid w:val="003D5932"/>
    <w:rsid w:val="003D7CF0"/>
    <w:rsid w:val="003E12E8"/>
    <w:rsid w:val="003E1F1D"/>
    <w:rsid w:val="003E3B12"/>
    <w:rsid w:val="003E3CBC"/>
    <w:rsid w:val="003E5E4B"/>
    <w:rsid w:val="003E7890"/>
    <w:rsid w:val="003E7BDB"/>
    <w:rsid w:val="003F0604"/>
    <w:rsid w:val="003F0829"/>
    <w:rsid w:val="003F357E"/>
    <w:rsid w:val="003F4C6E"/>
    <w:rsid w:val="003F4DFD"/>
    <w:rsid w:val="003F7337"/>
    <w:rsid w:val="00401279"/>
    <w:rsid w:val="00402767"/>
    <w:rsid w:val="00402CA4"/>
    <w:rsid w:val="00406EAA"/>
    <w:rsid w:val="00407DE5"/>
    <w:rsid w:val="0041089A"/>
    <w:rsid w:val="0041095A"/>
    <w:rsid w:val="004114BA"/>
    <w:rsid w:val="00412EB7"/>
    <w:rsid w:val="00412ED7"/>
    <w:rsid w:val="004136AE"/>
    <w:rsid w:val="004148BC"/>
    <w:rsid w:val="004177D3"/>
    <w:rsid w:val="00417E2C"/>
    <w:rsid w:val="00420607"/>
    <w:rsid w:val="00420DBD"/>
    <w:rsid w:val="0042145D"/>
    <w:rsid w:val="00421E87"/>
    <w:rsid w:val="00422C47"/>
    <w:rsid w:val="00423E7C"/>
    <w:rsid w:val="00424C62"/>
    <w:rsid w:val="00425A44"/>
    <w:rsid w:val="00426F68"/>
    <w:rsid w:val="004312F0"/>
    <w:rsid w:val="00432894"/>
    <w:rsid w:val="004328A1"/>
    <w:rsid w:val="00432F6F"/>
    <w:rsid w:val="004345DA"/>
    <w:rsid w:val="0043473E"/>
    <w:rsid w:val="00434C90"/>
    <w:rsid w:val="004362C5"/>
    <w:rsid w:val="00436426"/>
    <w:rsid w:val="00436DDF"/>
    <w:rsid w:val="00440ABC"/>
    <w:rsid w:val="0044198F"/>
    <w:rsid w:val="00442CEE"/>
    <w:rsid w:val="0044308D"/>
    <w:rsid w:val="0044682C"/>
    <w:rsid w:val="00447326"/>
    <w:rsid w:val="00451EBA"/>
    <w:rsid w:val="004534B5"/>
    <w:rsid w:val="0045406C"/>
    <w:rsid w:val="00461184"/>
    <w:rsid w:val="00463064"/>
    <w:rsid w:val="00466B28"/>
    <w:rsid w:val="00471E4B"/>
    <w:rsid w:val="0047437D"/>
    <w:rsid w:val="00477B7D"/>
    <w:rsid w:val="00481662"/>
    <w:rsid w:val="00481FC3"/>
    <w:rsid w:val="00483541"/>
    <w:rsid w:val="00490BFE"/>
    <w:rsid w:val="00492827"/>
    <w:rsid w:val="00493426"/>
    <w:rsid w:val="004949B8"/>
    <w:rsid w:val="00495584"/>
    <w:rsid w:val="0049669E"/>
    <w:rsid w:val="004A1AC8"/>
    <w:rsid w:val="004A1C68"/>
    <w:rsid w:val="004A4422"/>
    <w:rsid w:val="004A4F52"/>
    <w:rsid w:val="004A5D08"/>
    <w:rsid w:val="004B2573"/>
    <w:rsid w:val="004B25E9"/>
    <w:rsid w:val="004B3348"/>
    <w:rsid w:val="004B3988"/>
    <w:rsid w:val="004B3CF6"/>
    <w:rsid w:val="004B40E4"/>
    <w:rsid w:val="004B5F5B"/>
    <w:rsid w:val="004C5606"/>
    <w:rsid w:val="004C6154"/>
    <w:rsid w:val="004C699A"/>
    <w:rsid w:val="004C7B24"/>
    <w:rsid w:val="004D16C1"/>
    <w:rsid w:val="004D2FD6"/>
    <w:rsid w:val="004D3210"/>
    <w:rsid w:val="004D65B5"/>
    <w:rsid w:val="004D6E9F"/>
    <w:rsid w:val="004D76A8"/>
    <w:rsid w:val="004D7ED1"/>
    <w:rsid w:val="004E0139"/>
    <w:rsid w:val="004E3018"/>
    <w:rsid w:val="004E303A"/>
    <w:rsid w:val="004E30C5"/>
    <w:rsid w:val="004E4689"/>
    <w:rsid w:val="004E718E"/>
    <w:rsid w:val="004E7462"/>
    <w:rsid w:val="004F25CD"/>
    <w:rsid w:val="004F2BCE"/>
    <w:rsid w:val="004F4B4E"/>
    <w:rsid w:val="004F4F8E"/>
    <w:rsid w:val="00500183"/>
    <w:rsid w:val="00505BCB"/>
    <w:rsid w:val="005063D3"/>
    <w:rsid w:val="00507DF7"/>
    <w:rsid w:val="0051087F"/>
    <w:rsid w:val="00511689"/>
    <w:rsid w:val="00515E16"/>
    <w:rsid w:val="00516251"/>
    <w:rsid w:val="00517EDE"/>
    <w:rsid w:val="00520357"/>
    <w:rsid w:val="00520395"/>
    <w:rsid w:val="0052444A"/>
    <w:rsid w:val="005245AB"/>
    <w:rsid w:val="00530322"/>
    <w:rsid w:val="00532765"/>
    <w:rsid w:val="005329EE"/>
    <w:rsid w:val="005350B6"/>
    <w:rsid w:val="005357FC"/>
    <w:rsid w:val="005366B2"/>
    <w:rsid w:val="0054045B"/>
    <w:rsid w:val="005407FF"/>
    <w:rsid w:val="0054301D"/>
    <w:rsid w:val="00543328"/>
    <w:rsid w:val="00543408"/>
    <w:rsid w:val="00543ADF"/>
    <w:rsid w:val="00546FA8"/>
    <w:rsid w:val="00551523"/>
    <w:rsid w:val="00555C3A"/>
    <w:rsid w:val="00557B6A"/>
    <w:rsid w:val="005604CF"/>
    <w:rsid w:val="0056160D"/>
    <w:rsid w:val="00561D52"/>
    <w:rsid w:val="00562139"/>
    <w:rsid w:val="005628B0"/>
    <w:rsid w:val="005636FB"/>
    <w:rsid w:val="00564088"/>
    <w:rsid w:val="005646E0"/>
    <w:rsid w:val="00565A98"/>
    <w:rsid w:val="00567341"/>
    <w:rsid w:val="00572957"/>
    <w:rsid w:val="00572C7E"/>
    <w:rsid w:val="00574ED0"/>
    <w:rsid w:val="005754A3"/>
    <w:rsid w:val="0057586E"/>
    <w:rsid w:val="0057658E"/>
    <w:rsid w:val="005804CE"/>
    <w:rsid w:val="00580691"/>
    <w:rsid w:val="00580BD1"/>
    <w:rsid w:val="00581A07"/>
    <w:rsid w:val="00583D4E"/>
    <w:rsid w:val="00585A21"/>
    <w:rsid w:val="00586158"/>
    <w:rsid w:val="00587ADE"/>
    <w:rsid w:val="00591939"/>
    <w:rsid w:val="00594957"/>
    <w:rsid w:val="0059517B"/>
    <w:rsid w:val="00595934"/>
    <w:rsid w:val="0059647B"/>
    <w:rsid w:val="005975C0"/>
    <w:rsid w:val="005A0103"/>
    <w:rsid w:val="005A0171"/>
    <w:rsid w:val="005A05BF"/>
    <w:rsid w:val="005A07A9"/>
    <w:rsid w:val="005A2644"/>
    <w:rsid w:val="005A2B07"/>
    <w:rsid w:val="005A322D"/>
    <w:rsid w:val="005A4449"/>
    <w:rsid w:val="005A457F"/>
    <w:rsid w:val="005A511A"/>
    <w:rsid w:val="005A5546"/>
    <w:rsid w:val="005A56D8"/>
    <w:rsid w:val="005A690C"/>
    <w:rsid w:val="005B1293"/>
    <w:rsid w:val="005B12A2"/>
    <w:rsid w:val="005B557D"/>
    <w:rsid w:val="005B5A75"/>
    <w:rsid w:val="005C0F04"/>
    <w:rsid w:val="005C1FAD"/>
    <w:rsid w:val="005C24A6"/>
    <w:rsid w:val="005C39C6"/>
    <w:rsid w:val="005C3C00"/>
    <w:rsid w:val="005C4E24"/>
    <w:rsid w:val="005C4F1D"/>
    <w:rsid w:val="005C583B"/>
    <w:rsid w:val="005C64E7"/>
    <w:rsid w:val="005C7370"/>
    <w:rsid w:val="005C7AA1"/>
    <w:rsid w:val="005D1FB5"/>
    <w:rsid w:val="005D2932"/>
    <w:rsid w:val="005D5009"/>
    <w:rsid w:val="005D73C7"/>
    <w:rsid w:val="005D77E9"/>
    <w:rsid w:val="005D7FDD"/>
    <w:rsid w:val="005E046D"/>
    <w:rsid w:val="005E19D2"/>
    <w:rsid w:val="005E3CF8"/>
    <w:rsid w:val="005E4B64"/>
    <w:rsid w:val="005E537C"/>
    <w:rsid w:val="005E6B5D"/>
    <w:rsid w:val="005E6EA4"/>
    <w:rsid w:val="005F1996"/>
    <w:rsid w:val="005F1A33"/>
    <w:rsid w:val="005F257C"/>
    <w:rsid w:val="005F30D3"/>
    <w:rsid w:val="005F3529"/>
    <w:rsid w:val="005F65BF"/>
    <w:rsid w:val="00600053"/>
    <w:rsid w:val="00600223"/>
    <w:rsid w:val="00600C6A"/>
    <w:rsid w:val="006018A5"/>
    <w:rsid w:val="00602143"/>
    <w:rsid w:val="0060260C"/>
    <w:rsid w:val="00602646"/>
    <w:rsid w:val="0060265F"/>
    <w:rsid w:val="0060300A"/>
    <w:rsid w:val="00611CD0"/>
    <w:rsid w:val="0061211D"/>
    <w:rsid w:val="006122BD"/>
    <w:rsid w:val="0061379B"/>
    <w:rsid w:val="0061497B"/>
    <w:rsid w:val="00615B5D"/>
    <w:rsid w:val="00617C00"/>
    <w:rsid w:val="00620E14"/>
    <w:rsid w:val="0062129D"/>
    <w:rsid w:val="00621F45"/>
    <w:rsid w:val="006235DB"/>
    <w:rsid w:val="006243EC"/>
    <w:rsid w:val="0062496F"/>
    <w:rsid w:val="00625E22"/>
    <w:rsid w:val="006260A7"/>
    <w:rsid w:val="00626B9C"/>
    <w:rsid w:val="00627116"/>
    <w:rsid w:val="006274E3"/>
    <w:rsid w:val="00632933"/>
    <w:rsid w:val="00632DDB"/>
    <w:rsid w:val="0064254D"/>
    <w:rsid w:val="00643680"/>
    <w:rsid w:val="00645E6B"/>
    <w:rsid w:val="00646E38"/>
    <w:rsid w:val="006471B6"/>
    <w:rsid w:val="00651CB4"/>
    <w:rsid w:val="00661CFF"/>
    <w:rsid w:val="00662733"/>
    <w:rsid w:val="00663455"/>
    <w:rsid w:val="006634DB"/>
    <w:rsid w:val="006638C3"/>
    <w:rsid w:val="006650F5"/>
    <w:rsid w:val="006652D3"/>
    <w:rsid w:val="00665647"/>
    <w:rsid w:val="006702CA"/>
    <w:rsid w:val="00670779"/>
    <w:rsid w:val="00671322"/>
    <w:rsid w:val="00675A4B"/>
    <w:rsid w:val="006769B9"/>
    <w:rsid w:val="0067734F"/>
    <w:rsid w:val="00677E65"/>
    <w:rsid w:val="0068149B"/>
    <w:rsid w:val="006839F3"/>
    <w:rsid w:val="00684DC9"/>
    <w:rsid w:val="006862A3"/>
    <w:rsid w:val="006875A3"/>
    <w:rsid w:val="00691493"/>
    <w:rsid w:val="006916F1"/>
    <w:rsid w:val="006920EB"/>
    <w:rsid w:val="00693374"/>
    <w:rsid w:val="00695540"/>
    <w:rsid w:val="006960DF"/>
    <w:rsid w:val="006962D7"/>
    <w:rsid w:val="006965CE"/>
    <w:rsid w:val="006A00DE"/>
    <w:rsid w:val="006A4C30"/>
    <w:rsid w:val="006B2490"/>
    <w:rsid w:val="006B274B"/>
    <w:rsid w:val="006B335E"/>
    <w:rsid w:val="006B3EBB"/>
    <w:rsid w:val="006B53D9"/>
    <w:rsid w:val="006B6679"/>
    <w:rsid w:val="006B6982"/>
    <w:rsid w:val="006C1091"/>
    <w:rsid w:val="006C27B7"/>
    <w:rsid w:val="006C2E8E"/>
    <w:rsid w:val="006C3958"/>
    <w:rsid w:val="006C48F7"/>
    <w:rsid w:val="006C4BAE"/>
    <w:rsid w:val="006C6311"/>
    <w:rsid w:val="006D0CFE"/>
    <w:rsid w:val="006D18B7"/>
    <w:rsid w:val="006D2848"/>
    <w:rsid w:val="006D32D8"/>
    <w:rsid w:val="006D3C61"/>
    <w:rsid w:val="006D528F"/>
    <w:rsid w:val="006E260B"/>
    <w:rsid w:val="006E5443"/>
    <w:rsid w:val="006E61BD"/>
    <w:rsid w:val="006E65FD"/>
    <w:rsid w:val="006F141D"/>
    <w:rsid w:val="006F270B"/>
    <w:rsid w:val="006F51C6"/>
    <w:rsid w:val="006F51F6"/>
    <w:rsid w:val="006F5950"/>
    <w:rsid w:val="006F5AF1"/>
    <w:rsid w:val="006F6698"/>
    <w:rsid w:val="006F769A"/>
    <w:rsid w:val="006F7767"/>
    <w:rsid w:val="00701B49"/>
    <w:rsid w:val="00702C7E"/>
    <w:rsid w:val="00706242"/>
    <w:rsid w:val="00710609"/>
    <w:rsid w:val="00713416"/>
    <w:rsid w:val="00713754"/>
    <w:rsid w:val="00713A0B"/>
    <w:rsid w:val="00713E29"/>
    <w:rsid w:val="007173F9"/>
    <w:rsid w:val="00720D05"/>
    <w:rsid w:val="00720EA8"/>
    <w:rsid w:val="00721BAF"/>
    <w:rsid w:val="00723EB1"/>
    <w:rsid w:val="00724E3A"/>
    <w:rsid w:val="00725BFB"/>
    <w:rsid w:val="00726495"/>
    <w:rsid w:val="00726586"/>
    <w:rsid w:val="007340A4"/>
    <w:rsid w:val="0073460C"/>
    <w:rsid w:val="00734B2C"/>
    <w:rsid w:val="00735521"/>
    <w:rsid w:val="00735CFB"/>
    <w:rsid w:val="007367F4"/>
    <w:rsid w:val="00736D51"/>
    <w:rsid w:val="007378B7"/>
    <w:rsid w:val="00740B93"/>
    <w:rsid w:val="007410B0"/>
    <w:rsid w:val="00743841"/>
    <w:rsid w:val="007439B2"/>
    <w:rsid w:val="00746392"/>
    <w:rsid w:val="007500A4"/>
    <w:rsid w:val="00750A45"/>
    <w:rsid w:val="00750EC8"/>
    <w:rsid w:val="0075231A"/>
    <w:rsid w:val="00752B35"/>
    <w:rsid w:val="00755408"/>
    <w:rsid w:val="00761647"/>
    <w:rsid w:val="00766122"/>
    <w:rsid w:val="007701F7"/>
    <w:rsid w:val="007702CD"/>
    <w:rsid w:val="00772936"/>
    <w:rsid w:val="007748DC"/>
    <w:rsid w:val="00775C18"/>
    <w:rsid w:val="00776133"/>
    <w:rsid w:val="0077716D"/>
    <w:rsid w:val="00777622"/>
    <w:rsid w:val="00777B76"/>
    <w:rsid w:val="00780B23"/>
    <w:rsid w:val="00782046"/>
    <w:rsid w:val="00783D01"/>
    <w:rsid w:val="00787859"/>
    <w:rsid w:val="00787F26"/>
    <w:rsid w:val="0079018E"/>
    <w:rsid w:val="007904CA"/>
    <w:rsid w:val="007912E5"/>
    <w:rsid w:val="00792742"/>
    <w:rsid w:val="00793342"/>
    <w:rsid w:val="0079401F"/>
    <w:rsid w:val="00795DDC"/>
    <w:rsid w:val="00796E22"/>
    <w:rsid w:val="007A1A92"/>
    <w:rsid w:val="007A2AA7"/>
    <w:rsid w:val="007A4194"/>
    <w:rsid w:val="007A4A69"/>
    <w:rsid w:val="007A4F59"/>
    <w:rsid w:val="007A604A"/>
    <w:rsid w:val="007A6F93"/>
    <w:rsid w:val="007A715C"/>
    <w:rsid w:val="007B0060"/>
    <w:rsid w:val="007B0166"/>
    <w:rsid w:val="007B1191"/>
    <w:rsid w:val="007B203A"/>
    <w:rsid w:val="007B2C90"/>
    <w:rsid w:val="007B3BF4"/>
    <w:rsid w:val="007B5092"/>
    <w:rsid w:val="007B539B"/>
    <w:rsid w:val="007C0BC3"/>
    <w:rsid w:val="007C2FA0"/>
    <w:rsid w:val="007C331B"/>
    <w:rsid w:val="007C33ED"/>
    <w:rsid w:val="007C6D87"/>
    <w:rsid w:val="007C73A6"/>
    <w:rsid w:val="007D136A"/>
    <w:rsid w:val="007D1FCD"/>
    <w:rsid w:val="007D221F"/>
    <w:rsid w:val="007D2C17"/>
    <w:rsid w:val="007D2E94"/>
    <w:rsid w:val="007D35DE"/>
    <w:rsid w:val="007D5B9A"/>
    <w:rsid w:val="007D7F96"/>
    <w:rsid w:val="007E0100"/>
    <w:rsid w:val="007E38DC"/>
    <w:rsid w:val="007E4035"/>
    <w:rsid w:val="007F1457"/>
    <w:rsid w:val="007F1602"/>
    <w:rsid w:val="007F1EFB"/>
    <w:rsid w:val="007F1FE3"/>
    <w:rsid w:val="007F2113"/>
    <w:rsid w:val="007F2DF2"/>
    <w:rsid w:val="007F2FC2"/>
    <w:rsid w:val="007F3A22"/>
    <w:rsid w:val="007F7AE9"/>
    <w:rsid w:val="00800CDE"/>
    <w:rsid w:val="008026BC"/>
    <w:rsid w:val="0080621E"/>
    <w:rsid w:val="00811869"/>
    <w:rsid w:val="008119C2"/>
    <w:rsid w:val="00812417"/>
    <w:rsid w:val="00814557"/>
    <w:rsid w:val="0081483E"/>
    <w:rsid w:val="008162B8"/>
    <w:rsid w:val="00817086"/>
    <w:rsid w:val="00817C3F"/>
    <w:rsid w:val="008248F3"/>
    <w:rsid w:val="00825200"/>
    <w:rsid w:val="00825703"/>
    <w:rsid w:val="008266C6"/>
    <w:rsid w:val="0082773A"/>
    <w:rsid w:val="00827E3E"/>
    <w:rsid w:val="008316E8"/>
    <w:rsid w:val="008320A8"/>
    <w:rsid w:val="00834239"/>
    <w:rsid w:val="00834FB2"/>
    <w:rsid w:val="00835A18"/>
    <w:rsid w:val="00835E63"/>
    <w:rsid w:val="00837B0F"/>
    <w:rsid w:val="0084141B"/>
    <w:rsid w:val="00845949"/>
    <w:rsid w:val="008509DD"/>
    <w:rsid w:val="00854489"/>
    <w:rsid w:val="00854F64"/>
    <w:rsid w:val="00856CB2"/>
    <w:rsid w:val="00857F9D"/>
    <w:rsid w:val="00866C75"/>
    <w:rsid w:val="00867DD0"/>
    <w:rsid w:val="00870C81"/>
    <w:rsid w:val="008717F2"/>
    <w:rsid w:val="00872701"/>
    <w:rsid w:val="00873F5A"/>
    <w:rsid w:val="00874D5E"/>
    <w:rsid w:val="008805A9"/>
    <w:rsid w:val="00880F01"/>
    <w:rsid w:val="00881265"/>
    <w:rsid w:val="0088393F"/>
    <w:rsid w:val="00885C1A"/>
    <w:rsid w:val="00886171"/>
    <w:rsid w:val="00886D04"/>
    <w:rsid w:val="008905B5"/>
    <w:rsid w:val="008954E1"/>
    <w:rsid w:val="0089588D"/>
    <w:rsid w:val="008972CF"/>
    <w:rsid w:val="008A0330"/>
    <w:rsid w:val="008A0527"/>
    <w:rsid w:val="008A0AF3"/>
    <w:rsid w:val="008A0DF1"/>
    <w:rsid w:val="008A1B1B"/>
    <w:rsid w:val="008A3103"/>
    <w:rsid w:val="008A38A2"/>
    <w:rsid w:val="008A3C49"/>
    <w:rsid w:val="008A3D04"/>
    <w:rsid w:val="008B0744"/>
    <w:rsid w:val="008B0EB5"/>
    <w:rsid w:val="008B1058"/>
    <w:rsid w:val="008B2600"/>
    <w:rsid w:val="008B3C77"/>
    <w:rsid w:val="008B4545"/>
    <w:rsid w:val="008B5084"/>
    <w:rsid w:val="008B5375"/>
    <w:rsid w:val="008B54A0"/>
    <w:rsid w:val="008B5AFB"/>
    <w:rsid w:val="008B7A90"/>
    <w:rsid w:val="008C23A0"/>
    <w:rsid w:val="008C3F4C"/>
    <w:rsid w:val="008C7BB4"/>
    <w:rsid w:val="008D0AD6"/>
    <w:rsid w:val="008D24FA"/>
    <w:rsid w:val="008D4563"/>
    <w:rsid w:val="008D46AF"/>
    <w:rsid w:val="008E0D70"/>
    <w:rsid w:val="008E10E2"/>
    <w:rsid w:val="008E3660"/>
    <w:rsid w:val="008E5425"/>
    <w:rsid w:val="008F47C3"/>
    <w:rsid w:val="008F49AB"/>
    <w:rsid w:val="009012FB"/>
    <w:rsid w:val="0090179A"/>
    <w:rsid w:val="00902A42"/>
    <w:rsid w:val="00903D51"/>
    <w:rsid w:val="00904C22"/>
    <w:rsid w:val="00904ECB"/>
    <w:rsid w:val="00905341"/>
    <w:rsid w:val="00907D9E"/>
    <w:rsid w:val="009107FC"/>
    <w:rsid w:val="00911253"/>
    <w:rsid w:val="00911786"/>
    <w:rsid w:val="009118F6"/>
    <w:rsid w:val="00914703"/>
    <w:rsid w:val="00915A23"/>
    <w:rsid w:val="009166A0"/>
    <w:rsid w:val="009200D1"/>
    <w:rsid w:val="00921A36"/>
    <w:rsid w:val="00922EEE"/>
    <w:rsid w:val="00924CFD"/>
    <w:rsid w:val="00924F90"/>
    <w:rsid w:val="00926888"/>
    <w:rsid w:val="00927647"/>
    <w:rsid w:val="0093065B"/>
    <w:rsid w:val="00931EA1"/>
    <w:rsid w:val="00932E5F"/>
    <w:rsid w:val="00933371"/>
    <w:rsid w:val="00933BB5"/>
    <w:rsid w:val="009340CD"/>
    <w:rsid w:val="00934214"/>
    <w:rsid w:val="009345EE"/>
    <w:rsid w:val="00934771"/>
    <w:rsid w:val="00935A6C"/>
    <w:rsid w:val="00936DAE"/>
    <w:rsid w:val="00940947"/>
    <w:rsid w:val="0094225A"/>
    <w:rsid w:val="00942371"/>
    <w:rsid w:val="00943B57"/>
    <w:rsid w:val="00945152"/>
    <w:rsid w:val="00950FDC"/>
    <w:rsid w:val="00951EC0"/>
    <w:rsid w:val="00954A3D"/>
    <w:rsid w:val="00955B03"/>
    <w:rsid w:val="00955BCE"/>
    <w:rsid w:val="00955E0D"/>
    <w:rsid w:val="00957F58"/>
    <w:rsid w:val="00965103"/>
    <w:rsid w:val="009669F5"/>
    <w:rsid w:val="009679CA"/>
    <w:rsid w:val="00970525"/>
    <w:rsid w:val="00970774"/>
    <w:rsid w:val="00971BCE"/>
    <w:rsid w:val="00972C2B"/>
    <w:rsid w:val="00977324"/>
    <w:rsid w:val="009800A6"/>
    <w:rsid w:val="00980966"/>
    <w:rsid w:val="0098261C"/>
    <w:rsid w:val="00983FEF"/>
    <w:rsid w:val="00985640"/>
    <w:rsid w:val="00986FF4"/>
    <w:rsid w:val="00990F26"/>
    <w:rsid w:val="00992CB6"/>
    <w:rsid w:val="00993312"/>
    <w:rsid w:val="009945BF"/>
    <w:rsid w:val="009947A1"/>
    <w:rsid w:val="009A02B4"/>
    <w:rsid w:val="009A1CFE"/>
    <w:rsid w:val="009A323D"/>
    <w:rsid w:val="009A59F2"/>
    <w:rsid w:val="009A6E9E"/>
    <w:rsid w:val="009A6F45"/>
    <w:rsid w:val="009A7899"/>
    <w:rsid w:val="009B095C"/>
    <w:rsid w:val="009B34DE"/>
    <w:rsid w:val="009B3BDA"/>
    <w:rsid w:val="009B4974"/>
    <w:rsid w:val="009B53EA"/>
    <w:rsid w:val="009B55C5"/>
    <w:rsid w:val="009B6D0C"/>
    <w:rsid w:val="009B7BD3"/>
    <w:rsid w:val="009C0C76"/>
    <w:rsid w:val="009C0C95"/>
    <w:rsid w:val="009D03D8"/>
    <w:rsid w:val="009D445E"/>
    <w:rsid w:val="009E023A"/>
    <w:rsid w:val="009E2C88"/>
    <w:rsid w:val="009E33D2"/>
    <w:rsid w:val="009E365A"/>
    <w:rsid w:val="009F0199"/>
    <w:rsid w:val="009F27DD"/>
    <w:rsid w:val="009F39B2"/>
    <w:rsid w:val="009F3A78"/>
    <w:rsid w:val="009F605C"/>
    <w:rsid w:val="00A0285B"/>
    <w:rsid w:val="00A02E0E"/>
    <w:rsid w:val="00A058AD"/>
    <w:rsid w:val="00A1084B"/>
    <w:rsid w:val="00A16716"/>
    <w:rsid w:val="00A16DAC"/>
    <w:rsid w:val="00A17183"/>
    <w:rsid w:val="00A179C2"/>
    <w:rsid w:val="00A179CF"/>
    <w:rsid w:val="00A210AA"/>
    <w:rsid w:val="00A21D0F"/>
    <w:rsid w:val="00A24AAE"/>
    <w:rsid w:val="00A256C0"/>
    <w:rsid w:val="00A26EB7"/>
    <w:rsid w:val="00A27050"/>
    <w:rsid w:val="00A2753D"/>
    <w:rsid w:val="00A27BB0"/>
    <w:rsid w:val="00A32A5D"/>
    <w:rsid w:val="00A33074"/>
    <w:rsid w:val="00A33666"/>
    <w:rsid w:val="00A35507"/>
    <w:rsid w:val="00A35839"/>
    <w:rsid w:val="00A3747F"/>
    <w:rsid w:val="00A45A0D"/>
    <w:rsid w:val="00A47795"/>
    <w:rsid w:val="00A478BB"/>
    <w:rsid w:val="00A5111D"/>
    <w:rsid w:val="00A52157"/>
    <w:rsid w:val="00A525A6"/>
    <w:rsid w:val="00A53C68"/>
    <w:rsid w:val="00A55477"/>
    <w:rsid w:val="00A55906"/>
    <w:rsid w:val="00A5610E"/>
    <w:rsid w:val="00A5744D"/>
    <w:rsid w:val="00A57491"/>
    <w:rsid w:val="00A603B5"/>
    <w:rsid w:val="00A63713"/>
    <w:rsid w:val="00A63720"/>
    <w:rsid w:val="00A63A40"/>
    <w:rsid w:val="00A642E2"/>
    <w:rsid w:val="00A65C89"/>
    <w:rsid w:val="00A6638E"/>
    <w:rsid w:val="00A67A9E"/>
    <w:rsid w:val="00A67EAE"/>
    <w:rsid w:val="00A706CD"/>
    <w:rsid w:val="00A749D7"/>
    <w:rsid w:val="00A755A7"/>
    <w:rsid w:val="00A77197"/>
    <w:rsid w:val="00A77C2D"/>
    <w:rsid w:val="00A83955"/>
    <w:rsid w:val="00A83F8A"/>
    <w:rsid w:val="00A84B11"/>
    <w:rsid w:val="00A853EF"/>
    <w:rsid w:val="00A900ED"/>
    <w:rsid w:val="00A90838"/>
    <w:rsid w:val="00A917EF"/>
    <w:rsid w:val="00A922ED"/>
    <w:rsid w:val="00A92523"/>
    <w:rsid w:val="00A93FA9"/>
    <w:rsid w:val="00A94FDC"/>
    <w:rsid w:val="00A950C4"/>
    <w:rsid w:val="00A9619F"/>
    <w:rsid w:val="00A97528"/>
    <w:rsid w:val="00AA0C63"/>
    <w:rsid w:val="00AA22C4"/>
    <w:rsid w:val="00AA2C2F"/>
    <w:rsid w:val="00AA3FA2"/>
    <w:rsid w:val="00AA639D"/>
    <w:rsid w:val="00AA6BF7"/>
    <w:rsid w:val="00AA711B"/>
    <w:rsid w:val="00AB0646"/>
    <w:rsid w:val="00AB1400"/>
    <w:rsid w:val="00AC1A1C"/>
    <w:rsid w:val="00AC28FE"/>
    <w:rsid w:val="00AC3025"/>
    <w:rsid w:val="00AC3029"/>
    <w:rsid w:val="00AC7C32"/>
    <w:rsid w:val="00AD120C"/>
    <w:rsid w:val="00AD2828"/>
    <w:rsid w:val="00AD28DF"/>
    <w:rsid w:val="00AD32A1"/>
    <w:rsid w:val="00AD444D"/>
    <w:rsid w:val="00AD78E2"/>
    <w:rsid w:val="00AD7C21"/>
    <w:rsid w:val="00AE2044"/>
    <w:rsid w:val="00AE5211"/>
    <w:rsid w:val="00AE53C8"/>
    <w:rsid w:val="00AE679E"/>
    <w:rsid w:val="00AF06E8"/>
    <w:rsid w:val="00AF1485"/>
    <w:rsid w:val="00AF33E2"/>
    <w:rsid w:val="00AF4F77"/>
    <w:rsid w:val="00AF50DC"/>
    <w:rsid w:val="00B01491"/>
    <w:rsid w:val="00B01CFD"/>
    <w:rsid w:val="00B02C1D"/>
    <w:rsid w:val="00B02DC7"/>
    <w:rsid w:val="00B07143"/>
    <w:rsid w:val="00B1226C"/>
    <w:rsid w:val="00B12E62"/>
    <w:rsid w:val="00B136CE"/>
    <w:rsid w:val="00B150A2"/>
    <w:rsid w:val="00B1555D"/>
    <w:rsid w:val="00B1630F"/>
    <w:rsid w:val="00B20640"/>
    <w:rsid w:val="00B22D58"/>
    <w:rsid w:val="00B2574D"/>
    <w:rsid w:val="00B26885"/>
    <w:rsid w:val="00B27194"/>
    <w:rsid w:val="00B30082"/>
    <w:rsid w:val="00B33852"/>
    <w:rsid w:val="00B35725"/>
    <w:rsid w:val="00B37BC6"/>
    <w:rsid w:val="00B4338B"/>
    <w:rsid w:val="00B43EC5"/>
    <w:rsid w:val="00B475EB"/>
    <w:rsid w:val="00B554F5"/>
    <w:rsid w:val="00B5730A"/>
    <w:rsid w:val="00B578C4"/>
    <w:rsid w:val="00B60DE7"/>
    <w:rsid w:val="00B6123B"/>
    <w:rsid w:val="00B6220E"/>
    <w:rsid w:val="00B63303"/>
    <w:rsid w:val="00B63453"/>
    <w:rsid w:val="00B63C7B"/>
    <w:rsid w:val="00B63CD0"/>
    <w:rsid w:val="00B6576B"/>
    <w:rsid w:val="00B668FA"/>
    <w:rsid w:val="00B6760C"/>
    <w:rsid w:val="00B70249"/>
    <w:rsid w:val="00B717CD"/>
    <w:rsid w:val="00B73999"/>
    <w:rsid w:val="00B74A03"/>
    <w:rsid w:val="00B75D3B"/>
    <w:rsid w:val="00B76E94"/>
    <w:rsid w:val="00B772C6"/>
    <w:rsid w:val="00B7781F"/>
    <w:rsid w:val="00B828BE"/>
    <w:rsid w:val="00B87467"/>
    <w:rsid w:val="00B87E51"/>
    <w:rsid w:val="00B90F16"/>
    <w:rsid w:val="00B93717"/>
    <w:rsid w:val="00B94024"/>
    <w:rsid w:val="00B9412E"/>
    <w:rsid w:val="00B94FD3"/>
    <w:rsid w:val="00B969BD"/>
    <w:rsid w:val="00BA02CE"/>
    <w:rsid w:val="00BA05CD"/>
    <w:rsid w:val="00BA08E8"/>
    <w:rsid w:val="00BA31D9"/>
    <w:rsid w:val="00BA3FD5"/>
    <w:rsid w:val="00BA4188"/>
    <w:rsid w:val="00BA4C24"/>
    <w:rsid w:val="00BA522A"/>
    <w:rsid w:val="00BA52BB"/>
    <w:rsid w:val="00BA61D9"/>
    <w:rsid w:val="00BA6A87"/>
    <w:rsid w:val="00BB03E0"/>
    <w:rsid w:val="00BB0A2C"/>
    <w:rsid w:val="00BB27AF"/>
    <w:rsid w:val="00BB557A"/>
    <w:rsid w:val="00BB59AF"/>
    <w:rsid w:val="00BB603F"/>
    <w:rsid w:val="00BB7F7B"/>
    <w:rsid w:val="00BC0DC1"/>
    <w:rsid w:val="00BC0E9C"/>
    <w:rsid w:val="00BC0EB0"/>
    <w:rsid w:val="00BC11CA"/>
    <w:rsid w:val="00BC2B13"/>
    <w:rsid w:val="00BC36DF"/>
    <w:rsid w:val="00BC6A6E"/>
    <w:rsid w:val="00BC7ABF"/>
    <w:rsid w:val="00BD46B7"/>
    <w:rsid w:val="00BD47C2"/>
    <w:rsid w:val="00BD5894"/>
    <w:rsid w:val="00BD5C35"/>
    <w:rsid w:val="00BD742F"/>
    <w:rsid w:val="00BD7F54"/>
    <w:rsid w:val="00BE013A"/>
    <w:rsid w:val="00BE4A67"/>
    <w:rsid w:val="00BE571D"/>
    <w:rsid w:val="00BE5941"/>
    <w:rsid w:val="00BE5DB0"/>
    <w:rsid w:val="00BE623A"/>
    <w:rsid w:val="00BF05A9"/>
    <w:rsid w:val="00BF2788"/>
    <w:rsid w:val="00BF34E0"/>
    <w:rsid w:val="00BF579B"/>
    <w:rsid w:val="00BF5C65"/>
    <w:rsid w:val="00C01BAB"/>
    <w:rsid w:val="00C04111"/>
    <w:rsid w:val="00C041EB"/>
    <w:rsid w:val="00C04317"/>
    <w:rsid w:val="00C0465B"/>
    <w:rsid w:val="00C04719"/>
    <w:rsid w:val="00C04D9B"/>
    <w:rsid w:val="00C0592C"/>
    <w:rsid w:val="00C0763C"/>
    <w:rsid w:val="00C07C06"/>
    <w:rsid w:val="00C10649"/>
    <w:rsid w:val="00C10988"/>
    <w:rsid w:val="00C10B6E"/>
    <w:rsid w:val="00C115B0"/>
    <w:rsid w:val="00C11980"/>
    <w:rsid w:val="00C1264D"/>
    <w:rsid w:val="00C12CF4"/>
    <w:rsid w:val="00C16C23"/>
    <w:rsid w:val="00C17333"/>
    <w:rsid w:val="00C2032B"/>
    <w:rsid w:val="00C20C52"/>
    <w:rsid w:val="00C244E3"/>
    <w:rsid w:val="00C24EE9"/>
    <w:rsid w:val="00C27229"/>
    <w:rsid w:val="00C279B4"/>
    <w:rsid w:val="00C31176"/>
    <w:rsid w:val="00C31DB0"/>
    <w:rsid w:val="00C35D41"/>
    <w:rsid w:val="00C37002"/>
    <w:rsid w:val="00C46138"/>
    <w:rsid w:val="00C51825"/>
    <w:rsid w:val="00C527F1"/>
    <w:rsid w:val="00C52883"/>
    <w:rsid w:val="00C53E4F"/>
    <w:rsid w:val="00C54A27"/>
    <w:rsid w:val="00C557AF"/>
    <w:rsid w:val="00C63C88"/>
    <w:rsid w:val="00C663E6"/>
    <w:rsid w:val="00C66A82"/>
    <w:rsid w:val="00C70C49"/>
    <w:rsid w:val="00C7176F"/>
    <w:rsid w:val="00C72A52"/>
    <w:rsid w:val="00C737BF"/>
    <w:rsid w:val="00C73F86"/>
    <w:rsid w:val="00C75019"/>
    <w:rsid w:val="00C7603F"/>
    <w:rsid w:val="00C80A01"/>
    <w:rsid w:val="00C80B36"/>
    <w:rsid w:val="00C82076"/>
    <w:rsid w:val="00C82E5C"/>
    <w:rsid w:val="00C835C7"/>
    <w:rsid w:val="00C873FA"/>
    <w:rsid w:val="00C91476"/>
    <w:rsid w:val="00C91FD5"/>
    <w:rsid w:val="00C9243E"/>
    <w:rsid w:val="00C92936"/>
    <w:rsid w:val="00C95756"/>
    <w:rsid w:val="00C96BDA"/>
    <w:rsid w:val="00C96D42"/>
    <w:rsid w:val="00C972DC"/>
    <w:rsid w:val="00CA2387"/>
    <w:rsid w:val="00CA5730"/>
    <w:rsid w:val="00CA6C0C"/>
    <w:rsid w:val="00CA7912"/>
    <w:rsid w:val="00CB0B34"/>
    <w:rsid w:val="00CB1985"/>
    <w:rsid w:val="00CB271B"/>
    <w:rsid w:val="00CB330C"/>
    <w:rsid w:val="00CB33E8"/>
    <w:rsid w:val="00CB347C"/>
    <w:rsid w:val="00CB382C"/>
    <w:rsid w:val="00CB4FDC"/>
    <w:rsid w:val="00CB5DFA"/>
    <w:rsid w:val="00CB67CE"/>
    <w:rsid w:val="00CB773F"/>
    <w:rsid w:val="00CC493E"/>
    <w:rsid w:val="00CC65D6"/>
    <w:rsid w:val="00CC7711"/>
    <w:rsid w:val="00CD236B"/>
    <w:rsid w:val="00CD2E90"/>
    <w:rsid w:val="00CD5119"/>
    <w:rsid w:val="00CD7122"/>
    <w:rsid w:val="00CD7B79"/>
    <w:rsid w:val="00CE01F9"/>
    <w:rsid w:val="00CE058E"/>
    <w:rsid w:val="00CE08A7"/>
    <w:rsid w:val="00CE1636"/>
    <w:rsid w:val="00CE2E8A"/>
    <w:rsid w:val="00CE38F9"/>
    <w:rsid w:val="00CE4CCC"/>
    <w:rsid w:val="00CF0CBB"/>
    <w:rsid w:val="00CF1DD1"/>
    <w:rsid w:val="00CF3D7F"/>
    <w:rsid w:val="00CF4ACC"/>
    <w:rsid w:val="00CF6D98"/>
    <w:rsid w:val="00D00BC9"/>
    <w:rsid w:val="00D02772"/>
    <w:rsid w:val="00D03AFC"/>
    <w:rsid w:val="00D03D1A"/>
    <w:rsid w:val="00D041D4"/>
    <w:rsid w:val="00D05580"/>
    <w:rsid w:val="00D05C2A"/>
    <w:rsid w:val="00D12743"/>
    <w:rsid w:val="00D1443D"/>
    <w:rsid w:val="00D1508B"/>
    <w:rsid w:val="00D17CC1"/>
    <w:rsid w:val="00D203EF"/>
    <w:rsid w:val="00D217CB"/>
    <w:rsid w:val="00D22557"/>
    <w:rsid w:val="00D2449C"/>
    <w:rsid w:val="00D25E53"/>
    <w:rsid w:val="00D27B2B"/>
    <w:rsid w:val="00D30721"/>
    <w:rsid w:val="00D30867"/>
    <w:rsid w:val="00D31A95"/>
    <w:rsid w:val="00D327C0"/>
    <w:rsid w:val="00D3303A"/>
    <w:rsid w:val="00D33062"/>
    <w:rsid w:val="00D33429"/>
    <w:rsid w:val="00D340C0"/>
    <w:rsid w:val="00D3517B"/>
    <w:rsid w:val="00D36B2C"/>
    <w:rsid w:val="00D406CE"/>
    <w:rsid w:val="00D408DD"/>
    <w:rsid w:val="00D40BAA"/>
    <w:rsid w:val="00D40E38"/>
    <w:rsid w:val="00D413CD"/>
    <w:rsid w:val="00D41769"/>
    <w:rsid w:val="00D4209C"/>
    <w:rsid w:val="00D43B31"/>
    <w:rsid w:val="00D44688"/>
    <w:rsid w:val="00D471BB"/>
    <w:rsid w:val="00D47615"/>
    <w:rsid w:val="00D47F6F"/>
    <w:rsid w:val="00D5272C"/>
    <w:rsid w:val="00D52863"/>
    <w:rsid w:val="00D5361C"/>
    <w:rsid w:val="00D55D5A"/>
    <w:rsid w:val="00D563D7"/>
    <w:rsid w:val="00D604A9"/>
    <w:rsid w:val="00D60EC8"/>
    <w:rsid w:val="00D6101A"/>
    <w:rsid w:val="00D6147B"/>
    <w:rsid w:val="00D62897"/>
    <w:rsid w:val="00D63F5F"/>
    <w:rsid w:val="00D66000"/>
    <w:rsid w:val="00D67F19"/>
    <w:rsid w:val="00D706E6"/>
    <w:rsid w:val="00D71A20"/>
    <w:rsid w:val="00D730D5"/>
    <w:rsid w:val="00D75144"/>
    <w:rsid w:val="00D75E74"/>
    <w:rsid w:val="00D77157"/>
    <w:rsid w:val="00D77166"/>
    <w:rsid w:val="00D806CC"/>
    <w:rsid w:val="00D817FC"/>
    <w:rsid w:val="00D82178"/>
    <w:rsid w:val="00D85BE9"/>
    <w:rsid w:val="00D85C3E"/>
    <w:rsid w:val="00D8677E"/>
    <w:rsid w:val="00D868AB"/>
    <w:rsid w:val="00D87F65"/>
    <w:rsid w:val="00D90976"/>
    <w:rsid w:val="00D91E39"/>
    <w:rsid w:val="00D938CA"/>
    <w:rsid w:val="00D93EC6"/>
    <w:rsid w:val="00D945FC"/>
    <w:rsid w:val="00D96528"/>
    <w:rsid w:val="00DA0F85"/>
    <w:rsid w:val="00DA200C"/>
    <w:rsid w:val="00DB078C"/>
    <w:rsid w:val="00DB1DF5"/>
    <w:rsid w:val="00DB3DBA"/>
    <w:rsid w:val="00DB4170"/>
    <w:rsid w:val="00DB422F"/>
    <w:rsid w:val="00DB4EC5"/>
    <w:rsid w:val="00DB4F60"/>
    <w:rsid w:val="00DB69CD"/>
    <w:rsid w:val="00DB6FBE"/>
    <w:rsid w:val="00DB789B"/>
    <w:rsid w:val="00DC030F"/>
    <w:rsid w:val="00DC0544"/>
    <w:rsid w:val="00DC0E24"/>
    <w:rsid w:val="00DC17B7"/>
    <w:rsid w:val="00DC1F3A"/>
    <w:rsid w:val="00DC1F9D"/>
    <w:rsid w:val="00DC2382"/>
    <w:rsid w:val="00DC391B"/>
    <w:rsid w:val="00DC64A1"/>
    <w:rsid w:val="00DC7336"/>
    <w:rsid w:val="00DD002E"/>
    <w:rsid w:val="00DD034B"/>
    <w:rsid w:val="00DD0AF3"/>
    <w:rsid w:val="00DD20B7"/>
    <w:rsid w:val="00DD3020"/>
    <w:rsid w:val="00DD3A74"/>
    <w:rsid w:val="00DD4675"/>
    <w:rsid w:val="00DD51E9"/>
    <w:rsid w:val="00DD61C8"/>
    <w:rsid w:val="00DE1BA7"/>
    <w:rsid w:val="00DE1C77"/>
    <w:rsid w:val="00DE54E9"/>
    <w:rsid w:val="00DE7308"/>
    <w:rsid w:val="00DF0968"/>
    <w:rsid w:val="00DF1077"/>
    <w:rsid w:val="00DF3374"/>
    <w:rsid w:val="00DF4BF0"/>
    <w:rsid w:val="00DF53F7"/>
    <w:rsid w:val="00DF5AFC"/>
    <w:rsid w:val="00DF5BD5"/>
    <w:rsid w:val="00DF6239"/>
    <w:rsid w:val="00E00206"/>
    <w:rsid w:val="00E01E57"/>
    <w:rsid w:val="00E06F59"/>
    <w:rsid w:val="00E1636C"/>
    <w:rsid w:val="00E16C26"/>
    <w:rsid w:val="00E171BE"/>
    <w:rsid w:val="00E17DEF"/>
    <w:rsid w:val="00E17FD1"/>
    <w:rsid w:val="00E2018A"/>
    <w:rsid w:val="00E209E7"/>
    <w:rsid w:val="00E2351C"/>
    <w:rsid w:val="00E248DF"/>
    <w:rsid w:val="00E26599"/>
    <w:rsid w:val="00E31459"/>
    <w:rsid w:val="00E32515"/>
    <w:rsid w:val="00E32539"/>
    <w:rsid w:val="00E33CE5"/>
    <w:rsid w:val="00E35D53"/>
    <w:rsid w:val="00E3648D"/>
    <w:rsid w:val="00E36896"/>
    <w:rsid w:val="00E40025"/>
    <w:rsid w:val="00E42E69"/>
    <w:rsid w:val="00E43D1F"/>
    <w:rsid w:val="00E45E2C"/>
    <w:rsid w:val="00E45ECD"/>
    <w:rsid w:val="00E46D7A"/>
    <w:rsid w:val="00E47972"/>
    <w:rsid w:val="00E50E9E"/>
    <w:rsid w:val="00E53E0B"/>
    <w:rsid w:val="00E545BE"/>
    <w:rsid w:val="00E55658"/>
    <w:rsid w:val="00E5601D"/>
    <w:rsid w:val="00E56F97"/>
    <w:rsid w:val="00E57FA3"/>
    <w:rsid w:val="00E6218E"/>
    <w:rsid w:val="00E62759"/>
    <w:rsid w:val="00E62D49"/>
    <w:rsid w:val="00E62F16"/>
    <w:rsid w:val="00E63580"/>
    <w:rsid w:val="00E6471C"/>
    <w:rsid w:val="00E71236"/>
    <w:rsid w:val="00E716C8"/>
    <w:rsid w:val="00E718C2"/>
    <w:rsid w:val="00E71B27"/>
    <w:rsid w:val="00E73C94"/>
    <w:rsid w:val="00E752F0"/>
    <w:rsid w:val="00E75E1E"/>
    <w:rsid w:val="00E76A6E"/>
    <w:rsid w:val="00E8083F"/>
    <w:rsid w:val="00E80CF4"/>
    <w:rsid w:val="00E81180"/>
    <w:rsid w:val="00E81773"/>
    <w:rsid w:val="00E82E31"/>
    <w:rsid w:val="00E91575"/>
    <w:rsid w:val="00E9510C"/>
    <w:rsid w:val="00E961B3"/>
    <w:rsid w:val="00E9770D"/>
    <w:rsid w:val="00E977F8"/>
    <w:rsid w:val="00E97953"/>
    <w:rsid w:val="00EA3B2A"/>
    <w:rsid w:val="00EA4DF1"/>
    <w:rsid w:val="00EA5F96"/>
    <w:rsid w:val="00EA7B86"/>
    <w:rsid w:val="00EA7EC8"/>
    <w:rsid w:val="00EB1C1B"/>
    <w:rsid w:val="00EB1C69"/>
    <w:rsid w:val="00EB1E44"/>
    <w:rsid w:val="00EB2207"/>
    <w:rsid w:val="00EB2C51"/>
    <w:rsid w:val="00EB32B0"/>
    <w:rsid w:val="00EB607D"/>
    <w:rsid w:val="00EC05DC"/>
    <w:rsid w:val="00EC1C96"/>
    <w:rsid w:val="00EC2852"/>
    <w:rsid w:val="00EC2E15"/>
    <w:rsid w:val="00EC3611"/>
    <w:rsid w:val="00EC3AEA"/>
    <w:rsid w:val="00EC3DCF"/>
    <w:rsid w:val="00EC49AE"/>
    <w:rsid w:val="00EC64D2"/>
    <w:rsid w:val="00EC6695"/>
    <w:rsid w:val="00ED099B"/>
    <w:rsid w:val="00ED1EE6"/>
    <w:rsid w:val="00ED2A21"/>
    <w:rsid w:val="00ED43DF"/>
    <w:rsid w:val="00ED49E7"/>
    <w:rsid w:val="00ED66B9"/>
    <w:rsid w:val="00EE2B9B"/>
    <w:rsid w:val="00EE37C8"/>
    <w:rsid w:val="00EE55E5"/>
    <w:rsid w:val="00EF0F37"/>
    <w:rsid w:val="00EF448F"/>
    <w:rsid w:val="00EF4FF0"/>
    <w:rsid w:val="00EF606F"/>
    <w:rsid w:val="00F00FB7"/>
    <w:rsid w:val="00F032DA"/>
    <w:rsid w:val="00F0348B"/>
    <w:rsid w:val="00F04F65"/>
    <w:rsid w:val="00F05AAA"/>
    <w:rsid w:val="00F0709A"/>
    <w:rsid w:val="00F110D1"/>
    <w:rsid w:val="00F121E4"/>
    <w:rsid w:val="00F12DAD"/>
    <w:rsid w:val="00F15002"/>
    <w:rsid w:val="00F15D08"/>
    <w:rsid w:val="00F17178"/>
    <w:rsid w:val="00F22040"/>
    <w:rsid w:val="00F235A4"/>
    <w:rsid w:val="00F23873"/>
    <w:rsid w:val="00F248A8"/>
    <w:rsid w:val="00F25EB4"/>
    <w:rsid w:val="00F264B9"/>
    <w:rsid w:val="00F26728"/>
    <w:rsid w:val="00F2685B"/>
    <w:rsid w:val="00F27A0D"/>
    <w:rsid w:val="00F30312"/>
    <w:rsid w:val="00F33998"/>
    <w:rsid w:val="00F34ACE"/>
    <w:rsid w:val="00F355FC"/>
    <w:rsid w:val="00F35724"/>
    <w:rsid w:val="00F373DE"/>
    <w:rsid w:val="00F404FD"/>
    <w:rsid w:val="00F406FA"/>
    <w:rsid w:val="00F40C0F"/>
    <w:rsid w:val="00F40FB3"/>
    <w:rsid w:val="00F410A0"/>
    <w:rsid w:val="00F455DD"/>
    <w:rsid w:val="00F4744A"/>
    <w:rsid w:val="00F5359E"/>
    <w:rsid w:val="00F54118"/>
    <w:rsid w:val="00F54948"/>
    <w:rsid w:val="00F5570B"/>
    <w:rsid w:val="00F6015D"/>
    <w:rsid w:val="00F63D6E"/>
    <w:rsid w:val="00F70342"/>
    <w:rsid w:val="00F70CE8"/>
    <w:rsid w:val="00F71469"/>
    <w:rsid w:val="00F72923"/>
    <w:rsid w:val="00F73E45"/>
    <w:rsid w:val="00F741B3"/>
    <w:rsid w:val="00F747DB"/>
    <w:rsid w:val="00F755EB"/>
    <w:rsid w:val="00F763B0"/>
    <w:rsid w:val="00F83367"/>
    <w:rsid w:val="00F84CEB"/>
    <w:rsid w:val="00F86AD1"/>
    <w:rsid w:val="00F928D3"/>
    <w:rsid w:val="00F93C38"/>
    <w:rsid w:val="00F95856"/>
    <w:rsid w:val="00F96D98"/>
    <w:rsid w:val="00FA0308"/>
    <w:rsid w:val="00FA0429"/>
    <w:rsid w:val="00FA0826"/>
    <w:rsid w:val="00FA0BE5"/>
    <w:rsid w:val="00FA204E"/>
    <w:rsid w:val="00FA3BF2"/>
    <w:rsid w:val="00FA700D"/>
    <w:rsid w:val="00FA7986"/>
    <w:rsid w:val="00FB0301"/>
    <w:rsid w:val="00FB5B3A"/>
    <w:rsid w:val="00FC0D3F"/>
    <w:rsid w:val="00FC162B"/>
    <w:rsid w:val="00FC1820"/>
    <w:rsid w:val="00FC28ED"/>
    <w:rsid w:val="00FC436E"/>
    <w:rsid w:val="00FC65AF"/>
    <w:rsid w:val="00FC7C64"/>
    <w:rsid w:val="00FC7D16"/>
    <w:rsid w:val="00FD00BE"/>
    <w:rsid w:val="00FD2FA3"/>
    <w:rsid w:val="00FD44CB"/>
    <w:rsid w:val="00FD6C8F"/>
    <w:rsid w:val="00FD7B95"/>
    <w:rsid w:val="00FE15E4"/>
    <w:rsid w:val="00FE2494"/>
    <w:rsid w:val="00FE479D"/>
    <w:rsid w:val="00FE5459"/>
    <w:rsid w:val="00FF2228"/>
    <w:rsid w:val="00FF3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8576B"/>
  <w15:chartTrackingRefBased/>
  <w15:docId w15:val="{7C1F32EA-D33D-40B6-96CF-44B037D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06C"/>
    <w:pPr>
      <w:spacing w:after="0" w:line="240" w:lineRule="auto"/>
      <w:jc w:val="both"/>
    </w:pPr>
    <w:rPr>
      <w:rFonts w:ascii="Arial" w:eastAsiaTheme="minorEastAsia" w:hAnsi="Arial"/>
      <w:lang w:val="es-MX" w:eastAsia="es-MX"/>
    </w:rPr>
  </w:style>
  <w:style w:type="paragraph" w:styleId="Ttulo1">
    <w:name w:val="heading 1"/>
    <w:basedOn w:val="Normal"/>
    <w:next w:val="Normal"/>
    <w:link w:val="Ttulo1Car"/>
    <w:uiPriority w:val="9"/>
    <w:qFormat/>
    <w:rsid w:val="00600223"/>
    <w:pPr>
      <w:keepNext/>
      <w:keepLines/>
      <w:spacing w:before="240"/>
      <w:outlineLvl w:val="0"/>
    </w:pPr>
    <w:rPr>
      <w:rFonts w:eastAsiaTheme="majorEastAsia" w:cstheme="majorBidi"/>
      <w:b/>
      <w:szCs w:val="32"/>
    </w:rPr>
  </w:style>
  <w:style w:type="paragraph" w:styleId="Ttulo2">
    <w:name w:val="heading 2"/>
    <w:basedOn w:val="Normal"/>
    <w:next w:val="Normal"/>
    <w:link w:val="Ttulo2Car"/>
    <w:uiPriority w:val="9"/>
    <w:unhideWhenUsed/>
    <w:qFormat/>
    <w:rsid w:val="0045406C"/>
    <w:pPr>
      <w:keepNext/>
      <w:keepLines/>
      <w:spacing w:before="120"/>
      <w:outlineLvl w:val="1"/>
    </w:pPr>
    <w:rPr>
      <w:rFonts w:eastAsiaTheme="majorEastAsia" w:cstheme="majorBidi"/>
      <w:b/>
      <w:szCs w:val="26"/>
    </w:rPr>
  </w:style>
  <w:style w:type="paragraph" w:styleId="Ttulo3">
    <w:name w:val="heading 3"/>
    <w:basedOn w:val="Normal"/>
    <w:next w:val="Normal"/>
    <w:link w:val="Ttulo3Car"/>
    <w:uiPriority w:val="9"/>
    <w:unhideWhenUsed/>
    <w:qFormat/>
    <w:rsid w:val="0045406C"/>
    <w:pPr>
      <w:keepNext/>
      <w:keepLines/>
      <w:outlineLvl w:val="2"/>
    </w:pPr>
    <w:rPr>
      <w:rFonts w:eastAsia="Times New Roman" w:cs="Times New Roman"/>
      <w:b/>
      <w:szCs w:val="24"/>
      <w:lang w:val="es-ES" w:eastAsia="en-US"/>
    </w:rPr>
  </w:style>
  <w:style w:type="paragraph" w:styleId="Ttulo4">
    <w:name w:val="heading 4"/>
    <w:basedOn w:val="Normal"/>
    <w:next w:val="Normal"/>
    <w:link w:val="Ttulo4Car"/>
    <w:uiPriority w:val="9"/>
    <w:unhideWhenUsed/>
    <w:qFormat/>
    <w:rsid w:val="00044ED0"/>
    <w:pPr>
      <w:keepNext/>
      <w:keepLines/>
      <w:jc w:val="center"/>
      <w:outlineLvl w:val="3"/>
    </w:pPr>
    <w:rPr>
      <w:rFonts w:eastAsiaTheme="majorEastAsia" w:cstheme="majorBidi"/>
      <w:b/>
      <w:i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2F0"/>
    <w:pPr>
      <w:tabs>
        <w:tab w:val="center" w:pos="4252"/>
        <w:tab w:val="right" w:pos="8504"/>
      </w:tabs>
    </w:pPr>
  </w:style>
  <w:style w:type="character" w:customStyle="1" w:styleId="EncabezadoCar">
    <w:name w:val="Encabezado Car"/>
    <w:basedOn w:val="Fuentedeprrafopredeter"/>
    <w:link w:val="Encabezado"/>
    <w:uiPriority w:val="99"/>
    <w:rsid w:val="00E752F0"/>
  </w:style>
  <w:style w:type="paragraph" w:styleId="Piedepgina">
    <w:name w:val="footer"/>
    <w:basedOn w:val="Normal"/>
    <w:link w:val="PiedepginaCar"/>
    <w:uiPriority w:val="99"/>
    <w:unhideWhenUsed/>
    <w:rsid w:val="00E752F0"/>
    <w:pPr>
      <w:tabs>
        <w:tab w:val="center" w:pos="4252"/>
        <w:tab w:val="right" w:pos="8504"/>
      </w:tabs>
    </w:pPr>
  </w:style>
  <w:style w:type="character" w:customStyle="1" w:styleId="PiedepginaCar">
    <w:name w:val="Pie de página Car"/>
    <w:basedOn w:val="Fuentedeprrafopredeter"/>
    <w:link w:val="Piedepgina"/>
    <w:uiPriority w:val="99"/>
    <w:rsid w:val="00E752F0"/>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1C2304"/>
    <w:pPr>
      <w:ind w:left="720"/>
      <w:contextualSpacing/>
    </w:pPr>
  </w:style>
  <w:style w:type="paragraph" w:styleId="Textodeglobo">
    <w:name w:val="Balloon Text"/>
    <w:basedOn w:val="Normal"/>
    <w:link w:val="TextodegloboCar"/>
    <w:uiPriority w:val="99"/>
    <w:semiHidden/>
    <w:unhideWhenUsed/>
    <w:rsid w:val="009118F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8F6"/>
    <w:rPr>
      <w:rFonts w:ascii="Segoe UI" w:eastAsiaTheme="minorEastAsia" w:hAnsi="Segoe UI" w:cs="Segoe UI"/>
      <w:sz w:val="18"/>
      <w:szCs w:val="18"/>
      <w:lang w:val="es-MX" w:eastAsia="es-MX"/>
    </w:rPr>
  </w:style>
  <w:style w:type="table" w:styleId="Tablaconcuadrcula">
    <w:name w:val="Table Grid"/>
    <w:basedOn w:val="Tablanormal"/>
    <w:uiPriority w:val="39"/>
    <w:rsid w:val="00AA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7337"/>
    <w:rPr>
      <w:sz w:val="20"/>
      <w:szCs w:val="20"/>
    </w:rPr>
  </w:style>
  <w:style w:type="character" w:customStyle="1" w:styleId="TextonotapieCar">
    <w:name w:val="Texto nota pie Car"/>
    <w:basedOn w:val="Fuentedeprrafopredeter"/>
    <w:link w:val="Textonotapie"/>
    <w:uiPriority w:val="99"/>
    <w:semiHidden/>
    <w:rsid w:val="003F7337"/>
    <w:rPr>
      <w:rFonts w:eastAsiaTheme="minorEastAsia"/>
      <w:sz w:val="20"/>
      <w:szCs w:val="20"/>
      <w:lang w:val="es-MX" w:eastAsia="es-MX"/>
    </w:rPr>
  </w:style>
  <w:style w:type="character" w:styleId="Refdenotaalpie">
    <w:name w:val="footnote reference"/>
    <w:basedOn w:val="Fuentedeprrafopredeter"/>
    <w:uiPriority w:val="99"/>
    <w:semiHidden/>
    <w:unhideWhenUsed/>
    <w:rsid w:val="003F7337"/>
    <w:rPr>
      <w:vertAlign w:val="superscript"/>
    </w:rPr>
  </w:style>
  <w:style w:type="character" w:styleId="Hipervnculo">
    <w:name w:val="Hyperlink"/>
    <w:basedOn w:val="Fuentedeprrafopredeter"/>
    <w:uiPriority w:val="99"/>
    <w:unhideWhenUsed/>
    <w:rsid w:val="006839F3"/>
    <w:rPr>
      <w:color w:val="0000FF"/>
      <w:u w:val="single"/>
    </w:rPr>
  </w:style>
  <w:style w:type="character" w:customStyle="1" w:styleId="Ttulo1Car">
    <w:name w:val="Título 1 Car"/>
    <w:basedOn w:val="Fuentedeprrafopredeter"/>
    <w:link w:val="Ttulo1"/>
    <w:uiPriority w:val="9"/>
    <w:rsid w:val="00600223"/>
    <w:rPr>
      <w:rFonts w:ascii="Arial" w:eastAsiaTheme="majorEastAsia" w:hAnsi="Arial" w:cstheme="majorBidi"/>
      <w:b/>
      <w:szCs w:val="32"/>
      <w:lang w:val="es-MX" w:eastAsia="es-MX"/>
    </w:rPr>
  </w:style>
  <w:style w:type="character" w:customStyle="1" w:styleId="Ttulo2Car">
    <w:name w:val="Título 2 Car"/>
    <w:basedOn w:val="Fuentedeprrafopredeter"/>
    <w:link w:val="Ttulo2"/>
    <w:uiPriority w:val="9"/>
    <w:rsid w:val="0045406C"/>
    <w:rPr>
      <w:rFonts w:ascii="Arial" w:eastAsiaTheme="majorEastAsia" w:hAnsi="Arial" w:cstheme="majorBidi"/>
      <w:b/>
      <w:szCs w:val="26"/>
      <w:lang w:val="es-MX" w:eastAsia="es-MX"/>
    </w:rPr>
  </w:style>
  <w:style w:type="character" w:customStyle="1" w:styleId="Ttulo3Car">
    <w:name w:val="Título 3 Car"/>
    <w:basedOn w:val="Fuentedeprrafopredeter"/>
    <w:link w:val="Ttulo3"/>
    <w:uiPriority w:val="9"/>
    <w:rsid w:val="0045406C"/>
    <w:rPr>
      <w:rFonts w:ascii="Arial" w:eastAsia="Times New Roman" w:hAnsi="Arial" w:cs="Times New Roman"/>
      <w:b/>
      <w:szCs w:val="24"/>
    </w:rPr>
  </w:style>
  <w:style w:type="paragraph" w:styleId="Textoindependiente">
    <w:name w:val="Body Text"/>
    <w:basedOn w:val="Normal"/>
    <w:link w:val="TextoindependienteCar"/>
    <w:uiPriority w:val="1"/>
    <w:rsid w:val="00F40C0F"/>
    <w:pPr>
      <w:widowControl w:val="0"/>
      <w:autoSpaceDE w:val="0"/>
      <w:autoSpaceDN w:val="0"/>
    </w:pPr>
    <w:rPr>
      <w:rFonts w:eastAsia="Arial" w:cs="Arial"/>
      <w:sz w:val="24"/>
      <w:szCs w:val="24"/>
      <w:lang w:val="es-ES" w:eastAsia="es-ES" w:bidi="es-ES"/>
    </w:rPr>
  </w:style>
  <w:style w:type="character" w:customStyle="1" w:styleId="TextoindependienteCar">
    <w:name w:val="Texto independiente Car"/>
    <w:basedOn w:val="Fuentedeprrafopredeter"/>
    <w:link w:val="Textoindependiente"/>
    <w:uiPriority w:val="1"/>
    <w:rsid w:val="00F40C0F"/>
    <w:rPr>
      <w:rFonts w:ascii="Arial" w:eastAsia="Arial" w:hAnsi="Arial" w:cs="Arial"/>
      <w:sz w:val="24"/>
      <w:szCs w:val="24"/>
      <w:lang w:eastAsia="es-ES" w:bidi="es-ES"/>
    </w:rPr>
  </w:style>
  <w:style w:type="table" w:customStyle="1" w:styleId="TableNormal">
    <w:name w:val="Table Normal"/>
    <w:uiPriority w:val="2"/>
    <w:semiHidden/>
    <w:unhideWhenUsed/>
    <w:qFormat/>
    <w:rsid w:val="00F40C0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rsid w:val="00F40C0F"/>
    <w:pPr>
      <w:widowControl w:val="0"/>
      <w:autoSpaceDE w:val="0"/>
      <w:autoSpaceDN w:val="0"/>
      <w:spacing w:line="260" w:lineRule="exact"/>
    </w:pPr>
    <w:rPr>
      <w:rFonts w:eastAsia="Arial" w:cs="Arial"/>
      <w:lang w:val="es-ES" w:eastAsia="es-ES" w:bidi="es-ES"/>
    </w:rPr>
  </w:style>
  <w:style w:type="paragraph" w:customStyle="1" w:styleId="Default">
    <w:name w:val="Default"/>
    <w:rsid w:val="00F40C0F"/>
    <w:pPr>
      <w:autoSpaceDE w:val="0"/>
      <w:autoSpaceDN w:val="0"/>
      <w:adjustRightInd w:val="0"/>
      <w:spacing w:after="0" w:line="240" w:lineRule="auto"/>
    </w:pPr>
    <w:rPr>
      <w:rFonts w:ascii="Arial" w:eastAsia="Calibri" w:hAnsi="Arial" w:cs="Arial"/>
      <w:color w:val="000000"/>
      <w:sz w:val="24"/>
      <w:szCs w:val="24"/>
      <w:lang w:val="es-MX"/>
    </w:rPr>
  </w:style>
  <w:style w:type="paragraph" w:styleId="Textoindependiente2">
    <w:name w:val="Body Text 2"/>
    <w:basedOn w:val="Normal"/>
    <w:link w:val="Textoindependiente2Car"/>
    <w:unhideWhenUsed/>
    <w:rsid w:val="00F40C0F"/>
    <w:pPr>
      <w:spacing w:after="120" w:line="480" w:lineRule="auto"/>
    </w:pPr>
    <w:rPr>
      <w:rFonts w:ascii="Calibri" w:eastAsia="Calibri" w:hAnsi="Calibri" w:cs="Times New Roman"/>
      <w:lang w:eastAsia="en-US"/>
    </w:rPr>
  </w:style>
  <w:style w:type="character" w:customStyle="1" w:styleId="Textoindependiente2Car">
    <w:name w:val="Texto independiente 2 Car"/>
    <w:basedOn w:val="Fuentedeprrafopredeter"/>
    <w:link w:val="Textoindependiente2"/>
    <w:rsid w:val="00F40C0F"/>
    <w:rPr>
      <w:rFonts w:ascii="Calibri" w:eastAsia="Calibri" w:hAnsi="Calibri" w:cs="Times New Roman"/>
      <w:lang w:val="es-MX"/>
    </w:rPr>
  </w:style>
  <w:style w:type="paragraph" w:styleId="NormalWeb">
    <w:name w:val="Normal (Web)"/>
    <w:basedOn w:val="Normal"/>
    <w:uiPriority w:val="99"/>
    <w:unhideWhenUsed/>
    <w:rsid w:val="00F40C0F"/>
    <w:pPr>
      <w:spacing w:before="100" w:beforeAutospacing="1" w:after="100" w:afterAutospacing="1"/>
    </w:pPr>
    <w:rPr>
      <w:rFonts w:ascii="Times New Roman" w:eastAsia="Times New Roman" w:hAnsi="Times New Roman" w:cs="Times New Roman"/>
      <w:sz w:val="24"/>
      <w:szCs w:val="24"/>
    </w:rPr>
  </w:style>
  <w:style w:type="paragraph" w:customStyle="1" w:styleId="CuerpoA">
    <w:name w:val="Cuerpo A"/>
    <w:rsid w:val="00F40C0F"/>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MX"/>
    </w:rPr>
  </w:style>
  <w:style w:type="paragraph" w:customStyle="1" w:styleId="CuerpoB">
    <w:name w:val="Cuerpo B"/>
    <w:rsid w:val="00F40C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Cuerpo">
    <w:name w:val="Cuerpo"/>
    <w:rsid w:val="00F40C0F"/>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s-ES_tradnl" w:eastAsia="es-MX"/>
    </w:rPr>
  </w:style>
  <w:style w:type="paragraph" w:customStyle="1" w:styleId="Texto">
    <w:name w:val="Texto"/>
    <w:basedOn w:val="Normal"/>
    <w:link w:val="TextoCar"/>
    <w:rsid w:val="00F40C0F"/>
    <w:pPr>
      <w:spacing w:after="101" w:line="216" w:lineRule="exact"/>
      <w:ind w:firstLine="288"/>
    </w:pPr>
    <w:rPr>
      <w:rFonts w:eastAsia="Times New Roman" w:cs="Arial"/>
      <w:sz w:val="18"/>
      <w:szCs w:val="20"/>
      <w:lang w:val="es-ES" w:eastAsia="es-ES"/>
    </w:rPr>
  </w:style>
  <w:style w:type="character" w:customStyle="1" w:styleId="TextoCar">
    <w:name w:val="Texto Car"/>
    <w:link w:val="Texto"/>
    <w:locked/>
    <w:rsid w:val="00F40C0F"/>
    <w:rPr>
      <w:rFonts w:ascii="Arial" w:eastAsia="Times New Roman" w:hAnsi="Arial" w:cs="Arial"/>
      <w:sz w:val="18"/>
      <w:szCs w:val="20"/>
      <w:lang w:eastAsia="es-ES"/>
    </w:rPr>
  </w:style>
  <w:style w:type="table" w:styleId="Sombreadoclaro-nfasis3">
    <w:name w:val="Light Shading Accent 3"/>
    <w:basedOn w:val="Tablanormal"/>
    <w:uiPriority w:val="60"/>
    <w:rsid w:val="00F40C0F"/>
    <w:pPr>
      <w:spacing w:after="0" w:line="240" w:lineRule="auto"/>
    </w:pPr>
    <w:rPr>
      <w:rFonts w:ascii="Calibri" w:eastAsia="Calibri" w:hAnsi="Calibri" w:cs="Times New Roman"/>
      <w:color w:val="7B7B7B"/>
      <w:sz w:val="20"/>
      <w:szCs w:val="20"/>
      <w:lang w:val="es-MX" w:eastAsia="es-MX"/>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link w:val="Prrafodelista"/>
    <w:uiPriority w:val="34"/>
    <w:locked/>
    <w:rsid w:val="00F40C0F"/>
    <w:rPr>
      <w:rFonts w:eastAsiaTheme="minorEastAsia"/>
      <w:lang w:val="es-MX" w:eastAsia="es-MX"/>
    </w:rPr>
  </w:style>
  <w:style w:type="character" w:customStyle="1" w:styleId="A4">
    <w:name w:val="A4"/>
    <w:uiPriority w:val="99"/>
    <w:rsid w:val="00F40C0F"/>
    <w:rPr>
      <w:rFonts w:cs="Rotis Sans Serif Std Light"/>
      <w:color w:val="000000"/>
      <w:sz w:val="26"/>
      <w:szCs w:val="26"/>
    </w:rPr>
  </w:style>
  <w:style w:type="character" w:styleId="Refdecomentario">
    <w:name w:val="annotation reference"/>
    <w:uiPriority w:val="99"/>
    <w:semiHidden/>
    <w:unhideWhenUsed/>
    <w:rsid w:val="00F40C0F"/>
    <w:rPr>
      <w:sz w:val="16"/>
      <w:szCs w:val="16"/>
    </w:rPr>
  </w:style>
  <w:style w:type="paragraph" w:styleId="Textocomentario">
    <w:name w:val="annotation text"/>
    <w:basedOn w:val="Normal"/>
    <w:link w:val="TextocomentarioCar"/>
    <w:uiPriority w:val="99"/>
    <w:semiHidden/>
    <w:unhideWhenUsed/>
    <w:rsid w:val="00F40C0F"/>
    <w:rPr>
      <w:rFonts w:eastAsia="Times New Roman" w:cs="Times New Roman"/>
      <w:sz w:val="20"/>
      <w:szCs w:val="20"/>
    </w:rPr>
  </w:style>
  <w:style w:type="character" w:customStyle="1" w:styleId="TextocomentarioCar">
    <w:name w:val="Texto comentario Car"/>
    <w:basedOn w:val="Fuentedeprrafopredeter"/>
    <w:link w:val="Textocomentario"/>
    <w:uiPriority w:val="99"/>
    <w:semiHidden/>
    <w:rsid w:val="00F40C0F"/>
    <w:rPr>
      <w:rFonts w:ascii="Arial" w:eastAsia="Times New Roman" w:hAnsi="Arial"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F40C0F"/>
    <w:rPr>
      <w:b/>
      <w:bCs/>
    </w:rPr>
  </w:style>
  <w:style w:type="character" w:customStyle="1" w:styleId="AsuntodelcomentarioCar">
    <w:name w:val="Asunto del comentario Car"/>
    <w:basedOn w:val="TextocomentarioCar"/>
    <w:link w:val="Asuntodelcomentario"/>
    <w:uiPriority w:val="99"/>
    <w:semiHidden/>
    <w:rsid w:val="00F40C0F"/>
    <w:rPr>
      <w:rFonts w:ascii="Arial" w:eastAsia="Times New Roman" w:hAnsi="Arial" w:cs="Times New Roman"/>
      <w:b/>
      <w:bCs/>
      <w:sz w:val="20"/>
      <w:szCs w:val="20"/>
      <w:lang w:val="es-MX" w:eastAsia="es-MX"/>
    </w:rPr>
  </w:style>
  <w:style w:type="paragraph" w:styleId="Revisin">
    <w:name w:val="Revision"/>
    <w:hidden/>
    <w:uiPriority w:val="99"/>
    <w:semiHidden/>
    <w:rsid w:val="00F40C0F"/>
    <w:pPr>
      <w:spacing w:after="0" w:line="240" w:lineRule="auto"/>
    </w:pPr>
    <w:rPr>
      <w:rFonts w:ascii="Calibri" w:eastAsia="Times New Roman" w:hAnsi="Calibri" w:cs="Times New Roman"/>
      <w:lang w:val="es-MX" w:eastAsia="es-MX"/>
    </w:rPr>
  </w:style>
  <w:style w:type="paragraph" w:customStyle="1" w:styleId="titulo-nota">
    <w:name w:val="titulo-nota"/>
    <w:basedOn w:val="Normal"/>
    <w:rsid w:val="00F40C0F"/>
    <w:pPr>
      <w:spacing w:before="100" w:beforeAutospacing="1" w:after="100" w:afterAutospacing="1"/>
    </w:pPr>
    <w:rPr>
      <w:rFonts w:ascii="Times New Roman" w:eastAsia="Times New Roman" w:hAnsi="Times New Roman" w:cs="Times New Roman"/>
      <w:sz w:val="24"/>
      <w:szCs w:val="24"/>
    </w:rPr>
  </w:style>
  <w:style w:type="paragraph" w:customStyle="1" w:styleId="resumen-nota">
    <w:name w:val="resumen-nota"/>
    <w:basedOn w:val="Normal"/>
    <w:rsid w:val="00F40C0F"/>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F40C0F"/>
  </w:style>
  <w:style w:type="character" w:styleId="Textoennegrita">
    <w:name w:val="Strong"/>
    <w:uiPriority w:val="22"/>
    <w:qFormat/>
    <w:rsid w:val="00F40C0F"/>
    <w:rPr>
      <w:b/>
      <w:bCs/>
    </w:rPr>
  </w:style>
  <w:style w:type="character" w:styleId="nfasis">
    <w:name w:val="Emphasis"/>
    <w:uiPriority w:val="20"/>
    <w:qFormat/>
    <w:rsid w:val="00F40C0F"/>
    <w:rPr>
      <w:i/>
      <w:iCs/>
    </w:rPr>
  </w:style>
  <w:style w:type="paragraph" w:customStyle="1" w:styleId="Pa7">
    <w:name w:val="Pa7"/>
    <w:basedOn w:val="Default"/>
    <w:next w:val="Default"/>
    <w:uiPriority w:val="99"/>
    <w:rsid w:val="00F40C0F"/>
    <w:pPr>
      <w:spacing w:line="261" w:lineRule="atLeast"/>
    </w:pPr>
    <w:rPr>
      <w:rFonts w:ascii="Rotis Sans Serif Std Light" w:eastAsia="Times New Roman" w:hAnsi="Rotis Sans Serif Std Light" w:cs="Times New Roman"/>
      <w:color w:val="auto"/>
      <w:lang w:eastAsia="es-MX"/>
    </w:rPr>
  </w:style>
  <w:style w:type="paragraph" w:customStyle="1" w:styleId="Pa25">
    <w:name w:val="Pa25"/>
    <w:basedOn w:val="Default"/>
    <w:next w:val="Default"/>
    <w:uiPriority w:val="99"/>
    <w:rsid w:val="00F40C0F"/>
    <w:pPr>
      <w:spacing w:line="321" w:lineRule="atLeast"/>
    </w:pPr>
    <w:rPr>
      <w:rFonts w:ascii="Rotis Sans Serif Std Light" w:eastAsia="Times New Roman" w:hAnsi="Rotis Sans Serif Std Light" w:cs="Times New Roman"/>
      <w:color w:val="auto"/>
      <w:lang w:eastAsia="es-MX"/>
    </w:rPr>
  </w:style>
  <w:style w:type="character" w:customStyle="1" w:styleId="cb-author">
    <w:name w:val="cb-author"/>
    <w:basedOn w:val="Fuentedeprrafopredeter"/>
    <w:rsid w:val="00F40C0F"/>
  </w:style>
  <w:style w:type="character" w:customStyle="1" w:styleId="cb-date">
    <w:name w:val="cb-date"/>
    <w:basedOn w:val="Fuentedeprrafopredeter"/>
    <w:rsid w:val="00F40C0F"/>
  </w:style>
  <w:style w:type="table" w:customStyle="1" w:styleId="Tablaconcuadrcula1">
    <w:name w:val="Tabla con cuadrícula1"/>
    <w:basedOn w:val="Tablanormal"/>
    <w:next w:val="Tablaconcuadrcula"/>
    <w:uiPriority w:val="59"/>
    <w:rsid w:val="00F40C0F"/>
    <w:pPr>
      <w:spacing w:after="0" w:line="240" w:lineRule="auto"/>
    </w:pPr>
    <w:rPr>
      <w:rFonts w:ascii="Calibri" w:eastAsia="Calibri"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claro-nfasis31">
    <w:name w:val="Sombreado claro - Énfasis 31"/>
    <w:basedOn w:val="Tablanormal"/>
    <w:next w:val="Sombreadoclaro-nfasis3"/>
    <w:uiPriority w:val="60"/>
    <w:rsid w:val="00F40C0F"/>
    <w:pPr>
      <w:spacing w:after="0" w:line="240" w:lineRule="auto"/>
    </w:pPr>
    <w:rPr>
      <w:rFonts w:ascii="Calibri" w:eastAsia="Calibri" w:hAnsi="Calibri" w:cs="Times New Roman"/>
      <w:color w:val="7B7B7B"/>
      <w:sz w:val="20"/>
      <w:szCs w:val="20"/>
      <w:lang w:val="es-MX" w:eastAsia="es-MX"/>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character" w:customStyle="1" w:styleId="btn-pdf">
    <w:name w:val="btn-pdf"/>
    <w:basedOn w:val="Fuentedeprrafopredeter"/>
    <w:rsid w:val="00F40C0F"/>
  </w:style>
  <w:style w:type="table" w:customStyle="1" w:styleId="Tabladecuadrcula1clara-nfasis31">
    <w:name w:val="Tabla de cuadrícula 1 clara - Énfasis 31"/>
    <w:basedOn w:val="Tablanormal"/>
    <w:uiPriority w:val="46"/>
    <w:rsid w:val="00F40C0F"/>
    <w:pPr>
      <w:spacing w:after="0" w:line="240" w:lineRule="auto"/>
    </w:pPr>
    <w:rPr>
      <w:rFonts w:ascii="Calibri" w:eastAsia="Times New Roman" w:hAnsi="Calibri" w:cs="Times New Roman"/>
      <w:sz w:val="20"/>
      <w:szCs w:val="20"/>
      <w:lang w:val="es-MX" w:eastAsia="es-MX"/>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lanormal51">
    <w:name w:val="Tabla normal 51"/>
    <w:basedOn w:val="Tablanormal"/>
    <w:uiPriority w:val="45"/>
    <w:rsid w:val="00F40C0F"/>
    <w:pPr>
      <w:spacing w:after="0" w:line="240" w:lineRule="auto"/>
    </w:pPr>
    <w:rPr>
      <w:rFonts w:ascii="Calibri" w:eastAsia="Times New Roman" w:hAnsi="Calibri" w:cs="Times New Roman"/>
      <w:sz w:val="20"/>
      <w:szCs w:val="20"/>
      <w:lang w:val="es-MX" w:eastAsia="es-MX"/>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ANOTACION">
    <w:name w:val="ANOTACION"/>
    <w:basedOn w:val="Normal"/>
    <w:link w:val="ANOTACIONCar"/>
    <w:rsid w:val="00F40C0F"/>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F40C0F"/>
    <w:rPr>
      <w:rFonts w:ascii="Times New Roman" w:eastAsia="Times New Roman" w:hAnsi="Times New Roman" w:cs="Times New Roman"/>
      <w:b/>
      <w:sz w:val="18"/>
      <w:szCs w:val="20"/>
      <w:lang w:val="es-ES_tradnl" w:eastAsia="es-ES"/>
    </w:rPr>
  </w:style>
  <w:style w:type="paragraph" w:styleId="Sinespaciado">
    <w:name w:val="No Spacing"/>
    <w:uiPriority w:val="1"/>
    <w:rsid w:val="00F40C0F"/>
    <w:pPr>
      <w:spacing w:after="0" w:line="240" w:lineRule="auto"/>
    </w:pPr>
    <w:rPr>
      <w:rFonts w:ascii="Calibri" w:eastAsia="Times New Roman" w:hAnsi="Calibri" w:cs="Times New Roman"/>
      <w:lang w:val="es-MX" w:eastAsia="es-MX"/>
    </w:rPr>
  </w:style>
  <w:style w:type="paragraph" w:customStyle="1" w:styleId="Ttulo31">
    <w:name w:val="Título 31"/>
    <w:basedOn w:val="Normal"/>
    <w:next w:val="Normal"/>
    <w:uiPriority w:val="9"/>
    <w:semiHidden/>
    <w:unhideWhenUsed/>
    <w:qFormat/>
    <w:rsid w:val="00F40C0F"/>
    <w:pPr>
      <w:keepNext/>
      <w:keepLines/>
      <w:spacing w:before="40" w:line="360" w:lineRule="auto"/>
      <w:outlineLvl w:val="2"/>
    </w:pPr>
    <w:rPr>
      <w:rFonts w:ascii="Calibri Light" w:eastAsia="Times New Roman" w:hAnsi="Calibri Light" w:cs="Times New Roman"/>
      <w:color w:val="1F4D78"/>
      <w:sz w:val="24"/>
      <w:szCs w:val="24"/>
      <w:lang w:val="es-ES" w:eastAsia="en-US"/>
    </w:rPr>
  </w:style>
  <w:style w:type="numbering" w:customStyle="1" w:styleId="Sinlista1">
    <w:name w:val="Sin lista1"/>
    <w:next w:val="Sinlista"/>
    <w:uiPriority w:val="99"/>
    <w:semiHidden/>
    <w:unhideWhenUsed/>
    <w:rsid w:val="00F40C0F"/>
  </w:style>
  <w:style w:type="character" w:customStyle="1" w:styleId="Hipervnculovisitado1">
    <w:name w:val="Hipervínculo visitado1"/>
    <w:uiPriority w:val="99"/>
    <w:semiHidden/>
    <w:unhideWhenUsed/>
    <w:rsid w:val="00F40C0F"/>
    <w:rPr>
      <w:color w:val="954F72"/>
      <w:u w:val="single"/>
    </w:rPr>
  </w:style>
  <w:style w:type="paragraph" w:customStyle="1" w:styleId="msonormal0">
    <w:name w:val="msonormal"/>
    <w:basedOn w:val="Normal"/>
    <w:rsid w:val="00F40C0F"/>
    <w:pPr>
      <w:spacing w:before="100" w:beforeAutospacing="1" w:after="100" w:afterAutospacing="1" w:line="360" w:lineRule="auto"/>
    </w:pPr>
    <w:rPr>
      <w:rFonts w:ascii="Times New Roman" w:eastAsia="Times New Roman" w:hAnsi="Times New Roman" w:cs="Times New Roman"/>
      <w:sz w:val="24"/>
      <w:szCs w:val="24"/>
      <w:lang w:val="es-ES" w:eastAsia="es-ES"/>
    </w:rPr>
  </w:style>
  <w:style w:type="paragraph" w:styleId="TDC1">
    <w:name w:val="toc 1"/>
    <w:basedOn w:val="Normal"/>
    <w:next w:val="Normal"/>
    <w:autoRedefine/>
    <w:uiPriority w:val="39"/>
    <w:unhideWhenUsed/>
    <w:rsid w:val="00F40C0F"/>
    <w:pPr>
      <w:spacing w:before="120" w:after="100" w:line="360" w:lineRule="auto"/>
    </w:pPr>
    <w:rPr>
      <w:rFonts w:eastAsia="Calibri" w:cs="Times New Roman"/>
      <w:sz w:val="24"/>
      <w:lang w:val="es-ES" w:eastAsia="en-US"/>
    </w:rPr>
  </w:style>
  <w:style w:type="paragraph" w:styleId="TDC2">
    <w:name w:val="toc 2"/>
    <w:basedOn w:val="Normal"/>
    <w:next w:val="Normal"/>
    <w:autoRedefine/>
    <w:uiPriority w:val="39"/>
    <w:unhideWhenUsed/>
    <w:rsid w:val="00F40C0F"/>
    <w:pPr>
      <w:spacing w:after="100" w:line="256" w:lineRule="auto"/>
      <w:ind w:left="220"/>
    </w:pPr>
    <w:rPr>
      <w:rFonts w:ascii="Calibri" w:eastAsia="Times New Roman" w:hAnsi="Calibri" w:cs="Times New Roman"/>
      <w:sz w:val="24"/>
    </w:rPr>
  </w:style>
  <w:style w:type="paragraph" w:styleId="TDC3">
    <w:name w:val="toc 3"/>
    <w:basedOn w:val="Normal"/>
    <w:next w:val="Normal"/>
    <w:autoRedefine/>
    <w:uiPriority w:val="39"/>
    <w:unhideWhenUsed/>
    <w:rsid w:val="00F40C0F"/>
    <w:pPr>
      <w:spacing w:after="100" w:line="256" w:lineRule="auto"/>
      <w:ind w:left="440"/>
    </w:pPr>
    <w:rPr>
      <w:rFonts w:ascii="Calibri" w:eastAsia="Times New Roman" w:hAnsi="Calibri" w:cs="Times New Roman"/>
      <w:sz w:val="24"/>
    </w:rPr>
  </w:style>
  <w:style w:type="paragraph" w:styleId="Subttulo">
    <w:name w:val="Subtitle"/>
    <w:basedOn w:val="Normal"/>
    <w:next w:val="Normal"/>
    <w:link w:val="SubttuloCar"/>
    <w:uiPriority w:val="11"/>
    <w:qFormat/>
    <w:rsid w:val="00F40C0F"/>
    <w:pPr>
      <w:jc w:val="center"/>
    </w:pPr>
    <w:rPr>
      <w:rFonts w:eastAsia="Times New Roman" w:cs="Times New Roman"/>
      <w:b/>
      <w:sz w:val="20"/>
      <w:lang w:val="es-ES" w:eastAsia="en-US"/>
    </w:rPr>
  </w:style>
  <w:style w:type="character" w:customStyle="1" w:styleId="SubttuloCar">
    <w:name w:val="Subtítulo Car"/>
    <w:basedOn w:val="Fuentedeprrafopredeter"/>
    <w:link w:val="Subttulo"/>
    <w:uiPriority w:val="11"/>
    <w:rsid w:val="00F40C0F"/>
    <w:rPr>
      <w:rFonts w:ascii="Arial" w:eastAsia="Times New Roman" w:hAnsi="Arial" w:cs="Times New Roman"/>
      <w:b/>
      <w:sz w:val="20"/>
    </w:rPr>
  </w:style>
  <w:style w:type="paragraph" w:customStyle="1" w:styleId="TtuloTDC1">
    <w:name w:val="Título TDC1"/>
    <w:basedOn w:val="Ttulo1"/>
    <w:next w:val="Normal"/>
    <w:uiPriority w:val="39"/>
    <w:semiHidden/>
    <w:unhideWhenUsed/>
    <w:qFormat/>
    <w:rsid w:val="00F40C0F"/>
    <w:pPr>
      <w:spacing w:line="256" w:lineRule="auto"/>
      <w:outlineLvl w:val="9"/>
    </w:pPr>
    <w:rPr>
      <w:rFonts w:ascii="Calibri Light" w:eastAsia="Times New Roman" w:hAnsi="Calibri Light" w:cs="Times New Roman"/>
      <w:color w:val="2E74B5"/>
    </w:rPr>
  </w:style>
  <w:style w:type="table" w:customStyle="1" w:styleId="Tablaconcuadrcula2">
    <w:name w:val="Tabla con cuadrícula2"/>
    <w:basedOn w:val="Tablanormal"/>
    <w:next w:val="Tablaconcuadrcula"/>
    <w:uiPriority w:val="39"/>
    <w:rsid w:val="00F40C0F"/>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1">
    <w:name w:val="Título 3 Car1"/>
    <w:uiPriority w:val="9"/>
    <w:semiHidden/>
    <w:rsid w:val="00F40C0F"/>
    <w:rPr>
      <w:rFonts w:ascii="Calibri Light" w:eastAsia="Times New Roman" w:hAnsi="Calibri Light" w:cs="Times New Roman"/>
      <w:color w:val="1F4D78"/>
      <w:sz w:val="24"/>
      <w:szCs w:val="24"/>
    </w:rPr>
  </w:style>
  <w:style w:type="character" w:styleId="Hipervnculovisitado">
    <w:name w:val="FollowedHyperlink"/>
    <w:uiPriority w:val="99"/>
    <w:semiHidden/>
    <w:unhideWhenUsed/>
    <w:rsid w:val="00F40C0F"/>
    <w:rPr>
      <w:color w:val="954F72"/>
      <w:u w:val="single"/>
    </w:rPr>
  </w:style>
  <w:style w:type="paragraph" w:styleId="TtuloTDC">
    <w:name w:val="TOC Heading"/>
    <w:basedOn w:val="Ttulo1"/>
    <w:next w:val="Normal"/>
    <w:uiPriority w:val="39"/>
    <w:unhideWhenUsed/>
    <w:qFormat/>
    <w:rsid w:val="00F40C0F"/>
    <w:pPr>
      <w:spacing w:line="259" w:lineRule="auto"/>
      <w:outlineLvl w:val="9"/>
    </w:pPr>
    <w:rPr>
      <w:rFonts w:ascii="Calibri Light" w:eastAsia="Times New Roman" w:hAnsi="Calibri Light" w:cs="Times New Roman"/>
      <w:color w:val="2E74B5"/>
    </w:rPr>
  </w:style>
  <w:style w:type="paragraph" w:styleId="TDC4">
    <w:name w:val="toc 4"/>
    <w:basedOn w:val="Normal"/>
    <w:next w:val="Normal"/>
    <w:autoRedefine/>
    <w:uiPriority w:val="39"/>
    <w:unhideWhenUsed/>
    <w:rsid w:val="00F40C0F"/>
    <w:pPr>
      <w:spacing w:after="100" w:line="259" w:lineRule="auto"/>
      <w:ind w:left="660"/>
    </w:pPr>
    <w:rPr>
      <w:rFonts w:ascii="Calibri" w:eastAsia="Times New Roman" w:hAnsi="Calibri" w:cs="Times New Roman"/>
    </w:rPr>
  </w:style>
  <w:style w:type="paragraph" w:styleId="TDC5">
    <w:name w:val="toc 5"/>
    <w:basedOn w:val="Normal"/>
    <w:next w:val="Normal"/>
    <w:autoRedefine/>
    <w:uiPriority w:val="39"/>
    <w:unhideWhenUsed/>
    <w:rsid w:val="00F40C0F"/>
    <w:pPr>
      <w:spacing w:after="100" w:line="259" w:lineRule="auto"/>
      <w:ind w:left="880"/>
    </w:pPr>
    <w:rPr>
      <w:rFonts w:ascii="Calibri" w:eastAsia="Times New Roman" w:hAnsi="Calibri" w:cs="Times New Roman"/>
    </w:rPr>
  </w:style>
  <w:style w:type="paragraph" w:styleId="TDC6">
    <w:name w:val="toc 6"/>
    <w:basedOn w:val="Normal"/>
    <w:next w:val="Normal"/>
    <w:autoRedefine/>
    <w:uiPriority w:val="39"/>
    <w:unhideWhenUsed/>
    <w:rsid w:val="00F40C0F"/>
    <w:pPr>
      <w:spacing w:after="100" w:line="259" w:lineRule="auto"/>
      <w:ind w:left="1100"/>
    </w:pPr>
    <w:rPr>
      <w:rFonts w:ascii="Calibri" w:eastAsia="Times New Roman" w:hAnsi="Calibri" w:cs="Times New Roman"/>
    </w:rPr>
  </w:style>
  <w:style w:type="paragraph" w:styleId="TDC7">
    <w:name w:val="toc 7"/>
    <w:basedOn w:val="Normal"/>
    <w:next w:val="Normal"/>
    <w:autoRedefine/>
    <w:uiPriority w:val="39"/>
    <w:unhideWhenUsed/>
    <w:rsid w:val="00F40C0F"/>
    <w:pPr>
      <w:spacing w:after="100" w:line="259" w:lineRule="auto"/>
      <w:ind w:left="1320"/>
    </w:pPr>
    <w:rPr>
      <w:rFonts w:ascii="Calibri" w:eastAsia="Times New Roman" w:hAnsi="Calibri" w:cs="Times New Roman"/>
    </w:rPr>
  </w:style>
  <w:style w:type="paragraph" w:styleId="TDC8">
    <w:name w:val="toc 8"/>
    <w:basedOn w:val="Normal"/>
    <w:next w:val="Normal"/>
    <w:autoRedefine/>
    <w:uiPriority w:val="39"/>
    <w:unhideWhenUsed/>
    <w:rsid w:val="00F40C0F"/>
    <w:pPr>
      <w:spacing w:after="100" w:line="259" w:lineRule="auto"/>
      <w:ind w:left="1540"/>
    </w:pPr>
    <w:rPr>
      <w:rFonts w:ascii="Calibri" w:eastAsia="Times New Roman" w:hAnsi="Calibri" w:cs="Times New Roman"/>
    </w:rPr>
  </w:style>
  <w:style w:type="paragraph" w:styleId="TDC9">
    <w:name w:val="toc 9"/>
    <w:basedOn w:val="Normal"/>
    <w:next w:val="Normal"/>
    <w:autoRedefine/>
    <w:uiPriority w:val="39"/>
    <w:unhideWhenUsed/>
    <w:rsid w:val="00F40C0F"/>
    <w:pPr>
      <w:spacing w:after="100" w:line="259" w:lineRule="auto"/>
      <w:ind w:left="1760"/>
    </w:pPr>
    <w:rPr>
      <w:rFonts w:ascii="Calibri" w:eastAsia="Times New Roman" w:hAnsi="Calibri" w:cs="Times New Roman"/>
    </w:rPr>
  </w:style>
  <w:style w:type="paragraph" w:customStyle="1" w:styleId="xl63">
    <w:name w:val="xl63"/>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8"/>
      <w:szCs w:val="18"/>
    </w:rPr>
  </w:style>
  <w:style w:type="paragraph" w:customStyle="1" w:styleId="xl65">
    <w:name w:val="xl65"/>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18"/>
      <w:szCs w:val="18"/>
    </w:rPr>
  </w:style>
  <w:style w:type="paragraph" w:customStyle="1" w:styleId="xl66">
    <w:name w:val="xl66"/>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sz w:val="18"/>
      <w:szCs w:val="18"/>
    </w:rPr>
  </w:style>
  <w:style w:type="paragraph" w:customStyle="1" w:styleId="xl67">
    <w:name w:val="xl67"/>
    <w:basedOn w:val="Normal"/>
    <w:rsid w:val="00F40C0F"/>
    <w:pPr>
      <w:spacing w:before="100" w:beforeAutospacing="1" w:after="100" w:afterAutospacing="1"/>
    </w:pPr>
    <w:rPr>
      <w:rFonts w:ascii="Times New Roman" w:eastAsia="Times New Roman" w:hAnsi="Times New Roman" w:cs="Times New Roman"/>
      <w:sz w:val="24"/>
      <w:szCs w:val="24"/>
    </w:rPr>
  </w:style>
  <w:style w:type="paragraph" w:customStyle="1" w:styleId="xl68">
    <w:name w:val="xl68"/>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0">
    <w:name w:val="xl70"/>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s="Arial"/>
      <w:b/>
      <w:bCs/>
      <w:sz w:val="18"/>
      <w:szCs w:val="18"/>
    </w:rPr>
  </w:style>
  <w:style w:type="paragraph" w:customStyle="1" w:styleId="xl71">
    <w:name w:val="xl71"/>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72">
    <w:name w:val="xl72"/>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Arial"/>
      <w:b/>
      <w:bCs/>
      <w:sz w:val="18"/>
      <w:szCs w:val="18"/>
    </w:rPr>
  </w:style>
  <w:style w:type="paragraph" w:customStyle="1" w:styleId="xl73">
    <w:name w:val="xl73"/>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F40C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4"/>
      <w:szCs w:val="24"/>
    </w:rPr>
  </w:style>
  <w:style w:type="paragraph" w:customStyle="1" w:styleId="xl75">
    <w:name w:val="xl75"/>
    <w:basedOn w:val="Normal"/>
    <w:rsid w:val="00F40C0F"/>
    <w:pPr>
      <w:pBdr>
        <w:bottom w:val="single" w:sz="8" w:space="0" w:color="auto"/>
        <w:right w:val="single" w:sz="8" w:space="0" w:color="auto"/>
      </w:pBdr>
      <w:spacing w:before="100" w:beforeAutospacing="1" w:after="100" w:afterAutospacing="1"/>
      <w:textAlignment w:val="center"/>
    </w:pPr>
    <w:rPr>
      <w:rFonts w:eastAsia="Times New Roman" w:cs="Arial"/>
      <w:color w:val="000000"/>
      <w:sz w:val="18"/>
      <w:szCs w:val="18"/>
    </w:rPr>
  </w:style>
  <w:style w:type="paragraph" w:customStyle="1" w:styleId="xl76">
    <w:name w:val="xl76"/>
    <w:basedOn w:val="Normal"/>
    <w:rsid w:val="00F40C0F"/>
    <w:pPr>
      <w:pBdr>
        <w:bottom w:val="single" w:sz="8" w:space="0" w:color="auto"/>
        <w:right w:val="single" w:sz="8" w:space="0" w:color="auto"/>
      </w:pBdr>
      <w:spacing w:before="100" w:beforeAutospacing="1" w:after="100" w:afterAutospacing="1"/>
      <w:textAlignment w:val="center"/>
    </w:pPr>
    <w:rPr>
      <w:rFonts w:eastAsia="Times New Roman" w:cs="Arial"/>
      <w:b/>
      <w:bCs/>
      <w:color w:val="000000"/>
      <w:sz w:val="18"/>
      <w:szCs w:val="18"/>
    </w:rPr>
  </w:style>
  <w:style w:type="table" w:styleId="Cuadrculamedia3-nfasis3">
    <w:name w:val="Medium Grid 3 Accent 3"/>
    <w:basedOn w:val="Tablanormal"/>
    <w:uiPriority w:val="69"/>
    <w:rsid w:val="00F40C0F"/>
    <w:pPr>
      <w:spacing w:after="0" w:line="240" w:lineRule="auto"/>
    </w:pPr>
    <w:rPr>
      <w:rFonts w:ascii="Calibri" w:eastAsia="Calibri" w:hAnsi="Calibri" w:cs="Times New Roman"/>
      <w:sz w:val="20"/>
      <w:szCs w:val="20"/>
      <w:lang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paragraph" w:customStyle="1" w:styleId="xl77">
    <w:name w:val="xl77"/>
    <w:basedOn w:val="Normal"/>
    <w:rsid w:val="00F40C0F"/>
    <w:pPr>
      <w:pBdr>
        <w:left w:val="single" w:sz="4" w:space="0" w:color="auto"/>
        <w:bottom w:val="single" w:sz="4" w:space="0" w:color="auto"/>
        <w:right w:val="single" w:sz="4" w:space="0" w:color="auto"/>
      </w:pBdr>
      <w:spacing w:before="100" w:beforeAutospacing="1" w:after="100" w:afterAutospacing="1"/>
      <w:jc w:val="right"/>
    </w:pPr>
    <w:rPr>
      <w:rFonts w:eastAsia="Times New Roman" w:cs="Arial"/>
      <w:sz w:val="20"/>
      <w:szCs w:val="20"/>
    </w:rPr>
  </w:style>
  <w:style w:type="paragraph" w:customStyle="1" w:styleId="xl78">
    <w:name w:val="xl78"/>
    <w:basedOn w:val="Normal"/>
    <w:rsid w:val="00F40C0F"/>
    <w:pPr>
      <w:pBdr>
        <w:left w:val="single" w:sz="4" w:space="0" w:color="auto"/>
        <w:bottom w:val="single" w:sz="4" w:space="0" w:color="auto"/>
        <w:right w:val="single" w:sz="8" w:space="0" w:color="auto"/>
      </w:pBdr>
      <w:spacing w:before="100" w:beforeAutospacing="1" w:after="100" w:afterAutospacing="1"/>
      <w:jc w:val="right"/>
    </w:pPr>
    <w:rPr>
      <w:rFonts w:eastAsia="Times New Roman" w:cs="Arial"/>
      <w:sz w:val="20"/>
      <w:szCs w:val="20"/>
    </w:rPr>
  </w:style>
  <w:style w:type="paragraph" w:customStyle="1" w:styleId="xl79">
    <w:name w:val="xl79"/>
    <w:basedOn w:val="Normal"/>
    <w:rsid w:val="00F40C0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cs="Arial"/>
      <w:b/>
      <w:bCs/>
      <w:sz w:val="20"/>
      <w:szCs w:val="20"/>
    </w:rPr>
  </w:style>
  <w:style w:type="paragraph" w:customStyle="1" w:styleId="xl80">
    <w:name w:val="xl80"/>
    <w:basedOn w:val="Normal"/>
    <w:rsid w:val="00F40C0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cs="Arial"/>
      <w:b/>
      <w:bCs/>
      <w:sz w:val="20"/>
      <w:szCs w:val="20"/>
    </w:rPr>
  </w:style>
  <w:style w:type="paragraph" w:customStyle="1" w:styleId="xl81">
    <w:name w:val="xl81"/>
    <w:basedOn w:val="Normal"/>
    <w:rsid w:val="00F40C0F"/>
    <w:pPr>
      <w:pBdr>
        <w:top w:val="single" w:sz="8" w:space="0" w:color="auto"/>
        <w:left w:val="single" w:sz="8" w:space="0" w:color="auto"/>
        <w:bottom w:val="single" w:sz="8" w:space="0" w:color="auto"/>
      </w:pBdr>
      <w:spacing w:before="100" w:beforeAutospacing="1" w:after="100" w:afterAutospacing="1"/>
      <w:jc w:val="center"/>
    </w:pPr>
    <w:rPr>
      <w:rFonts w:eastAsia="Times New Roman" w:cs="Arial"/>
      <w:sz w:val="20"/>
      <w:szCs w:val="20"/>
    </w:rPr>
  </w:style>
  <w:style w:type="paragraph" w:customStyle="1" w:styleId="xl82">
    <w:name w:val="xl82"/>
    <w:basedOn w:val="Normal"/>
    <w:rsid w:val="00F40C0F"/>
    <w:pPr>
      <w:pBdr>
        <w:top w:val="single" w:sz="8" w:space="0" w:color="auto"/>
        <w:bottom w:val="single" w:sz="8" w:space="0" w:color="auto"/>
        <w:right w:val="single" w:sz="4" w:space="0" w:color="auto"/>
      </w:pBdr>
      <w:spacing w:before="100" w:beforeAutospacing="1" w:after="100" w:afterAutospacing="1"/>
      <w:jc w:val="center"/>
    </w:pPr>
    <w:rPr>
      <w:rFonts w:eastAsia="Times New Roman" w:cs="Arial"/>
      <w:sz w:val="20"/>
      <w:szCs w:val="20"/>
    </w:rPr>
  </w:style>
  <w:style w:type="paragraph" w:customStyle="1" w:styleId="n0">
    <w:name w:val="n0"/>
    <w:basedOn w:val="Normal"/>
    <w:rsid w:val="003E7BDB"/>
    <w:pPr>
      <w:keepLines/>
      <w:spacing w:before="240"/>
      <w:ind w:left="709" w:right="-351" w:hanging="709"/>
    </w:pPr>
    <w:rPr>
      <w:rFonts w:eastAsia="Times New Roman" w:cs="Arial"/>
      <w:color w:val="800080"/>
      <w:sz w:val="24"/>
      <w:szCs w:val="24"/>
      <w:lang w:val="es-ES_tradnl" w:eastAsia="es-ES"/>
    </w:rPr>
  </w:style>
  <w:style w:type="table" w:styleId="Tabladelista6concolores-nfasis3">
    <w:name w:val="List Table 6 Colorful Accent 3"/>
    <w:basedOn w:val="Tablanormal"/>
    <w:uiPriority w:val="51"/>
    <w:rsid w:val="00902A42"/>
    <w:pPr>
      <w:spacing w:after="0" w:line="240" w:lineRule="auto"/>
    </w:pPr>
    <w:rPr>
      <w:rFonts w:ascii="Calibri" w:eastAsia="Calibri" w:hAnsi="Calibri" w:cs="Calibri"/>
      <w:color w:val="7B7B7B" w:themeColor="accent3" w:themeShade="BF"/>
      <w:lang w:val="es-MX" w:eastAsia="es-MX"/>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Ttulo4Car">
    <w:name w:val="Título 4 Car"/>
    <w:basedOn w:val="Fuentedeprrafopredeter"/>
    <w:link w:val="Ttulo4"/>
    <w:uiPriority w:val="9"/>
    <w:rsid w:val="00044ED0"/>
    <w:rPr>
      <w:rFonts w:ascii="Arial" w:eastAsiaTheme="majorEastAsia" w:hAnsi="Arial" w:cstheme="majorBidi"/>
      <w:b/>
      <w:iCs/>
      <w:sz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4423">
      <w:bodyDiv w:val="1"/>
      <w:marLeft w:val="0"/>
      <w:marRight w:val="0"/>
      <w:marTop w:val="0"/>
      <w:marBottom w:val="0"/>
      <w:divBdr>
        <w:top w:val="none" w:sz="0" w:space="0" w:color="auto"/>
        <w:left w:val="none" w:sz="0" w:space="0" w:color="auto"/>
        <w:bottom w:val="none" w:sz="0" w:space="0" w:color="auto"/>
        <w:right w:val="none" w:sz="0" w:space="0" w:color="auto"/>
      </w:divBdr>
    </w:div>
    <w:div w:id="108932517">
      <w:bodyDiv w:val="1"/>
      <w:marLeft w:val="0"/>
      <w:marRight w:val="0"/>
      <w:marTop w:val="0"/>
      <w:marBottom w:val="0"/>
      <w:divBdr>
        <w:top w:val="none" w:sz="0" w:space="0" w:color="auto"/>
        <w:left w:val="none" w:sz="0" w:space="0" w:color="auto"/>
        <w:bottom w:val="none" w:sz="0" w:space="0" w:color="auto"/>
        <w:right w:val="none" w:sz="0" w:space="0" w:color="auto"/>
      </w:divBdr>
    </w:div>
    <w:div w:id="139737909">
      <w:bodyDiv w:val="1"/>
      <w:marLeft w:val="0"/>
      <w:marRight w:val="0"/>
      <w:marTop w:val="0"/>
      <w:marBottom w:val="0"/>
      <w:divBdr>
        <w:top w:val="none" w:sz="0" w:space="0" w:color="auto"/>
        <w:left w:val="none" w:sz="0" w:space="0" w:color="auto"/>
        <w:bottom w:val="none" w:sz="0" w:space="0" w:color="auto"/>
        <w:right w:val="none" w:sz="0" w:space="0" w:color="auto"/>
      </w:divBdr>
    </w:div>
    <w:div w:id="232929901">
      <w:bodyDiv w:val="1"/>
      <w:marLeft w:val="0"/>
      <w:marRight w:val="0"/>
      <w:marTop w:val="0"/>
      <w:marBottom w:val="0"/>
      <w:divBdr>
        <w:top w:val="none" w:sz="0" w:space="0" w:color="auto"/>
        <w:left w:val="none" w:sz="0" w:space="0" w:color="auto"/>
        <w:bottom w:val="none" w:sz="0" w:space="0" w:color="auto"/>
        <w:right w:val="none" w:sz="0" w:space="0" w:color="auto"/>
      </w:divBdr>
    </w:div>
    <w:div w:id="260259305">
      <w:bodyDiv w:val="1"/>
      <w:marLeft w:val="0"/>
      <w:marRight w:val="0"/>
      <w:marTop w:val="0"/>
      <w:marBottom w:val="0"/>
      <w:divBdr>
        <w:top w:val="none" w:sz="0" w:space="0" w:color="auto"/>
        <w:left w:val="none" w:sz="0" w:space="0" w:color="auto"/>
        <w:bottom w:val="none" w:sz="0" w:space="0" w:color="auto"/>
        <w:right w:val="none" w:sz="0" w:space="0" w:color="auto"/>
      </w:divBdr>
    </w:div>
    <w:div w:id="377627565">
      <w:bodyDiv w:val="1"/>
      <w:marLeft w:val="0"/>
      <w:marRight w:val="0"/>
      <w:marTop w:val="0"/>
      <w:marBottom w:val="0"/>
      <w:divBdr>
        <w:top w:val="none" w:sz="0" w:space="0" w:color="auto"/>
        <w:left w:val="none" w:sz="0" w:space="0" w:color="auto"/>
        <w:bottom w:val="none" w:sz="0" w:space="0" w:color="auto"/>
        <w:right w:val="none" w:sz="0" w:space="0" w:color="auto"/>
      </w:divBdr>
      <w:divsChild>
        <w:div w:id="180629378">
          <w:marLeft w:val="547"/>
          <w:marRight w:val="0"/>
          <w:marTop w:val="0"/>
          <w:marBottom w:val="0"/>
          <w:divBdr>
            <w:top w:val="none" w:sz="0" w:space="0" w:color="auto"/>
            <w:left w:val="none" w:sz="0" w:space="0" w:color="auto"/>
            <w:bottom w:val="none" w:sz="0" w:space="0" w:color="auto"/>
            <w:right w:val="none" w:sz="0" w:space="0" w:color="auto"/>
          </w:divBdr>
        </w:div>
      </w:divsChild>
    </w:div>
    <w:div w:id="440227514">
      <w:bodyDiv w:val="1"/>
      <w:marLeft w:val="0"/>
      <w:marRight w:val="0"/>
      <w:marTop w:val="0"/>
      <w:marBottom w:val="0"/>
      <w:divBdr>
        <w:top w:val="none" w:sz="0" w:space="0" w:color="auto"/>
        <w:left w:val="none" w:sz="0" w:space="0" w:color="auto"/>
        <w:bottom w:val="none" w:sz="0" w:space="0" w:color="auto"/>
        <w:right w:val="none" w:sz="0" w:space="0" w:color="auto"/>
      </w:divBdr>
    </w:div>
    <w:div w:id="548419087">
      <w:bodyDiv w:val="1"/>
      <w:marLeft w:val="0"/>
      <w:marRight w:val="0"/>
      <w:marTop w:val="0"/>
      <w:marBottom w:val="0"/>
      <w:divBdr>
        <w:top w:val="none" w:sz="0" w:space="0" w:color="auto"/>
        <w:left w:val="none" w:sz="0" w:space="0" w:color="auto"/>
        <w:bottom w:val="none" w:sz="0" w:space="0" w:color="auto"/>
        <w:right w:val="none" w:sz="0" w:space="0" w:color="auto"/>
      </w:divBdr>
    </w:div>
    <w:div w:id="578751689">
      <w:bodyDiv w:val="1"/>
      <w:marLeft w:val="0"/>
      <w:marRight w:val="0"/>
      <w:marTop w:val="0"/>
      <w:marBottom w:val="0"/>
      <w:divBdr>
        <w:top w:val="none" w:sz="0" w:space="0" w:color="auto"/>
        <w:left w:val="none" w:sz="0" w:space="0" w:color="auto"/>
        <w:bottom w:val="none" w:sz="0" w:space="0" w:color="auto"/>
        <w:right w:val="none" w:sz="0" w:space="0" w:color="auto"/>
      </w:divBdr>
    </w:div>
    <w:div w:id="620527044">
      <w:bodyDiv w:val="1"/>
      <w:marLeft w:val="0"/>
      <w:marRight w:val="0"/>
      <w:marTop w:val="0"/>
      <w:marBottom w:val="0"/>
      <w:divBdr>
        <w:top w:val="none" w:sz="0" w:space="0" w:color="auto"/>
        <w:left w:val="none" w:sz="0" w:space="0" w:color="auto"/>
        <w:bottom w:val="none" w:sz="0" w:space="0" w:color="auto"/>
        <w:right w:val="none" w:sz="0" w:space="0" w:color="auto"/>
      </w:divBdr>
    </w:div>
    <w:div w:id="627509255">
      <w:bodyDiv w:val="1"/>
      <w:marLeft w:val="0"/>
      <w:marRight w:val="0"/>
      <w:marTop w:val="0"/>
      <w:marBottom w:val="0"/>
      <w:divBdr>
        <w:top w:val="none" w:sz="0" w:space="0" w:color="auto"/>
        <w:left w:val="none" w:sz="0" w:space="0" w:color="auto"/>
        <w:bottom w:val="none" w:sz="0" w:space="0" w:color="auto"/>
        <w:right w:val="none" w:sz="0" w:space="0" w:color="auto"/>
      </w:divBdr>
    </w:div>
    <w:div w:id="640307042">
      <w:bodyDiv w:val="1"/>
      <w:marLeft w:val="0"/>
      <w:marRight w:val="0"/>
      <w:marTop w:val="0"/>
      <w:marBottom w:val="0"/>
      <w:divBdr>
        <w:top w:val="none" w:sz="0" w:space="0" w:color="auto"/>
        <w:left w:val="none" w:sz="0" w:space="0" w:color="auto"/>
        <w:bottom w:val="none" w:sz="0" w:space="0" w:color="auto"/>
        <w:right w:val="none" w:sz="0" w:space="0" w:color="auto"/>
      </w:divBdr>
    </w:div>
    <w:div w:id="788162176">
      <w:bodyDiv w:val="1"/>
      <w:marLeft w:val="0"/>
      <w:marRight w:val="0"/>
      <w:marTop w:val="0"/>
      <w:marBottom w:val="0"/>
      <w:divBdr>
        <w:top w:val="none" w:sz="0" w:space="0" w:color="auto"/>
        <w:left w:val="none" w:sz="0" w:space="0" w:color="auto"/>
        <w:bottom w:val="none" w:sz="0" w:space="0" w:color="auto"/>
        <w:right w:val="none" w:sz="0" w:space="0" w:color="auto"/>
      </w:divBdr>
    </w:div>
    <w:div w:id="801582632">
      <w:bodyDiv w:val="1"/>
      <w:marLeft w:val="0"/>
      <w:marRight w:val="0"/>
      <w:marTop w:val="0"/>
      <w:marBottom w:val="0"/>
      <w:divBdr>
        <w:top w:val="none" w:sz="0" w:space="0" w:color="auto"/>
        <w:left w:val="none" w:sz="0" w:space="0" w:color="auto"/>
        <w:bottom w:val="none" w:sz="0" w:space="0" w:color="auto"/>
        <w:right w:val="none" w:sz="0" w:space="0" w:color="auto"/>
      </w:divBdr>
    </w:div>
    <w:div w:id="875897341">
      <w:bodyDiv w:val="1"/>
      <w:marLeft w:val="0"/>
      <w:marRight w:val="0"/>
      <w:marTop w:val="0"/>
      <w:marBottom w:val="0"/>
      <w:divBdr>
        <w:top w:val="none" w:sz="0" w:space="0" w:color="auto"/>
        <w:left w:val="none" w:sz="0" w:space="0" w:color="auto"/>
        <w:bottom w:val="none" w:sz="0" w:space="0" w:color="auto"/>
        <w:right w:val="none" w:sz="0" w:space="0" w:color="auto"/>
      </w:divBdr>
    </w:div>
    <w:div w:id="893547442">
      <w:bodyDiv w:val="1"/>
      <w:marLeft w:val="0"/>
      <w:marRight w:val="0"/>
      <w:marTop w:val="0"/>
      <w:marBottom w:val="0"/>
      <w:divBdr>
        <w:top w:val="none" w:sz="0" w:space="0" w:color="auto"/>
        <w:left w:val="none" w:sz="0" w:space="0" w:color="auto"/>
        <w:bottom w:val="none" w:sz="0" w:space="0" w:color="auto"/>
        <w:right w:val="none" w:sz="0" w:space="0" w:color="auto"/>
      </w:divBdr>
    </w:div>
    <w:div w:id="925653769">
      <w:bodyDiv w:val="1"/>
      <w:marLeft w:val="0"/>
      <w:marRight w:val="0"/>
      <w:marTop w:val="0"/>
      <w:marBottom w:val="0"/>
      <w:divBdr>
        <w:top w:val="none" w:sz="0" w:space="0" w:color="auto"/>
        <w:left w:val="none" w:sz="0" w:space="0" w:color="auto"/>
        <w:bottom w:val="none" w:sz="0" w:space="0" w:color="auto"/>
        <w:right w:val="none" w:sz="0" w:space="0" w:color="auto"/>
      </w:divBdr>
    </w:div>
    <w:div w:id="962419475">
      <w:bodyDiv w:val="1"/>
      <w:marLeft w:val="0"/>
      <w:marRight w:val="0"/>
      <w:marTop w:val="0"/>
      <w:marBottom w:val="0"/>
      <w:divBdr>
        <w:top w:val="none" w:sz="0" w:space="0" w:color="auto"/>
        <w:left w:val="none" w:sz="0" w:space="0" w:color="auto"/>
        <w:bottom w:val="none" w:sz="0" w:space="0" w:color="auto"/>
        <w:right w:val="none" w:sz="0" w:space="0" w:color="auto"/>
      </w:divBdr>
    </w:div>
    <w:div w:id="1061560807">
      <w:bodyDiv w:val="1"/>
      <w:marLeft w:val="0"/>
      <w:marRight w:val="0"/>
      <w:marTop w:val="0"/>
      <w:marBottom w:val="0"/>
      <w:divBdr>
        <w:top w:val="none" w:sz="0" w:space="0" w:color="auto"/>
        <w:left w:val="none" w:sz="0" w:space="0" w:color="auto"/>
        <w:bottom w:val="none" w:sz="0" w:space="0" w:color="auto"/>
        <w:right w:val="none" w:sz="0" w:space="0" w:color="auto"/>
      </w:divBdr>
    </w:div>
    <w:div w:id="1104301918">
      <w:bodyDiv w:val="1"/>
      <w:marLeft w:val="0"/>
      <w:marRight w:val="0"/>
      <w:marTop w:val="0"/>
      <w:marBottom w:val="0"/>
      <w:divBdr>
        <w:top w:val="none" w:sz="0" w:space="0" w:color="auto"/>
        <w:left w:val="none" w:sz="0" w:space="0" w:color="auto"/>
        <w:bottom w:val="none" w:sz="0" w:space="0" w:color="auto"/>
        <w:right w:val="none" w:sz="0" w:space="0" w:color="auto"/>
      </w:divBdr>
    </w:div>
    <w:div w:id="1128276547">
      <w:bodyDiv w:val="1"/>
      <w:marLeft w:val="0"/>
      <w:marRight w:val="0"/>
      <w:marTop w:val="0"/>
      <w:marBottom w:val="0"/>
      <w:divBdr>
        <w:top w:val="none" w:sz="0" w:space="0" w:color="auto"/>
        <w:left w:val="none" w:sz="0" w:space="0" w:color="auto"/>
        <w:bottom w:val="none" w:sz="0" w:space="0" w:color="auto"/>
        <w:right w:val="none" w:sz="0" w:space="0" w:color="auto"/>
      </w:divBdr>
    </w:div>
    <w:div w:id="1282147318">
      <w:bodyDiv w:val="1"/>
      <w:marLeft w:val="0"/>
      <w:marRight w:val="0"/>
      <w:marTop w:val="0"/>
      <w:marBottom w:val="0"/>
      <w:divBdr>
        <w:top w:val="none" w:sz="0" w:space="0" w:color="auto"/>
        <w:left w:val="none" w:sz="0" w:space="0" w:color="auto"/>
        <w:bottom w:val="none" w:sz="0" w:space="0" w:color="auto"/>
        <w:right w:val="none" w:sz="0" w:space="0" w:color="auto"/>
      </w:divBdr>
    </w:div>
    <w:div w:id="1342126922">
      <w:bodyDiv w:val="1"/>
      <w:marLeft w:val="0"/>
      <w:marRight w:val="0"/>
      <w:marTop w:val="0"/>
      <w:marBottom w:val="0"/>
      <w:divBdr>
        <w:top w:val="none" w:sz="0" w:space="0" w:color="auto"/>
        <w:left w:val="none" w:sz="0" w:space="0" w:color="auto"/>
        <w:bottom w:val="none" w:sz="0" w:space="0" w:color="auto"/>
        <w:right w:val="none" w:sz="0" w:space="0" w:color="auto"/>
      </w:divBdr>
    </w:div>
    <w:div w:id="1373069426">
      <w:bodyDiv w:val="1"/>
      <w:marLeft w:val="0"/>
      <w:marRight w:val="0"/>
      <w:marTop w:val="0"/>
      <w:marBottom w:val="0"/>
      <w:divBdr>
        <w:top w:val="none" w:sz="0" w:space="0" w:color="auto"/>
        <w:left w:val="none" w:sz="0" w:space="0" w:color="auto"/>
        <w:bottom w:val="none" w:sz="0" w:space="0" w:color="auto"/>
        <w:right w:val="none" w:sz="0" w:space="0" w:color="auto"/>
      </w:divBdr>
    </w:div>
    <w:div w:id="1424915706">
      <w:bodyDiv w:val="1"/>
      <w:marLeft w:val="0"/>
      <w:marRight w:val="0"/>
      <w:marTop w:val="0"/>
      <w:marBottom w:val="0"/>
      <w:divBdr>
        <w:top w:val="none" w:sz="0" w:space="0" w:color="auto"/>
        <w:left w:val="none" w:sz="0" w:space="0" w:color="auto"/>
        <w:bottom w:val="none" w:sz="0" w:space="0" w:color="auto"/>
        <w:right w:val="none" w:sz="0" w:space="0" w:color="auto"/>
      </w:divBdr>
    </w:div>
    <w:div w:id="1438059413">
      <w:bodyDiv w:val="1"/>
      <w:marLeft w:val="0"/>
      <w:marRight w:val="0"/>
      <w:marTop w:val="0"/>
      <w:marBottom w:val="0"/>
      <w:divBdr>
        <w:top w:val="none" w:sz="0" w:space="0" w:color="auto"/>
        <w:left w:val="none" w:sz="0" w:space="0" w:color="auto"/>
        <w:bottom w:val="none" w:sz="0" w:space="0" w:color="auto"/>
        <w:right w:val="none" w:sz="0" w:space="0" w:color="auto"/>
      </w:divBdr>
    </w:div>
    <w:div w:id="1524244512">
      <w:bodyDiv w:val="1"/>
      <w:marLeft w:val="0"/>
      <w:marRight w:val="0"/>
      <w:marTop w:val="0"/>
      <w:marBottom w:val="0"/>
      <w:divBdr>
        <w:top w:val="none" w:sz="0" w:space="0" w:color="auto"/>
        <w:left w:val="none" w:sz="0" w:space="0" w:color="auto"/>
        <w:bottom w:val="none" w:sz="0" w:space="0" w:color="auto"/>
        <w:right w:val="none" w:sz="0" w:space="0" w:color="auto"/>
      </w:divBdr>
    </w:div>
    <w:div w:id="1613704923">
      <w:bodyDiv w:val="1"/>
      <w:marLeft w:val="0"/>
      <w:marRight w:val="0"/>
      <w:marTop w:val="0"/>
      <w:marBottom w:val="0"/>
      <w:divBdr>
        <w:top w:val="none" w:sz="0" w:space="0" w:color="auto"/>
        <w:left w:val="none" w:sz="0" w:space="0" w:color="auto"/>
        <w:bottom w:val="none" w:sz="0" w:space="0" w:color="auto"/>
        <w:right w:val="none" w:sz="0" w:space="0" w:color="auto"/>
      </w:divBdr>
    </w:div>
    <w:div w:id="1821923579">
      <w:bodyDiv w:val="1"/>
      <w:marLeft w:val="0"/>
      <w:marRight w:val="0"/>
      <w:marTop w:val="0"/>
      <w:marBottom w:val="0"/>
      <w:divBdr>
        <w:top w:val="none" w:sz="0" w:space="0" w:color="auto"/>
        <w:left w:val="none" w:sz="0" w:space="0" w:color="auto"/>
        <w:bottom w:val="none" w:sz="0" w:space="0" w:color="auto"/>
        <w:right w:val="none" w:sz="0" w:space="0" w:color="auto"/>
      </w:divBdr>
    </w:div>
    <w:div w:id="1921862741">
      <w:bodyDiv w:val="1"/>
      <w:marLeft w:val="0"/>
      <w:marRight w:val="0"/>
      <w:marTop w:val="0"/>
      <w:marBottom w:val="0"/>
      <w:divBdr>
        <w:top w:val="none" w:sz="0" w:space="0" w:color="auto"/>
        <w:left w:val="none" w:sz="0" w:space="0" w:color="auto"/>
        <w:bottom w:val="none" w:sz="0" w:space="0" w:color="auto"/>
        <w:right w:val="none" w:sz="0" w:space="0" w:color="auto"/>
      </w:divBdr>
    </w:div>
    <w:div w:id="2030330401">
      <w:bodyDiv w:val="1"/>
      <w:marLeft w:val="0"/>
      <w:marRight w:val="0"/>
      <w:marTop w:val="0"/>
      <w:marBottom w:val="0"/>
      <w:divBdr>
        <w:top w:val="none" w:sz="0" w:space="0" w:color="auto"/>
        <w:left w:val="none" w:sz="0" w:space="0" w:color="auto"/>
        <w:bottom w:val="none" w:sz="0" w:space="0" w:color="auto"/>
        <w:right w:val="none" w:sz="0" w:space="0" w:color="auto"/>
      </w:divBdr>
    </w:div>
    <w:div w:id="2083479788">
      <w:bodyDiv w:val="1"/>
      <w:marLeft w:val="0"/>
      <w:marRight w:val="0"/>
      <w:marTop w:val="0"/>
      <w:marBottom w:val="0"/>
      <w:divBdr>
        <w:top w:val="none" w:sz="0" w:space="0" w:color="auto"/>
        <w:left w:val="none" w:sz="0" w:space="0" w:color="auto"/>
        <w:bottom w:val="none" w:sz="0" w:space="0" w:color="auto"/>
        <w:right w:val="none" w:sz="0" w:space="0" w:color="auto"/>
      </w:divBdr>
    </w:div>
    <w:div w:id="2099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i.org.mx/temas/itaee/" TargetMode="External"/><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26653-8527-48B4-9295-669E33D1A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13540</TotalTime>
  <Pages>150</Pages>
  <Words>51462</Words>
  <Characters>283041</Characters>
  <Application>Microsoft Office Word</Application>
  <DocSecurity>0</DocSecurity>
  <Lines>2358</Lines>
  <Paragraphs>667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Munguia Rangel</dc:creator>
  <cp:keywords/>
  <dc:description/>
  <cp:lastModifiedBy>PRESUPUESTO</cp:lastModifiedBy>
  <cp:revision>411</cp:revision>
  <cp:lastPrinted>2022-10-29T20:20:00Z</cp:lastPrinted>
  <dcterms:created xsi:type="dcterms:W3CDTF">2019-11-30T11:36:00Z</dcterms:created>
  <dcterms:modified xsi:type="dcterms:W3CDTF">2022-10-31T16:45:00Z</dcterms:modified>
</cp:coreProperties>
</file>